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E18EEC" w14:textId="77777777" w:rsidR="003568C2" w:rsidRDefault="003568C2">
      <w:pPr>
        <w:tabs>
          <w:tab w:val="left" w:pos="6660"/>
        </w:tabs>
        <w:spacing w:line="360" w:lineRule="auto"/>
        <w:jc w:val="center"/>
        <w:rPr>
          <w:rFonts w:asciiTheme="minorEastAsia" w:hAnsiTheme="minorEastAsia" w:cs="Times New Roman"/>
          <w:bCs/>
          <w:sz w:val="48"/>
          <w:szCs w:val="48"/>
        </w:rPr>
      </w:pPr>
    </w:p>
    <w:p w14:paraId="3734A809" w14:textId="77777777" w:rsidR="003568C2" w:rsidRDefault="003568C2">
      <w:pPr>
        <w:spacing w:line="360" w:lineRule="auto"/>
        <w:jc w:val="center"/>
        <w:rPr>
          <w:rFonts w:asciiTheme="minorEastAsia" w:hAnsiTheme="minorEastAsia" w:cs="Times New Roman"/>
          <w:b/>
          <w:sz w:val="48"/>
          <w:szCs w:val="48"/>
        </w:rPr>
      </w:pPr>
    </w:p>
    <w:p w14:paraId="7A1F32DD" w14:textId="77777777" w:rsidR="003568C2" w:rsidRDefault="003568C2">
      <w:pPr>
        <w:adjustRightInd w:val="0"/>
        <w:snapToGrid w:val="0"/>
        <w:spacing w:line="360" w:lineRule="auto"/>
        <w:jc w:val="center"/>
        <w:rPr>
          <w:rFonts w:asciiTheme="minorEastAsia" w:hAnsiTheme="minorEastAsia" w:cs="Arial"/>
          <w:sz w:val="48"/>
          <w:szCs w:val="48"/>
        </w:rPr>
      </w:pPr>
      <w:bookmarkStart w:id="0" w:name="_Toc139991729"/>
      <w:bookmarkStart w:id="1" w:name="_Toc123701386"/>
      <w:bookmarkStart w:id="2" w:name="_Toc123112266"/>
      <w:bookmarkStart w:id="3" w:name="_Toc123112227"/>
    </w:p>
    <w:p w14:paraId="19EF4112" w14:textId="77777777" w:rsidR="003568C2" w:rsidRDefault="00695B03">
      <w:pPr>
        <w:adjustRightInd w:val="0"/>
        <w:snapToGrid w:val="0"/>
        <w:spacing w:line="360" w:lineRule="auto"/>
        <w:jc w:val="center"/>
        <w:rPr>
          <w:rFonts w:ascii="Arial" w:eastAsia="宋体" w:hAnsi="宋体" w:cs="Arial"/>
          <w:b/>
          <w:sz w:val="48"/>
          <w:szCs w:val="48"/>
        </w:rPr>
      </w:pPr>
      <w:r>
        <w:rPr>
          <w:rFonts w:hint="eastAsia"/>
          <w:b/>
          <w:sz w:val="48"/>
          <w:szCs w:val="48"/>
        </w:rPr>
        <w:t>富荣沪深</w:t>
      </w:r>
      <w:r>
        <w:rPr>
          <w:rFonts w:hint="eastAsia"/>
          <w:b/>
          <w:sz w:val="48"/>
          <w:szCs w:val="48"/>
        </w:rPr>
        <w:t>300</w:t>
      </w:r>
      <w:r>
        <w:rPr>
          <w:rFonts w:hint="eastAsia"/>
          <w:b/>
          <w:sz w:val="48"/>
          <w:szCs w:val="48"/>
        </w:rPr>
        <w:t>指数增强型证券投资基金更新</w:t>
      </w:r>
      <w:r>
        <w:rPr>
          <w:b/>
          <w:sz w:val="48"/>
          <w:szCs w:val="48"/>
        </w:rPr>
        <w:t>的</w:t>
      </w:r>
      <w:r>
        <w:rPr>
          <w:rFonts w:ascii="Arial" w:eastAsia="宋体" w:hAnsi="宋体" w:cs="Arial" w:hint="eastAsia"/>
          <w:b/>
          <w:sz w:val="48"/>
          <w:szCs w:val="48"/>
        </w:rPr>
        <w:t>招募说明书</w:t>
      </w:r>
    </w:p>
    <w:p w14:paraId="0AA021E4" w14:textId="48D92193" w:rsidR="003568C2" w:rsidRDefault="00695B03">
      <w:pPr>
        <w:adjustRightInd w:val="0"/>
        <w:snapToGrid w:val="0"/>
        <w:spacing w:line="360" w:lineRule="auto"/>
        <w:jc w:val="center"/>
        <w:rPr>
          <w:rFonts w:asciiTheme="minorEastAsia" w:hAnsiTheme="minorEastAsia" w:cs="Times New Roman"/>
          <w:b/>
          <w:sz w:val="36"/>
          <w:szCs w:val="36"/>
        </w:rPr>
      </w:pPr>
      <w:r>
        <w:rPr>
          <w:rFonts w:ascii="Arial" w:eastAsia="宋体" w:hAnsi="宋体" w:cs="Arial" w:hint="eastAsia"/>
          <w:b/>
          <w:sz w:val="48"/>
          <w:szCs w:val="48"/>
        </w:rPr>
        <w:t>（</w:t>
      </w:r>
      <w:r w:rsidR="00564A25">
        <w:rPr>
          <w:rFonts w:ascii="Arial" w:eastAsia="宋体" w:hAnsi="宋体" w:cs="Arial" w:hint="eastAsia"/>
          <w:b/>
          <w:sz w:val="48"/>
          <w:szCs w:val="48"/>
        </w:rPr>
        <w:t>2022</w:t>
      </w:r>
      <w:r w:rsidR="00564A25">
        <w:rPr>
          <w:rFonts w:ascii="Arial" w:eastAsia="宋体" w:hAnsi="宋体" w:cs="Arial" w:hint="eastAsia"/>
          <w:b/>
          <w:sz w:val="48"/>
          <w:szCs w:val="48"/>
        </w:rPr>
        <w:t>年第</w:t>
      </w:r>
      <w:r w:rsidR="00564A25">
        <w:rPr>
          <w:rFonts w:ascii="Arial" w:eastAsia="宋体" w:hAnsi="宋体" w:cs="Arial" w:hint="eastAsia"/>
          <w:b/>
          <w:sz w:val="48"/>
          <w:szCs w:val="48"/>
        </w:rPr>
        <w:t>1</w:t>
      </w:r>
      <w:r w:rsidR="00564A25">
        <w:rPr>
          <w:rFonts w:ascii="Arial" w:eastAsia="宋体" w:hAnsi="宋体" w:cs="Arial" w:hint="eastAsia"/>
          <w:b/>
          <w:sz w:val="48"/>
          <w:szCs w:val="48"/>
        </w:rPr>
        <w:t>号</w:t>
      </w:r>
      <w:r>
        <w:rPr>
          <w:rFonts w:ascii="Arial" w:eastAsia="宋体" w:hAnsi="宋体" w:cs="Arial" w:hint="eastAsia"/>
          <w:b/>
          <w:sz w:val="48"/>
          <w:szCs w:val="48"/>
        </w:rPr>
        <w:t>）</w:t>
      </w:r>
    </w:p>
    <w:p w14:paraId="3C40CCD8" w14:textId="77777777" w:rsidR="003568C2" w:rsidRDefault="003568C2">
      <w:pPr>
        <w:adjustRightInd w:val="0"/>
        <w:snapToGrid w:val="0"/>
        <w:spacing w:line="360" w:lineRule="auto"/>
        <w:jc w:val="center"/>
        <w:rPr>
          <w:rFonts w:asciiTheme="minorEastAsia" w:hAnsiTheme="minorEastAsia" w:cs="Arial"/>
          <w:sz w:val="36"/>
          <w:szCs w:val="36"/>
        </w:rPr>
      </w:pPr>
    </w:p>
    <w:p w14:paraId="1CFF49F8" w14:textId="77777777" w:rsidR="003568C2" w:rsidRDefault="003568C2">
      <w:pPr>
        <w:adjustRightInd w:val="0"/>
        <w:snapToGrid w:val="0"/>
        <w:spacing w:line="360" w:lineRule="auto"/>
        <w:jc w:val="center"/>
        <w:rPr>
          <w:rFonts w:asciiTheme="minorEastAsia" w:hAnsiTheme="minorEastAsia" w:cs="Arial"/>
          <w:sz w:val="36"/>
          <w:szCs w:val="36"/>
        </w:rPr>
      </w:pPr>
    </w:p>
    <w:p w14:paraId="08C57E39" w14:textId="77777777" w:rsidR="003568C2" w:rsidRDefault="003568C2">
      <w:pPr>
        <w:adjustRightInd w:val="0"/>
        <w:snapToGrid w:val="0"/>
        <w:spacing w:line="360" w:lineRule="auto"/>
        <w:jc w:val="center"/>
        <w:rPr>
          <w:rFonts w:asciiTheme="minorEastAsia" w:hAnsiTheme="minorEastAsia" w:cs="Arial"/>
          <w:sz w:val="36"/>
          <w:szCs w:val="36"/>
        </w:rPr>
      </w:pPr>
    </w:p>
    <w:p w14:paraId="1B87FCFE" w14:textId="77777777" w:rsidR="003568C2" w:rsidRDefault="003568C2">
      <w:pPr>
        <w:adjustRightInd w:val="0"/>
        <w:snapToGrid w:val="0"/>
        <w:spacing w:line="360" w:lineRule="auto"/>
        <w:jc w:val="center"/>
        <w:rPr>
          <w:rFonts w:asciiTheme="minorEastAsia" w:hAnsiTheme="minorEastAsia" w:cs="Arial"/>
          <w:sz w:val="36"/>
          <w:szCs w:val="36"/>
        </w:rPr>
      </w:pPr>
    </w:p>
    <w:p w14:paraId="4B015D29" w14:textId="77777777" w:rsidR="003568C2" w:rsidRDefault="003568C2">
      <w:pPr>
        <w:adjustRightInd w:val="0"/>
        <w:snapToGrid w:val="0"/>
        <w:spacing w:line="360" w:lineRule="auto"/>
        <w:jc w:val="center"/>
        <w:rPr>
          <w:rFonts w:asciiTheme="minorEastAsia" w:hAnsiTheme="minorEastAsia" w:cs="Arial"/>
          <w:sz w:val="36"/>
          <w:szCs w:val="36"/>
        </w:rPr>
      </w:pPr>
    </w:p>
    <w:p w14:paraId="0E5FD347" w14:textId="77777777" w:rsidR="003568C2" w:rsidRDefault="003568C2">
      <w:pPr>
        <w:adjustRightInd w:val="0"/>
        <w:snapToGrid w:val="0"/>
        <w:spacing w:line="360" w:lineRule="auto"/>
        <w:jc w:val="center"/>
        <w:rPr>
          <w:rFonts w:asciiTheme="minorEastAsia" w:hAnsiTheme="minorEastAsia" w:cs="Arial"/>
          <w:sz w:val="36"/>
          <w:szCs w:val="36"/>
        </w:rPr>
      </w:pPr>
    </w:p>
    <w:p w14:paraId="0D38F50E" w14:textId="77777777" w:rsidR="003568C2" w:rsidRDefault="00695B03">
      <w:pPr>
        <w:snapToGrid w:val="0"/>
        <w:spacing w:line="360" w:lineRule="auto"/>
        <w:jc w:val="center"/>
        <w:rPr>
          <w:rFonts w:ascii="Arial" w:eastAsia="宋体" w:hAnsi="Arial" w:cs="Times New Roman"/>
          <w:b/>
          <w:sz w:val="36"/>
          <w:szCs w:val="36"/>
        </w:rPr>
      </w:pPr>
      <w:bookmarkStart w:id="4" w:name="_Toc139991726"/>
      <w:bookmarkStart w:id="5" w:name="_Toc123701383"/>
      <w:bookmarkStart w:id="6" w:name="_Toc123112263"/>
      <w:bookmarkStart w:id="7" w:name="_Toc123112224"/>
      <w:bookmarkStart w:id="8" w:name="_Toc139992301"/>
      <w:r>
        <w:rPr>
          <w:rFonts w:ascii="Arial" w:eastAsia="宋体" w:hAnsi="Arial" w:cs="Times New Roman" w:hint="eastAsia"/>
          <w:b/>
          <w:sz w:val="36"/>
          <w:szCs w:val="36"/>
        </w:rPr>
        <w:t>基金管理人：</w:t>
      </w:r>
      <w:bookmarkEnd w:id="4"/>
      <w:bookmarkEnd w:id="5"/>
      <w:bookmarkEnd w:id="6"/>
      <w:bookmarkEnd w:id="7"/>
      <w:bookmarkEnd w:id="8"/>
      <w:r>
        <w:rPr>
          <w:rFonts w:ascii="Arial" w:eastAsia="宋体" w:hAnsi="Arial" w:cs="Times New Roman" w:hint="eastAsia"/>
          <w:b/>
          <w:sz w:val="36"/>
          <w:szCs w:val="36"/>
        </w:rPr>
        <w:t>富荣基金管理有限公司</w:t>
      </w:r>
    </w:p>
    <w:p w14:paraId="5D1DDEA5" w14:textId="77777777" w:rsidR="003568C2" w:rsidRDefault="00695B03">
      <w:pPr>
        <w:autoSpaceDE w:val="0"/>
        <w:autoSpaceDN w:val="0"/>
        <w:adjustRightInd w:val="0"/>
        <w:snapToGrid w:val="0"/>
        <w:spacing w:line="360" w:lineRule="auto"/>
        <w:jc w:val="center"/>
        <w:rPr>
          <w:rFonts w:ascii="Arial" w:eastAsia="宋体" w:hAnsi="Arial" w:cs="Arial"/>
          <w:b/>
          <w:bCs/>
          <w:sz w:val="36"/>
          <w:szCs w:val="36"/>
        </w:rPr>
      </w:pPr>
      <w:bookmarkStart w:id="9" w:name="_Toc123112264"/>
      <w:bookmarkStart w:id="10" w:name="_Toc139992302"/>
      <w:bookmarkStart w:id="11" w:name="_Toc139991727"/>
      <w:bookmarkStart w:id="12" w:name="_Toc123112225"/>
      <w:bookmarkStart w:id="13" w:name="_Toc123701384"/>
      <w:r>
        <w:rPr>
          <w:rFonts w:ascii="Arial" w:eastAsia="宋体" w:hAnsi="Arial" w:cs="Times New Roman" w:hint="eastAsia"/>
          <w:b/>
          <w:sz w:val="36"/>
          <w:szCs w:val="36"/>
        </w:rPr>
        <w:t>基金托管人：</w:t>
      </w:r>
      <w:bookmarkEnd w:id="9"/>
      <w:bookmarkEnd w:id="10"/>
      <w:bookmarkEnd w:id="11"/>
      <w:bookmarkEnd w:id="12"/>
      <w:bookmarkEnd w:id="13"/>
      <w:r>
        <w:rPr>
          <w:rFonts w:ascii="Arial" w:eastAsia="宋体" w:hAnsi="Arial" w:cs="Times New Roman" w:hint="eastAsia"/>
          <w:b/>
          <w:sz w:val="36"/>
          <w:szCs w:val="36"/>
        </w:rPr>
        <w:t>招商银行股份有限公司</w:t>
      </w:r>
    </w:p>
    <w:p w14:paraId="5DF3417F" w14:textId="77777777" w:rsidR="003568C2" w:rsidRDefault="003568C2">
      <w:pPr>
        <w:autoSpaceDE w:val="0"/>
        <w:autoSpaceDN w:val="0"/>
        <w:adjustRightInd w:val="0"/>
        <w:snapToGrid w:val="0"/>
        <w:spacing w:line="360" w:lineRule="auto"/>
        <w:jc w:val="center"/>
        <w:rPr>
          <w:rFonts w:asciiTheme="minorEastAsia" w:hAnsiTheme="minorEastAsia" w:cs="Arial"/>
          <w:b/>
          <w:bCs/>
          <w:sz w:val="28"/>
          <w:szCs w:val="28"/>
        </w:rPr>
      </w:pPr>
    </w:p>
    <w:p w14:paraId="58249202" w14:textId="77777777" w:rsidR="003568C2" w:rsidRDefault="003568C2">
      <w:pPr>
        <w:autoSpaceDE w:val="0"/>
        <w:autoSpaceDN w:val="0"/>
        <w:adjustRightInd w:val="0"/>
        <w:snapToGrid w:val="0"/>
        <w:spacing w:line="360" w:lineRule="auto"/>
        <w:jc w:val="center"/>
        <w:rPr>
          <w:rFonts w:asciiTheme="minorEastAsia" w:hAnsiTheme="minorEastAsia" w:cs="Arial"/>
          <w:b/>
          <w:bCs/>
          <w:sz w:val="28"/>
          <w:szCs w:val="28"/>
        </w:rPr>
      </w:pPr>
    </w:p>
    <w:p w14:paraId="0E022DA6" w14:textId="77777777" w:rsidR="003568C2" w:rsidRDefault="003568C2">
      <w:pPr>
        <w:widowControl/>
        <w:spacing w:line="360" w:lineRule="auto"/>
        <w:rPr>
          <w:rFonts w:ascii="Arial" w:eastAsia="宋体" w:hAnsi="Arial" w:cs="Arial"/>
          <w:b/>
          <w:bCs/>
          <w:kern w:val="0"/>
          <w:sz w:val="28"/>
          <w:szCs w:val="28"/>
        </w:rPr>
        <w:sectPr w:rsidR="003568C2">
          <w:headerReference w:type="default" r:id="rId12"/>
          <w:footerReference w:type="default" r:id="rId13"/>
          <w:pgSz w:w="11906" w:h="16838"/>
          <w:pgMar w:top="1440" w:right="1800" w:bottom="1440" w:left="1800" w:header="851" w:footer="992" w:gutter="0"/>
          <w:pgNumType w:start="1"/>
          <w:cols w:space="720"/>
          <w:titlePg/>
          <w:docGrid w:type="lines" w:linePitch="312"/>
        </w:sectPr>
      </w:pPr>
    </w:p>
    <w:p w14:paraId="049DE165" w14:textId="77777777" w:rsidR="003568C2" w:rsidRDefault="00695B03">
      <w:pPr>
        <w:autoSpaceDE w:val="0"/>
        <w:autoSpaceDN w:val="0"/>
        <w:adjustRightInd w:val="0"/>
        <w:snapToGrid w:val="0"/>
        <w:spacing w:line="360" w:lineRule="auto"/>
        <w:jc w:val="center"/>
        <w:rPr>
          <w:rFonts w:ascii="Arial" w:eastAsia="宋体" w:hAnsi="Arial" w:cs="Arial"/>
          <w:b/>
          <w:bCs/>
          <w:sz w:val="30"/>
          <w:szCs w:val="30"/>
        </w:rPr>
      </w:pPr>
      <w:r>
        <w:rPr>
          <w:rFonts w:ascii="Arial" w:eastAsia="宋体" w:hAnsi="Arial" w:cs="Arial" w:hint="eastAsia"/>
          <w:b/>
          <w:bCs/>
          <w:sz w:val="30"/>
          <w:szCs w:val="30"/>
        </w:rPr>
        <w:lastRenderedPageBreak/>
        <w:t>【重要提示】</w:t>
      </w:r>
    </w:p>
    <w:p w14:paraId="37DC99FD" w14:textId="77777777" w:rsidR="003568C2" w:rsidRDefault="003568C2">
      <w:pPr>
        <w:autoSpaceDE w:val="0"/>
        <w:autoSpaceDN w:val="0"/>
        <w:adjustRightInd w:val="0"/>
        <w:snapToGrid w:val="0"/>
        <w:spacing w:line="360" w:lineRule="auto"/>
        <w:jc w:val="center"/>
        <w:rPr>
          <w:rFonts w:ascii="Arial" w:eastAsia="宋体" w:hAnsi="Arial" w:cs="Arial"/>
          <w:b/>
          <w:bCs/>
          <w:szCs w:val="21"/>
        </w:rPr>
      </w:pPr>
    </w:p>
    <w:p w14:paraId="250C3E87" w14:textId="77777777" w:rsidR="003568C2" w:rsidRDefault="00695B03">
      <w:pPr>
        <w:spacing w:line="360" w:lineRule="auto"/>
        <w:ind w:firstLineChars="200" w:firstLine="480"/>
        <w:rPr>
          <w:bCs/>
          <w:sz w:val="24"/>
        </w:rPr>
      </w:pPr>
      <w:r>
        <w:rPr>
          <w:rFonts w:hint="eastAsia"/>
          <w:bCs/>
          <w:sz w:val="24"/>
        </w:rPr>
        <w:t>富荣沪深</w:t>
      </w:r>
      <w:r>
        <w:rPr>
          <w:bCs/>
          <w:sz w:val="24"/>
        </w:rPr>
        <w:t>300</w:t>
      </w:r>
      <w:r>
        <w:rPr>
          <w:rFonts w:hint="eastAsia"/>
          <w:bCs/>
          <w:sz w:val="24"/>
        </w:rPr>
        <w:t>指数增强型证券投资基金由富荣福泰灵活配置混合型证券投资基金变更注册而来。</w:t>
      </w:r>
    </w:p>
    <w:p w14:paraId="61C77CAF" w14:textId="77777777" w:rsidR="003568C2" w:rsidRDefault="00695B03">
      <w:pPr>
        <w:spacing w:line="360" w:lineRule="auto"/>
        <w:ind w:firstLineChars="200" w:firstLine="480"/>
        <w:rPr>
          <w:bCs/>
          <w:sz w:val="24"/>
        </w:rPr>
      </w:pPr>
      <w:r>
        <w:rPr>
          <w:rFonts w:hint="eastAsia"/>
          <w:bCs/>
          <w:sz w:val="24"/>
        </w:rPr>
        <w:t>富荣福泰灵活配置混合型证券投资基金经中国证监会证监许可</w:t>
      </w:r>
      <w:r>
        <w:rPr>
          <w:bCs/>
          <w:sz w:val="24"/>
        </w:rPr>
        <w:t>[2017]726</w:t>
      </w:r>
      <w:r>
        <w:rPr>
          <w:rFonts w:hint="eastAsia"/>
          <w:bCs/>
          <w:sz w:val="24"/>
        </w:rPr>
        <w:t>号文注册，基金管理人为富荣基金管理有限公司，基金托管人为招商银行股份有限公司。</w:t>
      </w:r>
    </w:p>
    <w:p w14:paraId="3D0735E4" w14:textId="77777777" w:rsidR="003568C2" w:rsidRDefault="00695B03">
      <w:pPr>
        <w:spacing w:line="360" w:lineRule="auto"/>
        <w:ind w:firstLineChars="200" w:firstLine="480"/>
        <w:rPr>
          <w:bCs/>
          <w:sz w:val="24"/>
        </w:rPr>
      </w:pPr>
      <w:r>
        <w:rPr>
          <w:rFonts w:hint="eastAsia"/>
          <w:bCs/>
          <w:sz w:val="24"/>
        </w:rPr>
        <w:t>富荣福泰灵活配置混合型证券投资基金自</w:t>
      </w:r>
      <w:r>
        <w:rPr>
          <w:bCs/>
          <w:sz w:val="24"/>
        </w:rPr>
        <w:t>2017</w:t>
      </w:r>
      <w:r>
        <w:rPr>
          <w:rFonts w:hint="eastAsia"/>
          <w:bCs/>
          <w:sz w:val="24"/>
        </w:rPr>
        <w:t>年</w:t>
      </w:r>
      <w:r>
        <w:rPr>
          <w:bCs/>
          <w:sz w:val="24"/>
        </w:rPr>
        <w:t>11</w:t>
      </w:r>
      <w:r>
        <w:rPr>
          <w:rFonts w:hint="eastAsia"/>
          <w:bCs/>
          <w:sz w:val="24"/>
        </w:rPr>
        <w:t>月</w:t>
      </w:r>
      <w:r>
        <w:rPr>
          <w:bCs/>
          <w:sz w:val="24"/>
        </w:rPr>
        <w:t>14</w:t>
      </w:r>
      <w:r>
        <w:rPr>
          <w:rFonts w:hint="eastAsia"/>
          <w:bCs/>
          <w:sz w:val="24"/>
        </w:rPr>
        <w:t>日至</w:t>
      </w:r>
      <w:r>
        <w:rPr>
          <w:bCs/>
          <w:sz w:val="24"/>
        </w:rPr>
        <w:t xml:space="preserve"> 2018</w:t>
      </w:r>
      <w:r>
        <w:rPr>
          <w:rFonts w:hint="eastAsia"/>
          <w:bCs/>
          <w:sz w:val="24"/>
        </w:rPr>
        <w:t>年</w:t>
      </w:r>
      <w:r>
        <w:rPr>
          <w:bCs/>
          <w:sz w:val="24"/>
        </w:rPr>
        <w:t>2</w:t>
      </w:r>
      <w:r>
        <w:rPr>
          <w:rFonts w:hint="eastAsia"/>
          <w:bCs/>
          <w:sz w:val="24"/>
        </w:rPr>
        <w:t>月</w:t>
      </w:r>
      <w:r>
        <w:rPr>
          <w:bCs/>
          <w:sz w:val="24"/>
        </w:rPr>
        <w:t>8</w:t>
      </w:r>
      <w:r>
        <w:rPr>
          <w:rFonts w:hint="eastAsia"/>
          <w:bCs/>
          <w:sz w:val="24"/>
        </w:rPr>
        <w:t>日公开募集，募集结束后基金管理人向中国证监会办理备案手续。经中国证监会书面确认，《富荣福泰灵活配置混合型证券投资基金基金合同》于</w:t>
      </w:r>
      <w:r>
        <w:rPr>
          <w:bCs/>
          <w:sz w:val="24"/>
        </w:rPr>
        <w:t>2018</w:t>
      </w:r>
      <w:r>
        <w:rPr>
          <w:rFonts w:hint="eastAsia"/>
          <w:bCs/>
          <w:sz w:val="24"/>
        </w:rPr>
        <w:t>年</w:t>
      </w:r>
      <w:r>
        <w:rPr>
          <w:bCs/>
          <w:sz w:val="24"/>
        </w:rPr>
        <w:t>2</w:t>
      </w:r>
      <w:r>
        <w:rPr>
          <w:rFonts w:hint="eastAsia"/>
          <w:bCs/>
          <w:sz w:val="24"/>
        </w:rPr>
        <w:t>月</w:t>
      </w:r>
      <w:r>
        <w:rPr>
          <w:bCs/>
          <w:sz w:val="24"/>
        </w:rPr>
        <w:t>1</w:t>
      </w:r>
      <w:r>
        <w:rPr>
          <w:rFonts w:hint="eastAsia"/>
          <w:bCs/>
          <w:sz w:val="24"/>
        </w:rPr>
        <w:t>1</w:t>
      </w:r>
      <w:r>
        <w:rPr>
          <w:rFonts w:hint="eastAsia"/>
          <w:bCs/>
          <w:sz w:val="24"/>
        </w:rPr>
        <w:t>日生效。</w:t>
      </w:r>
    </w:p>
    <w:p w14:paraId="58AB5061" w14:textId="77777777" w:rsidR="003568C2" w:rsidRDefault="00695B03">
      <w:pPr>
        <w:spacing w:line="360" w:lineRule="auto"/>
        <w:ind w:firstLineChars="200" w:firstLine="480"/>
        <w:rPr>
          <w:bCs/>
          <w:sz w:val="24"/>
        </w:rPr>
      </w:pPr>
      <w:r>
        <w:rPr>
          <w:rFonts w:hint="eastAsia"/>
          <w:bCs/>
          <w:sz w:val="24"/>
        </w:rPr>
        <w:t>富荣福泰灵活配置混合型证券投资基金经中国证监会证监许可</w:t>
      </w:r>
      <w:r>
        <w:rPr>
          <w:bCs/>
          <w:sz w:val="24"/>
        </w:rPr>
        <w:t>[</w:t>
      </w:r>
      <w:r>
        <w:rPr>
          <w:rFonts w:hint="eastAsia"/>
          <w:bCs/>
          <w:sz w:val="24"/>
        </w:rPr>
        <w:t>2018</w:t>
      </w:r>
      <w:r>
        <w:rPr>
          <w:bCs/>
          <w:sz w:val="24"/>
        </w:rPr>
        <w:t>]</w:t>
      </w:r>
      <w:r>
        <w:rPr>
          <w:rFonts w:ascii="宋体" w:hAnsi="宋体" w:hint="eastAsia"/>
          <w:bCs/>
          <w:sz w:val="24"/>
        </w:rPr>
        <w:t>1827</w:t>
      </w:r>
      <w:r>
        <w:rPr>
          <w:rFonts w:hint="eastAsia"/>
          <w:bCs/>
          <w:sz w:val="24"/>
        </w:rPr>
        <w:t>号文准予变更注册。</w:t>
      </w:r>
    </w:p>
    <w:p w14:paraId="3F37904D" w14:textId="77777777" w:rsidR="003568C2" w:rsidRDefault="00695B0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管理人保证招募说明书的内容真实、准确、完整。本招募说明书经中国证监会注册，但中国证监会对富荣福泰灵活配置混合型证券投资基金转型为本基金的变更注册，并不表明其对本基金的投资价值、市场前景和收益作出实质性判断或保证，也不表明投资于本基金没有风险。</w:t>
      </w:r>
    </w:p>
    <w:p w14:paraId="51A7A580" w14:textId="0E036CC1" w:rsidR="003568C2" w:rsidRDefault="00695B0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本基金标的指数为</w:t>
      </w:r>
      <w:r w:rsidR="00571CBD">
        <w:rPr>
          <w:rFonts w:asciiTheme="minorEastAsia" w:hAnsiTheme="minorEastAsia" w:cs="Arial" w:hint="eastAsia"/>
          <w:sz w:val="24"/>
          <w:szCs w:val="24"/>
        </w:rPr>
        <w:t>沪深3</w:t>
      </w:r>
      <w:r w:rsidR="00571CBD">
        <w:rPr>
          <w:rFonts w:asciiTheme="minorEastAsia" w:hAnsiTheme="minorEastAsia" w:cs="Arial"/>
          <w:sz w:val="24"/>
          <w:szCs w:val="24"/>
        </w:rPr>
        <w:t>00</w:t>
      </w:r>
      <w:r>
        <w:rPr>
          <w:rFonts w:asciiTheme="minorEastAsia" w:hAnsiTheme="minorEastAsia" w:cs="Arial" w:hint="eastAsia"/>
          <w:sz w:val="24"/>
          <w:szCs w:val="24"/>
        </w:rPr>
        <w:t>指数。</w:t>
      </w:r>
    </w:p>
    <w:p w14:paraId="0B44EDFC" w14:textId="77777777" w:rsidR="00AD29FB" w:rsidRPr="00AD29FB" w:rsidRDefault="00AD29FB" w:rsidP="00AD29FB">
      <w:pPr>
        <w:autoSpaceDE w:val="0"/>
        <w:autoSpaceDN w:val="0"/>
        <w:adjustRightInd w:val="0"/>
        <w:snapToGrid w:val="0"/>
        <w:spacing w:line="360" w:lineRule="auto"/>
        <w:ind w:firstLineChars="200" w:firstLine="480"/>
        <w:rPr>
          <w:rFonts w:asciiTheme="minorEastAsia" w:hAnsiTheme="minorEastAsia" w:cs="Arial"/>
          <w:sz w:val="24"/>
          <w:szCs w:val="24"/>
        </w:rPr>
      </w:pPr>
      <w:r w:rsidRPr="00AD29FB">
        <w:rPr>
          <w:rFonts w:asciiTheme="minorEastAsia" w:hAnsiTheme="minorEastAsia" w:cs="Arial" w:hint="eastAsia"/>
          <w:sz w:val="24"/>
          <w:szCs w:val="24"/>
        </w:rPr>
        <w:t>（1）样本空间</w:t>
      </w:r>
    </w:p>
    <w:p w14:paraId="6E6AA633" w14:textId="77777777" w:rsidR="00AD29FB" w:rsidRPr="00AD29FB" w:rsidRDefault="00AD29FB" w:rsidP="00AD29FB">
      <w:pPr>
        <w:autoSpaceDE w:val="0"/>
        <w:autoSpaceDN w:val="0"/>
        <w:adjustRightInd w:val="0"/>
        <w:snapToGrid w:val="0"/>
        <w:spacing w:line="360" w:lineRule="auto"/>
        <w:ind w:firstLineChars="200" w:firstLine="480"/>
        <w:rPr>
          <w:rFonts w:asciiTheme="minorEastAsia" w:hAnsiTheme="minorEastAsia" w:cs="Arial"/>
          <w:sz w:val="24"/>
          <w:szCs w:val="24"/>
        </w:rPr>
      </w:pPr>
      <w:r w:rsidRPr="00AD29FB">
        <w:rPr>
          <w:rFonts w:asciiTheme="minorEastAsia" w:hAnsiTheme="minorEastAsia" w:cs="Arial" w:hint="eastAsia"/>
          <w:sz w:val="24"/>
          <w:szCs w:val="24"/>
        </w:rPr>
        <w:t>指数样本空间由同时满足以下条件的非 ST、*ST 沪深 A 股和红筹企业发行的存托凭证组成：</w:t>
      </w:r>
    </w:p>
    <w:p w14:paraId="0C76E193" w14:textId="77777777" w:rsidR="00AD29FB" w:rsidRPr="00AD29FB" w:rsidRDefault="00AD29FB" w:rsidP="00AD29FB">
      <w:pPr>
        <w:autoSpaceDE w:val="0"/>
        <w:autoSpaceDN w:val="0"/>
        <w:adjustRightInd w:val="0"/>
        <w:snapToGrid w:val="0"/>
        <w:spacing w:line="360" w:lineRule="auto"/>
        <w:ind w:firstLineChars="200" w:firstLine="480"/>
        <w:rPr>
          <w:rFonts w:asciiTheme="minorEastAsia" w:hAnsiTheme="minorEastAsia" w:cs="Arial"/>
          <w:sz w:val="24"/>
          <w:szCs w:val="24"/>
        </w:rPr>
      </w:pPr>
      <w:r w:rsidRPr="00AD29FB">
        <w:rPr>
          <w:rFonts w:asciiTheme="minorEastAsia" w:hAnsiTheme="minorEastAsia" w:cs="Arial" w:hint="eastAsia"/>
          <w:sz w:val="24"/>
          <w:szCs w:val="24"/>
        </w:rPr>
        <w:t>1）科创板证券：上市时间超过一年。</w:t>
      </w:r>
    </w:p>
    <w:p w14:paraId="47B87F5F" w14:textId="77777777" w:rsidR="00AD29FB" w:rsidRPr="00AD29FB" w:rsidRDefault="00AD29FB" w:rsidP="00AD29FB">
      <w:pPr>
        <w:autoSpaceDE w:val="0"/>
        <w:autoSpaceDN w:val="0"/>
        <w:adjustRightInd w:val="0"/>
        <w:snapToGrid w:val="0"/>
        <w:spacing w:line="360" w:lineRule="auto"/>
        <w:ind w:firstLineChars="200" w:firstLine="480"/>
        <w:rPr>
          <w:rFonts w:asciiTheme="minorEastAsia" w:hAnsiTheme="minorEastAsia" w:cs="Arial"/>
          <w:sz w:val="24"/>
          <w:szCs w:val="24"/>
        </w:rPr>
      </w:pPr>
      <w:r w:rsidRPr="00AD29FB">
        <w:rPr>
          <w:rFonts w:asciiTheme="minorEastAsia" w:hAnsiTheme="minorEastAsia" w:cs="Arial" w:hint="eastAsia"/>
          <w:sz w:val="24"/>
          <w:szCs w:val="24"/>
        </w:rPr>
        <w:t>2）创业板证券：上市时间超过三年。</w:t>
      </w:r>
    </w:p>
    <w:p w14:paraId="0BFB377B" w14:textId="77777777" w:rsidR="00AD29FB" w:rsidRPr="00AD29FB" w:rsidRDefault="00AD29FB" w:rsidP="00AD29FB">
      <w:pPr>
        <w:autoSpaceDE w:val="0"/>
        <w:autoSpaceDN w:val="0"/>
        <w:adjustRightInd w:val="0"/>
        <w:snapToGrid w:val="0"/>
        <w:spacing w:line="360" w:lineRule="auto"/>
        <w:ind w:firstLineChars="200" w:firstLine="480"/>
        <w:rPr>
          <w:rFonts w:asciiTheme="minorEastAsia" w:hAnsiTheme="minorEastAsia" w:cs="Arial"/>
          <w:sz w:val="24"/>
          <w:szCs w:val="24"/>
        </w:rPr>
      </w:pPr>
      <w:r w:rsidRPr="00AD29FB">
        <w:rPr>
          <w:rFonts w:asciiTheme="minorEastAsia" w:hAnsiTheme="minorEastAsia" w:cs="Arial" w:hint="eastAsia"/>
          <w:sz w:val="24"/>
          <w:szCs w:val="24"/>
        </w:rPr>
        <w:t>3）其他证券：上市时间超过一个季度，除非该证券自上市以来日均总市值排在前 30 位。</w:t>
      </w:r>
    </w:p>
    <w:p w14:paraId="3F8C269A" w14:textId="6F327025" w:rsidR="00AD29FB" w:rsidRDefault="00AD29FB" w:rsidP="00AD29FB">
      <w:pPr>
        <w:autoSpaceDE w:val="0"/>
        <w:autoSpaceDN w:val="0"/>
        <w:adjustRightInd w:val="0"/>
        <w:snapToGrid w:val="0"/>
        <w:spacing w:line="360" w:lineRule="auto"/>
        <w:ind w:firstLineChars="200" w:firstLine="480"/>
        <w:rPr>
          <w:rFonts w:asciiTheme="minorEastAsia" w:hAnsiTheme="minorEastAsia" w:cs="Arial"/>
          <w:sz w:val="24"/>
          <w:szCs w:val="24"/>
        </w:rPr>
      </w:pPr>
      <w:r w:rsidRPr="00AD29FB">
        <w:rPr>
          <w:rFonts w:asciiTheme="minorEastAsia" w:hAnsiTheme="minorEastAsia" w:cs="Arial" w:hint="eastAsia"/>
          <w:sz w:val="24"/>
          <w:szCs w:val="24"/>
        </w:rPr>
        <w:t>（2）选样方法</w:t>
      </w:r>
    </w:p>
    <w:p w14:paraId="7D053559" w14:textId="65FC538D" w:rsidR="004E2641" w:rsidRPr="004E2641" w:rsidRDefault="004E2641" w:rsidP="00AD29FB">
      <w:pPr>
        <w:autoSpaceDE w:val="0"/>
        <w:autoSpaceDN w:val="0"/>
        <w:adjustRightInd w:val="0"/>
        <w:snapToGrid w:val="0"/>
        <w:spacing w:line="360" w:lineRule="auto"/>
        <w:ind w:firstLineChars="200" w:firstLine="480"/>
        <w:rPr>
          <w:rFonts w:asciiTheme="minorEastAsia" w:hAnsiTheme="minorEastAsia" w:cs="Arial"/>
          <w:sz w:val="24"/>
          <w:szCs w:val="24"/>
        </w:rPr>
      </w:pPr>
      <w:r w:rsidRPr="00C01BEB">
        <w:rPr>
          <w:rFonts w:asciiTheme="minorEastAsia" w:hAnsiTheme="minorEastAsia" w:cs="Arial" w:hint="eastAsia"/>
          <w:sz w:val="24"/>
          <w:szCs w:val="24"/>
        </w:rPr>
        <w:t>沪深300指数样本是按照以下方法选择经营状况良好、无违</w:t>
      </w:r>
      <w:r>
        <w:rPr>
          <w:rFonts w:asciiTheme="minorEastAsia" w:hAnsiTheme="minorEastAsia" w:cs="Arial" w:hint="eastAsia"/>
          <w:sz w:val="24"/>
          <w:szCs w:val="24"/>
        </w:rPr>
        <w:t>法违</w:t>
      </w:r>
      <w:r w:rsidRPr="00C01BEB">
        <w:rPr>
          <w:rFonts w:asciiTheme="minorEastAsia" w:hAnsiTheme="minorEastAsia" w:cs="Arial" w:hint="eastAsia"/>
          <w:sz w:val="24"/>
          <w:szCs w:val="24"/>
        </w:rPr>
        <w:t>规事件、财务报告无重大问题</w:t>
      </w:r>
      <w:r>
        <w:rPr>
          <w:rFonts w:asciiTheme="minorEastAsia" w:hAnsiTheme="minorEastAsia" w:cs="Arial" w:hint="eastAsia"/>
          <w:sz w:val="24"/>
          <w:szCs w:val="24"/>
        </w:rPr>
        <w:t>、</w:t>
      </w:r>
      <w:r w:rsidRPr="00C01BEB">
        <w:rPr>
          <w:rFonts w:asciiTheme="minorEastAsia" w:hAnsiTheme="minorEastAsia" w:cs="Arial" w:hint="eastAsia"/>
          <w:sz w:val="24"/>
          <w:szCs w:val="24"/>
        </w:rPr>
        <w:t>证券价格</w:t>
      </w:r>
      <w:r>
        <w:rPr>
          <w:rFonts w:asciiTheme="minorEastAsia" w:hAnsiTheme="minorEastAsia" w:cs="Arial" w:hint="eastAsia"/>
          <w:sz w:val="24"/>
          <w:szCs w:val="24"/>
        </w:rPr>
        <w:t>无</w:t>
      </w:r>
      <w:r w:rsidRPr="00C01BEB">
        <w:rPr>
          <w:rFonts w:asciiTheme="minorEastAsia" w:hAnsiTheme="minorEastAsia" w:cs="Arial" w:hint="eastAsia"/>
          <w:sz w:val="24"/>
          <w:szCs w:val="24"/>
        </w:rPr>
        <w:t>明显异常波动或市场操纵的</w:t>
      </w:r>
      <w:r>
        <w:rPr>
          <w:rFonts w:asciiTheme="minorEastAsia" w:hAnsiTheme="minorEastAsia" w:cs="Arial" w:hint="eastAsia"/>
          <w:sz w:val="24"/>
          <w:szCs w:val="24"/>
        </w:rPr>
        <w:t>公司：</w:t>
      </w:r>
    </w:p>
    <w:p w14:paraId="7EB1AF45" w14:textId="77777777" w:rsidR="00AD29FB" w:rsidRPr="00AD29FB" w:rsidRDefault="00AD29FB" w:rsidP="00AD29FB">
      <w:pPr>
        <w:autoSpaceDE w:val="0"/>
        <w:autoSpaceDN w:val="0"/>
        <w:adjustRightInd w:val="0"/>
        <w:snapToGrid w:val="0"/>
        <w:spacing w:line="360" w:lineRule="auto"/>
        <w:ind w:firstLineChars="200" w:firstLine="480"/>
        <w:rPr>
          <w:rFonts w:asciiTheme="minorEastAsia" w:hAnsiTheme="minorEastAsia" w:cs="Arial"/>
          <w:sz w:val="24"/>
          <w:szCs w:val="24"/>
        </w:rPr>
      </w:pPr>
      <w:r w:rsidRPr="00AD29FB">
        <w:rPr>
          <w:rFonts w:asciiTheme="minorEastAsia" w:hAnsiTheme="minorEastAsia" w:cs="Arial" w:hint="eastAsia"/>
          <w:sz w:val="24"/>
          <w:szCs w:val="24"/>
        </w:rPr>
        <w:t>1）对样本空间内证券按照过去一年的日均成交金额由高到低排名，剔除排</w:t>
      </w:r>
      <w:r w:rsidRPr="00AD29FB">
        <w:rPr>
          <w:rFonts w:asciiTheme="minorEastAsia" w:hAnsiTheme="minorEastAsia" w:cs="Arial" w:hint="eastAsia"/>
          <w:sz w:val="24"/>
          <w:szCs w:val="24"/>
        </w:rPr>
        <w:lastRenderedPageBreak/>
        <w:t>名后 50%的证券；</w:t>
      </w:r>
    </w:p>
    <w:p w14:paraId="3DE13A0F" w14:textId="2E262A16" w:rsidR="003568C2" w:rsidRDefault="00AD29FB" w:rsidP="00AD29FB">
      <w:pPr>
        <w:autoSpaceDE w:val="0"/>
        <w:autoSpaceDN w:val="0"/>
        <w:adjustRightInd w:val="0"/>
        <w:snapToGrid w:val="0"/>
        <w:spacing w:line="360" w:lineRule="auto"/>
        <w:ind w:firstLineChars="200" w:firstLine="480"/>
        <w:rPr>
          <w:rFonts w:asciiTheme="minorEastAsia" w:hAnsiTheme="minorEastAsia" w:cs="Arial"/>
          <w:sz w:val="24"/>
          <w:szCs w:val="24"/>
        </w:rPr>
      </w:pPr>
      <w:r w:rsidRPr="00AD29FB">
        <w:rPr>
          <w:rFonts w:asciiTheme="minorEastAsia" w:hAnsiTheme="minorEastAsia" w:cs="Arial" w:hint="eastAsia"/>
          <w:sz w:val="24"/>
          <w:szCs w:val="24"/>
        </w:rPr>
        <w:t>2）对样本空间内剩余证券，按照过去一年的日均总市值由高到低排名，选取前 300 名的证券作为指数样本。</w:t>
      </w:r>
    </w:p>
    <w:p w14:paraId="047D1929" w14:textId="77777777" w:rsidR="003568C2" w:rsidRDefault="00695B0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有关标的指数具体编制方案及成分股信息详见中证指数有限公司网站， 网址：www.csindex.com.cn。</w:t>
      </w:r>
    </w:p>
    <w:p w14:paraId="4E3AE6DA" w14:textId="77777777" w:rsidR="003568C2" w:rsidRDefault="00695B0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投资于证券市场，基金净值会因为证券市场波动等因素产生波动，投资者根据所持有的基金份额享受基金收益，同时承担相应的投资风险。本基金投资中的风险包括：市场风险、管理风险、职业道德风险、流动性风险、合规性风险、本基金特定投资策略带来的风险及其他风险等。本基金属于股票型基金，其预期的风险和收益高于货币市场基金、债券型基金及混合型基金，属于证券投资基金中中高等风险、中高等预期收益的品种。本基金为指数基金，主要采用指数复制法跟踪标的指数的表现，具有与标的指数、以及标的指数所代表的股票市场相似的风险收益特征。</w:t>
      </w:r>
    </w:p>
    <w:p w14:paraId="44B7126F" w14:textId="77777777" w:rsidR="003568C2" w:rsidRDefault="00695B0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本基金为指数基金，投资者投资于本基金面临跟踪误差控制未达约定目标、指数编制机构停止服务、成份券停牌等潜在风险，详见招募说明书“风险揭示”章节。</w:t>
      </w:r>
    </w:p>
    <w:p w14:paraId="3E4B12FA" w14:textId="77777777" w:rsidR="003568C2" w:rsidRDefault="00695B0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可投资中小企业私募债券，其发行人是非上市中小微企业，发行方式为面向特定对象的私募发行。当基金所投资的中小企业私募债券之债务人出现违约，或在交易过程中发生交收违约，或由于中小企业私募债券信用质量降低导致价格下降等，可能造成基金财产损失。中小企业私募债券较传统企业债的信用风险及流动性风险更大，从而增加了本基金整体的债券投资风险。</w:t>
      </w:r>
    </w:p>
    <w:p w14:paraId="6123D4D0" w14:textId="77777777" w:rsidR="003568C2" w:rsidRDefault="00695B0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本基金的投资范围包括存托凭证，若投资，可能面临存托凭证价格大幅波动甚至出现较大亏损的风险，以及与存托凭证发行机制相关的风险。</w:t>
      </w:r>
    </w:p>
    <w:p w14:paraId="36A82128" w14:textId="77777777" w:rsidR="003568C2" w:rsidRDefault="00695B0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有风险，投资人申购基金时应认真阅读基金合同、本招募说明书等信息披露文件，自主判断基金的投资价值，自主做出投资决策，自行承担投资风险。基金的过往业绩并不预示其未来表现。基金管理人管理的其他基金的业绩并不构成新基金业绩表现的保证。</w:t>
      </w:r>
    </w:p>
    <w:p w14:paraId="6B0CBD17" w14:textId="77777777" w:rsidR="003568C2" w:rsidRDefault="00695B0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基金管理人依照恪尽职守、诚实信用、谨慎勤勉的原则管理和运用基金财产，但不保证基金一定盈利，也不保证最低收益。基金管理人提醒投资者基金投资的</w:t>
      </w:r>
      <w:r>
        <w:rPr>
          <w:rFonts w:asciiTheme="minorEastAsia" w:hAnsiTheme="minorEastAsia" w:cs="Arial"/>
          <w:sz w:val="24"/>
          <w:szCs w:val="24"/>
        </w:rPr>
        <w:lastRenderedPageBreak/>
        <w:t>“</w:t>
      </w:r>
      <w:r>
        <w:rPr>
          <w:rFonts w:asciiTheme="minorEastAsia" w:hAnsiTheme="minorEastAsia" w:cs="Arial" w:hint="eastAsia"/>
          <w:sz w:val="24"/>
          <w:szCs w:val="24"/>
        </w:rPr>
        <w:t>买者自负</w:t>
      </w:r>
      <w:r>
        <w:rPr>
          <w:rFonts w:asciiTheme="minorEastAsia" w:hAnsiTheme="minorEastAsia" w:cs="Arial"/>
          <w:sz w:val="24"/>
          <w:szCs w:val="24"/>
        </w:rPr>
        <w:t>”</w:t>
      </w:r>
      <w:r>
        <w:rPr>
          <w:rFonts w:asciiTheme="minorEastAsia" w:hAnsiTheme="minorEastAsia" w:cs="Arial" w:hint="eastAsia"/>
          <w:sz w:val="24"/>
          <w:szCs w:val="24"/>
        </w:rPr>
        <w:t>原则，在作出投资决策后，基金运营状况与基金净值变化引致的投资风险，由投资者自行承担。</w:t>
      </w:r>
      <w:bookmarkStart w:id="14" w:name="_Toc6306"/>
      <w:bookmarkStart w:id="15" w:name="_Toc23386"/>
      <w:bookmarkStart w:id="16" w:name="_Toc30935"/>
      <w:bookmarkStart w:id="17" w:name="_Toc15517"/>
      <w:bookmarkStart w:id="18" w:name="_Toc8727"/>
      <w:bookmarkStart w:id="19" w:name="_Toc123701389"/>
      <w:bookmarkStart w:id="20" w:name="_Toc32639"/>
      <w:bookmarkStart w:id="21" w:name="_Toc26897"/>
      <w:bookmarkStart w:id="22" w:name="_Toc123112268"/>
      <w:bookmarkStart w:id="23" w:name="_Toc352229746"/>
      <w:bookmarkStart w:id="24" w:name="_Toc141703880"/>
      <w:bookmarkStart w:id="25" w:name="_Toc123112229"/>
      <w:bookmarkStart w:id="26" w:name="_Toc4867"/>
      <w:bookmarkStart w:id="27" w:name="_Toc4966"/>
      <w:bookmarkStart w:id="28" w:name="_Toc29629"/>
      <w:bookmarkStart w:id="29" w:name="_Toc139991730"/>
      <w:bookmarkStart w:id="30" w:name="_Toc11660"/>
      <w:bookmarkStart w:id="31" w:name="_Toc233456271"/>
      <w:bookmarkEnd w:id="0"/>
      <w:bookmarkEnd w:id="1"/>
      <w:bookmarkEnd w:id="2"/>
      <w:bookmarkEnd w:id="3"/>
    </w:p>
    <w:p w14:paraId="41A6FB4F" w14:textId="7AC9B91B" w:rsidR="00295DB8" w:rsidRPr="00295DB8" w:rsidRDefault="00691BD4" w:rsidP="00FD6888">
      <w:pPr>
        <w:autoSpaceDE w:val="0"/>
        <w:autoSpaceDN w:val="0"/>
        <w:adjustRightInd w:val="0"/>
        <w:snapToGrid w:val="0"/>
        <w:spacing w:line="360" w:lineRule="auto"/>
        <w:ind w:firstLineChars="200" w:firstLine="482"/>
        <w:rPr>
          <w:rFonts w:asciiTheme="minorEastAsia" w:hAnsiTheme="minorEastAsia" w:cs="Arial"/>
          <w:sz w:val="24"/>
          <w:szCs w:val="24"/>
        </w:rPr>
      </w:pPr>
      <w:r w:rsidRPr="00FD6888">
        <w:rPr>
          <w:rFonts w:asciiTheme="minorEastAsia" w:hAnsiTheme="minorEastAsia" w:cs="Arial" w:hint="eastAsia"/>
          <w:b/>
          <w:bCs/>
          <w:sz w:val="24"/>
          <w:szCs w:val="24"/>
        </w:rPr>
        <w:t>本次招募说明书仅对本基金基金经理变更的内容进行更新</w:t>
      </w:r>
      <w:r w:rsidRPr="00691BD4">
        <w:rPr>
          <w:rFonts w:asciiTheme="minorEastAsia" w:hAnsiTheme="minorEastAsia" w:cs="Arial" w:hint="eastAsia"/>
          <w:sz w:val="24"/>
          <w:szCs w:val="24"/>
        </w:rPr>
        <w:t>，</w:t>
      </w:r>
      <w:r w:rsidR="00295DB8" w:rsidRPr="00295DB8">
        <w:rPr>
          <w:rFonts w:asciiTheme="minorEastAsia" w:hAnsiTheme="minorEastAsia" w:cs="Arial" w:hint="eastAsia"/>
          <w:sz w:val="24"/>
          <w:szCs w:val="24"/>
        </w:rPr>
        <w:t>本招募说明书</w:t>
      </w:r>
      <w:r>
        <w:rPr>
          <w:rFonts w:asciiTheme="minorEastAsia" w:hAnsiTheme="minorEastAsia" w:cs="Arial" w:hint="eastAsia"/>
          <w:sz w:val="24"/>
          <w:szCs w:val="24"/>
        </w:rPr>
        <w:t>其他</w:t>
      </w:r>
      <w:r w:rsidR="00295DB8" w:rsidRPr="00295DB8">
        <w:rPr>
          <w:rFonts w:asciiTheme="minorEastAsia" w:hAnsiTheme="minorEastAsia" w:cs="Arial" w:hint="eastAsia"/>
          <w:sz w:val="24"/>
          <w:szCs w:val="24"/>
        </w:rPr>
        <w:t>所载内容截止日为2021年6月30日，有关财务数据截止日为2021年6月30日，净值表现截止日为2021年6月30日。（财务数据未经审计）。</w:t>
      </w:r>
    </w:p>
    <w:p w14:paraId="5832330A" w14:textId="1C956B23" w:rsidR="003568C2" w:rsidRDefault="00695B0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br w:type="page"/>
      </w:r>
    </w:p>
    <w:p w14:paraId="6C03FA7B" w14:textId="24ADA986" w:rsidR="003568C2" w:rsidRPr="006873BF" w:rsidRDefault="00695B03" w:rsidP="006873BF">
      <w:pPr>
        <w:pStyle w:val="1"/>
        <w:ind w:firstLine="602"/>
        <w:jc w:val="center"/>
        <w:rPr>
          <w:noProof/>
          <w:sz w:val="30"/>
          <w:szCs w:val="30"/>
        </w:rPr>
      </w:pPr>
      <w:bookmarkStart w:id="32" w:name="_Toc15892913"/>
      <w:r>
        <w:rPr>
          <w:sz w:val="30"/>
          <w:szCs w:val="30"/>
        </w:rPr>
        <w:lastRenderedPageBreak/>
        <w:t>目    录</w:t>
      </w:r>
      <w:bookmarkEnd w:id="32"/>
      <w:r>
        <w:rPr>
          <w:rFonts w:ascii="Times New Roman"/>
          <w:bCs/>
        </w:rPr>
        <w:fldChar w:fldCharType="begin"/>
      </w:r>
      <w:r>
        <w:rPr>
          <w:bCs/>
        </w:rPr>
        <w:instrText xml:space="preserve"> TOC \o "1-1" \h \z \u </w:instrText>
      </w:r>
      <w:r>
        <w:rPr>
          <w:rFonts w:ascii="Times New Roman"/>
          <w:bCs/>
        </w:rPr>
        <w:fldChar w:fldCharType="separate"/>
      </w:r>
    </w:p>
    <w:p w14:paraId="6FAD34AC" w14:textId="02672009" w:rsidR="003568C2" w:rsidRDefault="00000000">
      <w:pPr>
        <w:pStyle w:val="TOC1"/>
        <w:rPr>
          <w:rFonts w:asciiTheme="minorHAnsi" w:eastAsiaTheme="minorEastAsia" w:hAnsiTheme="minorHAnsi" w:cstheme="minorBidi"/>
          <w:noProof/>
          <w:szCs w:val="22"/>
        </w:rPr>
      </w:pPr>
      <w:hyperlink w:anchor="_Toc15892914" w:history="1">
        <w:r w:rsidR="00695B03">
          <w:rPr>
            <w:rStyle w:val="afa"/>
            <w:noProof/>
          </w:rPr>
          <w:t>第一部分</w:t>
        </w:r>
        <w:r w:rsidR="00695B03">
          <w:rPr>
            <w:rStyle w:val="afa"/>
            <w:noProof/>
          </w:rPr>
          <w:t xml:space="preserve">  </w:t>
        </w:r>
        <w:r w:rsidR="00695B03">
          <w:rPr>
            <w:rStyle w:val="afa"/>
            <w:noProof/>
          </w:rPr>
          <w:t>绪言</w:t>
        </w:r>
        <w:r w:rsidR="00695B03">
          <w:rPr>
            <w:noProof/>
          </w:rPr>
          <w:tab/>
        </w:r>
        <w:r w:rsidR="00695B03">
          <w:rPr>
            <w:noProof/>
          </w:rPr>
          <w:fldChar w:fldCharType="begin"/>
        </w:r>
        <w:r w:rsidR="00695B03">
          <w:rPr>
            <w:noProof/>
          </w:rPr>
          <w:instrText xml:space="preserve"> PAGEREF _Toc15892914 \h </w:instrText>
        </w:r>
        <w:r w:rsidR="00695B03">
          <w:rPr>
            <w:noProof/>
          </w:rPr>
        </w:r>
        <w:r w:rsidR="00695B03">
          <w:rPr>
            <w:noProof/>
          </w:rPr>
          <w:fldChar w:fldCharType="separate"/>
        </w:r>
        <w:r w:rsidR="00035E7D">
          <w:rPr>
            <w:noProof/>
          </w:rPr>
          <w:t>5</w:t>
        </w:r>
        <w:r w:rsidR="00695B03">
          <w:rPr>
            <w:noProof/>
          </w:rPr>
          <w:fldChar w:fldCharType="end"/>
        </w:r>
      </w:hyperlink>
    </w:p>
    <w:p w14:paraId="62CA8B37" w14:textId="3D9CFAE3" w:rsidR="003568C2" w:rsidRDefault="00000000">
      <w:pPr>
        <w:pStyle w:val="TOC1"/>
        <w:rPr>
          <w:rFonts w:asciiTheme="minorHAnsi" w:eastAsiaTheme="minorEastAsia" w:hAnsiTheme="minorHAnsi" w:cstheme="minorBidi"/>
          <w:noProof/>
          <w:szCs w:val="22"/>
        </w:rPr>
      </w:pPr>
      <w:hyperlink w:anchor="_Toc15892915" w:history="1">
        <w:r w:rsidR="00695B03">
          <w:rPr>
            <w:rStyle w:val="afa"/>
            <w:noProof/>
          </w:rPr>
          <w:t>第二部分</w:t>
        </w:r>
        <w:r w:rsidR="00695B03">
          <w:rPr>
            <w:rStyle w:val="afa"/>
            <w:noProof/>
          </w:rPr>
          <w:t xml:space="preserve">  </w:t>
        </w:r>
        <w:r w:rsidR="00695B03">
          <w:rPr>
            <w:rStyle w:val="afa"/>
            <w:noProof/>
          </w:rPr>
          <w:t>释义</w:t>
        </w:r>
        <w:r w:rsidR="00695B03">
          <w:rPr>
            <w:noProof/>
          </w:rPr>
          <w:tab/>
        </w:r>
        <w:r w:rsidR="00695B03">
          <w:rPr>
            <w:noProof/>
          </w:rPr>
          <w:fldChar w:fldCharType="begin"/>
        </w:r>
        <w:r w:rsidR="00695B03">
          <w:rPr>
            <w:noProof/>
          </w:rPr>
          <w:instrText xml:space="preserve"> PAGEREF _Toc15892915 \h </w:instrText>
        </w:r>
        <w:r w:rsidR="00695B03">
          <w:rPr>
            <w:noProof/>
          </w:rPr>
        </w:r>
        <w:r w:rsidR="00695B03">
          <w:rPr>
            <w:noProof/>
          </w:rPr>
          <w:fldChar w:fldCharType="separate"/>
        </w:r>
        <w:r w:rsidR="00035E7D">
          <w:rPr>
            <w:noProof/>
          </w:rPr>
          <w:t>6</w:t>
        </w:r>
        <w:r w:rsidR="00695B03">
          <w:rPr>
            <w:noProof/>
          </w:rPr>
          <w:fldChar w:fldCharType="end"/>
        </w:r>
      </w:hyperlink>
    </w:p>
    <w:p w14:paraId="0F4BAA01" w14:textId="075AA88B" w:rsidR="003568C2" w:rsidRDefault="00000000">
      <w:pPr>
        <w:pStyle w:val="TOC1"/>
        <w:rPr>
          <w:rFonts w:asciiTheme="minorHAnsi" w:eastAsiaTheme="minorEastAsia" w:hAnsiTheme="minorHAnsi" w:cstheme="minorBidi"/>
          <w:noProof/>
          <w:szCs w:val="22"/>
        </w:rPr>
      </w:pPr>
      <w:hyperlink w:anchor="_Toc15892916" w:history="1">
        <w:r w:rsidR="00695B03">
          <w:rPr>
            <w:rStyle w:val="afa"/>
            <w:noProof/>
          </w:rPr>
          <w:t>第三部分</w:t>
        </w:r>
        <w:r w:rsidR="00695B03">
          <w:rPr>
            <w:rStyle w:val="afa"/>
            <w:noProof/>
          </w:rPr>
          <w:t xml:space="preserve">  </w:t>
        </w:r>
        <w:r w:rsidR="00695B03">
          <w:rPr>
            <w:rStyle w:val="afa"/>
            <w:noProof/>
          </w:rPr>
          <w:t>基金管理人</w:t>
        </w:r>
        <w:r w:rsidR="00695B03">
          <w:rPr>
            <w:noProof/>
          </w:rPr>
          <w:tab/>
        </w:r>
        <w:r w:rsidR="00695B03">
          <w:rPr>
            <w:noProof/>
          </w:rPr>
          <w:fldChar w:fldCharType="begin"/>
        </w:r>
        <w:r w:rsidR="00695B03">
          <w:rPr>
            <w:noProof/>
          </w:rPr>
          <w:instrText xml:space="preserve"> PAGEREF _Toc15892916 \h </w:instrText>
        </w:r>
        <w:r w:rsidR="00695B03">
          <w:rPr>
            <w:noProof/>
          </w:rPr>
        </w:r>
        <w:r w:rsidR="00695B03">
          <w:rPr>
            <w:noProof/>
          </w:rPr>
          <w:fldChar w:fldCharType="separate"/>
        </w:r>
        <w:r w:rsidR="00035E7D">
          <w:rPr>
            <w:noProof/>
          </w:rPr>
          <w:t>11</w:t>
        </w:r>
        <w:r w:rsidR="00695B03">
          <w:rPr>
            <w:noProof/>
          </w:rPr>
          <w:fldChar w:fldCharType="end"/>
        </w:r>
      </w:hyperlink>
    </w:p>
    <w:p w14:paraId="64C5A6DA" w14:textId="37D8C972" w:rsidR="003568C2" w:rsidRDefault="00000000">
      <w:pPr>
        <w:pStyle w:val="TOC1"/>
        <w:rPr>
          <w:rFonts w:asciiTheme="minorHAnsi" w:eastAsiaTheme="minorEastAsia" w:hAnsiTheme="minorHAnsi" w:cstheme="minorBidi"/>
          <w:noProof/>
          <w:szCs w:val="22"/>
        </w:rPr>
      </w:pPr>
      <w:hyperlink w:anchor="_Toc15892917" w:history="1">
        <w:r w:rsidR="00695B03">
          <w:rPr>
            <w:rStyle w:val="afa"/>
            <w:noProof/>
          </w:rPr>
          <w:t>第四部分</w:t>
        </w:r>
        <w:r w:rsidR="00695B03">
          <w:rPr>
            <w:rStyle w:val="afa"/>
            <w:noProof/>
          </w:rPr>
          <w:t xml:space="preserve">  </w:t>
        </w:r>
        <w:r w:rsidR="00695B03">
          <w:rPr>
            <w:rStyle w:val="afa"/>
            <w:noProof/>
          </w:rPr>
          <w:t>基金托管人</w:t>
        </w:r>
        <w:r w:rsidR="00695B03">
          <w:rPr>
            <w:noProof/>
          </w:rPr>
          <w:tab/>
        </w:r>
        <w:r w:rsidR="00695B03">
          <w:rPr>
            <w:noProof/>
          </w:rPr>
          <w:fldChar w:fldCharType="begin"/>
        </w:r>
        <w:r w:rsidR="00695B03">
          <w:rPr>
            <w:noProof/>
          </w:rPr>
          <w:instrText xml:space="preserve"> PAGEREF _Toc15892917 \h </w:instrText>
        </w:r>
        <w:r w:rsidR="00695B03">
          <w:rPr>
            <w:noProof/>
          </w:rPr>
        </w:r>
        <w:r w:rsidR="00695B03">
          <w:rPr>
            <w:noProof/>
          </w:rPr>
          <w:fldChar w:fldCharType="separate"/>
        </w:r>
        <w:r w:rsidR="00035E7D">
          <w:rPr>
            <w:noProof/>
          </w:rPr>
          <w:t>22</w:t>
        </w:r>
        <w:r w:rsidR="00695B03">
          <w:rPr>
            <w:noProof/>
          </w:rPr>
          <w:fldChar w:fldCharType="end"/>
        </w:r>
      </w:hyperlink>
    </w:p>
    <w:p w14:paraId="0D9EE5C5" w14:textId="1E12A710" w:rsidR="003568C2" w:rsidRDefault="00000000">
      <w:pPr>
        <w:pStyle w:val="TOC1"/>
        <w:rPr>
          <w:rFonts w:asciiTheme="minorHAnsi" w:eastAsiaTheme="minorEastAsia" w:hAnsiTheme="minorHAnsi" w:cstheme="minorBidi"/>
          <w:noProof/>
          <w:szCs w:val="22"/>
        </w:rPr>
      </w:pPr>
      <w:hyperlink w:anchor="_Toc15892918" w:history="1">
        <w:r w:rsidR="00695B03">
          <w:rPr>
            <w:rStyle w:val="afa"/>
            <w:noProof/>
          </w:rPr>
          <w:t>第五部分</w:t>
        </w:r>
        <w:r w:rsidR="00695B03">
          <w:rPr>
            <w:rStyle w:val="afa"/>
            <w:noProof/>
          </w:rPr>
          <w:t xml:space="preserve">  </w:t>
        </w:r>
        <w:r w:rsidR="00695B03">
          <w:rPr>
            <w:rStyle w:val="afa"/>
            <w:noProof/>
          </w:rPr>
          <w:t>相关服务机构</w:t>
        </w:r>
        <w:r w:rsidR="00695B03">
          <w:rPr>
            <w:noProof/>
          </w:rPr>
          <w:tab/>
        </w:r>
        <w:r w:rsidR="00695B03">
          <w:rPr>
            <w:noProof/>
          </w:rPr>
          <w:fldChar w:fldCharType="begin"/>
        </w:r>
        <w:r w:rsidR="00695B03">
          <w:rPr>
            <w:noProof/>
          </w:rPr>
          <w:instrText xml:space="preserve"> PAGEREF _Toc15892918 \h </w:instrText>
        </w:r>
        <w:r w:rsidR="00695B03">
          <w:rPr>
            <w:noProof/>
          </w:rPr>
        </w:r>
        <w:r w:rsidR="00695B03">
          <w:rPr>
            <w:noProof/>
          </w:rPr>
          <w:fldChar w:fldCharType="separate"/>
        </w:r>
        <w:r w:rsidR="00035E7D">
          <w:rPr>
            <w:noProof/>
          </w:rPr>
          <w:t>28</w:t>
        </w:r>
        <w:r w:rsidR="00695B03">
          <w:rPr>
            <w:noProof/>
          </w:rPr>
          <w:fldChar w:fldCharType="end"/>
        </w:r>
      </w:hyperlink>
    </w:p>
    <w:p w14:paraId="23E1719D" w14:textId="25206EB7" w:rsidR="003568C2" w:rsidRDefault="00000000">
      <w:pPr>
        <w:pStyle w:val="TOC1"/>
        <w:rPr>
          <w:rFonts w:asciiTheme="minorHAnsi" w:eastAsiaTheme="minorEastAsia" w:hAnsiTheme="minorHAnsi" w:cstheme="minorBidi"/>
          <w:noProof/>
          <w:szCs w:val="22"/>
        </w:rPr>
      </w:pPr>
      <w:hyperlink w:anchor="_Toc15892919" w:history="1">
        <w:r w:rsidR="00695B03">
          <w:rPr>
            <w:rStyle w:val="afa"/>
            <w:noProof/>
          </w:rPr>
          <w:t>第六部分</w:t>
        </w:r>
        <w:r w:rsidR="00695B03">
          <w:rPr>
            <w:rStyle w:val="afa"/>
            <w:noProof/>
          </w:rPr>
          <w:t xml:space="preserve">  </w:t>
        </w:r>
        <w:r w:rsidR="00695B03">
          <w:rPr>
            <w:rStyle w:val="afa"/>
            <w:noProof/>
          </w:rPr>
          <w:t>基金的历史沿革</w:t>
        </w:r>
        <w:r w:rsidR="00695B03">
          <w:rPr>
            <w:noProof/>
          </w:rPr>
          <w:tab/>
        </w:r>
        <w:r w:rsidR="00695B03">
          <w:rPr>
            <w:noProof/>
          </w:rPr>
          <w:fldChar w:fldCharType="begin"/>
        </w:r>
        <w:r w:rsidR="00695B03">
          <w:rPr>
            <w:noProof/>
          </w:rPr>
          <w:instrText xml:space="preserve"> PAGEREF _Toc15892919 \h </w:instrText>
        </w:r>
        <w:r w:rsidR="00695B03">
          <w:rPr>
            <w:noProof/>
          </w:rPr>
        </w:r>
        <w:r w:rsidR="00695B03">
          <w:rPr>
            <w:noProof/>
          </w:rPr>
          <w:fldChar w:fldCharType="separate"/>
        </w:r>
        <w:r w:rsidR="00035E7D">
          <w:rPr>
            <w:noProof/>
          </w:rPr>
          <w:t>36</w:t>
        </w:r>
        <w:r w:rsidR="00695B03">
          <w:rPr>
            <w:noProof/>
          </w:rPr>
          <w:fldChar w:fldCharType="end"/>
        </w:r>
      </w:hyperlink>
    </w:p>
    <w:p w14:paraId="1AD04C9C" w14:textId="5D4B36DD" w:rsidR="003568C2" w:rsidRDefault="00000000">
      <w:pPr>
        <w:pStyle w:val="TOC1"/>
        <w:rPr>
          <w:rFonts w:asciiTheme="minorHAnsi" w:eastAsiaTheme="minorEastAsia" w:hAnsiTheme="minorHAnsi" w:cstheme="minorBidi"/>
          <w:noProof/>
          <w:szCs w:val="22"/>
        </w:rPr>
      </w:pPr>
      <w:hyperlink w:anchor="_Toc15892920" w:history="1">
        <w:r w:rsidR="00695B03">
          <w:rPr>
            <w:rStyle w:val="afa"/>
            <w:noProof/>
          </w:rPr>
          <w:t>第七部分</w:t>
        </w:r>
        <w:r w:rsidR="00695B03">
          <w:rPr>
            <w:rStyle w:val="afa"/>
            <w:noProof/>
          </w:rPr>
          <w:t xml:space="preserve">  </w:t>
        </w:r>
        <w:r w:rsidR="00695B03">
          <w:rPr>
            <w:rStyle w:val="afa"/>
            <w:noProof/>
          </w:rPr>
          <w:t>基金的存续</w:t>
        </w:r>
        <w:r w:rsidR="00695B03">
          <w:rPr>
            <w:noProof/>
          </w:rPr>
          <w:tab/>
        </w:r>
        <w:r w:rsidR="00695B03">
          <w:rPr>
            <w:noProof/>
          </w:rPr>
          <w:fldChar w:fldCharType="begin"/>
        </w:r>
        <w:r w:rsidR="00695B03">
          <w:rPr>
            <w:noProof/>
          </w:rPr>
          <w:instrText xml:space="preserve"> PAGEREF _Toc15892920 \h </w:instrText>
        </w:r>
        <w:r w:rsidR="00695B03">
          <w:rPr>
            <w:noProof/>
          </w:rPr>
        </w:r>
        <w:r w:rsidR="00695B03">
          <w:rPr>
            <w:noProof/>
          </w:rPr>
          <w:fldChar w:fldCharType="separate"/>
        </w:r>
        <w:r w:rsidR="00035E7D">
          <w:rPr>
            <w:noProof/>
          </w:rPr>
          <w:t>37</w:t>
        </w:r>
        <w:r w:rsidR="00695B03">
          <w:rPr>
            <w:noProof/>
          </w:rPr>
          <w:fldChar w:fldCharType="end"/>
        </w:r>
      </w:hyperlink>
    </w:p>
    <w:p w14:paraId="4417B578" w14:textId="5604A914" w:rsidR="003568C2" w:rsidRDefault="00000000">
      <w:pPr>
        <w:pStyle w:val="TOC1"/>
        <w:rPr>
          <w:rFonts w:asciiTheme="minorHAnsi" w:eastAsiaTheme="minorEastAsia" w:hAnsiTheme="minorHAnsi" w:cstheme="minorBidi"/>
          <w:noProof/>
          <w:szCs w:val="22"/>
        </w:rPr>
      </w:pPr>
      <w:hyperlink w:anchor="_Toc15892921" w:history="1">
        <w:r w:rsidR="00695B03">
          <w:rPr>
            <w:rStyle w:val="afa"/>
            <w:noProof/>
          </w:rPr>
          <w:t>第八部分</w:t>
        </w:r>
        <w:r w:rsidR="00695B03">
          <w:rPr>
            <w:rStyle w:val="afa"/>
            <w:noProof/>
          </w:rPr>
          <w:t xml:space="preserve">  </w:t>
        </w:r>
        <w:r w:rsidR="00695B03">
          <w:rPr>
            <w:rStyle w:val="afa"/>
            <w:noProof/>
          </w:rPr>
          <w:t>基金份额的申购与赎回</w:t>
        </w:r>
        <w:r w:rsidR="00695B03">
          <w:rPr>
            <w:noProof/>
          </w:rPr>
          <w:tab/>
        </w:r>
        <w:r w:rsidR="00695B03">
          <w:rPr>
            <w:noProof/>
          </w:rPr>
          <w:fldChar w:fldCharType="begin"/>
        </w:r>
        <w:r w:rsidR="00695B03">
          <w:rPr>
            <w:noProof/>
          </w:rPr>
          <w:instrText xml:space="preserve"> PAGEREF _Toc15892921 \h </w:instrText>
        </w:r>
        <w:r w:rsidR="00695B03">
          <w:rPr>
            <w:noProof/>
          </w:rPr>
        </w:r>
        <w:r w:rsidR="00695B03">
          <w:rPr>
            <w:noProof/>
          </w:rPr>
          <w:fldChar w:fldCharType="separate"/>
        </w:r>
        <w:r w:rsidR="00035E7D">
          <w:rPr>
            <w:noProof/>
          </w:rPr>
          <w:t>38</w:t>
        </w:r>
        <w:r w:rsidR="00695B03">
          <w:rPr>
            <w:noProof/>
          </w:rPr>
          <w:fldChar w:fldCharType="end"/>
        </w:r>
      </w:hyperlink>
    </w:p>
    <w:p w14:paraId="5C998A4B" w14:textId="0F14336C" w:rsidR="003568C2" w:rsidRDefault="00000000">
      <w:pPr>
        <w:pStyle w:val="TOC1"/>
        <w:rPr>
          <w:rFonts w:asciiTheme="minorHAnsi" w:eastAsiaTheme="minorEastAsia" w:hAnsiTheme="minorHAnsi" w:cstheme="minorBidi"/>
          <w:noProof/>
          <w:szCs w:val="22"/>
        </w:rPr>
      </w:pPr>
      <w:hyperlink w:anchor="_Toc15892922" w:history="1">
        <w:r w:rsidR="00695B03">
          <w:rPr>
            <w:rStyle w:val="afa"/>
            <w:noProof/>
          </w:rPr>
          <w:t>第九部分</w:t>
        </w:r>
        <w:r w:rsidR="00695B03">
          <w:rPr>
            <w:rStyle w:val="afa"/>
            <w:noProof/>
          </w:rPr>
          <w:t xml:space="preserve">  </w:t>
        </w:r>
        <w:r w:rsidR="00695B03">
          <w:rPr>
            <w:rStyle w:val="afa"/>
            <w:noProof/>
          </w:rPr>
          <w:t>基金的投资</w:t>
        </w:r>
        <w:r w:rsidR="00695B03">
          <w:rPr>
            <w:noProof/>
          </w:rPr>
          <w:tab/>
        </w:r>
        <w:r w:rsidR="00695B03">
          <w:rPr>
            <w:noProof/>
          </w:rPr>
          <w:fldChar w:fldCharType="begin"/>
        </w:r>
        <w:r w:rsidR="00695B03">
          <w:rPr>
            <w:noProof/>
          </w:rPr>
          <w:instrText xml:space="preserve"> PAGEREF _Toc15892922 \h </w:instrText>
        </w:r>
        <w:r w:rsidR="00695B03">
          <w:rPr>
            <w:noProof/>
          </w:rPr>
        </w:r>
        <w:r w:rsidR="00695B03">
          <w:rPr>
            <w:noProof/>
          </w:rPr>
          <w:fldChar w:fldCharType="separate"/>
        </w:r>
        <w:r w:rsidR="00035E7D">
          <w:rPr>
            <w:noProof/>
          </w:rPr>
          <w:t>49</w:t>
        </w:r>
        <w:r w:rsidR="00695B03">
          <w:rPr>
            <w:noProof/>
          </w:rPr>
          <w:fldChar w:fldCharType="end"/>
        </w:r>
      </w:hyperlink>
    </w:p>
    <w:p w14:paraId="095B46F3" w14:textId="428C9374" w:rsidR="003568C2" w:rsidRDefault="00000000">
      <w:pPr>
        <w:pStyle w:val="TOC1"/>
        <w:rPr>
          <w:rFonts w:asciiTheme="minorHAnsi" w:eastAsiaTheme="minorEastAsia" w:hAnsiTheme="minorHAnsi" w:cstheme="minorBidi"/>
          <w:noProof/>
          <w:szCs w:val="22"/>
        </w:rPr>
      </w:pPr>
      <w:hyperlink w:anchor="_Toc15892923" w:history="1">
        <w:r w:rsidR="00695B03">
          <w:rPr>
            <w:rStyle w:val="afa"/>
            <w:noProof/>
          </w:rPr>
          <w:t>第十部分</w:t>
        </w:r>
        <w:r w:rsidR="00695B03">
          <w:rPr>
            <w:rStyle w:val="afa"/>
            <w:noProof/>
          </w:rPr>
          <w:t xml:space="preserve">  </w:t>
        </w:r>
        <w:r w:rsidR="00695B03">
          <w:rPr>
            <w:rStyle w:val="afa"/>
            <w:noProof/>
          </w:rPr>
          <w:t>基金的财产</w:t>
        </w:r>
        <w:r w:rsidR="00695B03">
          <w:rPr>
            <w:noProof/>
          </w:rPr>
          <w:tab/>
        </w:r>
        <w:r w:rsidR="00695B03">
          <w:rPr>
            <w:noProof/>
          </w:rPr>
          <w:fldChar w:fldCharType="begin"/>
        </w:r>
        <w:r w:rsidR="00695B03">
          <w:rPr>
            <w:noProof/>
          </w:rPr>
          <w:instrText xml:space="preserve"> PAGEREF _Toc15892923 \h </w:instrText>
        </w:r>
        <w:r w:rsidR="00695B03">
          <w:rPr>
            <w:noProof/>
          </w:rPr>
        </w:r>
        <w:r w:rsidR="00695B03">
          <w:rPr>
            <w:noProof/>
          </w:rPr>
          <w:fldChar w:fldCharType="separate"/>
        </w:r>
        <w:r w:rsidR="00035E7D">
          <w:rPr>
            <w:noProof/>
          </w:rPr>
          <w:t>64</w:t>
        </w:r>
        <w:r w:rsidR="00695B03">
          <w:rPr>
            <w:noProof/>
          </w:rPr>
          <w:fldChar w:fldCharType="end"/>
        </w:r>
      </w:hyperlink>
    </w:p>
    <w:p w14:paraId="0DBD9ABE" w14:textId="02997142" w:rsidR="003568C2" w:rsidRDefault="00000000">
      <w:pPr>
        <w:pStyle w:val="TOC1"/>
        <w:rPr>
          <w:rFonts w:asciiTheme="minorHAnsi" w:eastAsiaTheme="minorEastAsia" w:hAnsiTheme="minorHAnsi" w:cstheme="minorBidi"/>
          <w:noProof/>
          <w:szCs w:val="22"/>
        </w:rPr>
      </w:pPr>
      <w:hyperlink w:anchor="_Toc15892924" w:history="1">
        <w:r w:rsidR="00695B03">
          <w:rPr>
            <w:rStyle w:val="afa"/>
            <w:noProof/>
          </w:rPr>
          <w:t>第十一部分</w:t>
        </w:r>
        <w:r w:rsidR="00695B03">
          <w:rPr>
            <w:rStyle w:val="afa"/>
            <w:noProof/>
          </w:rPr>
          <w:t xml:space="preserve">  </w:t>
        </w:r>
        <w:r w:rsidR="00695B03">
          <w:rPr>
            <w:rStyle w:val="afa"/>
            <w:noProof/>
          </w:rPr>
          <w:t>基金资产的估值</w:t>
        </w:r>
        <w:r w:rsidR="00695B03">
          <w:rPr>
            <w:noProof/>
          </w:rPr>
          <w:tab/>
        </w:r>
        <w:r w:rsidR="00695B03">
          <w:rPr>
            <w:noProof/>
          </w:rPr>
          <w:fldChar w:fldCharType="begin"/>
        </w:r>
        <w:r w:rsidR="00695B03">
          <w:rPr>
            <w:noProof/>
          </w:rPr>
          <w:instrText xml:space="preserve"> PAGEREF _Toc15892924 \h </w:instrText>
        </w:r>
        <w:r w:rsidR="00695B03">
          <w:rPr>
            <w:noProof/>
          </w:rPr>
        </w:r>
        <w:r w:rsidR="00695B03">
          <w:rPr>
            <w:noProof/>
          </w:rPr>
          <w:fldChar w:fldCharType="separate"/>
        </w:r>
        <w:r w:rsidR="00035E7D">
          <w:rPr>
            <w:noProof/>
          </w:rPr>
          <w:t>65</w:t>
        </w:r>
        <w:r w:rsidR="00695B03">
          <w:rPr>
            <w:noProof/>
          </w:rPr>
          <w:fldChar w:fldCharType="end"/>
        </w:r>
      </w:hyperlink>
    </w:p>
    <w:p w14:paraId="3DE622EC" w14:textId="10ACF178" w:rsidR="003568C2" w:rsidRDefault="00000000">
      <w:pPr>
        <w:pStyle w:val="TOC1"/>
        <w:rPr>
          <w:rFonts w:asciiTheme="minorHAnsi" w:eastAsiaTheme="minorEastAsia" w:hAnsiTheme="minorHAnsi" w:cstheme="minorBidi"/>
          <w:noProof/>
          <w:szCs w:val="22"/>
        </w:rPr>
      </w:pPr>
      <w:hyperlink w:anchor="_Toc15892925" w:history="1">
        <w:r w:rsidR="00695B03">
          <w:rPr>
            <w:rStyle w:val="afa"/>
            <w:noProof/>
          </w:rPr>
          <w:t>第十二部分</w:t>
        </w:r>
        <w:r w:rsidR="00695B03">
          <w:rPr>
            <w:rStyle w:val="afa"/>
            <w:noProof/>
          </w:rPr>
          <w:t xml:space="preserve">  </w:t>
        </w:r>
        <w:r w:rsidR="00695B03">
          <w:rPr>
            <w:rStyle w:val="afa"/>
            <w:noProof/>
          </w:rPr>
          <w:t>基金的收益分配</w:t>
        </w:r>
        <w:r w:rsidR="00695B03">
          <w:rPr>
            <w:noProof/>
          </w:rPr>
          <w:tab/>
        </w:r>
        <w:r w:rsidR="00695B03">
          <w:rPr>
            <w:noProof/>
          </w:rPr>
          <w:fldChar w:fldCharType="begin"/>
        </w:r>
        <w:r w:rsidR="00695B03">
          <w:rPr>
            <w:noProof/>
          </w:rPr>
          <w:instrText xml:space="preserve"> PAGEREF _Toc15892925 \h </w:instrText>
        </w:r>
        <w:r w:rsidR="00695B03">
          <w:rPr>
            <w:noProof/>
          </w:rPr>
        </w:r>
        <w:r w:rsidR="00695B03">
          <w:rPr>
            <w:noProof/>
          </w:rPr>
          <w:fldChar w:fldCharType="separate"/>
        </w:r>
        <w:r w:rsidR="00035E7D">
          <w:rPr>
            <w:noProof/>
          </w:rPr>
          <w:t>71</w:t>
        </w:r>
        <w:r w:rsidR="00695B03">
          <w:rPr>
            <w:noProof/>
          </w:rPr>
          <w:fldChar w:fldCharType="end"/>
        </w:r>
      </w:hyperlink>
    </w:p>
    <w:p w14:paraId="40D67E8B" w14:textId="3D9C85AA" w:rsidR="003568C2" w:rsidRDefault="00000000">
      <w:pPr>
        <w:pStyle w:val="TOC1"/>
        <w:rPr>
          <w:rFonts w:asciiTheme="minorHAnsi" w:eastAsiaTheme="minorEastAsia" w:hAnsiTheme="minorHAnsi" w:cstheme="minorBidi"/>
          <w:noProof/>
          <w:szCs w:val="22"/>
        </w:rPr>
      </w:pPr>
      <w:hyperlink w:anchor="_Toc15892926" w:history="1">
        <w:r w:rsidR="00695B03">
          <w:rPr>
            <w:rStyle w:val="afa"/>
            <w:noProof/>
          </w:rPr>
          <w:t>第十三部分</w:t>
        </w:r>
        <w:r w:rsidR="00695B03">
          <w:rPr>
            <w:rStyle w:val="afa"/>
            <w:noProof/>
          </w:rPr>
          <w:t xml:space="preserve">  </w:t>
        </w:r>
        <w:r w:rsidR="00695B03">
          <w:rPr>
            <w:rStyle w:val="afa"/>
            <w:noProof/>
          </w:rPr>
          <w:t>基金费用与税收</w:t>
        </w:r>
        <w:r w:rsidR="00695B03">
          <w:rPr>
            <w:noProof/>
          </w:rPr>
          <w:tab/>
        </w:r>
        <w:r w:rsidR="00695B03">
          <w:rPr>
            <w:noProof/>
          </w:rPr>
          <w:fldChar w:fldCharType="begin"/>
        </w:r>
        <w:r w:rsidR="00695B03">
          <w:rPr>
            <w:noProof/>
          </w:rPr>
          <w:instrText xml:space="preserve"> PAGEREF _Toc15892926 \h </w:instrText>
        </w:r>
        <w:r w:rsidR="00695B03">
          <w:rPr>
            <w:noProof/>
          </w:rPr>
        </w:r>
        <w:r w:rsidR="00695B03">
          <w:rPr>
            <w:noProof/>
          </w:rPr>
          <w:fldChar w:fldCharType="separate"/>
        </w:r>
        <w:r w:rsidR="00035E7D">
          <w:rPr>
            <w:noProof/>
          </w:rPr>
          <w:t>73</w:t>
        </w:r>
        <w:r w:rsidR="00695B03">
          <w:rPr>
            <w:noProof/>
          </w:rPr>
          <w:fldChar w:fldCharType="end"/>
        </w:r>
      </w:hyperlink>
    </w:p>
    <w:p w14:paraId="7FC166EB" w14:textId="38DF383B" w:rsidR="003568C2" w:rsidRDefault="00000000">
      <w:pPr>
        <w:pStyle w:val="TOC1"/>
        <w:rPr>
          <w:rFonts w:asciiTheme="minorHAnsi" w:eastAsiaTheme="minorEastAsia" w:hAnsiTheme="minorHAnsi" w:cstheme="minorBidi"/>
          <w:noProof/>
          <w:szCs w:val="22"/>
        </w:rPr>
      </w:pPr>
      <w:hyperlink w:anchor="_Toc15892927" w:history="1">
        <w:r w:rsidR="00695B03">
          <w:rPr>
            <w:rStyle w:val="afa"/>
            <w:noProof/>
          </w:rPr>
          <w:t>第十四部分</w:t>
        </w:r>
        <w:r w:rsidR="00695B03">
          <w:rPr>
            <w:rStyle w:val="afa"/>
            <w:noProof/>
          </w:rPr>
          <w:t xml:space="preserve">  </w:t>
        </w:r>
        <w:r w:rsidR="00695B03">
          <w:rPr>
            <w:rStyle w:val="afa"/>
            <w:noProof/>
          </w:rPr>
          <w:t>基金的会计与审计</w:t>
        </w:r>
        <w:r w:rsidR="00695B03">
          <w:rPr>
            <w:noProof/>
          </w:rPr>
          <w:tab/>
        </w:r>
        <w:r w:rsidR="00695B03">
          <w:rPr>
            <w:noProof/>
          </w:rPr>
          <w:fldChar w:fldCharType="begin"/>
        </w:r>
        <w:r w:rsidR="00695B03">
          <w:rPr>
            <w:noProof/>
          </w:rPr>
          <w:instrText xml:space="preserve"> PAGEREF _Toc15892927 \h </w:instrText>
        </w:r>
        <w:r w:rsidR="00695B03">
          <w:rPr>
            <w:noProof/>
          </w:rPr>
        </w:r>
        <w:r w:rsidR="00695B03">
          <w:rPr>
            <w:noProof/>
          </w:rPr>
          <w:fldChar w:fldCharType="separate"/>
        </w:r>
        <w:r w:rsidR="00035E7D">
          <w:rPr>
            <w:noProof/>
          </w:rPr>
          <w:t>76</w:t>
        </w:r>
        <w:r w:rsidR="00695B03">
          <w:rPr>
            <w:noProof/>
          </w:rPr>
          <w:fldChar w:fldCharType="end"/>
        </w:r>
      </w:hyperlink>
    </w:p>
    <w:p w14:paraId="39965010" w14:textId="47AC58F5" w:rsidR="003568C2" w:rsidRDefault="00000000">
      <w:pPr>
        <w:pStyle w:val="TOC1"/>
        <w:rPr>
          <w:rFonts w:asciiTheme="minorHAnsi" w:eastAsiaTheme="minorEastAsia" w:hAnsiTheme="minorHAnsi" w:cstheme="minorBidi"/>
          <w:noProof/>
          <w:szCs w:val="22"/>
        </w:rPr>
      </w:pPr>
      <w:hyperlink w:anchor="_Toc15892928" w:history="1">
        <w:r w:rsidR="00695B03">
          <w:rPr>
            <w:rStyle w:val="afa"/>
            <w:noProof/>
          </w:rPr>
          <w:t>第十五部分</w:t>
        </w:r>
        <w:r w:rsidR="00695B03">
          <w:rPr>
            <w:rStyle w:val="afa"/>
            <w:noProof/>
          </w:rPr>
          <w:t xml:space="preserve">  </w:t>
        </w:r>
        <w:r w:rsidR="00695B03">
          <w:rPr>
            <w:rStyle w:val="afa"/>
            <w:noProof/>
          </w:rPr>
          <w:t>基金的信息披露</w:t>
        </w:r>
        <w:r w:rsidR="00695B03">
          <w:rPr>
            <w:noProof/>
          </w:rPr>
          <w:tab/>
        </w:r>
        <w:r w:rsidR="00695B03">
          <w:rPr>
            <w:noProof/>
          </w:rPr>
          <w:fldChar w:fldCharType="begin"/>
        </w:r>
        <w:r w:rsidR="00695B03">
          <w:rPr>
            <w:noProof/>
          </w:rPr>
          <w:instrText xml:space="preserve"> PAGEREF _Toc15892928 \h </w:instrText>
        </w:r>
        <w:r w:rsidR="00695B03">
          <w:rPr>
            <w:noProof/>
          </w:rPr>
        </w:r>
        <w:r w:rsidR="00695B03">
          <w:rPr>
            <w:noProof/>
          </w:rPr>
          <w:fldChar w:fldCharType="separate"/>
        </w:r>
        <w:r w:rsidR="00035E7D">
          <w:rPr>
            <w:noProof/>
          </w:rPr>
          <w:t>77</w:t>
        </w:r>
        <w:r w:rsidR="00695B03">
          <w:rPr>
            <w:noProof/>
          </w:rPr>
          <w:fldChar w:fldCharType="end"/>
        </w:r>
      </w:hyperlink>
    </w:p>
    <w:p w14:paraId="568A580B" w14:textId="4F22500C" w:rsidR="003568C2" w:rsidRDefault="00000000">
      <w:pPr>
        <w:pStyle w:val="TOC1"/>
        <w:rPr>
          <w:rFonts w:asciiTheme="minorHAnsi" w:eastAsiaTheme="minorEastAsia" w:hAnsiTheme="minorHAnsi" w:cstheme="minorBidi"/>
          <w:noProof/>
          <w:szCs w:val="22"/>
        </w:rPr>
      </w:pPr>
      <w:hyperlink w:anchor="_Toc15892929" w:history="1">
        <w:r w:rsidR="00695B03">
          <w:rPr>
            <w:rStyle w:val="afa"/>
            <w:noProof/>
          </w:rPr>
          <w:t>第十六部分</w:t>
        </w:r>
        <w:r w:rsidR="00695B03">
          <w:rPr>
            <w:rStyle w:val="afa"/>
            <w:noProof/>
          </w:rPr>
          <w:t xml:space="preserve">  </w:t>
        </w:r>
        <w:r w:rsidR="00695B03">
          <w:rPr>
            <w:rStyle w:val="afa"/>
            <w:noProof/>
          </w:rPr>
          <w:t>风险揭示</w:t>
        </w:r>
        <w:r w:rsidR="00695B03">
          <w:rPr>
            <w:noProof/>
          </w:rPr>
          <w:tab/>
        </w:r>
        <w:r w:rsidR="00695B03">
          <w:rPr>
            <w:noProof/>
          </w:rPr>
          <w:fldChar w:fldCharType="begin"/>
        </w:r>
        <w:r w:rsidR="00695B03">
          <w:rPr>
            <w:noProof/>
          </w:rPr>
          <w:instrText xml:space="preserve"> PAGEREF _Toc15892929 \h </w:instrText>
        </w:r>
        <w:r w:rsidR="00695B03">
          <w:rPr>
            <w:noProof/>
          </w:rPr>
        </w:r>
        <w:r w:rsidR="00695B03">
          <w:rPr>
            <w:noProof/>
          </w:rPr>
          <w:fldChar w:fldCharType="separate"/>
        </w:r>
        <w:r w:rsidR="00035E7D">
          <w:rPr>
            <w:noProof/>
          </w:rPr>
          <w:t>84</w:t>
        </w:r>
        <w:r w:rsidR="00695B03">
          <w:rPr>
            <w:noProof/>
          </w:rPr>
          <w:fldChar w:fldCharType="end"/>
        </w:r>
      </w:hyperlink>
    </w:p>
    <w:p w14:paraId="14607CDC" w14:textId="418464C5" w:rsidR="003568C2" w:rsidRDefault="00000000">
      <w:pPr>
        <w:pStyle w:val="TOC1"/>
        <w:rPr>
          <w:rFonts w:asciiTheme="minorHAnsi" w:eastAsiaTheme="minorEastAsia" w:hAnsiTheme="minorHAnsi" w:cstheme="minorBidi"/>
          <w:noProof/>
          <w:szCs w:val="22"/>
        </w:rPr>
      </w:pPr>
      <w:hyperlink w:anchor="_Toc15892930" w:history="1">
        <w:r w:rsidR="00695B03">
          <w:rPr>
            <w:rStyle w:val="afa"/>
            <w:noProof/>
          </w:rPr>
          <w:t>第十七部分</w:t>
        </w:r>
        <w:r w:rsidR="00695B03">
          <w:rPr>
            <w:rStyle w:val="afa"/>
            <w:noProof/>
          </w:rPr>
          <w:t xml:space="preserve">  </w:t>
        </w:r>
        <w:r w:rsidR="00695B03">
          <w:rPr>
            <w:rStyle w:val="afa"/>
            <w:noProof/>
          </w:rPr>
          <w:t>基金合同的变更、终止与基金财产的清算</w:t>
        </w:r>
        <w:r w:rsidR="00695B03">
          <w:rPr>
            <w:noProof/>
          </w:rPr>
          <w:tab/>
        </w:r>
        <w:r w:rsidR="00695B03">
          <w:rPr>
            <w:noProof/>
          </w:rPr>
          <w:fldChar w:fldCharType="begin"/>
        </w:r>
        <w:r w:rsidR="00695B03">
          <w:rPr>
            <w:noProof/>
          </w:rPr>
          <w:instrText xml:space="preserve"> PAGEREF _Toc15892930 \h </w:instrText>
        </w:r>
        <w:r w:rsidR="00695B03">
          <w:rPr>
            <w:noProof/>
          </w:rPr>
        </w:r>
        <w:r w:rsidR="00695B03">
          <w:rPr>
            <w:noProof/>
          </w:rPr>
          <w:fldChar w:fldCharType="separate"/>
        </w:r>
        <w:r w:rsidR="00035E7D">
          <w:rPr>
            <w:noProof/>
          </w:rPr>
          <w:t>90</w:t>
        </w:r>
        <w:r w:rsidR="00695B03">
          <w:rPr>
            <w:noProof/>
          </w:rPr>
          <w:fldChar w:fldCharType="end"/>
        </w:r>
      </w:hyperlink>
    </w:p>
    <w:p w14:paraId="54A2B5C0" w14:textId="4CDD32B3" w:rsidR="003568C2" w:rsidRDefault="00000000">
      <w:pPr>
        <w:pStyle w:val="TOC1"/>
        <w:rPr>
          <w:rFonts w:asciiTheme="minorHAnsi" w:eastAsiaTheme="minorEastAsia" w:hAnsiTheme="minorHAnsi" w:cstheme="minorBidi"/>
          <w:noProof/>
          <w:szCs w:val="22"/>
        </w:rPr>
      </w:pPr>
      <w:hyperlink w:anchor="_Toc15892931" w:history="1">
        <w:r w:rsidR="00695B03">
          <w:rPr>
            <w:rStyle w:val="afa"/>
            <w:noProof/>
          </w:rPr>
          <w:t>第十八部分</w:t>
        </w:r>
        <w:r w:rsidR="00695B03">
          <w:rPr>
            <w:rStyle w:val="afa"/>
            <w:noProof/>
          </w:rPr>
          <w:t xml:space="preserve">  </w:t>
        </w:r>
        <w:r w:rsidR="00695B03">
          <w:rPr>
            <w:rStyle w:val="afa"/>
            <w:noProof/>
          </w:rPr>
          <w:t>基金合同的内容摘要</w:t>
        </w:r>
        <w:r w:rsidR="00695B03">
          <w:rPr>
            <w:noProof/>
          </w:rPr>
          <w:tab/>
        </w:r>
        <w:r w:rsidR="00695B03">
          <w:rPr>
            <w:noProof/>
          </w:rPr>
          <w:fldChar w:fldCharType="begin"/>
        </w:r>
        <w:r w:rsidR="00695B03">
          <w:rPr>
            <w:noProof/>
          </w:rPr>
          <w:instrText xml:space="preserve"> PAGEREF _Toc15892931 \h </w:instrText>
        </w:r>
        <w:r w:rsidR="00695B03">
          <w:rPr>
            <w:noProof/>
          </w:rPr>
        </w:r>
        <w:r w:rsidR="00695B03">
          <w:rPr>
            <w:noProof/>
          </w:rPr>
          <w:fldChar w:fldCharType="separate"/>
        </w:r>
        <w:r w:rsidR="00035E7D">
          <w:rPr>
            <w:noProof/>
          </w:rPr>
          <w:t>92</w:t>
        </w:r>
        <w:r w:rsidR="00695B03">
          <w:rPr>
            <w:noProof/>
          </w:rPr>
          <w:fldChar w:fldCharType="end"/>
        </w:r>
      </w:hyperlink>
    </w:p>
    <w:p w14:paraId="01235893" w14:textId="19EED800" w:rsidR="003568C2" w:rsidRDefault="00000000">
      <w:pPr>
        <w:pStyle w:val="TOC1"/>
        <w:rPr>
          <w:rFonts w:asciiTheme="minorHAnsi" w:eastAsiaTheme="minorEastAsia" w:hAnsiTheme="minorHAnsi" w:cstheme="minorBidi"/>
          <w:noProof/>
          <w:szCs w:val="22"/>
        </w:rPr>
      </w:pPr>
      <w:hyperlink w:anchor="_Toc15892932" w:history="1">
        <w:r w:rsidR="00695B03">
          <w:rPr>
            <w:rStyle w:val="afa"/>
            <w:noProof/>
          </w:rPr>
          <w:t>第十九部分</w:t>
        </w:r>
        <w:r w:rsidR="00695B03">
          <w:rPr>
            <w:rStyle w:val="afa"/>
            <w:noProof/>
          </w:rPr>
          <w:t xml:space="preserve">  </w:t>
        </w:r>
        <w:r w:rsidR="00695B03">
          <w:rPr>
            <w:rStyle w:val="afa"/>
            <w:noProof/>
          </w:rPr>
          <w:t>基金托管协议的内容摘要</w:t>
        </w:r>
        <w:r w:rsidR="00695B03">
          <w:rPr>
            <w:noProof/>
          </w:rPr>
          <w:tab/>
        </w:r>
        <w:r w:rsidR="00695B03">
          <w:rPr>
            <w:noProof/>
          </w:rPr>
          <w:fldChar w:fldCharType="begin"/>
        </w:r>
        <w:r w:rsidR="00695B03">
          <w:rPr>
            <w:noProof/>
          </w:rPr>
          <w:instrText xml:space="preserve"> PAGEREF _Toc15892932 \h </w:instrText>
        </w:r>
        <w:r w:rsidR="00695B03">
          <w:rPr>
            <w:noProof/>
          </w:rPr>
        </w:r>
        <w:r w:rsidR="00695B03">
          <w:rPr>
            <w:noProof/>
          </w:rPr>
          <w:fldChar w:fldCharType="separate"/>
        </w:r>
        <w:r w:rsidR="00035E7D">
          <w:rPr>
            <w:noProof/>
          </w:rPr>
          <w:t>107</w:t>
        </w:r>
        <w:r w:rsidR="00695B03">
          <w:rPr>
            <w:noProof/>
          </w:rPr>
          <w:fldChar w:fldCharType="end"/>
        </w:r>
      </w:hyperlink>
    </w:p>
    <w:p w14:paraId="4409C05E" w14:textId="29D750C5" w:rsidR="003568C2" w:rsidRDefault="00000000">
      <w:pPr>
        <w:pStyle w:val="TOC1"/>
        <w:rPr>
          <w:rFonts w:asciiTheme="minorHAnsi" w:eastAsiaTheme="minorEastAsia" w:hAnsiTheme="minorHAnsi" w:cstheme="minorBidi"/>
          <w:noProof/>
          <w:szCs w:val="22"/>
        </w:rPr>
      </w:pPr>
      <w:hyperlink w:anchor="_Toc15892933" w:history="1">
        <w:r w:rsidR="00695B03">
          <w:rPr>
            <w:rStyle w:val="afa"/>
            <w:noProof/>
          </w:rPr>
          <w:t>第二十部分</w:t>
        </w:r>
        <w:r w:rsidR="00695B03">
          <w:rPr>
            <w:rStyle w:val="afa"/>
            <w:noProof/>
          </w:rPr>
          <w:t xml:space="preserve">  </w:t>
        </w:r>
        <w:r w:rsidR="00695B03">
          <w:rPr>
            <w:rStyle w:val="afa"/>
            <w:noProof/>
          </w:rPr>
          <w:t>对基金份额持有人的服务</w:t>
        </w:r>
        <w:r w:rsidR="00695B03">
          <w:rPr>
            <w:noProof/>
          </w:rPr>
          <w:tab/>
        </w:r>
        <w:r w:rsidR="00695B03">
          <w:rPr>
            <w:noProof/>
          </w:rPr>
          <w:fldChar w:fldCharType="begin"/>
        </w:r>
        <w:r w:rsidR="00695B03">
          <w:rPr>
            <w:noProof/>
          </w:rPr>
          <w:instrText xml:space="preserve"> PAGEREF _Toc15892933 \h </w:instrText>
        </w:r>
        <w:r w:rsidR="00695B03">
          <w:rPr>
            <w:noProof/>
          </w:rPr>
        </w:r>
        <w:r w:rsidR="00695B03">
          <w:rPr>
            <w:noProof/>
          </w:rPr>
          <w:fldChar w:fldCharType="separate"/>
        </w:r>
        <w:r w:rsidR="00035E7D">
          <w:rPr>
            <w:noProof/>
          </w:rPr>
          <w:t>125</w:t>
        </w:r>
        <w:r w:rsidR="00695B03">
          <w:rPr>
            <w:noProof/>
          </w:rPr>
          <w:fldChar w:fldCharType="end"/>
        </w:r>
      </w:hyperlink>
    </w:p>
    <w:p w14:paraId="45259C22" w14:textId="2AF3D363" w:rsidR="003568C2" w:rsidRDefault="00000000">
      <w:pPr>
        <w:pStyle w:val="TOC1"/>
        <w:rPr>
          <w:rFonts w:asciiTheme="minorHAnsi" w:eastAsiaTheme="minorEastAsia" w:hAnsiTheme="minorHAnsi" w:cstheme="minorBidi"/>
          <w:noProof/>
          <w:szCs w:val="22"/>
        </w:rPr>
      </w:pPr>
      <w:hyperlink w:anchor="_Toc15892934" w:history="1">
        <w:r w:rsidR="00695B03">
          <w:rPr>
            <w:rStyle w:val="afa"/>
            <w:noProof/>
          </w:rPr>
          <w:t>第二十一部分</w:t>
        </w:r>
        <w:r w:rsidR="00695B03">
          <w:rPr>
            <w:rStyle w:val="afa"/>
            <w:noProof/>
          </w:rPr>
          <w:t xml:space="preserve">  </w:t>
        </w:r>
        <w:r w:rsidR="00695B03">
          <w:rPr>
            <w:rStyle w:val="afa"/>
            <w:noProof/>
          </w:rPr>
          <w:t>其他应披露事项</w:t>
        </w:r>
        <w:r w:rsidR="00695B03">
          <w:rPr>
            <w:noProof/>
          </w:rPr>
          <w:tab/>
        </w:r>
        <w:r w:rsidR="00695B03">
          <w:rPr>
            <w:noProof/>
          </w:rPr>
          <w:fldChar w:fldCharType="begin"/>
        </w:r>
        <w:r w:rsidR="00695B03">
          <w:rPr>
            <w:noProof/>
          </w:rPr>
          <w:instrText xml:space="preserve"> PAGEREF _Toc15892934 \h </w:instrText>
        </w:r>
        <w:r w:rsidR="00695B03">
          <w:rPr>
            <w:noProof/>
          </w:rPr>
        </w:r>
        <w:r w:rsidR="00695B03">
          <w:rPr>
            <w:noProof/>
          </w:rPr>
          <w:fldChar w:fldCharType="separate"/>
        </w:r>
        <w:r w:rsidR="00035E7D">
          <w:rPr>
            <w:noProof/>
          </w:rPr>
          <w:t>127</w:t>
        </w:r>
        <w:r w:rsidR="00695B03">
          <w:rPr>
            <w:noProof/>
          </w:rPr>
          <w:fldChar w:fldCharType="end"/>
        </w:r>
      </w:hyperlink>
    </w:p>
    <w:p w14:paraId="4EE39C51" w14:textId="777192D9" w:rsidR="003568C2" w:rsidRDefault="00000000">
      <w:pPr>
        <w:pStyle w:val="TOC1"/>
        <w:rPr>
          <w:rFonts w:asciiTheme="minorHAnsi" w:eastAsiaTheme="minorEastAsia" w:hAnsiTheme="minorHAnsi" w:cstheme="minorBidi"/>
          <w:noProof/>
          <w:szCs w:val="22"/>
        </w:rPr>
      </w:pPr>
      <w:hyperlink w:anchor="_Toc15892935" w:history="1">
        <w:r w:rsidR="00695B03">
          <w:rPr>
            <w:rStyle w:val="afa"/>
            <w:noProof/>
          </w:rPr>
          <w:t>第二十二部分</w:t>
        </w:r>
        <w:r w:rsidR="00695B03">
          <w:rPr>
            <w:rStyle w:val="afa"/>
            <w:noProof/>
          </w:rPr>
          <w:t xml:space="preserve">  </w:t>
        </w:r>
        <w:r w:rsidR="00695B03">
          <w:rPr>
            <w:rStyle w:val="afa"/>
            <w:noProof/>
          </w:rPr>
          <w:t>招募说明</w:t>
        </w:r>
        <w:r w:rsidR="00695B03">
          <w:rPr>
            <w:rStyle w:val="afa"/>
            <w:noProof/>
          </w:rPr>
          <w:t>书</w:t>
        </w:r>
        <w:r w:rsidR="00695B03">
          <w:rPr>
            <w:rStyle w:val="afa"/>
            <w:noProof/>
          </w:rPr>
          <w:t>存放及查阅方式</w:t>
        </w:r>
        <w:r w:rsidR="00695B03">
          <w:rPr>
            <w:noProof/>
          </w:rPr>
          <w:tab/>
        </w:r>
        <w:r w:rsidR="00695B03">
          <w:rPr>
            <w:noProof/>
          </w:rPr>
          <w:fldChar w:fldCharType="begin"/>
        </w:r>
        <w:r w:rsidR="00695B03">
          <w:rPr>
            <w:noProof/>
          </w:rPr>
          <w:instrText xml:space="preserve"> PAGEREF _Toc15892935 \h </w:instrText>
        </w:r>
        <w:r w:rsidR="00695B03">
          <w:rPr>
            <w:noProof/>
          </w:rPr>
        </w:r>
        <w:r w:rsidR="00695B03">
          <w:rPr>
            <w:noProof/>
          </w:rPr>
          <w:fldChar w:fldCharType="separate"/>
        </w:r>
        <w:r w:rsidR="00035E7D">
          <w:rPr>
            <w:noProof/>
          </w:rPr>
          <w:t>129</w:t>
        </w:r>
        <w:r w:rsidR="00695B03">
          <w:rPr>
            <w:noProof/>
          </w:rPr>
          <w:fldChar w:fldCharType="end"/>
        </w:r>
      </w:hyperlink>
    </w:p>
    <w:p w14:paraId="0CF0B2B6" w14:textId="705C6C25" w:rsidR="003568C2" w:rsidRDefault="00000000">
      <w:pPr>
        <w:pStyle w:val="TOC1"/>
        <w:rPr>
          <w:rFonts w:asciiTheme="minorHAnsi" w:eastAsiaTheme="minorEastAsia" w:hAnsiTheme="minorHAnsi" w:cstheme="minorBidi"/>
          <w:noProof/>
          <w:szCs w:val="22"/>
        </w:rPr>
      </w:pPr>
      <w:hyperlink w:anchor="_Toc15892936" w:history="1">
        <w:r w:rsidR="00695B03">
          <w:rPr>
            <w:rStyle w:val="afa"/>
            <w:noProof/>
          </w:rPr>
          <w:t>第二十三部分</w:t>
        </w:r>
        <w:r w:rsidR="00695B03">
          <w:rPr>
            <w:rStyle w:val="afa"/>
            <w:noProof/>
          </w:rPr>
          <w:t xml:space="preserve">  </w:t>
        </w:r>
        <w:r w:rsidR="00695B03">
          <w:rPr>
            <w:rStyle w:val="afa"/>
            <w:noProof/>
          </w:rPr>
          <w:t>备查文件</w:t>
        </w:r>
        <w:r w:rsidR="00695B03">
          <w:rPr>
            <w:noProof/>
          </w:rPr>
          <w:tab/>
        </w:r>
        <w:r w:rsidR="00695B03">
          <w:rPr>
            <w:noProof/>
          </w:rPr>
          <w:fldChar w:fldCharType="begin"/>
        </w:r>
        <w:r w:rsidR="00695B03">
          <w:rPr>
            <w:noProof/>
          </w:rPr>
          <w:instrText xml:space="preserve"> PAGEREF _Toc15892936 \h </w:instrText>
        </w:r>
        <w:r w:rsidR="00695B03">
          <w:rPr>
            <w:noProof/>
          </w:rPr>
        </w:r>
        <w:r w:rsidR="00695B03">
          <w:rPr>
            <w:noProof/>
          </w:rPr>
          <w:fldChar w:fldCharType="separate"/>
        </w:r>
        <w:r w:rsidR="00035E7D">
          <w:rPr>
            <w:noProof/>
          </w:rPr>
          <w:t>130</w:t>
        </w:r>
        <w:r w:rsidR="00695B03">
          <w:rPr>
            <w:noProof/>
          </w:rPr>
          <w:fldChar w:fldCharType="end"/>
        </w:r>
      </w:hyperlink>
    </w:p>
    <w:p w14:paraId="09049715" w14:textId="77777777" w:rsidR="003568C2" w:rsidRDefault="00695B03">
      <w:r>
        <w:fldChar w:fldCharType="end"/>
      </w:r>
      <w:bookmarkStart w:id="33" w:name="_Toc416264537"/>
      <w:bookmarkStart w:id="34" w:name="_Toc263092309"/>
      <w:bookmarkStart w:id="35" w:name="_Toc22864"/>
      <w:bookmarkStart w:id="36" w:name="_Toc819"/>
      <w:bookmarkStart w:id="37" w:name="_Toc2465"/>
      <w:bookmarkStart w:id="38" w:name="_Toc6617"/>
      <w:bookmarkStart w:id="39" w:name="_Toc13020"/>
      <w:bookmarkStart w:id="40" w:name="_Toc24860"/>
      <w:bookmarkStart w:id="41" w:name="_Toc258829399"/>
      <w:bookmarkStart w:id="42" w:name="_Toc3224"/>
      <w:bookmarkStart w:id="43" w:name="_Toc19592"/>
      <w:bookmarkStart w:id="44" w:name="_Toc15067"/>
      <w:bookmarkStart w:id="45" w:name="_Toc31551"/>
      <w:bookmarkStart w:id="46" w:name="_Toc352229747"/>
      <w:bookmarkStart w:id="47" w:name="_Toc21301"/>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r>
        <w:br w:type="page"/>
      </w:r>
    </w:p>
    <w:p w14:paraId="1024C57E" w14:textId="77777777" w:rsidR="003568C2" w:rsidRDefault="00695B03">
      <w:pPr>
        <w:pStyle w:val="1"/>
        <w:jc w:val="center"/>
        <w:rPr>
          <w:sz w:val="30"/>
          <w:szCs w:val="30"/>
        </w:rPr>
      </w:pPr>
      <w:bookmarkStart w:id="48" w:name="_Toc15892914"/>
      <w:r>
        <w:rPr>
          <w:rFonts w:hint="eastAsia"/>
          <w:sz w:val="30"/>
          <w:szCs w:val="30"/>
        </w:rPr>
        <w:lastRenderedPageBreak/>
        <w:t>第一部分</w:t>
      </w:r>
      <w:r>
        <w:rPr>
          <w:sz w:val="30"/>
          <w:szCs w:val="30"/>
        </w:rPr>
        <w:t xml:space="preserve">  </w:t>
      </w:r>
      <w:r>
        <w:rPr>
          <w:rFonts w:hint="eastAsia"/>
          <w:sz w:val="30"/>
          <w:szCs w:val="30"/>
        </w:rPr>
        <w:t>绪言</w:t>
      </w:r>
      <w:bookmarkEnd w:id="33"/>
      <w:bookmarkEnd w:id="34"/>
      <w:bookmarkEnd w:id="48"/>
    </w:p>
    <w:p w14:paraId="6DB92379" w14:textId="77777777" w:rsidR="003568C2" w:rsidRDefault="00695B0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富荣沪深300指数增强型证券投资基金招募说明书》（以下简称“招募说明书”或“本招募说明书”）依照《中华人民共和国证券投资基金法》（以下简称“《基金法》”）、《公开募集证券投资基金运作管理办法》（以下简称“《运作办法》”）、《证券投资基金销售管理办法》（以下简称“《销售办法》”）、《公开募集证券投资基金信息披露管理办法》（以下简称“《信息披露办法》”）、《公开募集开放式证券投资基金流动性风险管理规定》（以下简称“《管理规定》”）、《公开募集证券投资基金运作指引第3号——指数基金指引》（以下简称“《指数基金指引》”）以及《富荣沪深300指数增强型证券投资基金基金合同》（以下简称“基金合同”）编写。</w:t>
      </w:r>
    </w:p>
    <w:p w14:paraId="7292DBB4" w14:textId="77777777" w:rsidR="003568C2" w:rsidRDefault="00695B0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基金管理人承诺本招募说明书不存在任何虚假记载、误导性陈述或重大遗漏，并对其真实性、准确性、完整性承担法律责任。</w:t>
      </w:r>
    </w:p>
    <w:p w14:paraId="0703873F" w14:textId="77777777" w:rsidR="003568C2" w:rsidRDefault="00695B0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富荣沪深300指数增强型证券投资基金（以下简称“基金”或“本基金”）是根据本招募说明书所载明的资料销售的。本基金管理人没有委托或授权任何其他人提供未在本招募说明书中载明的信息，或对本招募说明书作任何解释或者说明。</w:t>
      </w:r>
    </w:p>
    <w:p w14:paraId="2D68434B" w14:textId="77777777" w:rsidR="003568C2" w:rsidRDefault="00695B0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招募说明书根据本基金的基金合同编写，并经中国证券监督管理委员会（以下简称“中国证监会”）注册。基金合同是约定基金合同当事人之间权利、义务的法律文件。基金投资人自依基金合同取得基金份额，即成为基金份额持有人和基金合同的当事人，其持有基金份额的行为本身即表明其对基金合同的承认和接受，并按照《基金法》、基金合同及其他有关规定享有权利、承担义务。基金投资人欲了解基金份额持有人的权利和义务，应详细查阅基金合同。</w:t>
      </w:r>
      <w:bookmarkStart w:id="49" w:name="_Toc545"/>
      <w:bookmarkStart w:id="50" w:name="_Toc22708"/>
      <w:bookmarkStart w:id="51" w:name="_Toc18631"/>
      <w:bookmarkStart w:id="52" w:name="_Toc733"/>
      <w:bookmarkStart w:id="53" w:name="_Toc13288"/>
      <w:bookmarkStart w:id="54" w:name="_Toc20627"/>
      <w:bookmarkStart w:id="55" w:name="_Toc20318"/>
      <w:bookmarkStart w:id="56" w:name="_Toc5246"/>
      <w:bookmarkStart w:id="57" w:name="_Toc352229748"/>
      <w:bookmarkStart w:id="58" w:name="_Toc6683"/>
      <w:bookmarkStart w:id="59" w:name="_Toc6149"/>
      <w:bookmarkStart w:id="60" w:name="_Toc24571"/>
      <w:bookmarkStart w:id="61" w:name="_Toc258829400"/>
      <w:bookmarkStart w:id="62" w:name="_Toc233456272"/>
      <w:bookmarkEnd w:id="31"/>
      <w:bookmarkEnd w:id="35"/>
      <w:bookmarkEnd w:id="36"/>
      <w:bookmarkEnd w:id="37"/>
      <w:bookmarkEnd w:id="38"/>
      <w:bookmarkEnd w:id="39"/>
      <w:bookmarkEnd w:id="40"/>
      <w:bookmarkEnd w:id="41"/>
      <w:bookmarkEnd w:id="42"/>
      <w:bookmarkEnd w:id="43"/>
      <w:bookmarkEnd w:id="44"/>
      <w:bookmarkEnd w:id="45"/>
      <w:bookmarkEnd w:id="46"/>
      <w:bookmarkEnd w:id="47"/>
      <w:r>
        <w:rPr>
          <w:rFonts w:asciiTheme="minorEastAsia" w:hAnsiTheme="minorEastAsia" w:cs="Arial"/>
          <w:sz w:val="24"/>
          <w:szCs w:val="24"/>
        </w:rPr>
        <w:br w:type="page"/>
      </w:r>
    </w:p>
    <w:p w14:paraId="13EA720F" w14:textId="77777777" w:rsidR="003568C2" w:rsidRDefault="00695B03">
      <w:pPr>
        <w:pStyle w:val="1"/>
        <w:jc w:val="center"/>
        <w:rPr>
          <w:sz w:val="30"/>
          <w:szCs w:val="30"/>
        </w:rPr>
      </w:pPr>
      <w:bookmarkStart w:id="63" w:name="_Toc15892915"/>
      <w:r>
        <w:rPr>
          <w:rFonts w:hint="eastAsia"/>
          <w:sz w:val="30"/>
          <w:szCs w:val="30"/>
        </w:rPr>
        <w:lastRenderedPageBreak/>
        <w:t>第二部分</w:t>
      </w:r>
      <w:r>
        <w:rPr>
          <w:sz w:val="30"/>
          <w:szCs w:val="30"/>
        </w:rPr>
        <w:t xml:space="preserve">  </w:t>
      </w:r>
      <w:r>
        <w:rPr>
          <w:rFonts w:hint="eastAsia"/>
          <w:sz w:val="30"/>
          <w:szCs w:val="30"/>
        </w:rPr>
        <w:t>释义</w:t>
      </w:r>
      <w:bookmarkEnd w:id="63"/>
    </w:p>
    <w:p w14:paraId="24266CD0"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在本招募说明书中，除非文意另有所指，下列词语或简称具有如下含义：</w:t>
      </w:r>
    </w:p>
    <w:p w14:paraId="7129265A"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w:t>
      </w:r>
      <w:r>
        <w:rPr>
          <w:rFonts w:asciiTheme="minorEastAsia" w:hAnsiTheme="minorEastAsia" w:cs="Times New Roman" w:hint="eastAsia"/>
          <w:sz w:val="24"/>
          <w:szCs w:val="24"/>
        </w:rPr>
        <w:t>、基金或本基金：指富荣沪深300指数增强型证券投资基金,</w:t>
      </w:r>
      <w:r>
        <w:rPr>
          <w:rFonts w:hint="eastAsia"/>
        </w:rPr>
        <w:t xml:space="preserve"> </w:t>
      </w:r>
      <w:r>
        <w:rPr>
          <w:rFonts w:asciiTheme="minorEastAsia" w:hAnsiTheme="minorEastAsia" w:cs="Times New Roman" w:hint="eastAsia"/>
          <w:sz w:val="24"/>
          <w:szCs w:val="24"/>
        </w:rPr>
        <w:t>本基金由富荣福泰灵活配置混合型证券投资基金转型而来</w:t>
      </w:r>
    </w:p>
    <w:p w14:paraId="52B12CC7"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w:t>
      </w:r>
      <w:r>
        <w:rPr>
          <w:rFonts w:asciiTheme="minorEastAsia" w:hAnsiTheme="minorEastAsia" w:cs="Times New Roman" w:hint="eastAsia"/>
          <w:sz w:val="24"/>
          <w:szCs w:val="24"/>
        </w:rPr>
        <w:t>、基金管理人：指富荣基金管理有限公司</w:t>
      </w:r>
    </w:p>
    <w:p w14:paraId="720F9F4A"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、基金托管人：指招商银行股份有限公司</w:t>
      </w:r>
    </w:p>
    <w:p w14:paraId="5C5EC148"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w:t>
      </w:r>
      <w:r>
        <w:rPr>
          <w:rFonts w:asciiTheme="minorEastAsia" w:hAnsiTheme="minorEastAsia" w:cs="Times New Roman" w:hint="eastAsia"/>
          <w:sz w:val="24"/>
          <w:szCs w:val="24"/>
        </w:rPr>
        <w:t>、基金合同：指《富荣沪深300指数增强型证券投资基金基金合同》及对基金合同的任何有效修订和补充</w:t>
      </w:r>
    </w:p>
    <w:p w14:paraId="3A29DA79"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w:t>
      </w:r>
      <w:r>
        <w:rPr>
          <w:rFonts w:asciiTheme="minorEastAsia" w:hAnsiTheme="minorEastAsia" w:cs="Times New Roman" w:hint="eastAsia"/>
          <w:sz w:val="24"/>
          <w:szCs w:val="24"/>
        </w:rPr>
        <w:t>、托管协议：指基金管理人与基金托管人就本基金签订之《富荣沪深300指数增强型证券投资基金托管协议》及对该托管协议的任何有效修订和补充</w:t>
      </w:r>
    </w:p>
    <w:p w14:paraId="72AF1C56"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6</w:t>
      </w:r>
      <w:r>
        <w:rPr>
          <w:rFonts w:asciiTheme="minorEastAsia" w:hAnsiTheme="minorEastAsia" w:cs="Times New Roman" w:hint="eastAsia"/>
          <w:sz w:val="24"/>
          <w:szCs w:val="24"/>
        </w:rPr>
        <w:t>、招募说明书或本招募说明书：指《富荣沪深300指数增强型证券投资基金招募说明书》及其更新</w:t>
      </w:r>
    </w:p>
    <w:p w14:paraId="42DEFAEA"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7、基金产品资料概要：指《富荣沪深300指数增强型证券投资基金基金产品资料概要》及其更新</w:t>
      </w:r>
    </w:p>
    <w:p w14:paraId="7F4CBD98"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8</w:t>
      </w:r>
      <w:r>
        <w:rPr>
          <w:rFonts w:asciiTheme="minorEastAsia" w:hAnsiTheme="minorEastAsia" w:cs="Times New Roman" w:hint="eastAsia"/>
          <w:sz w:val="24"/>
          <w:szCs w:val="24"/>
        </w:rPr>
        <w:t>、法律法规：指中国现行有效并公布实施的法律、行政法规、规范性文件、司法解释、行政规章以及其他对基金合同当事人有约束力的决定、决议、通知等</w:t>
      </w:r>
    </w:p>
    <w:p w14:paraId="3E126136"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9</w:t>
      </w:r>
      <w:r>
        <w:rPr>
          <w:rFonts w:asciiTheme="minorEastAsia" w:hAnsiTheme="minorEastAsia" w:cs="Times New Roman" w:hint="eastAsia"/>
          <w:sz w:val="24"/>
          <w:szCs w:val="24"/>
        </w:rPr>
        <w:t>、《基金法》：指2003年10月28日经第十届全国人民代表大会常务委员会第五次会议通过，并经2012年12月28日第十一届全国人民代表大会常务委员会第三十次会议修订，自2013年6月1日起实施的《中华人民共和国证券投资基金法》及颁布机关对其不时做出的修订</w:t>
      </w:r>
    </w:p>
    <w:p w14:paraId="62282B28"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10</w:t>
      </w:r>
      <w:r>
        <w:rPr>
          <w:rFonts w:asciiTheme="minorEastAsia" w:hAnsiTheme="minorEastAsia" w:cs="Times New Roman" w:hint="eastAsia"/>
          <w:sz w:val="24"/>
          <w:szCs w:val="24"/>
        </w:rPr>
        <w:t>、《销售办法》：指中国证监会</w:t>
      </w:r>
      <w:r>
        <w:rPr>
          <w:rFonts w:asciiTheme="minorEastAsia" w:hAnsiTheme="minorEastAsia" w:cs="Times New Roman"/>
          <w:sz w:val="24"/>
          <w:szCs w:val="24"/>
        </w:rPr>
        <w:t>2013</w:t>
      </w:r>
      <w:r>
        <w:rPr>
          <w:rFonts w:asciiTheme="minorEastAsia" w:hAnsiTheme="minorEastAsia" w:cs="Times New Roman" w:hint="eastAsia"/>
          <w:sz w:val="24"/>
          <w:szCs w:val="24"/>
        </w:rPr>
        <w:t>年</w:t>
      </w:r>
      <w:r>
        <w:rPr>
          <w:rFonts w:asciiTheme="minorEastAsia" w:hAnsiTheme="minorEastAsia" w:cs="Times New Roman"/>
          <w:sz w:val="24"/>
          <w:szCs w:val="24"/>
        </w:rPr>
        <w:t>3</w:t>
      </w:r>
      <w:r>
        <w:rPr>
          <w:rFonts w:asciiTheme="minorEastAsia" w:hAnsiTheme="minorEastAsia" w:cs="Times New Roman" w:hint="eastAsia"/>
          <w:sz w:val="24"/>
          <w:szCs w:val="24"/>
        </w:rPr>
        <w:t>月</w:t>
      </w:r>
      <w:r>
        <w:rPr>
          <w:rFonts w:asciiTheme="minorEastAsia" w:hAnsiTheme="minorEastAsia" w:cs="Times New Roman"/>
          <w:sz w:val="24"/>
          <w:szCs w:val="24"/>
        </w:rPr>
        <w:t>15</w:t>
      </w:r>
      <w:r>
        <w:rPr>
          <w:rFonts w:asciiTheme="minorEastAsia" w:hAnsiTheme="minorEastAsia" w:cs="Times New Roman" w:hint="eastAsia"/>
          <w:sz w:val="24"/>
          <w:szCs w:val="24"/>
        </w:rPr>
        <w:t>日颁布、同年</w:t>
      </w:r>
      <w:r>
        <w:rPr>
          <w:rFonts w:asciiTheme="minorEastAsia" w:hAnsiTheme="minorEastAsia" w:cs="Times New Roman"/>
          <w:sz w:val="24"/>
          <w:szCs w:val="24"/>
        </w:rPr>
        <w:t>6</w:t>
      </w:r>
      <w:r>
        <w:rPr>
          <w:rFonts w:asciiTheme="minorEastAsia" w:hAnsiTheme="minorEastAsia" w:cs="Times New Roman" w:hint="eastAsia"/>
          <w:sz w:val="24"/>
          <w:szCs w:val="24"/>
        </w:rPr>
        <w:t>月</w:t>
      </w:r>
      <w:r>
        <w:rPr>
          <w:rFonts w:asciiTheme="minorEastAsia" w:hAnsiTheme="minorEastAsia" w:cs="Times New Roman"/>
          <w:sz w:val="24"/>
          <w:szCs w:val="24"/>
        </w:rPr>
        <w:t>1</w:t>
      </w:r>
      <w:r>
        <w:rPr>
          <w:rFonts w:asciiTheme="minorEastAsia" w:hAnsiTheme="minorEastAsia" w:cs="Times New Roman" w:hint="eastAsia"/>
          <w:sz w:val="24"/>
          <w:szCs w:val="24"/>
        </w:rPr>
        <w:t>日实施的《证券投资基金销售管理办法》及颁布机关对其不时做出的修订</w:t>
      </w:r>
    </w:p>
    <w:p w14:paraId="3A0C95DE"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11</w:t>
      </w:r>
      <w:r>
        <w:rPr>
          <w:rFonts w:asciiTheme="minorEastAsia" w:hAnsiTheme="minorEastAsia" w:cs="Times New Roman" w:hint="eastAsia"/>
          <w:sz w:val="24"/>
          <w:szCs w:val="24"/>
        </w:rPr>
        <w:t>、《信息披露办法》：指中国证监会2019年7月26日颁布、同年9月1日实施的《公开募集证券投资基金信息披露管理办法》及颁布机关对其不时做出的修订</w:t>
      </w:r>
    </w:p>
    <w:p w14:paraId="0FDE348D"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12</w:t>
      </w:r>
      <w:r>
        <w:rPr>
          <w:rFonts w:asciiTheme="minorEastAsia" w:hAnsiTheme="minorEastAsia" w:cs="Times New Roman" w:hint="eastAsia"/>
          <w:sz w:val="24"/>
          <w:szCs w:val="24"/>
        </w:rPr>
        <w:t>、《运作办法》：指中国证监会</w:t>
      </w:r>
      <w:r>
        <w:rPr>
          <w:rFonts w:asciiTheme="minorEastAsia" w:hAnsiTheme="minorEastAsia" w:cs="Times New Roman"/>
          <w:sz w:val="24"/>
          <w:szCs w:val="24"/>
        </w:rPr>
        <w:t>2014</w:t>
      </w:r>
      <w:r>
        <w:rPr>
          <w:rFonts w:asciiTheme="minorEastAsia" w:hAnsiTheme="minorEastAsia" w:cs="Times New Roman" w:hint="eastAsia"/>
          <w:sz w:val="24"/>
          <w:szCs w:val="24"/>
        </w:rPr>
        <w:t>年</w:t>
      </w:r>
      <w:r>
        <w:rPr>
          <w:rFonts w:asciiTheme="minorEastAsia" w:hAnsiTheme="minorEastAsia" w:cs="Times New Roman"/>
          <w:sz w:val="24"/>
          <w:szCs w:val="24"/>
        </w:rPr>
        <w:t>7</w:t>
      </w:r>
      <w:r>
        <w:rPr>
          <w:rFonts w:asciiTheme="minorEastAsia" w:hAnsiTheme="minorEastAsia" w:cs="Times New Roman" w:hint="eastAsia"/>
          <w:sz w:val="24"/>
          <w:szCs w:val="24"/>
        </w:rPr>
        <w:t>月</w:t>
      </w:r>
      <w:r>
        <w:rPr>
          <w:rFonts w:asciiTheme="minorEastAsia" w:hAnsiTheme="minorEastAsia" w:cs="Times New Roman"/>
          <w:sz w:val="24"/>
          <w:szCs w:val="24"/>
        </w:rPr>
        <w:t>7</w:t>
      </w:r>
      <w:r>
        <w:rPr>
          <w:rFonts w:asciiTheme="minorEastAsia" w:hAnsiTheme="minorEastAsia" w:cs="Times New Roman" w:hint="eastAsia"/>
          <w:sz w:val="24"/>
          <w:szCs w:val="24"/>
        </w:rPr>
        <w:t>日颁布、同年</w:t>
      </w:r>
      <w:r>
        <w:rPr>
          <w:rFonts w:asciiTheme="minorEastAsia" w:hAnsiTheme="minorEastAsia" w:cs="Times New Roman"/>
          <w:sz w:val="24"/>
          <w:szCs w:val="24"/>
        </w:rPr>
        <w:t>8</w:t>
      </w:r>
      <w:r>
        <w:rPr>
          <w:rFonts w:asciiTheme="minorEastAsia" w:hAnsiTheme="minorEastAsia" w:cs="Times New Roman" w:hint="eastAsia"/>
          <w:sz w:val="24"/>
          <w:szCs w:val="24"/>
        </w:rPr>
        <w:t>月</w:t>
      </w:r>
      <w:r>
        <w:rPr>
          <w:rFonts w:asciiTheme="minorEastAsia" w:hAnsiTheme="minorEastAsia" w:cs="Times New Roman"/>
          <w:sz w:val="24"/>
          <w:szCs w:val="24"/>
        </w:rPr>
        <w:t>8</w:t>
      </w:r>
      <w:r>
        <w:rPr>
          <w:rFonts w:asciiTheme="minorEastAsia" w:hAnsiTheme="minorEastAsia" w:cs="Times New Roman" w:hint="eastAsia"/>
          <w:sz w:val="24"/>
          <w:szCs w:val="24"/>
        </w:rPr>
        <w:t>日实施的《公开募集证券投资基金运作管理办法》及颁布机关对其不时做出的修订</w:t>
      </w:r>
    </w:p>
    <w:p w14:paraId="5A92C2F6"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13</w:t>
      </w:r>
      <w:r>
        <w:rPr>
          <w:rFonts w:asciiTheme="minorEastAsia" w:hAnsiTheme="minorEastAsia" w:cs="Times New Roman" w:hint="eastAsia"/>
          <w:sz w:val="24"/>
          <w:szCs w:val="24"/>
        </w:rPr>
        <w:t>、《管理规定》：指中国证监会2017年8月31日颁布、同年10月1日实施的《公开募集开放式证券投资基金流动性风险管理规定》及颁布机关对其不时</w:t>
      </w:r>
      <w:r>
        <w:rPr>
          <w:rFonts w:asciiTheme="minorEastAsia" w:hAnsiTheme="minorEastAsia" w:cs="Times New Roman" w:hint="eastAsia"/>
          <w:sz w:val="24"/>
          <w:szCs w:val="24"/>
        </w:rPr>
        <w:lastRenderedPageBreak/>
        <w:t>做出的修订</w:t>
      </w:r>
    </w:p>
    <w:p w14:paraId="4B4E4AFB"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14</w:t>
      </w:r>
      <w:r>
        <w:rPr>
          <w:rFonts w:asciiTheme="minorEastAsia" w:hAnsiTheme="minorEastAsia" w:cs="Times New Roman" w:hint="eastAsia"/>
          <w:sz w:val="24"/>
          <w:szCs w:val="24"/>
        </w:rPr>
        <w:t>、《指数基金指引》：指中国证监会2021年1月22日颁布、同年2月1日实施的《公开募集证券投资基金运作指引第3号——指数基金指引》及颁布机关对其不时做出的修订</w:t>
      </w:r>
    </w:p>
    <w:p w14:paraId="159F6371"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15</w:t>
      </w:r>
      <w:r>
        <w:rPr>
          <w:rFonts w:asciiTheme="minorEastAsia" w:hAnsiTheme="minorEastAsia" w:cs="Times New Roman" w:hint="eastAsia"/>
          <w:sz w:val="24"/>
          <w:szCs w:val="24"/>
        </w:rPr>
        <w:t>、中国证监会：指中国证券监督管理委员会</w:t>
      </w:r>
    </w:p>
    <w:p w14:paraId="1EB69AE1"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16</w:t>
      </w:r>
      <w:r>
        <w:rPr>
          <w:rFonts w:asciiTheme="minorEastAsia" w:hAnsiTheme="minorEastAsia" w:cs="Times New Roman" w:hint="eastAsia"/>
          <w:sz w:val="24"/>
          <w:szCs w:val="24"/>
        </w:rPr>
        <w:t>、银行业监督管理机构：指中国人民银行和</w:t>
      </w:r>
      <w:r>
        <w:rPr>
          <w:rFonts w:asciiTheme="minorEastAsia" w:hAnsiTheme="minorEastAsia" w:cs="Times New Roman"/>
          <w:sz w:val="24"/>
          <w:szCs w:val="24"/>
        </w:rPr>
        <w:t>/</w:t>
      </w:r>
      <w:r>
        <w:rPr>
          <w:rFonts w:asciiTheme="minorEastAsia" w:hAnsiTheme="minorEastAsia" w:cs="Times New Roman" w:hint="eastAsia"/>
          <w:sz w:val="24"/>
          <w:szCs w:val="24"/>
        </w:rPr>
        <w:t>或</w:t>
      </w:r>
      <w:r>
        <w:rPr>
          <w:rFonts w:hint="eastAsia"/>
          <w:bCs/>
          <w:sz w:val="24"/>
          <w:szCs w:val="24"/>
        </w:rPr>
        <w:t>中国银行保险监督管理委员会</w:t>
      </w:r>
    </w:p>
    <w:p w14:paraId="5E605F63"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17</w:t>
      </w:r>
      <w:r>
        <w:rPr>
          <w:rFonts w:asciiTheme="minorEastAsia" w:hAnsiTheme="minorEastAsia" w:cs="Times New Roman" w:hint="eastAsia"/>
          <w:sz w:val="24"/>
          <w:szCs w:val="24"/>
        </w:rPr>
        <w:t>、基金合同当事人：指受基金合同约束，根据基金合同享有权利并承担义务的法律主体，包括基金管理人、基金托管人和基金份额持有人</w:t>
      </w:r>
    </w:p>
    <w:p w14:paraId="323834E7"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18</w:t>
      </w:r>
      <w:r>
        <w:rPr>
          <w:rFonts w:asciiTheme="minorEastAsia" w:hAnsiTheme="minorEastAsia" w:cs="Times New Roman" w:hint="eastAsia"/>
          <w:sz w:val="24"/>
          <w:szCs w:val="24"/>
        </w:rPr>
        <w:t>、个人投资者：指依据有关法律法规规定可投资于证券投资基金的自然人</w:t>
      </w:r>
    </w:p>
    <w:p w14:paraId="315256E3"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19</w:t>
      </w:r>
      <w:r>
        <w:rPr>
          <w:rFonts w:asciiTheme="minorEastAsia" w:hAnsiTheme="minorEastAsia" w:cs="Times New Roman" w:hint="eastAsia"/>
          <w:sz w:val="24"/>
          <w:szCs w:val="24"/>
        </w:rPr>
        <w:t>、机构投资者：指依法可以投资证券投资基金的、在中华人民共和国境内合法登记并存续或经有关政府部门批准设立并存续的企业法人、事业法人、社会团体或其他组织</w:t>
      </w:r>
    </w:p>
    <w:p w14:paraId="3EDC1B8E"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20</w:t>
      </w:r>
      <w:r>
        <w:rPr>
          <w:rFonts w:asciiTheme="minorEastAsia" w:hAnsiTheme="minorEastAsia" w:cs="Times New Roman" w:hint="eastAsia"/>
          <w:sz w:val="24"/>
          <w:szCs w:val="24"/>
        </w:rPr>
        <w:t>、合格境外机构投资者：指符合《合格境外机构投资者境内证券投资管理办法》及相关法律法规规定可以投资于在中国境内依法募集的证券投资基金的中国境外的机构投资者</w:t>
      </w:r>
    </w:p>
    <w:p w14:paraId="1D19EF4E"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21</w:t>
      </w:r>
      <w:r>
        <w:rPr>
          <w:rFonts w:asciiTheme="minorEastAsia" w:hAnsiTheme="minorEastAsia" w:cs="Times New Roman" w:hint="eastAsia"/>
          <w:sz w:val="24"/>
          <w:szCs w:val="24"/>
        </w:rPr>
        <w:t>、投资人：指个人投资者、机构投资者和合格境外机构投资者以及法律法规或中国证监会允许购买证券投资基金的其他投资人的合称</w:t>
      </w:r>
    </w:p>
    <w:p w14:paraId="06FE3937"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22</w:t>
      </w:r>
      <w:r>
        <w:rPr>
          <w:rFonts w:asciiTheme="minorEastAsia" w:hAnsiTheme="minorEastAsia" w:cs="Times New Roman" w:hint="eastAsia"/>
          <w:sz w:val="24"/>
          <w:szCs w:val="24"/>
        </w:rPr>
        <w:t>、基金份额持有人：指依基金合同和招募说明书合法取得基金份额的投资人</w:t>
      </w:r>
    </w:p>
    <w:p w14:paraId="61E59718"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23</w:t>
      </w:r>
      <w:r>
        <w:rPr>
          <w:rFonts w:asciiTheme="minorEastAsia" w:hAnsiTheme="minorEastAsia" w:cs="Times New Roman" w:hint="eastAsia"/>
          <w:sz w:val="24"/>
          <w:szCs w:val="24"/>
        </w:rPr>
        <w:t>、基金销售业务：指基金管理人或销售机构宣传推介基金，办理基金份额的申购、赎回、转换、转托管及定期定额投资等业务</w:t>
      </w:r>
    </w:p>
    <w:p w14:paraId="3FE262B0"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24</w:t>
      </w:r>
      <w:r>
        <w:rPr>
          <w:rFonts w:asciiTheme="minorEastAsia" w:hAnsiTheme="minorEastAsia" w:cs="Times New Roman" w:hint="eastAsia"/>
          <w:sz w:val="24"/>
          <w:szCs w:val="24"/>
        </w:rPr>
        <w:t>、销售机构：指富荣基金管理有限公司以及符合《销售办法》和中国证监会规定的其他条件，取得基金销售业务资格并与基金管理人签订了基金销售服务协议，办理基金销售业务的机构</w:t>
      </w:r>
    </w:p>
    <w:p w14:paraId="6AF0D426"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25</w:t>
      </w:r>
      <w:r>
        <w:rPr>
          <w:rFonts w:asciiTheme="minorEastAsia" w:hAnsiTheme="minorEastAsia" w:cs="Times New Roman" w:hint="eastAsia"/>
          <w:sz w:val="24"/>
          <w:szCs w:val="24"/>
        </w:rPr>
        <w:t>、登记业务：指基金登记、存管、过户、清算和结算业务，具体内容包括投资人基金账户的建立和管理、基金份额登记、基金销售业务的确认、清算和结算、代理发放红利、建立并保管基金份额持有人名册和办理非交易过户等</w:t>
      </w:r>
    </w:p>
    <w:p w14:paraId="3407AA52"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26</w:t>
      </w:r>
      <w:r>
        <w:rPr>
          <w:rFonts w:asciiTheme="minorEastAsia" w:hAnsiTheme="minorEastAsia" w:cs="Times New Roman" w:hint="eastAsia"/>
          <w:sz w:val="24"/>
          <w:szCs w:val="24"/>
        </w:rPr>
        <w:t>、登记机构：指办理登记业务的机构。本基金的登记机构为富荣基金管理</w:t>
      </w:r>
      <w:r>
        <w:rPr>
          <w:rFonts w:asciiTheme="minorEastAsia" w:hAnsiTheme="minorEastAsia" w:cs="Times New Roman" w:hint="eastAsia"/>
          <w:sz w:val="24"/>
          <w:szCs w:val="24"/>
        </w:rPr>
        <w:lastRenderedPageBreak/>
        <w:t>有限公司或接受富荣基金管理有限公司委托代为办理登记业务的机构</w:t>
      </w:r>
    </w:p>
    <w:p w14:paraId="251DD0A6"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27</w:t>
      </w:r>
      <w:r>
        <w:rPr>
          <w:rFonts w:asciiTheme="minorEastAsia" w:hAnsiTheme="minorEastAsia" w:cs="Times New Roman" w:hint="eastAsia"/>
          <w:sz w:val="24"/>
          <w:szCs w:val="24"/>
        </w:rPr>
        <w:t>、基金账户：指登记机构为投资人开立的、记录其持有的、基金管理人所管理的基金份额余额及其变动情况的账户</w:t>
      </w:r>
    </w:p>
    <w:p w14:paraId="03DA4760"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28</w:t>
      </w:r>
      <w:r>
        <w:rPr>
          <w:rFonts w:asciiTheme="minorEastAsia" w:hAnsiTheme="minorEastAsia" w:cs="Times New Roman" w:hint="eastAsia"/>
          <w:sz w:val="24"/>
          <w:szCs w:val="24"/>
        </w:rPr>
        <w:t>、基金交易账户：指销售机构为投资人开立的、记录投资人通过该销售机构办理申购、赎回、转换、转托管及定期定额投资等业务而引起的基金份额变动及结余情况的账户</w:t>
      </w:r>
    </w:p>
    <w:p w14:paraId="67F0E3E5"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29</w:t>
      </w:r>
      <w:r>
        <w:rPr>
          <w:rFonts w:asciiTheme="minorEastAsia" w:hAnsiTheme="minorEastAsia" w:cs="Times New Roman" w:hint="eastAsia"/>
          <w:sz w:val="24"/>
          <w:szCs w:val="24"/>
        </w:rPr>
        <w:t>、基金合同生效日：指修订后《富荣沪深300指数增强型证券投资基金基金合同》生效日，原《富荣福泰灵活配置混合型证券投资基金基金合同》自同一日起失效</w:t>
      </w:r>
    </w:p>
    <w:p w14:paraId="1F63C6F9"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30</w:t>
      </w:r>
      <w:r>
        <w:rPr>
          <w:rFonts w:asciiTheme="minorEastAsia" w:hAnsiTheme="minorEastAsia" w:cs="Times New Roman" w:hint="eastAsia"/>
          <w:sz w:val="24"/>
          <w:szCs w:val="24"/>
        </w:rPr>
        <w:t>、基金合同终止日：指基金合同规定的基金合同终止事由出现后，基金财产清算完毕，清算结果报中国证监会备案并予以公告的日期</w:t>
      </w:r>
    </w:p>
    <w:p w14:paraId="51D4FED2"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31</w:t>
      </w:r>
      <w:r>
        <w:rPr>
          <w:rFonts w:asciiTheme="minorEastAsia" w:hAnsiTheme="minorEastAsia" w:cs="Times New Roman" w:hint="eastAsia"/>
          <w:sz w:val="24"/>
          <w:szCs w:val="24"/>
        </w:rPr>
        <w:t>、存续期：指基金合同生效至终止之间的不定期期限</w:t>
      </w:r>
    </w:p>
    <w:p w14:paraId="73409940"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32</w:t>
      </w:r>
      <w:r>
        <w:rPr>
          <w:rFonts w:asciiTheme="minorEastAsia" w:hAnsiTheme="minorEastAsia" w:cs="Times New Roman" w:hint="eastAsia"/>
          <w:sz w:val="24"/>
          <w:szCs w:val="24"/>
        </w:rPr>
        <w:t>、工作日：指上海证券交易所、深圳证券交易所的正常交易日</w:t>
      </w:r>
    </w:p>
    <w:p w14:paraId="104419B9"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33</w:t>
      </w:r>
      <w:r>
        <w:rPr>
          <w:rFonts w:asciiTheme="minorEastAsia" w:hAnsiTheme="minorEastAsia" w:cs="Times New Roman" w:hint="eastAsia"/>
          <w:sz w:val="24"/>
          <w:szCs w:val="24"/>
        </w:rPr>
        <w:t>、</w:t>
      </w:r>
      <w:r>
        <w:rPr>
          <w:rFonts w:asciiTheme="minorEastAsia" w:hAnsiTheme="minorEastAsia" w:cs="Times New Roman"/>
          <w:sz w:val="24"/>
          <w:szCs w:val="24"/>
        </w:rPr>
        <w:t>T</w:t>
      </w:r>
      <w:r>
        <w:rPr>
          <w:rFonts w:asciiTheme="minorEastAsia" w:hAnsiTheme="minorEastAsia" w:cs="Times New Roman" w:hint="eastAsia"/>
          <w:sz w:val="24"/>
          <w:szCs w:val="24"/>
        </w:rPr>
        <w:t>日：指销售机构在规定时间受理投资人申购、赎回或其他业务申请的开放日</w:t>
      </w:r>
    </w:p>
    <w:p w14:paraId="1F9B9039"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34</w:t>
      </w:r>
      <w:r>
        <w:rPr>
          <w:rFonts w:asciiTheme="minorEastAsia" w:hAnsiTheme="minorEastAsia" w:cs="Times New Roman" w:hint="eastAsia"/>
          <w:sz w:val="24"/>
          <w:szCs w:val="24"/>
        </w:rPr>
        <w:t>、</w:t>
      </w:r>
      <w:proofErr w:type="spellStart"/>
      <w:r>
        <w:rPr>
          <w:rFonts w:asciiTheme="minorEastAsia" w:hAnsiTheme="minorEastAsia" w:cs="Times New Roman"/>
          <w:sz w:val="24"/>
          <w:szCs w:val="24"/>
        </w:rPr>
        <w:t>T+n</w:t>
      </w:r>
      <w:proofErr w:type="spellEnd"/>
      <w:r>
        <w:rPr>
          <w:rFonts w:asciiTheme="minorEastAsia" w:hAnsiTheme="minorEastAsia" w:cs="Times New Roman" w:hint="eastAsia"/>
          <w:sz w:val="24"/>
          <w:szCs w:val="24"/>
        </w:rPr>
        <w:t>日：指自</w:t>
      </w:r>
      <w:r>
        <w:rPr>
          <w:rFonts w:asciiTheme="minorEastAsia" w:hAnsiTheme="minorEastAsia" w:cs="Times New Roman"/>
          <w:sz w:val="24"/>
          <w:szCs w:val="24"/>
        </w:rPr>
        <w:t>T</w:t>
      </w:r>
      <w:r>
        <w:rPr>
          <w:rFonts w:asciiTheme="minorEastAsia" w:hAnsiTheme="minorEastAsia" w:cs="Times New Roman" w:hint="eastAsia"/>
          <w:sz w:val="24"/>
          <w:szCs w:val="24"/>
        </w:rPr>
        <w:t>日起第</w:t>
      </w:r>
      <w:r>
        <w:rPr>
          <w:rFonts w:asciiTheme="minorEastAsia" w:hAnsiTheme="minorEastAsia" w:cs="Times New Roman"/>
          <w:sz w:val="24"/>
          <w:szCs w:val="24"/>
        </w:rPr>
        <w:t>n</w:t>
      </w:r>
      <w:r>
        <w:rPr>
          <w:rFonts w:asciiTheme="minorEastAsia" w:hAnsiTheme="minorEastAsia" w:cs="Times New Roman" w:hint="eastAsia"/>
          <w:sz w:val="24"/>
          <w:szCs w:val="24"/>
        </w:rPr>
        <w:t>个工作日（不包含</w:t>
      </w:r>
      <w:r>
        <w:rPr>
          <w:rFonts w:asciiTheme="minorEastAsia" w:hAnsiTheme="minorEastAsia" w:cs="Times New Roman"/>
          <w:sz w:val="24"/>
          <w:szCs w:val="24"/>
        </w:rPr>
        <w:t>T</w:t>
      </w:r>
      <w:r>
        <w:rPr>
          <w:rFonts w:asciiTheme="minorEastAsia" w:hAnsiTheme="minorEastAsia" w:cs="Times New Roman" w:hint="eastAsia"/>
          <w:sz w:val="24"/>
          <w:szCs w:val="24"/>
        </w:rPr>
        <w:t>日）</w:t>
      </w:r>
    </w:p>
    <w:p w14:paraId="2DF88F29"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35</w:t>
      </w:r>
      <w:r>
        <w:rPr>
          <w:rFonts w:asciiTheme="minorEastAsia" w:hAnsiTheme="minorEastAsia" w:cs="Times New Roman" w:hint="eastAsia"/>
          <w:sz w:val="24"/>
          <w:szCs w:val="24"/>
        </w:rPr>
        <w:t>、开放日：指为投资人办理基金份额申购、赎回或其他业务的工作日</w:t>
      </w:r>
    </w:p>
    <w:p w14:paraId="3398D111"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36</w:t>
      </w:r>
      <w:r>
        <w:rPr>
          <w:rFonts w:asciiTheme="minorEastAsia" w:hAnsiTheme="minorEastAsia" w:cs="Times New Roman" w:hint="eastAsia"/>
          <w:sz w:val="24"/>
          <w:szCs w:val="24"/>
        </w:rPr>
        <w:t>、开放时间：指开放日基金接受申购、赎回或其他交易的时间段</w:t>
      </w:r>
    </w:p>
    <w:p w14:paraId="0899435C"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37</w:t>
      </w:r>
      <w:r>
        <w:rPr>
          <w:rFonts w:asciiTheme="minorEastAsia" w:hAnsiTheme="minorEastAsia" w:cs="Times New Roman" w:hint="eastAsia"/>
          <w:sz w:val="24"/>
          <w:szCs w:val="24"/>
        </w:rPr>
        <w:t>、《业务规则》：指《富荣基金管理有限公司开放式基金业务规则》，是规范基金管理人所管理的开放式证券投资基金登记方面的业务规则，由基金管理人和投资人共同遵守</w:t>
      </w:r>
    </w:p>
    <w:p w14:paraId="7AB9CD27"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38</w:t>
      </w:r>
      <w:r>
        <w:rPr>
          <w:rFonts w:asciiTheme="minorEastAsia" w:hAnsiTheme="minorEastAsia" w:cs="Times New Roman" w:hint="eastAsia"/>
          <w:sz w:val="24"/>
          <w:szCs w:val="24"/>
        </w:rPr>
        <w:t>、申购：指基金合同生效后，投资人根据基金合同和招募说明书的规定申请购买基金份额的行为</w:t>
      </w:r>
    </w:p>
    <w:p w14:paraId="45003BDE"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39</w:t>
      </w:r>
      <w:r>
        <w:rPr>
          <w:rFonts w:asciiTheme="minorEastAsia" w:hAnsiTheme="minorEastAsia" w:cs="Times New Roman" w:hint="eastAsia"/>
          <w:sz w:val="24"/>
          <w:szCs w:val="24"/>
        </w:rPr>
        <w:t>、赎回：指基金合同生效后，基金份额持有人按基金合同和招募说明书规定的条件要求将基金份额兑换为现金的行为</w:t>
      </w:r>
    </w:p>
    <w:p w14:paraId="3505804D"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40</w:t>
      </w:r>
      <w:r>
        <w:rPr>
          <w:rFonts w:asciiTheme="minorEastAsia" w:hAnsiTheme="minorEastAsia" w:cs="Times New Roman" w:hint="eastAsia"/>
          <w:sz w:val="24"/>
          <w:szCs w:val="24"/>
        </w:rPr>
        <w:t>、基金转换：指基金份额持有人按照基金合同和基金管理人届时有效公告规定的条件，申请将其持有基金管理人管理的、某一基金的基金份额转换为基金管理人管理的其他基金基金份额的行为</w:t>
      </w:r>
    </w:p>
    <w:p w14:paraId="2F17DCD8"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41</w:t>
      </w:r>
      <w:r>
        <w:rPr>
          <w:rFonts w:asciiTheme="minorEastAsia" w:hAnsiTheme="minorEastAsia" w:cs="Times New Roman" w:hint="eastAsia"/>
          <w:sz w:val="24"/>
          <w:szCs w:val="24"/>
        </w:rPr>
        <w:t>、转托管：指基金份额持有人在本基金的不同销售机构之间实施的变更所</w:t>
      </w:r>
      <w:r>
        <w:rPr>
          <w:rFonts w:asciiTheme="minorEastAsia" w:hAnsiTheme="minorEastAsia" w:cs="Times New Roman" w:hint="eastAsia"/>
          <w:sz w:val="24"/>
          <w:szCs w:val="24"/>
        </w:rPr>
        <w:lastRenderedPageBreak/>
        <w:t>持基金份额销售机构的操作</w:t>
      </w:r>
    </w:p>
    <w:p w14:paraId="41802043"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42</w:t>
      </w:r>
      <w:r>
        <w:rPr>
          <w:rFonts w:asciiTheme="minorEastAsia" w:hAnsiTheme="minorEastAsia" w:cs="Times New Roman" w:hint="eastAsia"/>
          <w:sz w:val="24"/>
          <w:szCs w:val="24"/>
        </w:rPr>
        <w:t>、定期定额投资计划：指投资人通过有关销售机构提出申请，约定每期申购日、扣款金额及扣款方式，由销售机构于每期约定扣款日在投资人指定银行账户内自动完成扣款及受理基金申购申请的一种投资方式</w:t>
      </w:r>
    </w:p>
    <w:p w14:paraId="6B62835A"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43</w:t>
      </w:r>
      <w:r>
        <w:rPr>
          <w:rFonts w:asciiTheme="minorEastAsia" w:hAnsiTheme="minorEastAsia" w:cs="Times New Roman" w:hint="eastAsia"/>
          <w:sz w:val="24"/>
          <w:szCs w:val="24"/>
        </w:rPr>
        <w:t>、巨额赎回：指本基金单个开放日，基金净赎回申请（赎回申请份额总数加上基金转换中转出申请份额总数后扣除申购申请份额总数及基金转换中转入申请份额总数后的余额）超过上一开放日基金总份额的</w:t>
      </w:r>
      <w:r>
        <w:rPr>
          <w:rFonts w:asciiTheme="minorEastAsia" w:hAnsiTheme="minorEastAsia" w:cs="Times New Roman"/>
          <w:sz w:val="24"/>
          <w:szCs w:val="24"/>
        </w:rPr>
        <w:t>10%</w:t>
      </w:r>
    </w:p>
    <w:p w14:paraId="3D560BCE" w14:textId="77777777" w:rsidR="003568C2" w:rsidRDefault="00695B03">
      <w:pPr>
        <w:adjustRightInd w:val="0"/>
        <w:snapToGrid w:val="0"/>
        <w:spacing w:line="360" w:lineRule="auto"/>
        <w:ind w:left="420"/>
        <w:rPr>
          <w:rFonts w:asciiTheme="minorEastAsia" w:hAnsiTheme="minorEastAsia" w:cs="Times New Roman"/>
          <w:sz w:val="24"/>
          <w:szCs w:val="24"/>
        </w:rPr>
      </w:pPr>
      <w:r>
        <w:rPr>
          <w:rFonts w:asciiTheme="minorEastAsia" w:hAnsiTheme="minorEastAsia" w:cs="Times New Roman"/>
          <w:sz w:val="24"/>
          <w:szCs w:val="24"/>
        </w:rPr>
        <w:t>44</w:t>
      </w:r>
      <w:r>
        <w:rPr>
          <w:rFonts w:asciiTheme="minorEastAsia" w:hAnsiTheme="minorEastAsia" w:cs="Times New Roman" w:hint="eastAsia"/>
          <w:sz w:val="24"/>
          <w:szCs w:val="24"/>
        </w:rPr>
        <w:t>、元：指人民币元</w:t>
      </w:r>
    </w:p>
    <w:p w14:paraId="290FBE45"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w:t>
      </w:r>
      <w:r>
        <w:rPr>
          <w:rFonts w:asciiTheme="minorEastAsia" w:hAnsiTheme="minorEastAsia" w:cs="Times New Roman"/>
          <w:sz w:val="24"/>
          <w:szCs w:val="24"/>
        </w:rPr>
        <w:t>5</w:t>
      </w:r>
      <w:r>
        <w:rPr>
          <w:rFonts w:asciiTheme="minorEastAsia" w:hAnsiTheme="minorEastAsia" w:cs="Times New Roman" w:hint="eastAsia"/>
          <w:sz w:val="24"/>
          <w:szCs w:val="24"/>
        </w:rPr>
        <w:t>、基金收益：指基金投资所得红利、股息、债券利息、买卖证券价差、银行存款利息、已实现的其他合法收入及因运用基金财产带来的成本和费用的节约</w:t>
      </w:r>
    </w:p>
    <w:p w14:paraId="5C032E23"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46</w:t>
      </w:r>
      <w:r>
        <w:rPr>
          <w:rFonts w:asciiTheme="minorEastAsia" w:hAnsiTheme="minorEastAsia" w:cs="Times New Roman" w:hint="eastAsia"/>
          <w:sz w:val="24"/>
          <w:szCs w:val="24"/>
        </w:rPr>
        <w:t>、销售服务费：指本基金用于持续销售和服务基金份额持有人的费用，该笔费用从C类份额的基金财产中计提，属于基金的营运费用</w:t>
      </w:r>
    </w:p>
    <w:p w14:paraId="010DE317"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w:t>
      </w:r>
      <w:r>
        <w:rPr>
          <w:rFonts w:asciiTheme="minorEastAsia" w:hAnsiTheme="minorEastAsia" w:cs="Times New Roman"/>
          <w:sz w:val="24"/>
          <w:szCs w:val="24"/>
        </w:rPr>
        <w:t>7</w:t>
      </w:r>
      <w:r>
        <w:rPr>
          <w:rFonts w:asciiTheme="minorEastAsia" w:hAnsiTheme="minorEastAsia" w:cs="Times New Roman" w:hint="eastAsia"/>
          <w:sz w:val="24"/>
          <w:szCs w:val="24"/>
        </w:rPr>
        <w:t>、标的指数：指沪深300指数</w:t>
      </w:r>
    </w:p>
    <w:p w14:paraId="0CCD8BD3"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w:t>
      </w:r>
      <w:r>
        <w:rPr>
          <w:rFonts w:asciiTheme="minorEastAsia" w:hAnsiTheme="minorEastAsia" w:cs="Times New Roman"/>
          <w:sz w:val="24"/>
          <w:szCs w:val="24"/>
        </w:rPr>
        <w:t>8</w:t>
      </w:r>
      <w:r>
        <w:rPr>
          <w:rFonts w:asciiTheme="minorEastAsia" w:hAnsiTheme="minorEastAsia" w:cs="Times New Roman" w:hint="eastAsia"/>
          <w:sz w:val="24"/>
          <w:szCs w:val="24"/>
        </w:rPr>
        <w:t>、基金份额的类别：指本基金根据</w:t>
      </w:r>
      <w:r>
        <w:rPr>
          <w:rFonts w:hint="eastAsia"/>
          <w:bCs/>
          <w:sz w:val="24"/>
          <w:szCs w:val="24"/>
        </w:rPr>
        <w:t>申购费用与</w:t>
      </w:r>
      <w:r>
        <w:rPr>
          <w:rFonts w:asciiTheme="minorEastAsia" w:hAnsiTheme="minorEastAsia" w:cs="Times New Roman" w:hint="eastAsia"/>
          <w:sz w:val="24"/>
          <w:szCs w:val="24"/>
        </w:rPr>
        <w:t>销售服务费收取方式的不同，将基金份额分为不同的类别</w:t>
      </w:r>
    </w:p>
    <w:p w14:paraId="4479E669"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w:t>
      </w:r>
      <w:r>
        <w:rPr>
          <w:rFonts w:asciiTheme="minorEastAsia" w:hAnsiTheme="minorEastAsia" w:cs="Times New Roman"/>
          <w:sz w:val="24"/>
          <w:szCs w:val="24"/>
        </w:rPr>
        <w:t>9</w:t>
      </w:r>
      <w:r>
        <w:rPr>
          <w:rFonts w:asciiTheme="minorEastAsia" w:hAnsiTheme="minorEastAsia" w:cs="Times New Roman" w:hint="eastAsia"/>
          <w:sz w:val="24"/>
          <w:szCs w:val="24"/>
        </w:rPr>
        <w:t>、</w:t>
      </w:r>
      <w:r>
        <w:rPr>
          <w:rFonts w:asciiTheme="minorEastAsia" w:hAnsiTheme="minorEastAsia" w:cs="Times New Roman"/>
          <w:sz w:val="24"/>
          <w:szCs w:val="24"/>
        </w:rPr>
        <w:t>A</w:t>
      </w:r>
      <w:r>
        <w:rPr>
          <w:rFonts w:asciiTheme="minorEastAsia" w:hAnsiTheme="minorEastAsia" w:cs="Times New Roman" w:hint="eastAsia"/>
          <w:sz w:val="24"/>
          <w:szCs w:val="24"/>
        </w:rPr>
        <w:t>类基金份额：</w:t>
      </w:r>
      <w:r>
        <w:rPr>
          <w:rFonts w:hint="eastAsia"/>
          <w:bCs/>
          <w:sz w:val="24"/>
          <w:szCs w:val="24"/>
        </w:rPr>
        <w:t>指在投资者申购时收取前端申购费用，在赎回时根据持有期限收取赎回费用的基金份额</w:t>
      </w:r>
      <w:r>
        <w:rPr>
          <w:bCs/>
          <w:sz w:val="24"/>
          <w:szCs w:val="24"/>
        </w:rPr>
        <w:t>，</w:t>
      </w:r>
      <w:r>
        <w:rPr>
          <w:rFonts w:hint="eastAsia"/>
          <w:bCs/>
          <w:sz w:val="24"/>
          <w:szCs w:val="24"/>
        </w:rPr>
        <w:t>而不</w:t>
      </w:r>
      <w:r>
        <w:rPr>
          <w:bCs/>
          <w:sz w:val="24"/>
          <w:szCs w:val="24"/>
        </w:rPr>
        <w:t>从本类别基金资产中计提销售服务费的基金份额</w:t>
      </w:r>
      <w:r>
        <w:rPr>
          <w:rFonts w:hint="eastAsia"/>
          <w:bCs/>
          <w:sz w:val="24"/>
          <w:szCs w:val="24"/>
        </w:rPr>
        <w:t>类别</w:t>
      </w:r>
    </w:p>
    <w:p w14:paraId="13891770"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50</w:t>
      </w:r>
      <w:r>
        <w:rPr>
          <w:rFonts w:asciiTheme="minorEastAsia" w:hAnsiTheme="minorEastAsia" w:cs="Times New Roman" w:hint="eastAsia"/>
          <w:sz w:val="24"/>
          <w:szCs w:val="24"/>
        </w:rPr>
        <w:t>、</w:t>
      </w:r>
      <w:r>
        <w:rPr>
          <w:rFonts w:asciiTheme="minorEastAsia" w:hAnsiTheme="minorEastAsia" w:cs="Times New Roman"/>
          <w:sz w:val="24"/>
          <w:szCs w:val="24"/>
        </w:rPr>
        <w:t>C</w:t>
      </w:r>
      <w:r>
        <w:rPr>
          <w:rFonts w:asciiTheme="minorEastAsia" w:hAnsiTheme="minorEastAsia" w:cs="Times New Roman" w:hint="eastAsia"/>
          <w:sz w:val="24"/>
          <w:szCs w:val="24"/>
        </w:rPr>
        <w:t>类基金份额：</w:t>
      </w:r>
      <w:r>
        <w:rPr>
          <w:rFonts w:hint="eastAsia"/>
          <w:bCs/>
          <w:sz w:val="24"/>
          <w:szCs w:val="24"/>
        </w:rPr>
        <w:t>指在投资者申购时不收取前端申购费用，在赎回时根据持有期限收取赎回费用，且从本类别基金资产中计提销售服务费的基金份额类别</w:t>
      </w:r>
    </w:p>
    <w:p w14:paraId="0D54D1D9"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51</w:t>
      </w:r>
      <w:r>
        <w:rPr>
          <w:rFonts w:asciiTheme="minorEastAsia" w:hAnsiTheme="minorEastAsia" w:cs="Times New Roman" w:hint="eastAsia"/>
          <w:sz w:val="24"/>
          <w:szCs w:val="24"/>
        </w:rPr>
        <w:t>、基金资产总值：指基金拥有的各类有价证券、银行存款本息、基金应收申购款及其他资产的价值总和</w:t>
      </w:r>
    </w:p>
    <w:p w14:paraId="0A03211E"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w:t>
      </w:r>
      <w:r>
        <w:rPr>
          <w:rFonts w:asciiTheme="minorEastAsia" w:hAnsiTheme="minorEastAsia" w:cs="Times New Roman"/>
          <w:sz w:val="24"/>
          <w:szCs w:val="24"/>
        </w:rPr>
        <w:t>2</w:t>
      </w:r>
      <w:r>
        <w:rPr>
          <w:rFonts w:asciiTheme="minorEastAsia" w:hAnsiTheme="minorEastAsia" w:cs="Times New Roman" w:hint="eastAsia"/>
          <w:sz w:val="24"/>
          <w:szCs w:val="24"/>
        </w:rPr>
        <w:t>、基金资产净值：指基金资产总值减去基金负债后的价值</w:t>
      </w:r>
    </w:p>
    <w:p w14:paraId="351A209D"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w:t>
      </w:r>
      <w:r>
        <w:rPr>
          <w:rFonts w:asciiTheme="minorEastAsia" w:hAnsiTheme="minorEastAsia" w:cs="Times New Roman"/>
          <w:sz w:val="24"/>
          <w:szCs w:val="24"/>
        </w:rPr>
        <w:t>3</w:t>
      </w:r>
      <w:r>
        <w:rPr>
          <w:rFonts w:asciiTheme="minorEastAsia" w:hAnsiTheme="minorEastAsia" w:cs="Times New Roman" w:hint="eastAsia"/>
          <w:sz w:val="24"/>
          <w:szCs w:val="24"/>
        </w:rPr>
        <w:t>、基金份额净值：指计算日基金资产净值除以计算日基金份额总数</w:t>
      </w:r>
    </w:p>
    <w:p w14:paraId="46620106"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w:t>
      </w:r>
      <w:r>
        <w:rPr>
          <w:rFonts w:asciiTheme="minorEastAsia" w:hAnsiTheme="minorEastAsia" w:cs="Times New Roman"/>
          <w:sz w:val="24"/>
          <w:szCs w:val="24"/>
        </w:rPr>
        <w:t>4</w:t>
      </w:r>
      <w:r>
        <w:rPr>
          <w:rFonts w:asciiTheme="minorEastAsia" w:hAnsiTheme="minorEastAsia" w:cs="Times New Roman" w:hint="eastAsia"/>
          <w:sz w:val="24"/>
          <w:szCs w:val="24"/>
        </w:rPr>
        <w:t>、基金资产估值：指计算评估基金资产和负债的价值，以确定基金资产净值和基金份额净值的过程</w:t>
      </w:r>
    </w:p>
    <w:p w14:paraId="38CE22CA" w14:textId="77777777" w:rsidR="003568C2" w:rsidRDefault="00695B03">
      <w:pPr>
        <w:spacing w:line="360" w:lineRule="auto"/>
        <w:ind w:firstLineChars="200" w:firstLine="480"/>
        <w:rPr>
          <w:bCs/>
          <w:sz w:val="24"/>
          <w:szCs w:val="24"/>
        </w:rPr>
      </w:pPr>
      <w:r>
        <w:rPr>
          <w:bCs/>
          <w:sz w:val="24"/>
          <w:szCs w:val="24"/>
        </w:rPr>
        <w:t>55</w:t>
      </w:r>
      <w:r>
        <w:rPr>
          <w:rFonts w:hint="eastAsia"/>
          <w:bCs/>
          <w:sz w:val="24"/>
          <w:szCs w:val="24"/>
        </w:rPr>
        <w:t>、流动性受限资产：是指由于法律法规、监管、合同或操作障碍等原因无法以合理价格予以变现的资产，包括但不限于到期日在</w:t>
      </w:r>
      <w:r>
        <w:rPr>
          <w:rFonts w:hint="eastAsia"/>
          <w:bCs/>
          <w:sz w:val="24"/>
          <w:szCs w:val="24"/>
        </w:rPr>
        <w:t xml:space="preserve">10 </w:t>
      </w:r>
      <w:r>
        <w:rPr>
          <w:rFonts w:hint="eastAsia"/>
          <w:bCs/>
          <w:sz w:val="24"/>
          <w:szCs w:val="24"/>
        </w:rPr>
        <w:t>个交易日以上的逆回购与银行定期存款（含协议约定有条件提前支取的银行存款）、停牌股票、流通</w:t>
      </w:r>
      <w:r>
        <w:rPr>
          <w:rFonts w:hint="eastAsia"/>
          <w:bCs/>
          <w:sz w:val="24"/>
          <w:szCs w:val="24"/>
        </w:rPr>
        <w:lastRenderedPageBreak/>
        <w:t>受限的新股及非公开发行股票、资产支持证券、因发行人债务违约无法进行转让或交易的债券等</w:t>
      </w:r>
    </w:p>
    <w:p w14:paraId="57197087" w14:textId="77777777" w:rsidR="003568C2" w:rsidRDefault="00695B03">
      <w:pPr>
        <w:spacing w:line="360" w:lineRule="auto"/>
        <w:ind w:firstLineChars="200" w:firstLine="480"/>
        <w:rPr>
          <w:bCs/>
          <w:sz w:val="24"/>
          <w:szCs w:val="24"/>
        </w:rPr>
      </w:pPr>
      <w:r>
        <w:rPr>
          <w:bCs/>
          <w:sz w:val="24"/>
          <w:szCs w:val="24"/>
        </w:rPr>
        <w:t>56</w:t>
      </w:r>
      <w:r>
        <w:rPr>
          <w:rFonts w:hint="eastAsia"/>
          <w:bCs/>
          <w:sz w:val="24"/>
          <w:szCs w:val="24"/>
        </w:rPr>
        <w:t>、摆动定价机制：是指当开放式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14:paraId="05FEE062" w14:textId="77777777" w:rsidR="003568C2" w:rsidRDefault="00695B03">
      <w:pPr>
        <w:spacing w:line="360" w:lineRule="auto"/>
        <w:ind w:firstLineChars="200" w:firstLine="460"/>
        <w:rPr>
          <w:bCs/>
          <w:sz w:val="24"/>
          <w:szCs w:val="24"/>
        </w:rPr>
      </w:pPr>
      <w:r>
        <w:rPr>
          <w:kern w:val="0"/>
          <w:sz w:val="23"/>
          <w:szCs w:val="23"/>
        </w:rPr>
        <w:t>57</w:t>
      </w:r>
      <w:r>
        <w:rPr>
          <w:rFonts w:hint="eastAsia"/>
          <w:bCs/>
          <w:sz w:val="24"/>
          <w:szCs w:val="24"/>
        </w:rPr>
        <w:t>、</w:t>
      </w:r>
      <w:r>
        <w:rPr>
          <w:bCs/>
          <w:sz w:val="24"/>
          <w:szCs w:val="24"/>
        </w:rPr>
        <w:t>指定媒</w:t>
      </w:r>
      <w:r>
        <w:rPr>
          <w:rFonts w:hint="eastAsia"/>
          <w:bCs/>
          <w:sz w:val="24"/>
          <w:szCs w:val="24"/>
        </w:rPr>
        <w:t>介</w:t>
      </w:r>
      <w:r>
        <w:rPr>
          <w:bCs/>
          <w:sz w:val="24"/>
          <w:szCs w:val="24"/>
        </w:rPr>
        <w:t>：</w:t>
      </w:r>
      <w:r>
        <w:rPr>
          <w:rFonts w:hint="eastAsia"/>
          <w:bCs/>
          <w:sz w:val="24"/>
          <w:szCs w:val="24"/>
        </w:rPr>
        <w:t>指中国证监会指定的用以进行信息披露的全国性报刊及指定互联网网站（包括基金管理人网站、基金托管人网站、中国证监会基金电子披露网站）等媒介</w:t>
      </w:r>
    </w:p>
    <w:p w14:paraId="1DF2D450" w14:textId="77777777" w:rsidR="003568C2" w:rsidRDefault="00695B03">
      <w:pPr>
        <w:spacing w:line="360" w:lineRule="auto"/>
        <w:ind w:firstLineChars="200" w:firstLine="480"/>
        <w:rPr>
          <w:bCs/>
          <w:sz w:val="24"/>
          <w:szCs w:val="24"/>
        </w:rPr>
      </w:pPr>
      <w:r>
        <w:rPr>
          <w:bCs/>
          <w:sz w:val="24"/>
          <w:szCs w:val="24"/>
        </w:rPr>
        <w:t>58</w:t>
      </w:r>
      <w:r>
        <w:rPr>
          <w:rFonts w:hint="eastAsia"/>
          <w:bCs/>
          <w:sz w:val="24"/>
          <w:szCs w:val="24"/>
        </w:rPr>
        <w:t>、</w:t>
      </w:r>
      <w:r>
        <w:rPr>
          <w:bCs/>
          <w:sz w:val="24"/>
          <w:szCs w:val="24"/>
        </w:rPr>
        <w:t>不可抗力：指本</w:t>
      </w:r>
      <w:r>
        <w:rPr>
          <w:rFonts w:hint="eastAsia"/>
          <w:bCs/>
          <w:sz w:val="24"/>
          <w:szCs w:val="24"/>
        </w:rPr>
        <w:t>基金</w:t>
      </w:r>
      <w:r>
        <w:rPr>
          <w:bCs/>
          <w:sz w:val="24"/>
          <w:szCs w:val="24"/>
        </w:rPr>
        <w:t>合同当事人不能预见、不能避免且不能克服的客观事件</w:t>
      </w:r>
      <w:bookmarkStart w:id="64" w:name="_Toc263092311"/>
      <w:bookmarkStart w:id="65" w:name="_Toc416264539"/>
      <w:bookmarkStart w:id="66" w:name="_Toc352229749"/>
      <w:bookmarkStart w:id="67" w:name="_Toc24682"/>
      <w:bookmarkStart w:id="68" w:name="_Toc410197817"/>
      <w:bookmarkStart w:id="69" w:name="_Toc7151"/>
      <w:bookmarkStart w:id="70" w:name="_Toc90742688"/>
      <w:bookmarkStart w:id="71" w:name="_Toc22074"/>
      <w:bookmarkStart w:id="72" w:name="_Toc29948"/>
      <w:bookmarkStart w:id="73" w:name="_Toc90742321"/>
      <w:bookmarkStart w:id="74" w:name="_Toc27189"/>
      <w:bookmarkStart w:id="75" w:name="_Toc90742390"/>
      <w:bookmarkStart w:id="76" w:name="_Toc29784"/>
      <w:bookmarkStart w:id="77" w:name="_Toc15203"/>
      <w:bookmarkStart w:id="78" w:name="_Toc27226"/>
      <w:bookmarkStart w:id="79" w:name="_Toc6714"/>
      <w:bookmarkStart w:id="80" w:name="_Toc3266"/>
      <w:bookmarkStart w:id="81" w:name="_Toc16265"/>
      <w:bookmarkEnd w:id="49"/>
      <w:bookmarkEnd w:id="50"/>
      <w:bookmarkEnd w:id="51"/>
      <w:bookmarkEnd w:id="52"/>
      <w:bookmarkEnd w:id="53"/>
      <w:bookmarkEnd w:id="54"/>
      <w:bookmarkEnd w:id="55"/>
      <w:bookmarkEnd w:id="56"/>
      <w:bookmarkEnd w:id="57"/>
      <w:bookmarkEnd w:id="58"/>
      <w:bookmarkEnd w:id="59"/>
      <w:bookmarkEnd w:id="60"/>
      <w:r>
        <w:rPr>
          <w:bCs/>
          <w:sz w:val="24"/>
          <w:szCs w:val="24"/>
        </w:rPr>
        <w:br w:type="page"/>
      </w:r>
    </w:p>
    <w:p w14:paraId="07C7CA32" w14:textId="77777777" w:rsidR="003568C2" w:rsidRDefault="00695B03">
      <w:pPr>
        <w:pStyle w:val="1"/>
        <w:jc w:val="center"/>
        <w:rPr>
          <w:sz w:val="30"/>
          <w:szCs w:val="30"/>
        </w:rPr>
      </w:pPr>
      <w:bookmarkStart w:id="82" w:name="_Toc15892916"/>
      <w:r>
        <w:rPr>
          <w:rFonts w:hint="eastAsia"/>
          <w:sz w:val="30"/>
          <w:szCs w:val="30"/>
        </w:rPr>
        <w:lastRenderedPageBreak/>
        <w:t>第三部分</w:t>
      </w:r>
      <w:r>
        <w:rPr>
          <w:sz w:val="30"/>
          <w:szCs w:val="30"/>
        </w:rPr>
        <w:t xml:space="preserve">  </w:t>
      </w:r>
      <w:r>
        <w:rPr>
          <w:rFonts w:hint="eastAsia"/>
          <w:sz w:val="30"/>
          <w:szCs w:val="30"/>
        </w:rPr>
        <w:t>基金管理人</w:t>
      </w:r>
      <w:bookmarkEnd w:id="64"/>
      <w:bookmarkEnd w:id="65"/>
      <w:bookmarkEnd w:id="82"/>
    </w:p>
    <w:p w14:paraId="16A49E6F" w14:textId="77777777" w:rsidR="003568C2" w:rsidRDefault="00695B03">
      <w:pPr>
        <w:spacing w:line="360" w:lineRule="auto"/>
        <w:ind w:firstLineChars="200" w:firstLine="482"/>
        <w:rPr>
          <w:rFonts w:asciiTheme="minorEastAsia" w:hAnsiTheme="minorEastAsia" w:cs="Times New Roman"/>
          <w:b/>
          <w:kern w:val="0"/>
          <w:sz w:val="24"/>
          <w:szCs w:val="24"/>
        </w:rPr>
      </w:pPr>
      <w:r>
        <w:rPr>
          <w:rFonts w:asciiTheme="minorEastAsia" w:hAnsiTheme="minorEastAsia" w:cs="Times New Roman" w:hint="eastAsia"/>
          <w:b/>
          <w:kern w:val="0"/>
          <w:sz w:val="24"/>
          <w:szCs w:val="24"/>
        </w:rPr>
        <w:t>一、基金管理人概况</w:t>
      </w:r>
    </w:p>
    <w:p w14:paraId="445EB9A1" w14:textId="77777777" w:rsidR="003568C2" w:rsidRDefault="00695B0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名称：富荣基金管理有限公司</w:t>
      </w:r>
    </w:p>
    <w:p w14:paraId="01041CE6" w14:textId="77777777" w:rsidR="003568C2" w:rsidRDefault="00695B0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住所：广州市南沙区海滨路171号南沙金融大厦11楼1101之一J20室</w:t>
      </w:r>
    </w:p>
    <w:p w14:paraId="15D55B01" w14:textId="77777777" w:rsidR="003568C2" w:rsidRDefault="00695B03">
      <w:pPr>
        <w:spacing w:line="360" w:lineRule="auto"/>
        <w:ind w:firstLineChars="200" w:firstLine="480"/>
        <w:rPr>
          <w:rFonts w:asciiTheme="minorEastAsia" w:hAnsiTheme="minorEastAsia" w:cs="Times New Roman"/>
          <w:color w:val="FF0000"/>
          <w:kern w:val="0"/>
          <w:sz w:val="24"/>
          <w:szCs w:val="24"/>
        </w:rPr>
      </w:pPr>
      <w:r>
        <w:rPr>
          <w:rFonts w:asciiTheme="minorEastAsia" w:hAnsiTheme="minorEastAsia" w:cs="Times New Roman" w:hint="eastAsia"/>
          <w:kern w:val="0"/>
          <w:sz w:val="24"/>
          <w:szCs w:val="24"/>
        </w:rPr>
        <w:t>办公地址：广东省深圳市福田区八卦四路52号安吉尔大厦24层</w:t>
      </w:r>
    </w:p>
    <w:p w14:paraId="3510F8BA" w14:textId="77777777" w:rsidR="003568C2" w:rsidRDefault="00695B0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法定代表人：杨小舟</w:t>
      </w:r>
    </w:p>
    <w:p w14:paraId="6722C1DC" w14:textId="77777777" w:rsidR="003568C2" w:rsidRDefault="00695B0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成立时间：2016年1月25日</w:t>
      </w:r>
    </w:p>
    <w:p w14:paraId="3B7405A7" w14:textId="77777777" w:rsidR="003568C2" w:rsidRDefault="00695B0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注册资本：2亿元人民币</w:t>
      </w:r>
    </w:p>
    <w:p w14:paraId="6D09A90A" w14:textId="77777777" w:rsidR="003568C2" w:rsidRDefault="00695B0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存续期间：持续经营</w:t>
      </w:r>
    </w:p>
    <w:p w14:paraId="26A6C884" w14:textId="77777777" w:rsidR="003568C2" w:rsidRDefault="00695B0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联系人：蔡晓忠</w:t>
      </w:r>
    </w:p>
    <w:p w14:paraId="6767285F" w14:textId="321707FD" w:rsidR="003568C2" w:rsidRDefault="00695B0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联系电话：0755-</w:t>
      </w:r>
      <w:r w:rsidR="00AF7038">
        <w:rPr>
          <w:rFonts w:asciiTheme="minorEastAsia" w:hAnsiTheme="minorEastAsia" w:cs="Times New Roman" w:hint="eastAsia"/>
          <w:kern w:val="0"/>
          <w:sz w:val="24"/>
          <w:szCs w:val="24"/>
        </w:rPr>
        <w:t>84356633</w:t>
      </w:r>
    </w:p>
    <w:p w14:paraId="7B84BC18" w14:textId="77777777" w:rsidR="003568C2" w:rsidRDefault="00695B0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传    真：0755-83230787</w:t>
      </w:r>
    </w:p>
    <w:p w14:paraId="2E30E107" w14:textId="77777777" w:rsidR="003568C2" w:rsidRDefault="00695B03">
      <w:pPr>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 xml:space="preserve">股权结构：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3568C2" w14:paraId="7144338E"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24358A35" w14:textId="77777777" w:rsidR="003568C2" w:rsidRDefault="00695B03">
            <w:pPr>
              <w:spacing w:line="360" w:lineRule="auto"/>
              <w:jc w:val="center"/>
              <w:rPr>
                <w:rFonts w:asciiTheme="minorEastAsia" w:hAnsiTheme="minorEastAsia" w:cs="Arial"/>
                <w:b/>
                <w:kern w:val="0"/>
                <w:sz w:val="24"/>
                <w:szCs w:val="24"/>
              </w:rPr>
            </w:pPr>
            <w:r>
              <w:rPr>
                <w:rFonts w:asciiTheme="minorEastAsia" w:hAnsiTheme="minorEastAsia" w:cs="Arial" w:hint="eastAsia"/>
                <w:b/>
                <w:kern w:val="0"/>
                <w:sz w:val="24"/>
                <w:szCs w:val="24"/>
              </w:rPr>
              <w:t>股东名称</w:t>
            </w:r>
          </w:p>
        </w:tc>
        <w:tc>
          <w:tcPr>
            <w:tcW w:w="1275" w:type="dxa"/>
            <w:tcBorders>
              <w:top w:val="single" w:sz="4" w:space="0" w:color="auto"/>
              <w:left w:val="single" w:sz="4" w:space="0" w:color="auto"/>
              <w:bottom w:val="single" w:sz="4" w:space="0" w:color="auto"/>
              <w:right w:val="single" w:sz="4" w:space="0" w:color="auto"/>
            </w:tcBorders>
            <w:vAlign w:val="center"/>
          </w:tcPr>
          <w:p w14:paraId="3503E3BA" w14:textId="77777777" w:rsidR="003568C2" w:rsidRDefault="00695B03">
            <w:pPr>
              <w:spacing w:line="360" w:lineRule="auto"/>
              <w:jc w:val="center"/>
              <w:rPr>
                <w:rFonts w:asciiTheme="minorEastAsia" w:hAnsiTheme="minorEastAsia" w:cs="Arial"/>
                <w:b/>
                <w:kern w:val="0"/>
                <w:sz w:val="24"/>
                <w:szCs w:val="24"/>
              </w:rPr>
            </w:pPr>
            <w:r>
              <w:rPr>
                <w:rFonts w:asciiTheme="minorEastAsia" w:hAnsiTheme="minorEastAsia" w:cs="Arial" w:hint="eastAsia"/>
                <w:b/>
                <w:kern w:val="0"/>
                <w:sz w:val="24"/>
                <w:szCs w:val="24"/>
              </w:rPr>
              <w:t>出资比例</w:t>
            </w:r>
          </w:p>
        </w:tc>
      </w:tr>
      <w:tr w:rsidR="003568C2" w14:paraId="2F645E2B"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607AB862" w14:textId="77777777" w:rsidR="003568C2" w:rsidRDefault="00695B03">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5F0073B9" w14:textId="77777777" w:rsidR="003568C2" w:rsidRDefault="00695B03">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50%</w:t>
            </w:r>
          </w:p>
        </w:tc>
      </w:tr>
      <w:tr w:rsidR="003568C2" w14:paraId="26C598FD"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387D68EB" w14:textId="77777777" w:rsidR="003568C2" w:rsidRDefault="00695B03">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3E2EDC48" w14:textId="77777777" w:rsidR="003568C2" w:rsidRDefault="00695B03">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45.1%</w:t>
            </w:r>
          </w:p>
        </w:tc>
      </w:tr>
      <w:tr w:rsidR="003568C2" w14:paraId="1F7ADBEA"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058AEBCB" w14:textId="77777777" w:rsidR="003568C2" w:rsidRDefault="00695B03">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湖南省典勤投资开发有限公司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3D8481F8" w14:textId="77777777" w:rsidR="003568C2" w:rsidRDefault="00695B03">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4.9%</w:t>
            </w:r>
          </w:p>
        </w:tc>
      </w:tr>
    </w:tbl>
    <w:p w14:paraId="47536B29" w14:textId="77777777" w:rsidR="003568C2" w:rsidRDefault="003568C2">
      <w:pPr>
        <w:adjustRightInd w:val="0"/>
        <w:snapToGrid w:val="0"/>
        <w:spacing w:line="360" w:lineRule="auto"/>
        <w:ind w:firstLineChars="200" w:firstLine="480"/>
        <w:rPr>
          <w:rFonts w:asciiTheme="minorEastAsia" w:hAnsiTheme="minorEastAsia" w:cs="Arial"/>
          <w:kern w:val="0"/>
          <w:sz w:val="24"/>
          <w:szCs w:val="24"/>
        </w:rPr>
      </w:pPr>
    </w:p>
    <w:p w14:paraId="6642E4DA" w14:textId="77777777" w:rsidR="003568C2" w:rsidRDefault="00695B03">
      <w:pPr>
        <w:spacing w:line="360" w:lineRule="auto"/>
        <w:ind w:firstLineChars="200" w:firstLine="482"/>
        <w:rPr>
          <w:rFonts w:asciiTheme="minorEastAsia" w:hAnsiTheme="minorEastAsia" w:cs="Times New Roman"/>
          <w:b/>
          <w:kern w:val="0"/>
          <w:sz w:val="24"/>
          <w:szCs w:val="24"/>
        </w:rPr>
      </w:pPr>
      <w:r>
        <w:rPr>
          <w:rFonts w:asciiTheme="minorEastAsia" w:hAnsiTheme="minorEastAsia" w:cs="Times New Roman" w:hint="eastAsia"/>
          <w:b/>
          <w:kern w:val="0"/>
          <w:sz w:val="24"/>
          <w:szCs w:val="24"/>
        </w:rPr>
        <w:t>二、主要成员情况</w:t>
      </w:r>
    </w:p>
    <w:p w14:paraId="2F525AAF" w14:textId="77777777" w:rsidR="003568C2" w:rsidRDefault="00695B03">
      <w:pPr>
        <w:spacing w:line="360" w:lineRule="auto"/>
        <w:ind w:firstLineChars="200" w:firstLine="480"/>
        <w:rPr>
          <w:rFonts w:ascii="宋体" w:hAnsi="宋体"/>
          <w:color w:val="000000"/>
          <w:kern w:val="0"/>
          <w:sz w:val="24"/>
        </w:rPr>
      </w:pPr>
      <w:r>
        <w:rPr>
          <w:rFonts w:ascii="宋体" w:hAnsi="宋体" w:hint="eastAsia"/>
          <w:color w:val="000000"/>
          <w:kern w:val="0"/>
          <w:sz w:val="24"/>
        </w:rPr>
        <w:t>1、董事会成员</w:t>
      </w:r>
    </w:p>
    <w:p w14:paraId="056DBD1A" w14:textId="77777777" w:rsidR="003568C2" w:rsidRDefault="00695B03">
      <w:pPr>
        <w:spacing w:line="360" w:lineRule="auto"/>
        <w:ind w:firstLineChars="200" w:firstLine="480"/>
        <w:rPr>
          <w:rFonts w:ascii="宋体" w:hAnsi="宋体"/>
          <w:color w:val="000000"/>
          <w:kern w:val="0"/>
          <w:sz w:val="24"/>
        </w:rPr>
      </w:pPr>
      <w:r>
        <w:rPr>
          <w:rFonts w:ascii="宋体" w:hAnsi="宋体" w:hint="eastAsia"/>
          <w:color w:val="000000"/>
          <w:kern w:val="0"/>
          <w:sz w:val="24"/>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5DFC3389" w14:textId="0408516F" w:rsidR="003568C2" w:rsidRDefault="00695B03">
      <w:pPr>
        <w:spacing w:line="360" w:lineRule="auto"/>
        <w:ind w:firstLineChars="200" w:firstLine="480"/>
        <w:rPr>
          <w:rFonts w:ascii="宋体" w:hAnsi="宋体"/>
          <w:color w:val="000000"/>
          <w:kern w:val="0"/>
          <w:sz w:val="24"/>
        </w:rPr>
      </w:pPr>
      <w:r>
        <w:rPr>
          <w:rFonts w:ascii="宋体" w:hAnsi="宋体" w:hint="eastAsia"/>
          <w:color w:val="000000"/>
          <w:kern w:val="0"/>
          <w:sz w:val="24"/>
        </w:rPr>
        <w:t>高峰先生，董事，总经理</w:t>
      </w:r>
      <w:r w:rsidR="0074513A">
        <w:rPr>
          <w:rFonts w:ascii="宋体" w:hAnsi="宋体" w:hint="eastAsia"/>
          <w:color w:val="000000"/>
          <w:kern w:val="0"/>
          <w:sz w:val="24"/>
        </w:rPr>
        <w:t>兼任</w:t>
      </w:r>
      <w:r w:rsidR="0074513A" w:rsidRPr="008B2E68">
        <w:rPr>
          <w:rFonts w:ascii="宋体" w:hAnsi="宋体" w:hint="eastAsia"/>
          <w:color w:val="000000"/>
          <w:kern w:val="0"/>
          <w:sz w:val="24"/>
        </w:rPr>
        <w:t>首席信息官</w:t>
      </w:r>
      <w:r>
        <w:rPr>
          <w:rFonts w:ascii="宋体" w:hAnsi="宋体" w:hint="eastAsia"/>
          <w:color w:val="000000"/>
          <w:kern w:val="0"/>
          <w:sz w:val="24"/>
        </w:rPr>
        <w:t>，曾任中国对外经济贸易信托有限公司计划财务部科长、中国化工进出口总公司财务部综合经理、宝盈基金管理有限公司研究发展部总监，中国对外经济贸易信托有限公司证券业务部总经理、资产管理总部执行总经理、高级投资经理，宝盈基金管理有限公司总经理助理兼投</w:t>
      </w:r>
      <w:r>
        <w:rPr>
          <w:rFonts w:ascii="宋体" w:hAnsi="宋体" w:hint="eastAsia"/>
          <w:color w:val="000000"/>
          <w:kern w:val="0"/>
          <w:sz w:val="24"/>
        </w:rPr>
        <w:lastRenderedPageBreak/>
        <w:t>资部总监、基金经理，北信瑞丰基金管理有限公司副总经理职务、红土创新基金管理有限公司总经理职务；现任富荣基金管理有限公司总经理。</w:t>
      </w:r>
    </w:p>
    <w:p w14:paraId="2F51E53D" w14:textId="77777777" w:rsidR="003568C2" w:rsidRDefault="00695B03">
      <w:pPr>
        <w:spacing w:line="360" w:lineRule="auto"/>
        <w:ind w:firstLineChars="200" w:firstLine="480"/>
        <w:rPr>
          <w:rFonts w:ascii="宋体" w:hAnsi="宋体"/>
          <w:color w:val="000000"/>
          <w:kern w:val="0"/>
          <w:sz w:val="24"/>
        </w:rPr>
      </w:pPr>
      <w:r>
        <w:rPr>
          <w:rFonts w:ascii="宋体" w:hAnsi="宋体" w:hint="eastAsia"/>
          <w:color w:val="000000"/>
          <w:kern w:val="0"/>
          <w:sz w:val="24"/>
        </w:rPr>
        <w:t>刘华女士，董事，中山大学管理学院本科经济学士。曾任工商银行广东省分行营业部机构业务处主管、华夏基金管理有限公司业务主管、现任广州科技金融创新投资控股有限公司风险控制总经理、富荣基金管理有限公司董事。</w:t>
      </w:r>
    </w:p>
    <w:p w14:paraId="73D42029" w14:textId="77777777" w:rsidR="003568C2" w:rsidRDefault="00695B03">
      <w:pPr>
        <w:spacing w:line="360" w:lineRule="auto"/>
        <w:ind w:firstLineChars="200" w:firstLine="480"/>
        <w:rPr>
          <w:rFonts w:ascii="宋体" w:hAnsi="宋体"/>
          <w:color w:val="000000"/>
          <w:kern w:val="0"/>
          <w:sz w:val="24"/>
        </w:rPr>
      </w:pPr>
      <w:r>
        <w:rPr>
          <w:rFonts w:ascii="宋体" w:hAnsi="宋体" w:hint="eastAsia"/>
          <w:color w:val="000000"/>
          <w:kern w:val="0"/>
          <w:sz w:val="24"/>
        </w:rPr>
        <w:t>郭涛先生，董事，上海高级金融学院研究生（在读）。现任深圳市益德置业有限公司总经理、深圳福元德租赁有限公司董事长兼总经理、深圳融博融资租赁有限公司董事长兼总经理、深圳市天汇鑫达担保有限公司总经理、深圳市亿尔德投资有限公司法人、嘉年实业股份有限公司董事、富荣基金管理有限公司董事。</w:t>
      </w:r>
    </w:p>
    <w:p w14:paraId="2BE2BE48" w14:textId="77777777" w:rsidR="003568C2" w:rsidRDefault="00695B03">
      <w:pPr>
        <w:spacing w:line="360" w:lineRule="auto"/>
        <w:ind w:firstLineChars="200" w:firstLine="480"/>
        <w:rPr>
          <w:rFonts w:ascii="宋体" w:hAnsi="宋体"/>
          <w:color w:val="000000"/>
          <w:kern w:val="0"/>
          <w:sz w:val="24"/>
        </w:rPr>
      </w:pPr>
      <w:r>
        <w:rPr>
          <w:rFonts w:ascii="宋体" w:hAnsi="宋体" w:hint="eastAsia"/>
          <w:color w:val="000000"/>
          <w:kern w:val="0"/>
          <w:sz w:val="24"/>
        </w:rPr>
        <w:t>余关健先生，独立董事，西南财经大学工业经济硕士研究生。曾任中国银行深圳分行信贷处处长、中国银行深圳分行风险管理处处长、深圳赛格、深圳特发集团董事、邦信资产管理公司董事总经理、对外贸易集团股份有限公司董事长、东方资产管理公司办事处总经理，现任东银实业（深圳）有限公司董事、深圳金田股份有限公司独立董事、富荣基金管理有限公司独立董事。</w:t>
      </w:r>
    </w:p>
    <w:p w14:paraId="34AA8D86" w14:textId="77777777" w:rsidR="003568C2" w:rsidRDefault="00695B03">
      <w:pPr>
        <w:spacing w:line="360" w:lineRule="auto"/>
        <w:ind w:firstLineChars="200" w:firstLine="480"/>
        <w:rPr>
          <w:rFonts w:ascii="宋体" w:hAnsi="宋体"/>
          <w:color w:val="000000"/>
          <w:kern w:val="0"/>
          <w:sz w:val="24"/>
        </w:rPr>
      </w:pPr>
      <w:r>
        <w:rPr>
          <w:rFonts w:ascii="宋体" w:hAnsi="宋体" w:hint="eastAsia"/>
          <w:color w:val="000000"/>
          <w:kern w:val="0"/>
          <w:sz w:val="24"/>
        </w:rPr>
        <w:t>李晓英女士，独立董事，大学本科学士。现任广东一粤律师事务所专职律师。曾任广东同益律师事务所专职律师。主要从事法律顾问、商事诉讼、仲裁等。</w:t>
      </w:r>
    </w:p>
    <w:p w14:paraId="0E041E75" w14:textId="77777777" w:rsidR="003568C2" w:rsidRDefault="00695B03">
      <w:pPr>
        <w:spacing w:line="360" w:lineRule="auto"/>
        <w:ind w:firstLineChars="200" w:firstLine="480"/>
        <w:rPr>
          <w:rFonts w:ascii="宋体" w:hAnsi="宋体"/>
          <w:color w:val="000000"/>
          <w:kern w:val="0"/>
          <w:sz w:val="24"/>
        </w:rPr>
      </w:pPr>
      <w:r>
        <w:rPr>
          <w:rFonts w:ascii="宋体" w:hAnsi="宋体" w:hint="eastAsia"/>
          <w:color w:val="000000"/>
          <w:kern w:val="0"/>
          <w:sz w:val="24"/>
        </w:rPr>
        <w:t>李金声先生，独立董事，历任黑龙江阿城糖厂电站汽轮发电工人、黑龙江财政厅商业处商业会计财务干部、黑龙江省府财办、办公厅三办、省长办干部。中国银行哈尔滨分行办公室副主任、广发银行总行办公室主任、广发银行总行稽核部总经理、广发银行总行资金部总经理、筹建广发银行广州分行筹备组副组长、广发银行广州分行副行长、党委书记、行长；广发银行总稽核、党委委员、监事会负责人、监事长职务。</w:t>
      </w:r>
    </w:p>
    <w:p w14:paraId="4F111AA3" w14:textId="52423430" w:rsidR="003568C2" w:rsidRDefault="00695B03">
      <w:pPr>
        <w:spacing w:line="360" w:lineRule="auto"/>
        <w:ind w:firstLineChars="200" w:firstLine="480"/>
        <w:rPr>
          <w:rFonts w:ascii="宋体" w:hAnsi="宋体"/>
          <w:color w:val="000000"/>
          <w:kern w:val="0"/>
          <w:sz w:val="24"/>
        </w:rPr>
      </w:pPr>
      <w:r>
        <w:rPr>
          <w:rFonts w:ascii="宋体" w:hAnsi="宋体" w:hint="eastAsia"/>
          <w:color w:val="000000"/>
          <w:kern w:val="0"/>
          <w:sz w:val="24"/>
        </w:rPr>
        <w:t>2、监事会成员</w:t>
      </w:r>
    </w:p>
    <w:p w14:paraId="5E37B887" w14:textId="77777777" w:rsidR="003568C2" w:rsidRDefault="00695B03">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基金管理人不设监事会，设监事两名，其中一名为职工监事。</w:t>
      </w:r>
    </w:p>
    <w:p w14:paraId="1AAF00AA" w14:textId="77777777" w:rsidR="008C6490" w:rsidRDefault="008C6490">
      <w:pPr>
        <w:spacing w:line="360" w:lineRule="auto"/>
        <w:ind w:firstLineChars="200" w:firstLine="480"/>
        <w:rPr>
          <w:rFonts w:ascii="宋体" w:hAnsi="宋体"/>
          <w:color w:val="000000"/>
          <w:kern w:val="0"/>
          <w:sz w:val="24"/>
        </w:rPr>
      </w:pPr>
      <w:r w:rsidRPr="008C6490">
        <w:rPr>
          <w:rFonts w:ascii="宋体" w:hAnsi="宋体" w:hint="eastAsia"/>
          <w:color w:val="000000"/>
          <w:kern w:val="0"/>
          <w:sz w:val="24"/>
        </w:rPr>
        <w:t>郑廉明先生，监事，硕士。原广发银行副行长（已退休），现任富荣基金管理有限公司监事。</w:t>
      </w:r>
    </w:p>
    <w:p w14:paraId="46B949A2" w14:textId="77777777" w:rsidR="003568C2" w:rsidRDefault="00695B03">
      <w:pPr>
        <w:spacing w:line="360" w:lineRule="auto"/>
        <w:ind w:firstLineChars="200" w:firstLine="480"/>
        <w:rPr>
          <w:rFonts w:ascii="宋体" w:hAnsi="宋体"/>
          <w:color w:val="000000"/>
          <w:kern w:val="0"/>
          <w:sz w:val="24"/>
        </w:rPr>
      </w:pPr>
      <w:r>
        <w:rPr>
          <w:rFonts w:ascii="宋体" w:hAnsi="宋体" w:hint="eastAsia"/>
          <w:color w:val="000000"/>
          <w:kern w:val="0"/>
          <w:sz w:val="24"/>
        </w:rPr>
        <w:t>魏丽红女士，职工监事，大专。现任富荣基金管理有限公司职工监事。</w:t>
      </w:r>
    </w:p>
    <w:p w14:paraId="4D4A9774" w14:textId="77777777" w:rsidR="003B36F2" w:rsidRDefault="003B36F2">
      <w:pPr>
        <w:spacing w:line="360" w:lineRule="auto"/>
        <w:ind w:firstLineChars="200" w:firstLine="480"/>
        <w:rPr>
          <w:rFonts w:ascii="宋体" w:hAnsi="宋体"/>
          <w:color w:val="000000"/>
          <w:kern w:val="0"/>
          <w:sz w:val="24"/>
        </w:rPr>
      </w:pPr>
    </w:p>
    <w:p w14:paraId="41A1218B" w14:textId="77777777" w:rsidR="003568C2" w:rsidRDefault="00695B03">
      <w:pPr>
        <w:spacing w:line="360" w:lineRule="auto"/>
        <w:ind w:firstLineChars="200" w:firstLine="480"/>
        <w:rPr>
          <w:rFonts w:ascii="宋体" w:hAnsi="宋体"/>
          <w:color w:val="000000"/>
          <w:kern w:val="0"/>
          <w:sz w:val="24"/>
        </w:rPr>
      </w:pPr>
      <w:r>
        <w:rPr>
          <w:rFonts w:ascii="宋体" w:hAnsi="宋体" w:hint="eastAsia"/>
          <w:color w:val="000000"/>
          <w:kern w:val="0"/>
          <w:sz w:val="24"/>
        </w:rPr>
        <w:t>3、高级管理人员</w:t>
      </w:r>
    </w:p>
    <w:p w14:paraId="5D90BA9E" w14:textId="77777777" w:rsidR="003568C2" w:rsidRDefault="00695B03">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14543989" w14:textId="6A803144" w:rsidR="003568C2" w:rsidRDefault="00695B03">
      <w:pPr>
        <w:spacing w:line="360" w:lineRule="auto"/>
        <w:ind w:firstLineChars="200" w:firstLine="480"/>
        <w:rPr>
          <w:rFonts w:ascii="宋体" w:hAnsi="宋体"/>
          <w:color w:val="000000"/>
          <w:kern w:val="0"/>
          <w:sz w:val="24"/>
        </w:rPr>
      </w:pPr>
      <w:r>
        <w:rPr>
          <w:rFonts w:ascii="宋体" w:hAnsi="宋体" w:hint="eastAsia"/>
          <w:color w:val="000000"/>
          <w:kern w:val="0"/>
          <w:sz w:val="24"/>
        </w:rPr>
        <w:t>高峰先生，总经理</w:t>
      </w:r>
      <w:r w:rsidR="0074513A">
        <w:rPr>
          <w:rFonts w:ascii="宋体" w:hAnsi="宋体" w:hint="eastAsia"/>
          <w:color w:val="000000"/>
          <w:kern w:val="0"/>
          <w:sz w:val="24"/>
        </w:rPr>
        <w:t>、</w:t>
      </w:r>
      <w:r w:rsidR="0074513A" w:rsidRPr="008B2E68">
        <w:rPr>
          <w:rFonts w:ascii="宋体" w:hAnsi="宋体" w:hint="eastAsia"/>
          <w:color w:val="000000"/>
          <w:kern w:val="0"/>
          <w:sz w:val="24"/>
        </w:rPr>
        <w:t>首席信息官</w:t>
      </w:r>
      <w:r>
        <w:rPr>
          <w:rFonts w:ascii="宋体" w:hAnsi="宋体" w:hint="eastAsia"/>
          <w:color w:val="000000"/>
          <w:kern w:val="0"/>
          <w:sz w:val="24"/>
        </w:rPr>
        <w:t>，曾任中国对外经济贸易信托有限公司计划财务部科长、中国化工进出口总公司财务部综合经理、宝盈基金管理有限公司研究发展部总监、中国对外经济贸易信托有限公司证券业务部总经理、资产管理总部执行总经理、高级投资经理，宝盈基金管理有限公司总经理助理兼投资部总监、基金经理，北信瑞丰基金管理有限公司副总经理职务、红土创新基金管理有限公司总经理职务；现任富荣基金管理有限公司总经理。</w:t>
      </w:r>
    </w:p>
    <w:p w14:paraId="7E2FF317" w14:textId="77777777" w:rsidR="003568C2" w:rsidRDefault="00695B03">
      <w:pPr>
        <w:spacing w:line="360" w:lineRule="auto"/>
        <w:ind w:firstLineChars="200" w:firstLine="480"/>
        <w:rPr>
          <w:rFonts w:ascii="宋体" w:hAnsi="宋体"/>
          <w:color w:val="000000"/>
          <w:kern w:val="0"/>
          <w:sz w:val="24"/>
        </w:rPr>
      </w:pPr>
      <w:r>
        <w:rPr>
          <w:rFonts w:ascii="宋体" w:hAnsi="宋体" w:hint="eastAsia"/>
          <w:color w:val="000000"/>
          <w:kern w:val="0"/>
          <w:sz w:val="24"/>
        </w:rPr>
        <w:t>任晓伟女士，督察长，新加坡南洋理工大学管理经济学硕士研究生，曾就职于中国证监会内蒙古监管局、中国证监会深圳专员办、广州科技金融创新投资控股有限公司，历任主任科员、副处级调研员、副处长、广州科技金融创新投资控股有限公司助理总经理等职务。现任富荣基金管理有限公司督察长。</w:t>
      </w:r>
    </w:p>
    <w:p w14:paraId="108DADA6" w14:textId="77777777" w:rsidR="003B36F2" w:rsidRDefault="003B36F2">
      <w:pPr>
        <w:spacing w:line="360" w:lineRule="auto"/>
        <w:ind w:firstLineChars="200" w:firstLine="480"/>
        <w:rPr>
          <w:rFonts w:ascii="宋体" w:hAnsi="宋体"/>
          <w:color w:val="000000"/>
          <w:kern w:val="0"/>
          <w:sz w:val="24"/>
        </w:rPr>
      </w:pPr>
    </w:p>
    <w:p w14:paraId="264B6930" w14:textId="389A4D1A" w:rsidR="003568C2" w:rsidRDefault="00695B0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4、本基金基金经理</w:t>
      </w:r>
    </w:p>
    <w:p w14:paraId="7A60C326" w14:textId="3C2093F4" w:rsidR="003568C2" w:rsidRPr="00FD6888" w:rsidRDefault="00695B03">
      <w:pPr>
        <w:pStyle w:val="a6"/>
        <w:spacing w:line="360" w:lineRule="auto"/>
        <w:ind w:firstLine="420"/>
        <w:rPr>
          <w:rFonts w:asciiTheme="minorEastAsia" w:eastAsiaTheme="minorEastAsia" w:hAnsiTheme="minorEastAsia" w:cs="Arial"/>
          <w:kern w:val="0"/>
          <w:sz w:val="24"/>
          <w:szCs w:val="24"/>
        </w:rPr>
      </w:pPr>
      <w:r w:rsidRPr="00FD6888">
        <w:rPr>
          <w:rFonts w:asciiTheme="minorEastAsia" w:eastAsiaTheme="minorEastAsia" w:hAnsiTheme="minorEastAsia" w:cs="Arial" w:hint="eastAsia"/>
          <w:kern w:val="0"/>
          <w:sz w:val="24"/>
          <w:szCs w:val="24"/>
        </w:rPr>
        <w:t>郎骋成先生，南京大学工业工程硕士。曾任锦泰期货有限公司宏观和化工研究员，弘业期货股份有限公司投资咨询负责人、研究所所长等职。历任</w:t>
      </w:r>
      <w:r w:rsidRPr="00FD6888">
        <w:rPr>
          <w:rFonts w:asciiTheme="minorEastAsia" w:eastAsiaTheme="minorEastAsia" w:hAnsiTheme="minorEastAsia" w:cs="Arial"/>
          <w:kern w:val="0"/>
          <w:sz w:val="24"/>
          <w:szCs w:val="24"/>
        </w:rPr>
        <w:t>摩根士丹利华鑫基金另类投资小组副组长、专户投资经理、专户理财部副总监。</w:t>
      </w:r>
      <w:r w:rsidRPr="00FD6888">
        <w:rPr>
          <w:rFonts w:asciiTheme="minorEastAsia" w:eastAsiaTheme="minorEastAsia" w:hAnsiTheme="minorEastAsia" w:cs="Arial" w:hint="eastAsia"/>
          <w:kern w:val="0"/>
          <w:sz w:val="24"/>
          <w:szCs w:val="24"/>
        </w:rPr>
        <w:t>现任</w:t>
      </w:r>
      <w:r w:rsidRPr="00FD6888">
        <w:rPr>
          <w:rFonts w:asciiTheme="minorEastAsia" w:eastAsiaTheme="minorEastAsia" w:hAnsiTheme="minorEastAsia" w:cs="Arial"/>
          <w:kern w:val="0"/>
          <w:sz w:val="24"/>
          <w:szCs w:val="24"/>
        </w:rPr>
        <w:t>富荣基金管理有限公司研究部总</w:t>
      </w:r>
      <w:r w:rsidR="00637F1C" w:rsidRPr="00FD6888">
        <w:rPr>
          <w:rFonts w:asciiTheme="minorEastAsia" w:eastAsiaTheme="minorEastAsia" w:hAnsiTheme="minorEastAsia" w:cs="Arial" w:hint="eastAsia"/>
          <w:kern w:val="0"/>
          <w:sz w:val="24"/>
          <w:szCs w:val="24"/>
        </w:rPr>
        <w:t>经理</w:t>
      </w:r>
      <w:r w:rsidR="0034714A" w:rsidRPr="00FD6888">
        <w:rPr>
          <w:rFonts w:asciiTheme="minorEastAsia" w:eastAsiaTheme="minorEastAsia" w:hAnsiTheme="minorEastAsia" w:cs="Arial" w:hint="eastAsia"/>
          <w:kern w:val="0"/>
          <w:sz w:val="24"/>
          <w:szCs w:val="24"/>
        </w:rPr>
        <w:t>、投资决策委员会委员、</w:t>
      </w:r>
      <w:r w:rsidR="002417E3" w:rsidRPr="00FD6888">
        <w:rPr>
          <w:rFonts w:asciiTheme="minorEastAsia" w:eastAsiaTheme="minorEastAsia" w:hAnsiTheme="minorEastAsia" w:cs="Arial" w:hint="eastAsia"/>
          <w:kern w:val="0"/>
          <w:sz w:val="24"/>
          <w:szCs w:val="24"/>
        </w:rPr>
        <w:t>投资经理</w:t>
      </w:r>
      <w:r w:rsidR="0004467C" w:rsidRPr="00FD6888">
        <w:rPr>
          <w:rFonts w:asciiTheme="minorEastAsia" w:eastAsiaTheme="minorEastAsia" w:hAnsiTheme="minorEastAsia" w:cs="Arial"/>
          <w:kern w:val="0"/>
          <w:sz w:val="24"/>
          <w:szCs w:val="24"/>
        </w:rPr>
        <w:t>、</w:t>
      </w:r>
      <w:r w:rsidR="0004467C" w:rsidRPr="00FD6888">
        <w:rPr>
          <w:rFonts w:asciiTheme="minorEastAsia" w:eastAsiaTheme="minorEastAsia" w:hAnsiTheme="minorEastAsia" w:cs="Arial" w:hint="eastAsia"/>
          <w:kern w:val="0"/>
          <w:sz w:val="24"/>
          <w:szCs w:val="24"/>
        </w:rPr>
        <w:t>富荣沪深300指数增强型证券投资基金基金经理（自</w:t>
      </w:r>
      <w:r w:rsidR="0004467C" w:rsidRPr="00FD6888">
        <w:rPr>
          <w:rFonts w:asciiTheme="minorEastAsia" w:eastAsiaTheme="minorEastAsia" w:hAnsiTheme="minorEastAsia" w:cs="Arial"/>
          <w:kern w:val="0"/>
          <w:sz w:val="24"/>
          <w:szCs w:val="24"/>
        </w:rPr>
        <w:t>2020年7月16日</w:t>
      </w:r>
      <w:r w:rsidR="0046612A" w:rsidRPr="00FD6888">
        <w:rPr>
          <w:rFonts w:asciiTheme="minorEastAsia" w:eastAsiaTheme="minorEastAsia" w:hAnsiTheme="minorEastAsia" w:cs="Arial"/>
          <w:kern w:val="0"/>
          <w:sz w:val="24"/>
          <w:szCs w:val="24"/>
        </w:rPr>
        <w:t>起</w:t>
      </w:r>
      <w:r w:rsidR="0004467C" w:rsidRPr="00FD6888">
        <w:rPr>
          <w:rFonts w:asciiTheme="minorEastAsia" w:eastAsiaTheme="minorEastAsia" w:hAnsiTheme="minorEastAsia" w:cs="Arial"/>
          <w:kern w:val="0"/>
          <w:sz w:val="24"/>
          <w:szCs w:val="24"/>
        </w:rPr>
        <w:t>任职）、</w:t>
      </w:r>
      <w:r w:rsidR="0004467C" w:rsidRPr="00FD6888">
        <w:rPr>
          <w:rFonts w:asciiTheme="minorEastAsia" w:eastAsiaTheme="minorEastAsia" w:hAnsiTheme="minorEastAsia" w:cs="Arial" w:hint="eastAsia"/>
          <w:kern w:val="0"/>
          <w:sz w:val="24"/>
          <w:szCs w:val="24"/>
        </w:rPr>
        <w:t>富荣福康混合型证券投资基金基金经理（自</w:t>
      </w:r>
      <w:r w:rsidR="0004467C" w:rsidRPr="00FD6888">
        <w:rPr>
          <w:rFonts w:asciiTheme="minorEastAsia" w:eastAsiaTheme="minorEastAsia" w:hAnsiTheme="minorEastAsia" w:cs="Arial"/>
          <w:kern w:val="0"/>
          <w:sz w:val="24"/>
          <w:szCs w:val="24"/>
        </w:rPr>
        <w:t>2020年10月15日</w:t>
      </w:r>
      <w:r w:rsidR="0046612A" w:rsidRPr="00FD6888">
        <w:rPr>
          <w:rFonts w:asciiTheme="minorEastAsia" w:eastAsiaTheme="minorEastAsia" w:hAnsiTheme="minorEastAsia" w:cs="Arial"/>
          <w:kern w:val="0"/>
          <w:sz w:val="24"/>
          <w:szCs w:val="24"/>
        </w:rPr>
        <w:t>起</w:t>
      </w:r>
      <w:r w:rsidR="0004467C" w:rsidRPr="00FD6888">
        <w:rPr>
          <w:rFonts w:asciiTheme="minorEastAsia" w:eastAsiaTheme="minorEastAsia" w:hAnsiTheme="minorEastAsia" w:cs="Arial"/>
          <w:kern w:val="0"/>
          <w:sz w:val="24"/>
          <w:szCs w:val="24"/>
        </w:rPr>
        <w:t>任职）、</w:t>
      </w:r>
      <w:r w:rsidR="0004467C" w:rsidRPr="00FD6888">
        <w:rPr>
          <w:rFonts w:asciiTheme="minorEastAsia" w:eastAsiaTheme="minorEastAsia" w:hAnsiTheme="minorEastAsia" w:cs="Arial" w:hint="eastAsia"/>
          <w:kern w:val="0"/>
          <w:sz w:val="24"/>
          <w:szCs w:val="24"/>
        </w:rPr>
        <w:t>富荣价值精选灵活配置混合型发起式证券投资基金基金经理（自</w:t>
      </w:r>
      <w:r w:rsidR="0004467C" w:rsidRPr="00FD6888">
        <w:rPr>
          <w:rFonts w:asciiTheme="minorEastAsia" w:eastAsiaTheme="minorEastAsia" w:hAnsiTheme="minorEastAsia" w:cs="Arial"/>
          <w:kern w:val="0"/>
          <w:sz w:val="24"/>
          <w:szCs w:val="24"/>
        </w:rPr>
        <w:t>2020年10月23日至2021年11月12日）、</w:t>
      </w:r>
      <w:r w:rsidR="0004467C" w:rsidRPr="00FD6888">
        <w:rPr>
          <w:rFonts w:asciiTheme="minorEastAsia" w:eastAsiaTheme="minorEastAsia" w:hAnsiTheme="minorEastAsia" w:cs="Arial" w:hint="eastAsia"/>
          <w:kern w:val="0"/>
          <w:sz w:val="24"/>
          <w:szCs w:val="24"/>
        </w:rPr>
        <w:t>富荣信息技术混合型证券投资基金</w:t>
      </w:r>
      <w:r w:rsidR="00D93DA3" w:rsidRPr="00FD6888">
        <w:rPr>
          <w:rFonts w:asciiTheme="minorEastAsia" w:eastAsiaTheme="minorEastAsia" w:hAnsiTheme="minorEastAsia" w:cs="Arial" w:hint="eastAsia"/>
          <w:kern w:val="0"/>
          <w:sz w:val="24"/>
          <w:szCs w:val="24"/>
        </w:rPr>
        <w:t>基金经理（自</w:t>
      </w:r>
      <w:r w:rsidR="00D93DA3" w:rsidRPr="00FD6888">
        <w:rPr>
          <w:rFonts w:asciiTheme="minorEastAsia" w:eastAsiaTheme="minorEastAsia" w:hAnsiTheme="minorEastAsia" w:cs="Arial"/>
          <w:kern w:val="0"/>
          <w:sz w:val="24"/>
          <w:szCs w:val="24"/>
        </w:rPr>
        <w:t>2021年10月28日</w:t>
      </w:r>
      <w:r w:rsidR="0046612A" w:rsidRPr="00FD6888">
        <w:rPr>
          <w:rFonts w:asciiTheme="minorEastAsia" w:eastAsiaTheme="minorEastAsia" w:hAnsiTheme="minorEastAsia" w:cs="Arial"/>
          <w:kern w:val="0"/>
          <w:sz w:val="24"/>
          <w:szCs w:val="24"/>
        </w:rPr>
        <w:t>起</w:t>
      </w:r>
      <w:r w:rsidR="00D93DA3" w:rsidRPr="00FD6888">
        <w:rPr>
          <w:rFonts w:asciiTheme="minorEastAsia" w:eastAsiaTheme="minorEastAsia" w:hAnsiTheme="minorEastAsia" w:cs="Arial" w:hint="eastAsia"/>
          <w:kern w:val="0"/>
          <w:sz w:val="24"/>
          <w:szCs w:val="24"/>
        </w:rPr>
        <w:t>任职）、富荣中证500指数增强型证券投资基金基金经理（</w:t>
      </w:r>
      <w:r w:rsidR="0046612A" w:rsidRPr="00FD6888">
        <w:rPr>
          <w:rFonts w:asciiTheme="minorEastAsia" w:eastAsiaTheme="minorEastAsia" w:hAnsiTheme="minorEastAsia" w:cs="Arial" w:hint="eastAsia"/>
          <w:kern w:val="0"/>
          <w:sz w:val="24"/>
          <w:szCs w:val="24"/>
        </w:rPr>
        <w:t>自2022年8月</w:t>
      </w:r>
      <w:r w:rsidR="00691BD4" w:rsidRPr="00FD6888">
        <w:rPr>
          <w:rFonts w:asciiTheme="minorEastAsia" w:eastAsiaTheme="minorEastAsia" w:hAnsiTheme="minorEastAsia" w:cs="Arial" w:hint="eastAsia"/>
          <w:kern w:val="0"/>
          <w:sz w:val="24"/>
          <w:szCs w:val="24"/>
        </w:rPr>
        <w:t>5</w:t>
      </w:r>
      <w:r w:rsidR="0046612A" w:rsidRPr="00FD6888">
        <w:rPr>
          <w:rFonts w:asciiTheme="minorEastAsia" w:eastAsiaTheme="minorEastAsia" w:hAnsiTheme="minorEastAsia" w:cs="Arial" w:hint="eastAsia"/>
          <w:kern w:val="0"/>
          <w:sz w:val="24"/>
          <w:szCs w:val="24"/>
        </w:rPr>
        <w:t>日起任职</w:t>
      </w:r>
      <w:r w:rsidR="00D93DA3" w:rsidRPr="00FD6888">
        <w:rPr>
          <w:rFonts w:asciiTheme="minorEastAsia" w:eastAsiaTheme="minorEastAsia" w:hAnsiTheme="minorEastAsia" w:cs="Arial" w:hint="eastAsia"/>
          <w:kern w:val="0"/>
          <w:sz w:val="24"/>
          <w:szCs w:val="24"/>
        </w:rPr>
        <w:t>）</w:t>
      </w:r>
      <w:r w:rsidR="000D086E" w:rsidRPr="00FD6888">
        <w:rPr>
          <w:rFonts w:asciiTheme="minorEastAsia" w:eastAsiaTheme="minorEastAsia" w:hAnsiTheme="minorEastAsia" w:cs="Arial" w:hint="eastAsia"/>
          <w:kern w:val="0"/>
          <w:sz w:val="24"/>
          <w:szCs w:val="24"/>
        </w:rPr>
        <w:t>。</w:t>
      </w:r>
    </w:p>
    <w:p w14:paraId="09687DEC" w14:textId="0CE1634D" w:rsidR="00D93DA3" w:rsidRPr="00FD6888" w:rsidRDefault="000D086E" w:rsidP="000D086E">
      <w:pPr>
        <w:pStyle w:val="a6"/>
        <w:spacing w:line="360" w:lineRule="auto"/>
        <w:ind w:firstLineChars="200" w:firstLine="480"/>
        <w:rPr>
          <w:rFonts w:asciiTheme="minorEastAsia" w:eastAsiaTheme="minorEastAsia" w:hAnsiTheme="minorEastAsia" w:cs="Arial"/>
          <w:kern w:val="0"/>
          <w:sz w:val="24"/>
          <w:szCs w:val="24"/>
        </w:rPr>
      </w:pPr>
      <w:r w:rsidRPr="00FD6888">
        <w:rPr>
          <w:rFonts w:asciiTheme="minorEastAsia" w:eastAsiaTheme="minorEastAsia" w:hAnsiTheme="minorEastAsia" w:cs="Arial"/>
          <w:kern w:val="0"/>
          <w:sz w:val="24"/>
          <w:szCs w:val="24"/>
        </w:rPr>
        <w:t>历任基金经理：</w:t>
      </w:r>
      <w:r w:rsidR="009651E3" w:rsidRPr="00FD6888">
        <w:rPr>
          <w:rFonts w:asciiTheme="minorEastAsia" w:eastAsiaTheme="minorEastAsia" w:hAnsiTheme="minorEastAsia" w:cs="Arial" w:hint="eastAsia"/>
          <w:kern w:val="0"/>
          <w:sz w:val="24"/>
          <w:szCs w:val="24"/>
        </w:rPr>
        <w:t>本基金由富荣福泰灵活配置混合型证券投资基金变更注册而来，自 2019 年1月24日起正式实施转型,转型以来的历任基金经理为</w:t>
      </w:r>
      <w:r w:rsidR="007502C6" w:rsidRPr="00FD6888">
        <w:rPr>
          <w:rFonts w:asciiTheme="minorEastAsia" w:eastAsiaTheme="minorEastAsia" w:hAnsiTheme="minorEastAsia" w:cs="Arial" w:hint="eastAsia"/>
          <w:kern w:val="0"/>
          <w:sz w:val="24"/>
          <w:szCs w:val="24"/>
        </w:rPr>
        <w:t>邓宇翔（自2018年11月6日至2022年8月</w:t>
      </w:r>
      <w:r w:rsidR="00691BD4" w:rsidRPr="00FD6888">
        <w:rPr>
          <w:rFonts w:asciiTheme="minorEastAsia" w:eastAsiaTheme="minorEastAsia" w:hAnsiTheme="minorEastAsia" w:cs="Arial" w:hint="eastAsia"/>
          <w:kern w:val="0"/>
          <w:sz w:val="24"/>
          <w:szCs w:val="24"/>
        </w:rPr>
        <w:t>5</w:t>
      </w:r>
      <w:r w:rsidR="007502C6" w:rsidRPr="00FD6888">
        <w:rPr>
          <w:rFonts w:asciiTheme="minorEastAsia" w:eastAsiaTheme="minorEastAsia" w:hAnsiTheme="minorEastAsia" w:cs="Arial" w:hint="eastAsia"/>
          <w:kern w:val="0"/>
          <w:sz w:val="24"/>
          <w:szCs w:val="24"/>
        </w:rPr>
        <w:t>日</w:t>
      </w:r>
      <w:r w:rsidR="00691BD4" w:rsidRPr="00FD6888">
        <w:rPr>
          <w:rFonts w:asciiTheme="minorEastAsia" w:eastAsiaTheme="minorEastAsia" w:hAnsiTheme="minorEastAsia" w:cs="Arial" w:hint="eastAsia"/>
          <w:kern w:val="0"/>
          <w:sz w:val="24"/>
          <w:szCs w:val="24"/>
        </w:rPr>
        <w:t>）</w:t>
      </w:r>
      <w:r w:rsidR="007502C6" w:rsidRPr="00FD6888">
        <w:rPr>
          <w:rFonts w:asciiTheme="minorEastAsia" w:eastAsiaTheme="minorEastAsia" w:hAnsiTheme="minorEastAsia" w:cs="Arial" w:hint="eastAsia"/>
          <w:kern w:val="0"/>
          <w:sz w:val="24"/>
          <w:szCs w:val="24"/>
        </w:rPr>
        <w:t>。</w:t>
      </w:r>
    </w:p>
    <w:p w14:paraId="6D2B91C5" w14:textId="77777777" w:rsidR="003568C2" w:rsidRDefault="003568C2">
      <w:pPr>
        <w:pStyle w:val="a6"/>
        <w:ind w:firstLine="420"/>
        <w:rPr>
          <w:rFonts w:asciiTheme="minorEastAsia" w:eastAsiaTheme="minorEastAsia" w:hAnsiTheme="minorEastAsia" w:cs="Arial"/>
          <w:color w:val="FF0000"/>
          <w:kern w:val="0"/>
          <w:sz w:val="24"/>
          <w:szCs w:val="24"/>
        </w:rPr>
      </w:pPr>
    </w:p>
    <w:p w14:paraId="3B843445" w14:textId="77777777" w:rsidR="003568C2" w:rsidRDefault="00695B0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5、投资决策委员会成员的姓名、职务</w:t>
      </w:r>
    </w:p>
    <w:p w14:paraId="77C96DC7" w14:textId="77777777" w:rsidR="00637F1C" w:rsidRPr="00FD6888" w:rsidRDefault="00637F1C" w:rsidP="00FD6888">
      <w:pPr>
        <w:autoSpaceDE w:val="0"/>
        <w:autoSpaceDN w:val="0"/>
        <w:adjustRightInd w:val="0"/>
        <w:spacing w:line="360" w:lineRule="auto"/>
        <w:ind w:firstLineChars="200" w:firstLine="480"/>
        <w:rPr>
          <w:rFonts w:asciiTheme="minorEastAsia" w:hAnsiTheme="minorEastAsia" w:cs="Times New Roman"/>
          <w:sz w:val="24"/>
          <w:szCs w:val="24"/>
        </w:rPr>
      </w:pPr>
      <w:r w:rsidRPr="00FD6888">
        <w:rPr>
          <w:rFonts w:asciiTheme="minorEastAsia" w:hAnsiTheme="minorEastAsia" w:cs="Times New Roman" w:hint="eastAsia"/>
          <w:sz w:val="24"/>
          <w:szCs w:val="24"/>
        </w:rPr>
        <w:t>高峰先生，投资决策委员会主任委员、总经理、首席信息官。</w:t>
      </w:r>
    </w:p>
    <w:p w14:paraId="05856AC0" w14:textId="7F6CEAAD" w:rsidR="00637F1C" w:rsidRPr="00FD6888" w:rsidRDefault="00637F1C" w:rsidP="00FD6888">
      <w:pPr>
        <w:autoSpaceDE w:val="0"/>
        <w:autoSpaceDN w:val="0"/>
        <w:adjustRightInd w:val="0"/>
        <w:spacing w:line="360" w:lineRule="auto"/>
        <w:ind w:firstLineChars="200" w:firstLine="480"/>
        <w:rPr>
          <w:rFonts w:asciiTheme="minorEastAsia" w:hAnsiTheme="minorEastAsia" w:cs="Times New Roman"/>
          <w:sz w:val="24"/>
          <w:szCs w:val="24"/>
        </w:rPr>
      </w:pPr>
      <w:r w:rsidRPr="00FD6888">
        <w:rPr>
          <w:rFonts w:asciiTheme="minorEastAsia" w:hAnsiTheme="minorEastAsia" w:cs="Times New Roman" w:hint="eastAsia"/>
          <w:sz w:val="24"/>
          <w:szCs w:val="24"/>
        </w:rPr>
        <w:t>邓宇翔先生，投资决策委员会委员、权益投资部总经理、基金经理。</w:t>
      </w:r>
    </w:p>
    <w:p w14:paraId="6A5CFA2D" w14:textId="6AE990D1" w:rsidR="00637F1C" w:rsidRPr="00FD6888" w:rsidRDefault="00637F1C" w:rsidP="00FD6888">
      <w:pPr>
        <w:autoSpaceDE w:val="0"/>
        <w:autoSpaceDN w:val="0"/>
        <w:adjustRightInd w:val="0"/>
        <w:spacing w:line="360" w:lineRule="auto"/>
        <w:ind w:firstLineChars="200" w:firstLine="480"/>
        <w:rPr>
          <w:rFonts w:asciiTheme="minorEastAsia" w:hAnsiTheme="minorEastAsia" w:cs="Times New Roman"/>
          <w:sz w:val="24"/>
          <w:szCs w:val="24"/>
        </w:rPr>
      </w:pPr>
      <w:r w:rsidRPr="00FD6888">
        <w:rPr>
          <w:rFonts w:asciiTheme="minorEastAsia" w:hAnsiTheme="minorEastAsia" w:cs="Times New Roman" w:hint="eastAsia"/>
          <w:sz w:val="24"/>
          <w:szCs w:val="24"/>
        </w:rPr>
        <w:t>郎骋成先生，投资决策委员会委员、研究部总经理、基金经理。</w:t>
      </w:r>
    </w:p>
    <w:p w14:paraId="08BBD4F3" w14:textId="77777777" w:rsidR="00637F1C" w:rsidRPr="00FD6888" w:rsidRDefault="00637F1C" w:rsidP="00FD6888">
      <w:pPr>
        <w:autoSpaceDE w:val="0"/>
        <w:autoSpaceDN w:val="0"/>
        <w:adjustRightInd w:val="0"/>
        <w:spacing w:line="360" w:lineRule="auto"/>
        <w:ind w:firstLineChars="200" w:firstLine="480"/>
        <w:rPr>
          <w:rFonts w:asciiTheme="minorEastAsia" w:hAnsiTheme="minorEastAsia" w:cs="Times New Roman"/>
          <w:sz w:val="24"/>
          <w:szCs w:val="24"/>
        </w:rPr>
      </w:pPr>
      <w:r w:rsidRPr="00FD6888">
        <w:rPr>
          <w:rFonts w:asciiTheme="minorEastAsia" w:hAnsiTheme="minorEastAsia" w:cs="Times New Roman" w:hint="eastAsia"/>
          <w:sz w:val="24"/>
          <w:szCs w:val="24"/>
        </w:rPr>
        <w:t>黄祥斌先生，投资决策委员会委员、投资一部总经理、基金经理。</w:t>
      </w:r>
    </w:p>
    <w:p w14:paraId="28E510E5" w14:textId="77777777" w:rsidR="00637F1C" w:rsidRPr="00FD6888" w:rsidRDefault="00637F1C" w:rsidP="00FD6888">
      <w:pPr>
        <w:autoSpaceDE w:val="0"/>
        <w:autoSpaceDN w:val="0"/>
        <w:adjustRightInd w:val="0"/>
        <w:spacing w:line="360" w:lineRule="auto"/>
        <w:ind w:firstLineChars="200" w:firstLine="480"/>
        <w:rPr>
          <w:rFonts w:asciiTheme="minorEastAsia" w:hAnsiTheme="minorEastAsia" w:cs="Times New Roman"/>
          <w:sz w:val="24"/>
          <w:szCs w:val="24"/>
        </w:rPr>
      </w:pPr>
      <w:r w:rsidRPr="00FD6888">
        <w:rPr>
          <w:rFonts w:asciiTheme="minorEastAsia" w:hAnsiTheme="minorEastAsia" w:cs="Times New Roman" w:hint="eastAsia"/>
          <w:sz w:val="24"/>
          <w:szCs w:val="24"/>
        </w:rPr>
        <w:t>唐奥先生，投资决策委员会委员、基金经理。</w:t>
      </w:r>
    </w:p>
    <w:p w14:paraId="76C5F7E1" w14:textId="77777777" w:rsidR="00637F1C" w:rsidRPr="00FD6888" w:rsidRDefault="00637F1C" w:rsidP="00FD6888">
      <w:pPr>
        <w:autoSpaceDE w:val="0"/>
        <w:autoSpaceDN w:val="0"/>
        <w:adjustRightInd w:val="0"/>
        <w:spacing w:line="360" w:lineRule="auto"/>
        <w:ind w:firstLineChars="200" w:firstLine="480"/>
        <w:rPr>
          <w:rFonts w:asciiTheme="minorEastAsia" w:hAnsiTheme="minorEastAsia" w:cs="Times New Roman"/>
          <w:sz w:val="24"/>
          <w:szCs w:val="24"/>
        </w:rPr>
      </w:pPr>
      <w:r w:rsidRPr="00FD6888">
        <w:rPr>
          <w:rFonts w:asciiTheme="minorEastAsia" w:hAnsiTheme="minorEastAsia" w:cs="Times New Roman" w:hint="eastAsia"/>
          <w:sz w:val="24"/>
          <w:szCs w:val="24"/>
        </w:rPr>
        <w:t>王丹女士，投资决策委员会委员、基金经理。</w:t>
      </w:r>
    </w:p>
    <w:p w14:paraId="4CD04DE4" w14:textId="73B0440E" w:rsidR="00637F1C" w:rsidRDefault="00637F1C" w:rsidP="00FD6888">
      <w:pPr>
        <w:autoSpaceDE w:val="0"/>
        <w:autoSpaceDN w:val="0"/>
        <w:adjustRightInd w:val="0"/>
        <w:spacing w:line="360" w:lineRule="auto"/>
        <w:ind w:firstLineChars="200" w:firstLine="480"/>
        <w:rPr>
          <w:rFonts w:asciiTheme="minorEastAsia" w:hAnsiTheme="minorEastAsia" w:cs="Times New Roman"/>
          <w:sz w:val="24"/>
          <w:szCs w:val="24"/>
        </w:rPr>
      </w:pPr>
      <w:r w:rsidRPr="00FD6888">
        <w:rPr>
          <w:rFonts w:asciiTheme="minorEastAsia" w:hAnsiTheme="minorEastAsia" w:cs="Times New Roman" w:hint="eastAsia"/>
          <w:sz w:val="24"/>
          <w:szCs w:val="24"/>
        </w:rPr>
        <w:t>李延峥先生，投资决策委员会委员、投资决策委员会秘书、基金经理</w:t>
      </w:r>
      <w:r w:rsidR="00AF188A" w:rsidRPr="00FD6888">
        <w:rPr>
          <w:rFonts w:asciiTheme="minorEastAsia" w:hAnsiTheme="minorEastAsia" w:cs="Times New Roman" w:hint="eastAsia"/>
          <w:sz w:val="24"/>
          <w:szCs w:val="24"/>
        </w:rPr>
        <w:t>。</w:t>
      </w:r>
    </w:p>
    <w:p w14:paraId="4C2FD096" w14:textId="77777777" w:rsidR="00FD6888" w:rsidRPr="00FD6888" w:rsidRDefault="00FD6888" w:rsidP="00FD6888">
      <w:pPr>
        <w:autoSpaceDE w:val="0"/>
        <w:autoSpaceDN w:val="0"/>
        <w:adjustRightInd w:val="0"/>
        <w:spacing w:line="360" w:lineRule="auto"/>
        <w:ind w:firstLineChars="200" w:firstLine="480"/>
        <w:rPr>
          <w:rFonts w:asciiTheme="minorEastAsia" w:hAnsiTheme="minorEastAsia" w:cs="Times New Roman" w:hint="eastAsia"/>
          <w:sz w:val="24"/>
          <w:szCs w:val="24"/>
        </w:rPr>
      </w:pPr>
    </w:p>
    <w:p w14:paraId="6E79E35C"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kern w:val="0"/>
          <w:sz w:val="24"/>
          <w:szCs w:val="24"/>
        </w:rPr>
        <w:t>6、上述人员之间不存在近亲属关系。</w:t>
      </w:r>
    </w:p>
    <w:p w14:paraId="55143263" w14:textId="77777777" w:rsidR="003568C2" w:rsidRDefault="00695B03">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三、基金管理人的职责</w:t>
      </w:r>
    </w:p>
    <w:p w14:paraId="02DDE473"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1、依法募集资金，办理或者委托经中国证监会认定的其他机构代为办理基金份额的申购、赎回和登记事宜；</w:t>
      </w:r>
    </w:p>
    <w:p w14:paraId="1591B325"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2、办理基金备案手续；</w:t>
      </w:r>
    </w:p>
    <w:p w14:paraId="11926218"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3、自《基金合同》生效之日起，以诚实信用、谨慎勤勉的原则管理和运用基金财产；</w:t>
      </w:r>
    </w:p>
    <w:p w14:paraId="37CA006C"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4、配备足够的具有专业资格的人员进行基金投资分析、决策，以专业化的经营方式管理和运作基金财产；</w:t>
      </w:r>
    </w:p>
    <w:p w14:paraId="5B7EF092"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5、建立健全内部风险控制、监察与稽核、财务管理及人事管理等制度，保证所管理的基金财产和基金管理人的财产相互独立，对所管理的不同基金分别管理，分别记账，进行证券投资；</w:t>
      </w:r>
    </w:p>
    <w:p w14:paraId="2FDFF9DD"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6、除依据《基金法》、《基金合同》及其他有关规定外，不得利用基金财产为自己及任何第三人牟取利益，不得委托第三人运作基金财产；</w:t>
      </w:r>
    </w:p>
    <w:p w14:paraId="3E81718C"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7、依法接受基金托管人的监督；</w:t>
      </w:r>
    </w:p>
    <w:p w14:paraId="06EDCEAC"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8、采取适当合理的措施使计算基金份额申购、赎回和注销价格的方法符合《基金合同》等法律文件的规定，按有关规定计算并公告基金净值信息，确定基金份额申购、赎回对价，编制申购赎回清单；</w:t>
      </w:r>
    </w:p>
    <w:p w14:paraId="6C1E428C"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9、进行基金会计核算并编制基金财务会计报告；</w:t>
      </w:r>
    </w:p>
    <w:p w14:paraId="5FEBD930"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lastRenderedPageBreak/>
        <w:t>10、编制季度报告、中期报告和年度报告；</w:t>
      </w:r>
    </w:p>
    <w:p w14:paraId="75F7E8AA"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11、严格按照《基金法》、《基金合同》及其他有关规定，履行信息披露及报告义务；</w:t>
      </w:r>
    </w:p>
    <w:p w14:paraId="42A5C6FB"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12、保守基金商业秘密，不泄露基金投资计划、投资意向等。除《基金法》、《基金合同》及其他有关规定另有规定外，在基金信息公开披露前应予保密，不向他人泄露；</w:t>
      </w:r>
    </w:p>
    <w:p w14:paraId="6CCF6386"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13、按《基金合同》的约定确定基金收益分配方案，及时向基金份额持有人分配基金收益；</w:t>
      </w:r>
    </w:p>
    <w:p w14:paraId="6B29EB70"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14、按规定受理申购与赎回申请，及时、足额支付赎回款项；</w:t>
      </w:r>
    </w:p>
    <w:p w14:paraId="423A06EC"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15、依据《基金法》、《基金合同》及其他有关规定召集基金份额持有人大会或配合基金托管人、基金份额持有人依法召集基金份额持有人大会；</w:t>
      </w:r>
    </w:p>
    <w:p w14:paraId="4728607A"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16、按规定保存基金财产管理业务活动的会计账册、报表、记录和其他相关资料15年以上；</w:t>
      </w:r>
    </w:p>
    <w:p w14:paraId="730A12DE"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6482B3BA"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18、组织并参加基金财产清算小组，参与基金财产的保管、清理、估价、变现和分配；</w:t>
      </w:r>
    </w:p>
    <w:p w14:paraId="0535C1C3"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19、面临解散、依法被撤销或者被依法宣告破产时，及时报告中国证监会并通知基金托管人；</w:t>
      </w:r>
    </w:p>
    <w:p w14:paraId="7A570B7C"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20、因违反《基金合同》导致基金财产的损失或损害基金份额持有人合法权益时，应当承担赔偿责任，其赔偿责任不因其退任而免除；</w:t>
      </w:r>
    </w:p>
    <w:p w14:paraId="78609658"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21、监督基金托管人按法律法规和《基金合同》规定履行自己的义务，基金托管人违反《基金合同》造成基金财产损失时，基金管理人应为基金份额持有人利益向基金托管人追偿；</w:t>
      </w:r>
    </w:p>
    <w:p w14:paraId="2C74A961"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22、当基金管理人将其义务委托第三方处理时，应当对第三方处理有关基金事务的行为承担责任；</w:t>
      </w:r>
    </w:p>
    <w:p w14:paraId="1292A803"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23、以基金管理人名义，代表基金份额持有人利益行使诉讼权利或实施其他法律行为；</w:t>
      </w:r>
    </w:p>
    <w:p w14:paraId="1F44304B"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lastRenderedPageBreak/>
        <w:t>24</w:t>
      </w:r>
      <w:r>
        <w:rPr>
          <w:rFonts w:asciiTheme="minorEastAsia" w:hAnsiTheme="minorEastAsia" w:cs="Times New Roman" w:hint="eastAsia"/>
          <w:sz w:val="24"/>
          <w:szCs w:val="24"/>
        </w:rPr>
        <w:t>、执行生效的基金份额持有人大会的决议；</w:t>
      </w:r>
    </w:p>
    <w:p w14:paraId="15FD5F60"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25</w:t>
      </w:r>
      <w:r>
        <w:rPr>
          <w:rFonts w:asciiTheme="minorEastAsia" w:hAnsiTheme="minorEastAsia" w:cs="Times New Roman" w:hint="eastAsia"/>
          <w:sz w:val="24"/>
          <w:szCs w:val="24"/>
        </w:rPr>
        <w:t>、建立并保存基金份额持有人名册；</w:t>
      </w:r>
    </w:p>
    <w:p w14:paraId="3440AD35"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26</w:t>
      </w:r>
      <w:r>
        <w:rPr>
          <w:rFonts w:asciiTheme="minorEastAsia" w:hAnsiTheme="minorEastAsia" w:cs="Times New Roman" w:hint="eastAsia"/>
          <w:sz w:val="24"/>
          <w:szCs w:val="24"/>
        </w:rPr>
        <w:t>、法律法规及中国证监会规定的和《基金合同》约定的其他义务。</w:t>
      </w:r>
    </w:p>
    <w:p w14:paraId="3041A119" w14:textId="77777777" w:rsidR="003568C2" w:rsidRDefault="00695B03">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四、基金管理人的承诺</w:t>
      </w:r>
    </w:p>
    <w:p w14:paraId="60CE0390"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1、基金管理人承诺不从事违反《中华人民共和国证券法》的行为，并承诺建立健全内部控制制度，采取有效措施，防止违反《中华人民共和国证券法》行为的发生； </w:t>
      </w:r>
    </w:p>
    <w:p w14:paraId="5A6B9017"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2、基金管理人承诺不从事违反《基金法》的行为，并承诺建立健全内部风险控制制度，采取有效措施，防止下列行为的发生：</w:t>
      </w:r>
    </w:p>
    <w:p w14:paraId="6B83A7F5"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（1）将基金管理人固有财产或者他人财产混同于基金财产从事证券投资；</w:t>
      </w:r>
    </w:p>
    <w:p w14:paraId="34CF4788"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（2）不公平地对待管理的不同基金财产；</w:t>
      </w:r>
    </w:p>
    <w:p w14:paraId="0EF80B0B"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（3）利用基金财产或者职务之便为基金份额持有人以外的第三人牟取利益；</w:t>
      </w:r>
    </w:p>
    <w:p w14:paraId="5CCC6848"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（4）向基金份额持有人违规承诺收益或者承担损失；</w:t>
      </w:r>
    </w:p>
    <w:p w14:paraId="28C97058"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（5）侵占、挪用基金财产；</w:t>
      </w:r>
    </w:p>
    <w:p w14:paraId="52E79FCF"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（6）泄露因职务便利获取的未公开信息、利用该信息从事或者明示、暗示他人从事相关的交易活动；</w:t>
      </w:r>
    </w:p>
    <w:p w14:paraId="1AEA98C0"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（7）玩忽职守，不按照规定履行职责；</w:t>
      </w:r>
    </w:p>
    <w:p w14:paraId="34F2BB58"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（8）法律、行政法规和中国证监会规定禁止的其他行为。 </w:t>
      </w:r>
    </w:p>
    <w:p w14:paraId="5F09DE48"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3、基金管理人承诺严格遵守基金合同，并承诺建立健全内部控制制度，采取有效措施，防止违反基金合同行为的发生； </w:t>
      </w:r>
    </w:p>
    <w:p w14:paraId="18A15CA8"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4、基金管理人承诺加强人员管理，强化职业操守，督促和约束员工遵守国家有关法律法规及行业规范，诚实信用、勤勉尽责；</w:t>
      </w:r>
    </w:p>
    <w:p w14:paraId="016C4D1C"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5、基金管理人承诺不从事其他法规规定禁止从事的行为。 </w:t>
      </w:r>
    </w:p>
    <w:p w14:paraId="32D6E7DD" w14:textId="77777777" w:rsidR="003568C2" w:rsidRDefault="00695B03">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sz w:val="24"/>
          <w:szCs w:val="24"/>
        </w:rPr>
      </w:pPr>
      <w:r>
        <w:rPr>
          <w:rFonts w:asciiTheme="minorEastAsia" w:hAnsiTheme="minorEastAsia" w:cs="Arial" w:hint="eastAsia"/>
          <w:b/>
          <w:sz w:val="24"/>
          <w:szCs w:val="24"/>
        </w:rPr>
        <w:t>五、基金经理承诺</w:t>
      </w:r>
    </w:p>
    <w:p w14:paraId="7989E811"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1、依照有关法律法规和基金合同的规定，本着谨慎的原则为基金份额持有人谋取最大利益；</w:t>
      </w:r>
    </w:p>
    <w:p w14:paraId="3A98D743"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2、不利用职务之便为自己、受雇人或任何第三者牟取利益； </w:t>
      </w:r>
    </w:p>
    <w:p w14:paraId="148709F9"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3、不泄露在任职期间知悉的有关证券、基金的商业秘密，尚未依法公开的基金投资内容、基金投资计划等信息，或利用该信息从事或者明示、暗示他人从</w:t>
      </w:r>
      <w:r>
        <w:rPr>
          <w:rFonts w:asciiTheme="minorEastAsia" w:hAnsiTheme="minorEastAsia" w:cs="Times New Roman" w:hint="eastAsia"/>
          <w:sz w:val="24"/>
          <w:szCs w:val="24"/>
        </w:rPr>
        <w:lastRenderedPageBreak/>
        <w:t>事相关的交易活动；</w:t>
      </w:r>
    </w:p>
    <w:p w14:paraId="1B9646C3"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4、不以任何形式为其他组织或个人进行证券交易。</w:t>
      </w:r>
    </w:p>
    <w:p w14:paraId="6F256E3E" w14:textId="77777777" w:rsidR="003568C2" w:rsidRDefault="00695B03">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六、基金管理人的内部控制制度</w:t>
      </w:r>
    </w:p>
    <w:p w14:paraId="0A0344B3"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bookmarkStart w:id="83" w:name="_Toc410197818"/>
      <w:bookmarkStart w:id="84" w:name="_Toc263092312"/>
      <w:bookmarkStart w:id="85" w:name="_Toc416264540"/>
      <w:bookmarkStart w:id="86" w:name="_Toc352229750"/>
      <w:bookmarkEnd w:id="66"/>
      <w:bookmarkEnd w:id="67"/>
      <w:bookmarkEnd w:id="68"/>
      <w:r>
        <w:rPr>
          <w:rFonts w:asciiTheme="minorEastAsia" w:hAnsiTheme="minorEastAsia" w:cs="Arial" w:hint="eastAsia"/>
          <w:sz w:val="24"/>
          <w:szCs w:val="24"/>
        </w:rPr>
        <w:t>1、风险控制目标</w:t>
      </w:r>
    </w:p>
    <w:p w14:paraId="3A6F4A63"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（1）在有效控制风险的前提下，实现基金份额持有人利益最大化；</w:t>
      </w:r>
    </w:p>
    <w:p w14:paraId="5A859D1E"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（2）确保国家有关法律法规、行业规章和公司各项规章制度的贯彻执行；</w:t>
      </w:r>
    </w:p>
    <w:p w14:paraId="52E969FB"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（3）建立符合现代企业制度要求的法人治理结构，形成科学合理的决策机制、执行机制和监督机制；</w:t>
      </w:r>
    </w:p>
    <w:p w14:paraId="5F93931B"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（4）将各种风险控制在合理的范围内，保障公司发展战略和经营目标的全面实施，维护基金份额持有人、公司及公司股东的合法权益；</w:t>
      </w:r>
    </w:p>
    <w:p w14:paraId="3B7F533E"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（5）建立行之有效的风险控制系统，保障业务稳健运行，减轻或规避各种风险对公司发展战略和经营目标的干扰。</w:t>
      </w:r>
    </w:p>
    <w:p w14:paraId="1EA94299"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2、建立风险控制制度应遵循的原则</w:t>
      </w:r>
    </w:p>
    <w:p w14:paraId="5E6CAF96"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（1）全面性原则：风险控制制度应覆盖公司的各项业务、各个部门和各级人员，并渗透到决策、执行、监督、反馈等各个经营环节；</w:t>
      </w:r>
    </w:p>
    <w:p w14:paraId="0A98FCB0"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（2）审慎性原则：内部风险控制的核心是有效防范各种风险，公司组织体系的构成、内部管理制度的建立都要以防范风险、审慎经营为出发点；</w:t>
      </w:r>
    </w:p>
    <w:p w14:paraId="2A22B4B2"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3）独立性原则：公司风险控制的检查、评价部门应当独立于风险控制的建立和执行部门；风险控制委员会、督察长和监察稽核部应保持高度的独立性和权威性，负责对公司各部门风险控制工作进行评价和检查；</w:t>
      </w:r>
    </w:p>
    <w:p w14:paraId="107AD274"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52E8720C"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（5）适时性原则：内部风险控制应随着公司经营战略、经营方针、经营理念等内部环境的变化和国家法律、法规、政策制度等外部环境的改变及时进行相应的修改和完善；</w:t>
      </w:r>
    </w:p>
    <w:p w14:paraId="3A6C2242"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3、风险控制体系</w:t>
      </w:r>
    </w:p>
    <w:p w14:paraId="616B0708"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（1）风险控制制度体系</w:t>
      </w:r>
    </w:p>
    <w:p w14:paraId="61F99B91"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公司风险控制制度体系由三个不同层次的制度构成：第一个层次是公司章程、</w:t>
      </w:r>
      <w:r>
        <w:rPr>
          <w:rFonts w:asciiTheme="minorEastAsia" w:hAnsiTheme="minorEastAsia" w:cs="Arial" w:hint="eastAsia"/>
          <w:sz w:val="24"/>
          <w:szCs w:val="24"/>
        </w:rPr>
        <w:lastRenderedPageBreak/>
        <w:t>内部控制大纲；第二个层次是基本管理制度；第三个层次是部门管理制度及各项业务规则。</w:t>
      </w:r>
    </w:p>
    <w:p w14:paraId="3FD1E577"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（2）风险控制组织体系</w:t>
      </w:r>
    </w:p>
    <w:p w14:paraId="725CCD42"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风险控制组织体系包括两个层次：</w:t>
      </w:r>
    </w:p>
    <w:p w14:paraId="6D3B64AB"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第一层次：公司董事会层面对公司经营管理过程中的各类风险进行预防和控制的组织，主要是通过董事会下设的风险控制委员会和督察长来实现的。</w:t>
      </w:r>
    </w:p>
    <w:p w14:paraId="1A91F287"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6C11E900"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②督察长履行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14:paraId="06249B8A"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第二层次：公司经营管理层包括风险控制委员会、监察稽核部及各职能部门对经营风险的预防和控制。</w:t>
      </w:r>
    </w:p>
    <w:p w14:paraId="456FBE65" w14:textId="77777777" w:rsidR="003568C2" w:rsidRDefault="00695B03">
      <w:pPr>
        <w:tabs>
          <w:tab w:val="left" w:pos="3675"/>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规风险、市场风险和操作风险等重大风险，确保公司各项业务符合法律法规、监管要求、公司制度及受托资产合同的规定；审批基金投资的关联方证券名单和关联交易；风险管理委员会认为其他需关注的事项。</w:t>
      </w:r>
    </w:p>
    <w:p w14:paraId="6AE80A8C"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②监察稽核部的主要职责是在督察长的领导下，组织和协调公司内部控制制度的编写、修订工作，确保公司内部控制制度合规、完善；检查公司内部控制制度和业务流程的执行情况，出具监察稽核报告；负责信息披露事务的管理；调查基金及其他类型产品的异常投资和交易以及对违规行为的调查；负责公司的法律事务、合规咨询、合规培训、离任审查等工作。</w:t>
      </w:r>
    </w:p>
    <w:p w14:paraId="62E97F3D"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③公司各职能部门的主要职责是对自身工作中潜在风险的自我检查和控制，</w:t>
      </w:r>
      <w:r>
        <w:rPr>
          <w:rFonts w:asciiTheme="minorEastAsia" w:hAnsiTheme="minorEastAsia" w:cs="Arial" w:hint="eastAsia"/>
          <w:sz w:val="24"/>
          <w:szCs w:val="24"/>
        </w:rPr>
        <w:lastRenderedPageBreak/>
        <w:t>各业务部门作为公司风险控制的具体实施单位，应在公司各项基本管理制度的基础上，根据具体情况制订本部门的业务管理规定、操作流程及内部控制规定并严格执行。</w:t>
      </w:r>
    </w:p>
    <w:p w14:paraId="32C33408"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4、关于授权、研究、投资、交易等方面的控制点</w:t>
      </w:r>
    </w:p>
    <w:p w14:paraId="05AFEDD4"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（1）授权制度</w:t>
      </w:r>
    </w:p>
    <w:p w14:paraId="4943861A"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3E7C741A"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（2）研究业务</w:t>
      </w:r>
    </w:p>
    <w:p w14:paraId="477EEF6C"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6BB3E43D"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（3）基金投资业务</w:t>
      </w:r>
    </w:p>
    <w:p w14:paraId="6F47E87A"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基金投资应确立科学的投资理念，根据决策的风险防范原则和效率性原则制定合理的决策程序；在进行投资时应有明确的投资授权制度，并应建立与所授权限相应的约束制度和考核制度；建立严格的投资禁止和投资限制制度，保证基金投资的合法合规性；建立投资风险评估与管理制度，将重点投资限制在一定的风险权限额度内；对于投资结果建立科学的投资管理业绩评价体系。</w:t>
      </w:r>
    </w:p>
    <w:p w14:paraId="34AE74F3"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（4）交易业务</w:t>
      </w:r>
    </w:p>
    <w:p w14:paraId="23C96605"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005B9C32"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（5）基金会计核算</w:t>
      </w:r>
    </w:p>
    <w:p w14:paraId="5583DD7D"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lastRenderedPageBreak/>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3ED4EE83"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（6）信息披露</w:t>
      </w:r>
    </w:p>
    <w:p w14:paraId="09CEE13F"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60A3F691"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（7）监察稽核</w:t>
      </w:r>
    </w:p>
    <w:p w14:paraId="0D36F9DC"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设立督察长。督察长由董事会聘任或解聘，报中国证监会或其指定的机构备案，并向董事会负责。督察长依据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111C36F4"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0274F3CE"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5、风险管理和内部控制的措施</w:t>
      </w:r>
    </w:p>
    <w:p w14:paraId="5BB9CC0C"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（1）建立内控结构，完善内控制度：公司建立、健全了内控结构，高管人员具有明确的内控分工，确保各项业务活动有恰当的组织和授权，确保监察活动的独立进行，并得到高管人员的支持。</w:t>
      </w:r>
    </w:p>
    <w:p w14:paraId="01D5DAA2"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（2）建立相互分离、相互制衡的内控机制：建立、健全了各项制度，做到基金经理、投资经理分开，研究、决策分开，基金交易集中，形成不同部门、不同岗位之间的制衡机制，从制度上减少和防范风险。</w:t>
      </w:r>
    </w:p>
    <w:p w14:paraId="04311D0C"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（3）建立、健全岗位责任制：建立、健全了岗位责任制，使每个员工都明</w:t>
      </w:r>
      <w:r>
        <w:rPr>
          <w:rFonts w:asciiTheme="minorEastAsia" w:hAnsiTheme="minorEastAsia" w:cs="Arial" w:hint="eastAsia"/>
          <w:sz w:val="24"/>
          <w:szCs w:val="24"/>
        </w:rPr>
        <w:lastRenderedPageBreak/>
        <w:t>确自己的任务、职责，并及时将各自工作领域中的风险隐患上报，以防范和减少风险。</w:t>
      </w:r>
    </w:p>
    <w:p w14:paraId="6B33FE92"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44BA1420"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（5）建立有效的内部监控系统：建立了足够、有效的内部监控系统，如计算机预警系统、投资监控系统，能对可能出现的各种风险进行全面和实时的监控。</w:t>
      </w:r>
    </w:p>
    <w:p w14:paraId="31A2EC50"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（6）使用数量化的风险管理手段：采取数量化、技术化的风险控制手段，建立数量化的风险管理模型，用以提示市场风险，以便公司及时采取有效的措施，对风险进行分散、控制和规避，尽可能地减少损失。</w:t>
      </w:r>
    </w:p>
    <w:p w14:paraId="525086FD"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（7）提供足够的培训：制定了完整的培训计划，为所有员工提供足够和适当的培训，使员工明确其职责所在，控制风险。</w:t>
      </w:r>
    </w:p>
    <w:p w14:paraId="76576E26" w14:textId="77777777" w:rsidR="003568C2" w:rsidRDefault="00695B03">
      <w:pPr>
        <w:widowControl/>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6、基金管理人承诺上述关于内部控制的披露真实、准确，并承诺将根据市场环境的变化及公司的发展不断完善合规控制。</w:t>
      </w:r>
      <w:bookmarkStart w:id="87" w:name="_Toc238027832"/>
      <w:bookmarkStart w:id="88" w:name="_Toc238013745"/>
      <w:bookmarkEnd w:id="87"/>
      <w:bookmarkEnd w:id="88"/>
      <w:r>
        <w:rPr>
          <w:rFonts w:asciiTheme="minorEastAsia" w:hAnsiTheme="minorEastAsia" w:cs="Arial"/>
          <w:sz w:val="24"/>
          <w:szCs w:val="24"/>
        </w:rPr>
        <w:br w:type="page"/>
      </w:r>
    </w:p>
    <w:p w14:paraId="1329AAA2" w14:textId="77777777" w:rsidR="003568C2" w:rsidRDefault="00695B03">
      <w:pPr>
        <w:pStyle w:val="1"/>
        <w:jc w:val="center"/>
        <w:rPr>
          <w:sz w:val="30"/>
          <w:szCs w:val="30"/>
        </w:rPr>
      </w:pPr>
      <w:bookmarkStart w:id="89" w:name="_Toc15892917"/>
      <w:r>
        <w:rPr>
          <w:rFonts w:hint="eastAsia"/>
          <w:sz w:val="30"/>
          <w:szCs w:val="30"/>
        </w:rPr>
        <w:lastRenderedPageBreak/>
        <w:t>第四部分</w:t>
      </w:r>
      <w:r>
        <w:rPr>
          <w:sz w:val="30"/>
          <w:szCs w:val="30"/>
        </w:rPr>
        <w:t xml:space="preserve">  </w:t>
      </w:r>
      <w:r>
        <w:rPr>
          <w:rFonts w:hint="eastAsia"/>
          <w:sz w:val="30"/>
          <w:szCs w:val="30"/>
        </w:rPr>
        <w:t>基金托管人</w:t>
      </w:r>
      <w:bookmarkEnd w:id="89"/>
    </w:p>
    <w:p w14:paraId="4083C206" w14:textId="77777777" w:rsidR="003568C2" w:rsidRDefault="00695B03">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一、基金托管人概况</w:t>
      </w:r>
    </w:p>
    <w:p w14:paraId="2AA45A1A" w14:textId="77777777" w:rsidR="0071539E" w:rsidRPr="0071539E" w:rsidRDefault="0071539E" w:rsidP="0071539E">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1、基本情况</w:t>
      </w:r>
    </w:p>
    <w:p w14:paraId="7E214F0A" w14:textId="77777777" w:rsidR="0071539E" w:rsidRPr="0071539E" w:rsidRDefault="0071539E" w:rsidP="0071539E">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名称：招商银行股份有限公司（以下简称“招商银行”）</w:t>
      </w:r>
    </w:p>
    <w:p w14:paraId="5EE22A4B" w14:textId="77777777" w:rsidR="0071539E" w:rsidRPr="0071539E" w:rsidRDefault="0071539E" w:rsidP="0071539E">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设立日期：1987年4月8日</w:t>
      </w:r>
    </w:p>
    <w:p w14:paraId="257D5C3C" w14:textId="77777777" w:rsidR="0071539E" w:rsidRPr="0071539E" w:rsidRDefault="0071539E" w:rsidP="0071539E">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注册地址：深圳市深南大道7088号招商银行大厦</w:t>
      </w:r>
    </w:p>
    <w:p w14:paraId="55482D3B" w14:textId="77777777" w:rsidR="0071539E" w:rsidRPr="0071539E" w:rsidRDefault="0071539E" w:rsidP="0071539E">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办公地址：深圳市深南大道7088号招商银行大厦</w:t>
      </w:r>
    </w:p>
    <w:p w14:paraId="4CFC1C8E" w14:textId="77777777" w:rsidR="0071539E" w:rsidRPr="0071539E" w:rsidRDefault="0071539E" w:rsidP="0071539E">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注册资本：252.20亿元</w:t>
      </w:r>
    </w:p>
    <w:p w14:paraId="7EE0518B" w14:textId="77777777" w:rsidR="0071539E" w:rsidRPr="0071539E" w:rsidRDefault="0071539E" w:rsidP="0071539E">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法定代表人：缪建民</w:t>
      </w:r>
    </w:p>
    <w:p w14:paraId="7EA53927" w14:textId="77777777" w:rsidR="0071539E" w:rsidRPr="0071539E" w:rsidRDefault="0071539E" w:rsidP="0071539E">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行长：田惠宇</w:t>
      </w:r>
    </w:p>
    <w:p w14:paraId="238E9085" w14:textId="77777777" w:rsidR="0071539E" w:rsidRPr="0071539E" w:rsidRDefault="0071539E" w:rsidP="0071539E">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资产托管业务批准文号：证监基金字[2002]83号</w:t>
      </w:r>
    </w:p>
    <w:p w14:paraId="2F4B01D4" w14:textId="77777777" w:rsidR="0071539E" w:rsidRPr="0071539E" w:rsidRDefault="0071539E" w:rsidP="0071539E">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电话：0755-83199084</w:t>
      </w:r>
    </w:p>
    <w:p w14:paraId="6B91EEBD" w14:textId="77777777" w:rsidR="0071539E" w:rsidRPr="0071539E" w:rsidRDefault="0071539E" w:rsidP="0071539E">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传真：0755-83195201</w:t>
      </w:r>
    </w:p>
    <w:p w14:paraId="5880C8DC" w14:textId="77777777" w:rsidR="0071539E" w:rsidRPr="0071539E" w:rsidRDefault="0071539E" w:rsidP="0071539E">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资产托管部信息披露负责人：张燕</w:t>
      </w:r>
    </w:p>
    <w:p w14:paraId="5FA69808" w14:textId="77777777" w:rsidR="0071539E" w:rsidRPr="0071539E" w:rsidRDefault="0071539E" w:rsidP="0071539E">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 xml:space="preserve">2、发展概况   </w:t>
      </w:r>
    </w:p>
    <w:p w14:paraId="15234B44" w14:textId="77777777" w:rsidR="0071539E" w:rsidRPr="0071539E" w:rsidRDefault="0071539E" w:rsidP="0071539E">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招商银行成立于1987年4月8日，是我国第一家完全由企业法人持股的股份制商业银行，总行设在深圳。自成立以来，招商银行先后进行了三次增资扩股，并于2002年3月成功地发行了15亿A股，4月9日在上交所挂牌（股票代码：600036），是国内第一家采用国际会计标准上市的公司。2006年9月又成功发行了22亿H股，9月22日在香港联交所挂牌交易（股票代码：3968），10月5日行使H股超额配售，共发行了24.2亿H股。截至2021年3月31日，本集团总资产86,646.61亿元人民币，高级法下资本充足率16.24%，权重法下资本充足率13.53%。</w:t>
      </w:r>
    </w:p>
    <w:p w14:paraId="060B39D0" w14:textId="77777777" w:rsidR="0071539E" w:rsidRPr="0071539E" w:rsidRDefault="0071539E" w:rsidP="0071539E">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2002年8月，招商银行成立基金托管部；2005年8月，经报中国证监会同意，更名为资产托管部，现下设业务管理团队、产品管理团队、项目管理团队、稽核监察团队、基金外包业务团队、养老金团队、系统与数据团队7个职能团队，现有员工99人。2002年11月，经中国人民银行和中国证监会批准获得证券投资基金托管业务资格，成为国内第一家获得该项业务资格上市银行；2003年4月，正式办理基金托管业务。招商银行作为托管业务资质最全的商业银行，拥有</w:t>
      </w:r>
      <w:r w:rsidRPr="0071539E">
        <w:rPr>
          <w:rFonts w:asciiTheme="minorEastAsia" w:hAnsiTheme="minorEastAsia" w:cs="Arial" w:hint="eastAsia"/>
          <w:bCs/>
          <w:sz w:val="24"/>
          <w:szCs w:val="24"/>
        </w:rPr>
        <w:lastRenderedPageBreak/>
        <w:t>证券投资基金托管、受托投资管理托管、合格境外机构投资者托管（QFII）、合格境内机构投资者托管（QDII）、全国社会保障基金托管、保险资金托管、企业年金基金托管、存托凭证试点存托人等业务资格。</w:t>
      </w:r>
    </w:p>
    <w:p w14:paraId="77B58653" w14:textId="77777777" w:rsidR="0071539E" w:rsidRPr="0071539E" w:rsidRDefault="0071539E" w:rsidP="0071539E">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招商银行确立“因势而变、先您所想”的托管理念和“财富所托、信守承诺”的托管核心价值，独创“6S托管银行”品牌体系，以“保护您的业务、保护您的财富”为历史使命，不断创新托管系统、服务和产品：在业内率先推出“网上托管银行系统”、托管业务综合系统和“6心”托管服务标准，首家发布私募基金绩效分析报告，开办国内首个托管银行网站，推出国内首个托管大数据平台，成功托管国内第一只券商集合资产管理计划、第一只FOF、第一只信托资金计划、第一只股权私募基金、第一家实现货币市场基金赎回资金T+1到账、第一只境外银行QDII基金、第一只红利ETF基金、第一只“1+N”基金专户理财、第一家大小非解禁资产、第一单TOT保管，实现从单一托管服务商向全面投资者服务机构的转变，得到了同业认可。</w:t>
      </w:r>
    </w:p>
    <w:p w14:paraId="496B14E4" w14:textId="09EF0CFA" w:rsidR="003568C2" w:rsidRDefault="0071539E" w:rsidP="0071539E">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招商银行资产托管业务持续稳健发展，社会影响力不断提升,四度蝉联获《财资》“中国最佳托管专业银行”。2016年6月招商银行荣膺《财资》“中国最佳托管银行奖”，成为国内唯一获得该奖项的托管银行；“托管通”获得国内《银行家》2016中国金融创新“十佳金融产品创新奖”；7月荣膺2016年中国资产管理“金贝奖”“最佳资产托管银行”。2017年6月招商银行再度荣膺《财资》“中国最佳托管银行奖”；“全功能网上托管银行2.0”荣获《银行家》2017中国金融创新“十佳金融产品创新奖”；8月荣膺国际财经权威媒体《亚洲银行家》“中国年度托管银行奖”。2018年1月招商银行荣膺中央国债登记结算有限责任公司“2017年度优秀资产托管机构”奖项；同月，招商银行托管大数据平台风险管理系统荣获2016-2017年度银监会系统“金点子”方案一等奖，以及中央金融团工委、全国金融青联第五届“双提升”金点子方案二等奖；3月荣膺公募基金20年“最佳基金托管银行”奖；5月荣膺国际财经权威媒体《亚洲银行家》“中国年度托管银行奖”；12月荣膺2018东方财富风云榜“2018年度最佳托管银行”、“20年最值得信赖托管银行”奖。2019年3月招商银行荣获《中国基金报》“2018年度最佳基金托管银行”奖；6月荣获《财资》“中国最佳托管机构”“中国最佳养老金托管机构”“中国最佳零售基金行政外包”三项大奖；12月荣获2019东方财富</w:t>
      </w:r>
      <w:r w:rsidRPr="0071539E">
        <w:rPr>
          <w:rFonts w:asciiTheme="minorEastAsia" w:hAnsiTheme="minorEastAsia" w:cs="Arial" w:hint="eastAsia"/>
          <w:bCs/>
          <w:sz w:val="24"/>
          <w:szCs w:val="24"/>
        </w:rPr>
        <w:lastRenderedPageBreak/>
        <w:t>风云榜“2019年度最佳托管银行”奖。2020年1月，荣膺中央国债登记结算有限责任公司“2019年度优秀资产托管机构”奖项；6月荣获《财资》“中国最佳托管机构”“最佳公募基金托管机构”“最佳公募基金行政外包机构”三项大奖；10月荣获《中国基金报》“2019年度最佳基金托管银行”奖。</w:t>
      </w:r>
    </w:p>
    <w:p w14:paraId="2C0D4320" w14:textId="77777777" w:rsidR="003568C2" w:rsidRDefault="00695B03">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二、主要人员情况</w:t>
      </w:r>
    </w:p>
    <w:p w14:paraId="4916D67B" w14:textId="77777777" w:rsidR="0071539E" w:rsidRPr="0071539E" w:rsidRDefault="0071539E" w:rsidP="0071539E">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缪建民先生，本行董事长、非执行董事，2020年9月起担任本行董事、董事长。中央财经大学经济学博士，高级经济师。十九届中央候补委员。招商局集团有限公司董事长。曾任中国人寿保险（集团）公司副董事长、总裁，中国人民保险集团股份有限公司副董事长、总裁、董事长，曾兼任中国人民财产保险股份有限公司董事长，中国人保资产管理有限公司董事长，中国人民健康保险股份有限公司董事长，中国人民保险（香港）有限公司董事长，人保资本投资管理有限公司董事长，中国人民养老保险有限责任公司董事长，中国人民人寿保险股份有限公司董事长。</w:t>
      </w:r>
    </w:p>
    <w:p w14:paraId="0C2F13DD" w14:textId="77777777" w:rsidR="0071539E" w:rsidRPr="0071539E" w:rsidRDefault="0071539E" w:rsidP="0071539E">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田惠宇先生，本行行长、执行董事，2013年5月起担任本行行长、本行执行董事。美国哥伦比亚大学公共管理硕士学位，高级经济师。曾于2003 年7 月至2013年5月历任上海银行副行长、中国建设银行上海市分行副行长、深圳市分行行长、中国建设银行零售业务总监兼北京市分行行长。</w:t>
      </w:r>
    </w:p>
    <w:p w14:paraId="0519BD56" w14:textId="77777777" w:rsidR="0071539E" w:rsidRPr="0071539E" w:rsidRDefault="0071539E" w:rsidP="0071539E">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汪建中先生，本行副行长。1991年加入本行；2002年10月至2013年12月历任本行长沙分行行长，总行公司银行部副总经理，佛山分行筹备组组长，佛山分行行长，武汉分行行长；2013年12月至2016年10月任本行业务总监兼公司金融总部总裁，期间先后兼任公司金融综合管理部总经理、战略客户部总经理；2016年10月至2017年4月任本行业务总监兼北京分行行长；2017年4月起任本行党委委员兼北京分行行长。2019年4月起任本行副行长。</w:t>
      </w:r>
    </w:p>
    <w:p w14:paraId="77CB2DFF" w14:textId="47813A9F" w:rsidR="003568C2" w:rsidRDefault="0071539E" w:rsidP="0071539E">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刘波先生，招商银行资产托管部总经理。硕士研究生毕业，1999年7月加盟招商银行至今,历任招商银行重庆分行干部、总行计划财务部副经理、经理、高级经理、总行资产负债管理部总经理助理、深圳分行党委委员、行长助理、副行长等职务，具有20余年银行从业经验，在资产负债管理、资本管理、资产证券化、统计分析、金融同业、资产托管等领域有深入的研究和丰富的实务经验。</w:t>
      </w:r>
    </w:p>
    <w:p w14:paraId="48B0783D" w14:textId="77777777" w:rsidR="003568C2" w:rsidRDefault="00695B03">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三、基金托管业务经营情况</w:t>
      </w:r>
    </w:p>
    <w:p w14:paraId="1F1C20E4" w14:textId="77777777" w:rsidR="0071539E" w:rsidRDefault="0071539E">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lastRenderedPageBreak/>
        <w:t>截至2021年3月31日，招商银行股份有限公司累计托管786只证券投资基金。</w:t>
      </w:r>
    </w:p>
    <w:p w14:paraId="35018584" w14:textId="13FAFF2D" w:rsidR="003568C2" w:rsidRDefault="00695B03">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四、托管人的内部控制制度</w:t>
      </w:r>
    </w:p>
    <w:p w14:paraId="6B6180D7" w14:textId="77777777" w:rsidR="0071539E" w:rsidRPr="0071539E" w:rsidRDefault="0071539E" w:rsidP="0071539E">
      <w:pPr>
        <w:tabs>
          <w:tab w:val="left" w:pos="870"/>
        </w:tabs>
        <w:adjustRightInd w:val="0"/>
        <w:snapToGrid w:val="0"/>
        <w:spacing w:line="360" w:lineRule="auto"/>
        <w:ind w:firstLineChars="200" w:firstLine="480"/>
        <w:rPr>
          <w:rFonts w:asciiTheme="minorEastAsia" w:hAnsiTheme="minorEastAsia" w:cs="Arial"/>
          <w:bCs/>
          <w:sz w:val="24"/>
          <w:szCs w:val="24"/>
        </w:rPr>
      </w:pPr>
      <w:bookmarkStart w:id="90" w:name="_Toc214873594"/>
      <w:bookmarkStart w:id="91" w:name="_Toc416264541"/>
      <w:bookmarkStart w:id="92" w:name="_Toc263092313"/>
      <w:bookmarkStart w:id="93" w:name="_Toc1270"/>
      <w:bookmarkStart w:id="94" w:name="_Toc23822"/>
      <w:bookmarkStart w:id="95" w:name="_Toc10463"/>
      <w:bookmarkStart w:id="96" w:name="_Toc123051452"/>
      <w:bookmarkStart w:id="97" w:name="_Toc48649707"/>
      <w:bookmarkStart w:id="98" w:name="_Toc4003"/>
      <w:bookmarkStart w:id="99" w:name="_Toc17244"/>
      <w:bookmarkStart w:id="100" w:name="_Toc7920"/>
      <w:bookmarkStart w:id="101" w:name="_Toc20733"/>
      <w:bookmarkStart w:id="102" w:name="_Toc123102453"/>
      <w:bookmarkStart w:id="103" w:name="_Toc139991736"/>
      <w:bookmarkStart w:id="104" w:name="_Toc11081"/>
      <w:bookmarkStart w:id="105" w:name="_Toc98560352"/>
      <w:bookmarkStart w:id="106" w:name="_Toc352229752"/>
      <w:bookmarkStart w:id="107" w:name="_Toc610"/>
      <w:bookmarkStart w:id="108" w:name="_Toc79392606"/>
      <w:bookmarkStart w:id="109" w:name="_Toc141703886"/>
      <w:bookmarkStart w:id="110" w:name="_Toc1427"/>
      <w:bookmarkStart w:id="111" w:name="_Toc123112234"/>
      <w:bookmarkStart w:id="112" w:name="_Toc352229751"/>
      <w:bookmarkStart w:id="113" w:name="_Toc23261"/>
      <w:bookmarkEnd w:id="69"/>
      <w:bookmarkEnd w:id="70"/>
      <w:bookmarkEnd w:id="71"/>
      <w:bookmarkEnd w:id="72"/>
      <w:bookmarkEnd w:id="73"/>
      <w:bookmarkEnd w:id="74"/>
      <w:bookmarkEnd w:id="75"/>
      <w:bookmarkEnd w:id="76"/>
      <w:bookmarkEnd w:id="77"/>
      <w:bookmarkEnd w:id="78"/>
      <w:bookmarkEnd w:id="79"/>
      <w:bookmarkEnd w:id="80"/>
      <w:bookmarkEnd w:id="81"/>
      <w:bookmarkEnd w:id="83"/>
      <w:bookmarkEnd w:id="84"/>
      <w:bookmarkEnd w:id="85"/>
      <w:bookmarkEnd w:id="86"/>
      <w:r w:rsidRPr="0071539E">
        <w:rPr>
          <w:rFonts w:asciiTheme="minorEastAsia" w:hAnsiTheme="minorEastAsia" w:cs="Arial" w:hint="eastAsia"/>
          <w:bCs/>
          <w:sz w:val="24"/>
          <w:szCs w:val="24"/>
        </w:rPr>
        <w:t>1、</w:t>
      </w:r>
      <w:r w:rsidRPr="0071539E">
        <w:rPr>
          <w:rFonts w:asciiTheme="minorEastAsia" w:hAnsiTheme="minorEastAsia" w:cs="Arial" w:hint="eastAsia"/>
          <w:bCs/>
          <w:sz w:val="24"/>
          <w:szCs w:val="24"/>
        </w:rPr>
        <w:tab/>
        <w:t>内部控制目标</w:t>
      </w:r>
    </w:p>
    <w:p w14:paraId="1698B6AA" w14:textId="77777777" w:rsidR="0071539E" w:rsidRPr="0071539E" w:rsidRDefault="0071539E" w:rsidP="0071539E">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招商银行确保托管业务严格遵守国家有关法律法规和行业监管制度，坚持守法经营、规范运作的经营理念；形成科学合理的决策机制、执行机制和监督机制，防范和化解经营风险，确保托管业务的稳健运行和托管资产的安全；建立有利于查错防弊、堵塞漏洞、消除隐患，保证业务稳健运行的风险控制制度，确保托管业务信息真实、准确、完整、及时；确保内控机制、体制的不断改进和各项业务制度、流程的不断完善。</w:t>
      </w:r>
    </w:p>
    <w:p w14:paraId="7BA45A37" w14:textId="77777777" w:rsidR="0071539E" w:rsidRPr="0071539E" w:rsidRDefault="0071539E" w:rsidP="0071539E">
      <w:pPr>
        <w:tabs>
          <w:tab w:val="left" w:pos="87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2、</w:t>
      </w:r>
      <w:r w:rsidRPr="0071539E">
        <w:rPr>
          <w:rFonts w:asciiTheme="minorEastAsia" w:hAnsiTheme="minorEastAsia" w:cs="Arial" w:hint="eastAsia"/>
          <w:bCs/>
          <w:sz w:val="24"/>
          <w:szCs w:val="24"/>
        </w:rPr>
        <w:tab/>
        <w:t>内部控制组织结构</w:t>
      </w:r>
    </w:p>
    <w:p w14:paraId="6B25F49A" w14:textId="77777777" w:rsidR="0071539E" w:rsidRPr="0071539E" w:rsidRDefault="0071539E" w:rsidP="0071539E">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招商银行资产托管业务建立三级内部控制及风险防范体系：</w:t>
      </w:r>
    </w:p>
    <w:p w14:paraId="2A25A544" w14:textId="77777777" w:rsidR="0071539E" w:rsidRPr="0071539E" w:rsidRDefault="0071539E" w:rsidP="0071539E">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一级内部控制及风险防范是在招商银行总行风险管控层面对风险进行预防和控制；</w:t>
      </w:r>
    </w:p>
    <w:p w14:paraId="0141FC25" w14:textId="77777777" w:rsidR="0071539E" w:rsidRPr="0071539E" w:rsidRDefault="0071539E" w:rsidP="0071539E">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二级内部控制及风险防范是招商银行资产托管部设立稽核监察团队，负责部门内部风险预防和控制；</w:t>
      </w:r>
    </w:p>
    <w:p w14:paraId="5B72D422" w14:textId="77777777" w:rsidR="0071539E" w:rsidRPr="0071539E" w:rsidRDefault="0071539E" w:rsidP="0071539E">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三级内部控制及风险防范是招商银行资产托管部在设置专业岗位时，遵循内控制衡原则，视业务的风险程度制定相应监督制衡机制。</w:t>
      </w:r>
    </w:p>
    <w:p w14:paraId="5F40FB23" w14:textId="77777777" w:rsidR="0071539E" w:rsidRPr="0071539E" w:rsidRDefault="0071539E" w:rsidP="0071539E">
      <w:pPr>
        <w:tabs>
          <w:tab w:val="left" w:pos="87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3、</w:t>
      </w:r>
      <w:r w:rsidRPr="0071539E">
        <w:rPr>
          <w:rFonts w:asciiTheme="minorEastAsia" w:hAnsiTheme="minorEastAsia" w:cs="Arial" w:hint="eastAsia"/>
          <w:bCs/>
          <w:sz w:val="24"/>
          <w:szCs w:val="24"/>
        </w:rPr>
        <w:tab/>
        <w:t>内部控制原则</w:t>
      </w:r>
    </w:p>
    <w:p w14:paraId="5AEF4A66" w14:textId="77777777" w:rsidR="0071539E" w:rsidRPr="0071539E" w:rsidRDefault="0071539E" w:rsidP="0071539E">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（1）全面性原则。内部控制覆盖各项业务过程和操作环节、覆盖所有团队和岗位，并由全部人员参与。</w:t>
      </w:r>
    </w:p>
    <w:p w14:paraId="29061F58" w14:textId="77777777" w:rsidR="0071539E" w:rsidRPr="0071539E" w:rsidRDefault="0071539E" w:rsidP="0071539E">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（2）审慎性原则。托管组织体系的构成、内部管理制度的建立均以防范风险、审慎经营为出发点，体现“内控优先”的要求。</w:t>
      </w:r>
    </w:p>
    <w:p w14:paraId="6AED4935" w14:textId="77777777" w:rsidR="0071539E" w:rsidRPr="0071539E" w:rsidRDefault="0071539E" w:rsidP="0071539E">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（3）独立性原则。招商银行资产托管部各团队、各岗位职责保持相对独立，不同托管资产之间、托管资产和自有资产之间相互分离。内部控制的检查、评价部门独立于内部控制的建立和执行部门。</w:t>
      </w:r>
    </w:p>
    <w:p w14:paraId="2C1E7915" w14:textId="77777777" w:rsidR="0071539E" w:rsidRPr="0071539E" w:rsidRDefault="0071539E" w:rsidP="0071539E">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4）有效性原则。内部控制有效性包含内部控制设计的有效性、内部控制执行的有效性。内部控制设计的有效性是指内部控制的设计覆盖了所有应关注的重要风险，且设计的风险应对措施适当。内部控制执行的有效性是指内部控制能</w:t>
      </w:r>
      <w:r w:rsidRPr="0071539E">
        <w:rPr>
          <w:rFonts w:asciiTheme="minorEastAsia" w:hAnsiTheme="minorEastAsia" w:cs="Arial" w:hint="eastAsia"/>
          <w:bCs/>
          <w:sz w:val="24"/>
          <w:szCs w:val="24"/>
        </w:rPr>
        <w:lastRenderedPageBreak/>
        <w:t>够按照设计要求严格有效执行。</w:t>
      </w:r>
    </w:p>
    <w:p w14:paraId="2817D3CD" w14:textId="77777777" w:rsidR="0071539E" w:rsidRPr="0071539E" w:rsidRDefault="0071539E" w:rsidP="0071539E">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（5）适应性原则。内部控制适应招商银行托管业务风险管理的需要，并能够随着托管业务经营战略、经营方针、经营理念等内部环境的变化和国家法律、法规、政策制度等外部环境的改变及时进行修订和完善。</w:t>
      </w:r>
    </w:p>
    <w:p w14:paraId="352529A7" w14:textId="77777777" w:rsidR="0071539E" w:rsidRPr="0071539E" w:rsidRDefault="0071539E" w:rsidP="0071539E">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 xml:space="preserve">（6）防火墙原则。招商银行资产托管部办公场地与我行其他业务场地隔离，办公网和业务网物理分离，部门业务网和全行业务网防火墙策略分离，以达到风险防范的目的。 </w:t>
      </w:r>
    </w:p>
    <w:p w14:paraId="6DBBBEC3" w14:textId="77777777" w:rsidR="0071539E" w:rsidRPr="0071539E" w:rsidRDefault="0071539E" w:rsidP="0071539E">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（7）重要性原则。内部控制在实现全面控制的基础上，关注重要托管业务重要事项和高风险环节。</w:t>
      </w:r>
    </w:p>
    <w:p w14:paraId="56922989" w14:textId="77777777" w:rsidR="0071539E" w:rsidRPr="0071539E" w:rsidRDefault="0071539E" w:rsidP="0071539E">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（8）制衡性原则。内部控制能够实现在托管组织体系、机构设置、权责分配及业务流程等方面形成相互制约、相互监督，同时兼顾运营效率。</w:t>
      </w:r>
    </w:p>
    <w:p w14:paraId="40505FC9" w14:textId="77777777" w:rsidR="0071539E" w:rsidRPr="0071539E" w:rsidRDefault="0071539E" w:rsidP="0071539E">
      <w:pPr>
        <w:tabs>
          <w:tab w:val="left" w:pos="87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4、</w:t>
      </w:r>
      <w:r w:rsidRPr="0071539E">
        <w:rPr>
          <w:rFonts w:asciiTheme="minorEastAsia" w:hAnsiTheme="minorEastAsia" w:cs="Arial" w:hint="eastAsia"/>
          <w:bCs/>
          <w:sz w:val="24"/>
          <w:szCs w:val="24"/>
        </w:rPr>
        <w:tab/>
        <w:t>内部控制措施</w:t>
      </w:r>
    </w:p>
    <w:p w14:paraId="667774E3" w14:textId="77777777" w:rsidR="0071539E" w:rsidRPr="0071539E" w:rsidRDefault="0071539E" w:rsidP="0071539E">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1）完善的制度建设。招商银行资产托管部从资产托管业务内控管理、产品受理、会计核算、资金清算、岗位管理、档案管理和信息管理等方面制定一系列规章制度，保证资产托管业务科学化、制度化、规范化运作。</w:t>
      </w:r>
    </w:p>
    <w:p w14:paraId="0FCC24A0" w14:textId="77777777" w:rsidR="0071539E" w:rsidRPr="0071539E" w:rsidRDefault="0071539E" w:rsidP="0071539E">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（2）业务信息风险控制。招商银行资产托管部在数据传输和保存方面有严格的加密和备份措施，采用加密、直连方式传输数据，数据执行异地实时备份，所有的业务信息须经过严格的授权方能进行访问。</w:t>
      </w:r>
    </w:p>
    <w:p w14:paraId="25A5C0C7" w14:textId="77777777" w:rsidR="0071539E" w:rsidRPr="0071539E" w:rsidRDefault="0071539E" w:rsidP="0071539E">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（3）客户资料风险控制。招商银行资产托管部对业务办理过程中获取的客户资料严格保密，除法律法规和其他有关规定、监管机构及审计要求外，不向任何机构、部门或个人泄露。</w:t>
      </w:r>
    </w:p>
    <w:p w14:paraId="62E1640A" w14:textId="77777777" w:rsidR="0071539E" w:rsidRPr="0071539E" w:rsidRDefault="0071539E" w:rsidP="0071539E">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4）信息技术系统风险控制。招商银行对信息技术系统机房、权限管理实行双人双岗双责，电脑机房24小时值班并设置门禁，所有电脑设置密码及相应权限。业务网和办公网、托管业务网与全行业务网双分离制度，与外部业务机构实行防火墙保护，对信息技术系统采取两地三中心的应急备份管理措施等，保证信息技术系统的安全。</w:t>
      </w:r>
    </w:p>
    <w:p w14:paraId="0643684E" w14:textId="7BC7B3FD" w:rsidR="00242CDE" w:rsidRDefault="0071539E" w:rsidP="0071539E">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（5）人力资源控制。招商银行资产托管部通过建立良好的企业文化和员工培训、激励机制、加强人力资源管理及建立人才梯级队伍及人才储备机制，有效的进行人力资源管理。</w:t>
      </w:r>
    </w:p>
    <w:p w14:paraId="63053CD2" w14:textId="77777777" w:rsidR="003568C2" w:rsidRDefault="00695B03">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lastRenderedPageBreak/>
        <w:t>五、基金托管人对基金管理人运作基金进行监督的方法和程序</w:t>
      </w:r>
    </w:p>
    <w:p w14:paraId="4A2CAAF0" w14:textId="77777777" w:rsidR="0071539E" w:rsidRPr="0071539E" w:rsidRDefault="0071539E" w:rsidP="0071539E">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根据《中华人民共和国证券投资基金法》、《公开募集证券投资基金运作管理办法》等有关法律法规的规定及基金合同、托管协议的约定，对基金投资范围、投资比例、投资组合等情况的合法性、合规性进行监督和核查。</w:t>
      </w:r>
    </w:p>
    <w:p w14:paraId="2EA68458" w14:textId="77777777" w:rsidR="0071539E" w:rsidRPr="0071539E" w:rsidRDefault="0071539E" w:rsidP="0071539E">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在为基金投资运作所提供的基金清算和核算服务环节中，基金托管人对基金管理人发送的投资指令、基金管理人对各基金费用的提取与支付情况进行检查监督，对违反法律法规、基金合同的指令拒绝执行，并立即通知基金管理人。</w:t>
      </w:r>
    </w:p>
    <w:p w14:paraId="189CB4B1" w14:textId="452FDE90" w:rsidR="003568C2" w:rsidRDefault="0071539E" w:rsidP="0071539E">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基金托管人如发现基金管理人依据交易程序已经生效的投资指令违反法律、行政法规和其他有关规定，或者违反基金合同约定，及时以书面形式通知基金管理人进行整改，整改的时限应符合法律法规及基金合同允许的调整期限。基金管理人收到通知后应及时核对确认并以书面形式向基金托管人发出回函并改正。基金管理人对基金托管人通知的违规事项未能在限期内纠正的，基金托管人应报告中国证监会。</w:t>
      </w:r>
      <w:r w:rsidR="00695B03">
        <w:rPr>
          <w:rFonts w:asciiTheme="minorEastAsia" w:hAnsiTheme="minorEastAsia" w:cs="Arial"/>
          <w:bCs/>
          <w:sz w:val="24"/>
          <w:szCs w:val="24"/>
        </w:rPr>
        <w:br w:type="page"/>
      </w:r>
    </w:p>
    <w:p w14:paraId="4ECCBC59" w14:textId="77777777" w:rsidR="003568C2" w:rsidRDefault="00695B03">
      <w:pPr>
        <w:pStyle w:val="1"/>
        <w:jc w:val="center"/>
        <w:rPr>
          <w:sz w:val="30"/>
          <w:szCs w:val="30"/>
        </w:rPr>
      </w:pPr>
      <w:bookmarkStart w:id="114" w:name="_Toc15892918"/>
      <w:r>
        <w:rPr>
          <w:rFonts w:hint="eastAsia"/>
          <w:sz w:val="30"/>
          <w:szCs w:val="30"/>
        </w:rPr>
        <w:lastRenderedPageBreak/>
        <w:t>第五部分</w:t>
      </w:r>
      <w:r>
        <w:rPr>
          <w:sz w:val="30"/>
          <w:szCs w:val="30"/>
        </w:rPr>
        <w:t xml:space="preserve">  </w:t>
      </w:r>
      <w:r>
        <w:rPr>
          <w:rFonts w:hint="eastAsia"/>
          <w:sz w:val="30"/>
          <w:szCs w:val="30"/>
        </w:rPr>
        <w:t>相关服务机构</w:t>
      </w:r>
      <w:bookmarkEnd w:id="90"/>
      <w:bookmarkEnd w:id="91"/>
      <w:bookmarkEnd w:id="92"/>
      <w:bookmarkEnd w:id="114"/>
    </w:p>
    <w:p w14:paraId="1F627834" w14:textId="77777777" w:rsidR="003568C2" w:rsidRDefault="00695B03">
      <w:pPr>
        <w:tabs>
          <w:tab w:val="left" w:pos="54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一、基金份额销售机构</w:t>
      </w:r>
    </w:p>
    <w:p w14:paraId="1FAA1C83" w14:textId="77777777" w:rsidR="003568C2" w:rsidRDefault="00695B0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1、直销机构：富荣基金管理有限公司直销中心</w:t>
      </w:r>
    </w:p>
    <w:p w14:paraId="5C149B37" w14:textId="77777777" w:rsidR="003568C2" w:rsidRDefault="00695B0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 xml:space="preserve">注册地址：广州市南沙区海滨路171号南沙金融大厦11楼1101之一J20室 </w:t>
      </w:r>
    </w:p>
    <w:p w14:paraId="1D936DB7" w14:textId="77777777" w:rsidR="003568C2" w:rsidRDefault="00695B0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办公地址：广东省深圳市福田区八卦四路52号安吉尔大厦24层</w:t>
      </w:r>
    </w:p>
    <w:p w14:paraId="3BE4CC10" w14:textId="77777777" w:rsidR="003568C2" w:rsidRDefault="00695B0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法定代表人：杨小舟</w:t>
      </w:r>
    </w:p>
    <w:p w14:paraId="53755FB2" w14:textId="77777777" w:rsidR="003568C2" w:rsidRDefault="00695B0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电话：0755-84356629</w:t>
      </w:r>
    </w:p>
    <w:p w14:paraId="58E5205B" w14:textId="77777777" w:rsidR="003568C2" w:rsidRDefault="00695B0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传真：0755-83230787</w:t>
      </w:r>
    </w:p>
    <w:p w14:paraId="69172417" w14:textId="77777777" w:rsidR="003568C2" w:rsidRDefault="00695B0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客服电话：4006855600</w:t>
      </w:r>
    </w:p>
    <w:p w14:paraId="37D068D0" w14:textId="77777777" w:rsidR="003568C2" w:rsidRDefault="00695B0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网址：www.furamc.com.cn</w:t>
      </w:r>
    </w:p>
    <w:p w14:paraId="5151C0F6" w14:textId="77777777" w:rsidR="003568C2" w:rsidRDefault="00695B0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2、其他销售机构：具体名单详见基金管理人届时发布的调整销售机构的相关公告。</w:t>
      </w:r>
    </w:p>
    <w:tbl>
      <w:tblPr>
        <w:tblStyle w:val="af8"/>
        <w:tblW w:w="8789" w:type="dxa"/>
        <w:tblInd w:w="-5" w:type="dxa"/>
        <w:tblLayout w:type="fixed"/>
        <w:tblLook w:val="04A0" w:firstRow="1" w:lastRow="0" w:firstColumn="1" w:lastColumn="0" w:noHBand="0" w:noVBand="1"/>
      </w:tblPr>
      <w:tblGrid>
        <w:gridCol w:w="709"/>
        <w:gridCol w:w="3260"/>
        <w:gridCol w:w="4820"/>
      </w:tblGrid>
      <w:tr w:rsidR="003568C2" w14:paraId="29D5C989" w14:textId="77777777" w:rsidTr="00D45D19">
        <w:tc>
          <w:tcPr>
            <w:tcW w:w="709" w:type="dxa"/>
          </w:tcPr>
          <w:p w14:paraId="48648F8F" w14:textId="77777777" w:rsidR="003568C2" w:rsidRDefault="00695B03">
            <w:pPr>
              <w:spacing w:line="360" w:lineRule="auto"/>
              <w:jc w:val="center"/>
              <w:rPr>
                <w:rFonts w:asciiTheme="majorEastAsia" w:hAnsiTheme="majorEastAsia"/>
                <w:b/>
                <w:sz w:val="24"/>
              </w:rPr>
            </w:pPr>
            <w:r w:rsidRPr="00C80148">
              <w:rPr>
                <w:rFonts w:asciiTheme="majorEastAsia" w:hAnsiTheme="majorEastAsia" w:hint="eastAsia"/>
                <w:b/>
                <w:kern w:val="0"/>
                <w:sz w:val="24"/>
              </w:rPr>
              <w:t>序号</w:t>
            </w:r>
          </w:p>
        </w:tc>
        <w:tc>
          <w:tcPr>
            <w:tcW w:w="3260" w:type="dxa"/>
          </w:tcPr>
          <w:p w14:paraId="54E433E5" w14:textId="77777777" w:rsidR="003568C2" w:rsidRDefault="00695B03">
            <w:pPr>
              <w:spacing w:line="360" w:lineRule="auto"/>
              <w:jc w:val="center"/>
              <w:rPr>
                <w:rFonts w:asciiTheme="majorEastAsia" w:hAnsiTheme="majorEastAsia"/>
                <w:b/>
                <w:sz w:val="24"/>
              </w:rPr>
            </w:pPr>
            <w:r w:rsidRPr="00C80148">
              <w:rPr>
                <w:rFonts w:asciiTheme="majorEastAsia" w:hAnsiTheme="majorEastAsia" w:hint="eastAsia"/>
                <w:b/>
                <w:kern w:val="0"/>
                <w:sz w:val="24"/>
              </w:rPr>
              <w:t>代销机构名称</w:t>
            </w:r>
          </w:p>
        </w:tc>
        <w:tc>
          <w:tcPr>
            <w:tcW w:w="4820" w:type="dxa"/>
          </w:tcPr>
          <w:p w14:paraId="51A7B4F4" w14:textId="77777777" w:rsidR="003568C2" w:rsidRDefault="00695B03">
            <w:pPr>
              <w:spacing w:line="360" w:lineRule="auto"/>
              <w:jc w:val="center"/>
              <w:rPr>
                <w:rFonts w:asciiTheme="majorEastAsia" w:hAnsiTheme="majorEastAsia"/>
                <w:b/>
                <w:sz w:val="24"/>
              </w:rPr>
            </w:pPr>
            <w:r w:rsidRPr="00C80148">
              <w:rPr>
                <w:rFonts w:asciiTheme="majorEastAsia" w:hAnsiTheme="majorEastAsia" w:hint="eastAsia"/>
                <w:b/>
                <w:kern w:val="0"/>
                <w:sz w:val="24"/>
              </w:rPr>
              <w:t>代销机构信息</w:t>
            </w:r>
          </w:p>
        </w:tc>
      </w:tr>
      <w:tr w:rsidR="00712774" w:rsidRPr="00C52A47" w14:paraId="52860EC2" w14:textId="77777777" w:rsidTr="00D45D19">
        <w:tc>
          <w:tcPr>
            <w:tcW w:w="709" w:type="dxa"/>
            <w:hideMark/>
          </w:tcPr>
          <w:p w14:paraId="38BE8FAB" w14:textId="77777777" w:rsidR="00712774" w:rsidRPr="00C52A47" w:rsidRDefault="00712774" w:rsidP="00AF7038">
            <w:pPr>
              <w:spacing w:line="360" w:lineRule="auto"/>
              <w:jc w:val="center"/>
              <w:rPr>
                <w:rFonts w:ascii="宋体" w:hAnsi="宋体" w:cs="Arial"/>
              </w:rPr>
            </w:pPr>
            <w:r>
              <w:rPr>
                <w:rFonts w:ascii="宋体" w:hAnsi="宋体" w:cs="Arial" w:hint="eastAsia"/>
              </w:rPr>
              <w:t>1</w:t>
            </w:r>
          </w:p>
        </w:tc>
        <w:tc>
          <w:tcPr>
            <w:tcW w:w="3260" w:type="dxa"/>
            <w:hideMark/>
          </w:tcPr>
          <w:p w14:paraId="019A549D" w14:textId="77777777" w:rsidR="00712774" w:rsidRPr="00C52A47" w:rsidRDefault="00712774" w:rsidP="00AF7038">
            <w:pPr>
              <w:spacing w:line="360" w:lineRule="auto"/>
              <w:jc w:val="center"/>
              <w:rPr>
                <w:rFonts w:asciiTheme="minorEastAsia" w:hAnsiTheme="minorEastAsia" w:cs="Arial"/>
              </w:rPr>
            </w:pPr>
            <w:r w:rsidRPr="00C52A47">
              <w:rPr>
                <w:rFonts w:asciiTheme="minorEastAsia" w:hAnsiTheme="minorEastAsia" w:cs="Arial" w:hint="eastAsia"/>
              </w:rPr>
              <w:t>平安证券股份有限公司</w:t>
            </w:r>
          </w:p>
        </w:tc>
        <w:tc>
          <w:tcPr>
            <w:tcW w:w="4820" w:type="dxa"/>
            <w:hideMark/>
          </w:tcPr>
          <w:p w14:paraId="18ACB513" w14:textId="77777777" w:rsidR="00712774" w:rsidRPr="00C52A47" w:rsidRDefault="00712774" w:rsidP="00AF7038">
            <w:pPr>
              <w:snapToGrid w:val="0"/>
              <w:spacing w:line="360" w:lineRule="auto"/>
              <w:rPr>
                <w:rFonts w:ascii="宋体" w:hAnsi="宋体" w:cs="Calibri"/>
                <w:color w:val="000000"/>
                <w:szCs w:val="21"/>
              </w:rPr>
            </w:pPr>
            <w:r w:rsidRPr="00C52A47">
              <w:rPr>
                <w:rFonts w:ascii="宋体" w:hAnsi="宋体" w:cs="Calibri" w:hint="eastAsia"/>
                <w:color w:val="000000"/>
                <w:szCs w:val="21"/>
              </w:rPr>
              <w:t xml:space="preserve">注册（办公）地址：深圳市福田中心区金田路4036号荣超大厦16-20层 </w:t>
            </w:r>
          </w:p>
          <w:p w14:paraId="34AB498F" w14:textId="77777777" w:rsidR="00712774" w:rsidRPr="00C52A47" w:rsidRDefault="00712774" w:rsidP="00AF7038">
            <w:pPr>
              <w:snapToGrid w:val="0"/>
              <w:spacing w:line="360" w:lineRule="auto"/>
              <w:rPr>
                <w:rFonts w:ascii="宋体" w:hAnsi="宋体" w:cs="Calibri"/>
                <w:color w:val="000000"/>
                <w:szCs w:val="21"/>
              </w:rPr>
            </w:pPr>
            <w:r w:rsidRPr="00C52A47">
              <w:rPr>
                <w:rFonts w:ascii="宋体" w:hAnsi="宋体" w:cs="Calibri" w:hint="eastAsia"/>
                <w:color w:val="000000"/>
                <w:szCs w:val="21"/>
              </w:rPr>
              <w:t>客户服务电话：</w:t>
            </w:r>
            <w:r w:rsidRPr="00C52A47">
              <w:rPr>
                <w:rFonts w:ascii="宋体" w:hAnsi="宋体" w:cs="Calibri"/>
                <w:color w:val="000000"/>
                <w:szCs w:val="21"/>
              </w:rPr>
              <w:t xml:space="preserve">95511-8 </w:t>
            </w:r>
          </w:p>
          <w:p w14:paraId="2A31C602" w14:textId="77777777" w:rsidR="00712774" w:rsidRPr="00C52A47" w:rsidRDefault="00712774" w:rsidP="00AF7038">
            <w:pPr>
              <w:snapToGrid w:val="0"/>
              <w:spacing w:line="360" w:lineRule="auto"/>
              <w:rPr>
                <w:rFonts w:ascii="宋体" w:hAnsi="宋体" w:cs="Calibri"/>
                <w:color w:val="000000"/>
                <w:szCs w:val="21"/>
              </w:rPr>
            </w:pPr>
            <w:r w:rsidRPr="00C52A47">
              <w:rPr>
                <w:rFonts w:ascii="宋体" w:hAnsi="宋体" w:cs="Calibri" w:hint="eastAsia"/>
                <w:color w:val="000000"/>
                <w:szCs w:val="21"/>
              </w:rPr>
              <w:t>网址：</w:t>
            </w:r>
            <w:r w:rsidRPr="00C52A47">
              <w:rPr>
                <w:rFonts w:ascii="宋体" w:hAnsi="宋体" w:cs="Calibri"/>
                <w:color w:val="000000"/>
                <w:szCs w:val="21"/>
              </w:rPr>
              <w:t>stock.pingan.com</w:t>
            </w:r>
          </w:p>
        </w:tc>
      </w:tr>
      <w:tr w:rsidR="00712774" w:rsidRPr="002E1FE0" w14:paraId="277E1A1F" w14:textId="77777777" w:rsidTr="00D45D19">
        <w:trPr>
          <w:trHeight w:val="1585"/>
        </w:trPr>
        <w:tc>
          <w:tcPr>
            <w:tcW w:w="709" w:type="dxa"/>
          </w:tcPr>
          <w:p w14:paraId="7BF10A5E" w14:textId="77777777" w:rsidR="00712774" w:rsidRPr="00C52A47" w:rsidRDefault="00712774" w:rsidP="00AF7038">
            <w:pPr>
              <w:spacing w:line="360" w:lineRule="auto"/>
              <w:jc w:val="center"/>
              <w:rPr>
                <w:rFonts w:ascii="宋体" w:hAnsi="宋体" w:cs="Arial"/>
              </w:rPr>
            </w:pPr>
            <w:r>
              <w:rPr>
                <w:rFonts w:ascii="宋体" w:hAnsi="宋体" w:cs="Arial" w:hint="eastAsia"/>
              </w:rPr>
              <w:t>2</w:t>
            </w:r>
          </w:p>
        </w:tc>
        <w:tc>
          <w:tcPr>
            <w:tcW w:w="3260" w:type="dxa"/>
          </w:tcPr>
          <w:p w14:paraId="6927B13B" w14:textId="77777777" w:rsidR="00712774" w:rsidRPr="002E1FE0" w:rsidRDefault="00712774" w:rsidP="00AF7038">
            <w:pPr>
              <w:spacing w:line="360" w:lineRule="auto"/>
              <w:jc w:val="center"/>
              <w:rPr>
                <w:rFonts w:ascii="宋体" w:hAnsi="宋体" w:cs="Calibri"/>
                <w:color w:val="000000"/>
                <w:szCs w:val="21"/>
              </w:rPr>
            </w:pPr>
            <w:r>
              <w:rPr>
                <w:rFonts w:ascii="宋体" w:hAnsi="宋体" w:cs="Calibri" w:hint="eastAsia"/>
                <w:color w:val="000000"/>
                <w:szCs w:val="21"/>
              </w:rPr>
              <w:t>国泰君安证券股份有限公司</w:t>
            </w:r>
          </w:p>
        </w:tc>
        <w:tc>
          <w:tcPr>
            <w:tcW w:w="4820" w:type="dxa"/>
          </w:tcPr>
          <w:p w14:paraId="32C712A7" w14:textId="77777777" w:rsidR="00712774" w:rsidRDefault="00712774" w:rsidP="00AF7038">
            <w:pPr>
              <w:snapToGrid w:val="0"/>
              <w:spacing w:line="360" w:lineRule="auto"/>
              <w:rPr>
                <w:rFonts w:ascii="宋体" w:hAnsi="宋体" w:cs="Calibri"/>
                <w:color w:val="000000"/>
                <w:szCs w:val="21"/>
              </w:rPr>
            </w:pPr>
            <w:r w:rsidRPr="00EA291B">
              <w:rPr>
                <w:rFonts w:ascii="宋体" w:hAnsi="宋体" w:cs="Calibri" w:hint="eastAsia"/>
                <w:color w:val="000000"/>
                <w:szCs w:val="21"/>
              </w:rPr>
              <w:t>注册(办公)地址：</w:t>
            </w:r>
            <w:r>
              <w:rPr>
                <w:rFonts w:ascii="宋体" w:hAnsi="宋体" w:cs="Calibri" w:hint="eastAsia"/>
                <w:color w:val="000000"/>
                <w:szCs w:val="21"/>
              </w:rPr>
              <w:t>上海市浦东新区银城中路168号上海银行大厦29楼/上海市静安区南京西路768号国泰君安大厦</w:t>
            </w:r>
          </w:p>
          <w:p w14:paraId="1A2371ED" w14:textId="77777777" w:rsidR="00712774" w:rsidRPr="00EA291B" w:rsidRDefault="00712774" w:rsidP="00AF7038">
            <w:pPr>
              <w:snapToGrid w:val="0"/>
              <w:spacing w:line="360" w:lineRule="auto"/>
              <w:rPr>
                <w:rFonts w:ascii="宋体" w:hAnsi="宋体" w:cs="Calibri"/>
                <w:color w:val="000000"/>
                <w:szCs w:val="21"/>
              </w:rPr>
            </w:pPr>
            <w:r w:rsidRPr="00EA291B">
              <w:rPr>
                <w:rFonts w:ascii="宋体" w:hAnsi="宋体" w:cs="Calibri" w:hint="eastAsia"/>
                <w:color w:val="000000"/>
                <w:szCs w:val="21"/>
              </w:rPr>
              <w:t>客户服务电话：</w:t>
            </w:r>
            <w:r>
              <w:rPr>
                <w:rFonts w:ascii="宋体" w:hAnsi="宋体" w:cs="Calibri" w:hint="eastAsia"/>
                <w:color w:val="000000"/>
                <w:szCs w:val="21"/>
              </w:rPr>
              <w:t>95521/4008888666</w:t>
            </w:r>
          </w:p>
          <w:p w14:paraId="5CD66218" w14:textId="77777777" w:rsidR="00712774" w:rsidRPr="002E1FE0" w:rsidRDefault="00712774" w:rsidP="00AF7038">
            <w:pPr>
              <w:snapToGrid w:val="0"/>
              <w:spacing w:line="360" w:lineRule="auto"/>
              <w:rPr>
                <w:rFonts w:ascii="宋体" w:hAnsi="宋体" w:cs="Calibri"/>
                <w:color w:val="000000"/>
                <w:szCs w:val="21"/>
              </w:rPr>
            </w:pPr>
            <w:r w:rsidRPr="00EA291B">
              <w:rPr>
                <w:rFonts w:ascii="宋体" w:hAnsi="宋体" w:cs="Calibri" w:hint="eastAsia"/>
                <w:color w:val="000000"/>
                <w:szCs w:val="21"/>
              </w:rPr>
              <w:t>网址：</w:t>
            </w:r>
            <w:r w:rsidRPr="00E04934">
              <w:rPr>
                <w:rFonts w:ascii="宋体" w:hAnsi="宋体" w:cs="Calibri"/>
                <w:color w:val="000000"/>
                <w:szCs w:val="21"/>
              </w:rPr>
              <w:t>www.gtja.com</w:t>
            </w:r>
          </w:p>
        </w:tc>
      </w:tr>
      <w:tr w:rsidR="00712774" w:rsidRPr="00C52A47" w14:paraId="714D4E2A" w14:textId="77777777" w:rsidTr="00D45D19">
        <w:trPr>
          <w:trHeight w:val="1585"/>
        </w:trPr>
        <w:tc>
          <w:tcPr>
            <w:tcW w:w="709" w:type="dxa"/>
          </w:tcPr>
          <w:p w14:paraId="2BBCE437" w14:textId="77777777" w:rsidR="00712774" w:rsidRPr="00C52A47" w:rsidRDefault="00712774" w:rsidP="00AF7038">
            <w:pPr>
              <w:spacing w:line="360" w:lineRule="auto"/>
              <w:jc w:val="center"/>
              <w:rPr>
                <w:rFonts w:ascii="宋体" w:hAnsi="宋体" w:cs="Arial"/>
              </w:rPr>
            </w:pPr>
            <w:r>
              <w:rPr>
                <w:rFonts w:ascii="宋体" w:hAnsi="宋体" w:cs="Arial" w:hint="eastAsia"/>
              </w:rPr>
              <w:t>3</w:t>
            </w:r>
          </w:p>
        </w:tc>
        <w:tc>
          <w:tcPr>
            <w:tcW w:w="3260" w:type="dxa"/>
          </w:tcPr>
          <w:p w14:paraId="088BDA5D" w14:textId="77777777" w:rsidR="00712774" w:rsidRPr="00C52A47" w:rsidRDefault="00712774" w:rsidP="00AF7038">
            <w:pPr>
              <w:spacing w:line="360" w:lineRule="auto"/>
              <w:jc w:val="center"/>
              <w:rPr>
                <w:rFonts w:asciiTheme="minorEastAsia" w:hAnsiTheme="minorEastAsia" w:cs="Arial"/>
              </w:rPr>
            </w:pPr>
            <w:r w:rsidRPr="002E1FE0">
              <w:rPr>
                <w:rFonts w:ascii="宋体" w:hAnsi="宋体" w:cs="Calibri" w:hint="eastAsia"/>
                <w:color w:val="000000"/>
                <w:szCs w:val="21"/>
              </w:rPr>
              <w:t>安信证券股份有限公司</w:t>
            </w:r>
          </w:p>
        </w:tc>
        <w:tc>
          <w:tcPr>
            <w:tcW w:w="4820" w:type="dxa"/>
          </w:tcPr>
          <w:p w14:paraId="7844E717" w14:textId="77777777" w:rsidR="00712774" w:rsidRPr="002E1FE0" w:rsidRDefault="00712774" w:rsidP="00AF7038">
            <w:pPr>
              <w:snapToGrid w:val="0"/>
              <w:spacing w:line="360" w:lineRule="auto"/>
              <w:rPr>
                <w:rFonts w:ascii="宋体" w:hAnsi="宋体" w:cs="Calibri"/>
                <w:color w:val="000000"/>
                <w:szCs w:val="21"/>
              </w:rPr>
            </w:pPr>
            <w:r w:rsidRPr="002E1FE0">
              <w:rPr>
                <w:rFonts w:ascii="宋体" w:hAnsi="宋体" w:cs="Calibri" w:hint="eastAsia"/>
                <w:color w:val="000000"/>
                <w:szCs w:val="21"/>
              </w:rPr>
              <w:t>注册</w:t>
            </w:r>
            <w:r w:rsidRPr="002E1FE0">
              <w:rPr>
                <w:rFonts w:ascii="宋体" w:hAnsi="宋体" w:cs="Calibri"/>
                <w:color w:val="000000"/>
                <w:szCs w:val="21"/>
              </w:rPr>
              <w:t xml:space="preserve">地址: </w:t>
            </w:r>
            <w:r w:rsidRPr="002E1FE0">
              <w:rPr>
                <w:rFonts w:ascii="宋体" w:hAnsi="宋体" w:cs="Calibri" w:hint="eastAsia"/>
                <w:color w:val="000000"/>
                <w:szCs w:val="21"/>
              </w:rPr>
              <w:t>深圳市福田区金田路4018号安联大厦35层、28层A02单元</w:t>
            </w:r>
          </w:p>
          <w:p w14:paraId="06625E3C" w14:textId="77777777" w:rsidR="00712774" w:rsidRPr="002E1FE0" w:rsidRDefault="00712774" w:rsidP="00AF7038">
            <w:pPr>
              <w:snapToGrid w:val="0"/>
              <w:spacing w:line="360" w:lineRule="auto"/>
              <w:rPr>
                <w:rFonts w:ascii="宋体" w:hAnsi="宋体" w:cs="Calibri"/>
                <w:color w:val="000000"/>
                <w:szCs w:val="21"/>
              </w:rPr>
            </w:pPr>
            <w:r w:rsidRPr="002E1FE0">
              <w:rPr>
                <w:rFonts w:ascii="宋体" w:hAnsi="宋体" w:cs="Calibri" w:hint="eastAsia"/>
                <w:color w:val="000000"/>
                <w:szCs w:val="21"/>
              </w:rPr>
              <w:t>客户服务电话：95517</w:t>
            </w:r>
          </w:p>
          <w:p w14:paraId="06C5E776" w14:textId="77777777" w:rsidR="00712774" w:rsidRPr="00C52A47" w:rsidRDefault="00712774" w:rsidP="00AF7038">
            <w:pPr>
              <w:snapToGrid w:val="0"/>
              <w:spacing w:line="360" w:lineRule="auto"/>
              <w:rPr>
                <w:rFonts w:ascii="宋体" w:hAnsi="宋体" w:cs="Calibri"/>
                <w:color w:val="000000"/>
                <w:szCs w:val="21"/>
              </w:rPr>
            </w:pPr>
            <w:r w:rsidRPr="002E1FE0">
              <w:rPr>
                <w:rFonts w:ascii="宋体" w:hAnsi="宋体" w:cs="Calibri" w:hint="eastAsia"/>
                <w:color w:val="000000"/>
                <w:szCs w:val="21"/>
              </w:rPr>
              <w:t>网址：http://www.essence.com.cn/</w:t>
            </w:r>
          </w:p>
        </w:tc>
      </w:tr>
      <w:tr w:rsidR="00712774" w:rsidRPr="00C52A47" w14:paraId="2A770EC8" w14:textId="77777777" w:rsidTr="00D45D19">
        <w:trPr>
          <w:trHeight w:val="1585"/>
        </w:trPr>
        <w:tc>
          <w:tcPr>
            <w:tcW w:w="709" w:type="dxa"/>
          </w:tcPr>
          <w:p w14:paraId="3DBC9938" w14:textId="77777777" w:rsidR="00712774" w:rsidRPr="00C52A47" w:rsidRDefault="00712774" w:rsidP="00AF7038">
            <w:pPr>
              <w:spacing w:line="360" w:lineRule="auto"/>
              <w:jc w:val="center"/>
              <w:rPr>
                <w:rFonts w:ascii="宋体" w:hAnsi="宋体" w:cs="Arial"/>
              </w:rPr>
            </w:pPr>
            <w:r>
              <w:rPr>
                <w:rFonts w:ascii="宋体" w:hAnsi="宋体" w:cs="Arial" w:hint="eastAsia"/>
              </w:rPr>
              <w:t>4</w:t>
            </w:r>
          </w:p>
        </w:tc>
        <w:tc>
          <w:tcPr>
            <w:tcW w:w="3260" w:type="dxa"/>
          </w:tcPr>
          <w:p w14:paraId="074ECBD8" w14:textId="77777777" w:rsidR="00712774" w:rsidRPr="00C52A47" w:rsidRDefault="00712774" w:rsidP="00AF7038">
            <w:pPr>
              <w:spacing w:line="360" w:lineRule="auto"/>
              <w:jc w:val="center"/>
              <w:rPr>
                <w:rFonts w:asciiTheme="minorEastAsia" w:hAnsiTheme="minorEastAsia" w:cs="Arial"/>
              </w:rPr>
            </w:pPr>
            <w:r w:rsidRPr="00E9771B">
              <w:rPr>
                <w:rFonts w:ascii="宋体" w:hAnsi="宋体" w:cs="Calibri" w:hint="eastAsia"/>
                <w:color w:val="000000"/>
                <w:szCs w:val="21"/>
              </w:rPr>
              <w:t>世纪证券有限责任公司</w:t>
            </w:r>
          </w:p>
        </w:tc>
        <w:tc>
          <w:tcPr>
            <w:tcW w:w="4820" w:type="dxa"/>
          </w:tcPr>
          <w:p w14:paraId="74EED06B" w14:textId="77777777" w:rsidR="00712774" w:rsidRPr="00E60846" w:rsidRDefault="00712774" w:rsidP="00AF7038">
            <w:pPr>
              <w:snapToGrid w:val="0"/>
              <w:spacing w:line="360" w:lineRule="auto"/>
              <w:rPr>
                <w:rFonts w:ascii="宋体" w:hAnsi="宋体" w:cs="Calibri"/>
                <w:color w:val="000000"/>
                <w:szCs w:val="21"/>
              </w:rPr>
            </w:pPr>
            <w:r w:rsidRPr="00E60846">
              <w:rPr>
                <w:rFonts w:ascii="宋体" w:hAnsi="宋体" w:cs="Calibri" w:hint="eastAsia"/>
                <w:color w:val="000000"/>
                <w:szCs w:val="21"/>
              </w:rPr>
              <w:t>注册（办公）地址：</w:t>
            </w:r>
            <w:r w:rsidRPr="00E9771B">
              <w:rPr>
                <w:rFonts w:ascii="宋体" w:hAnsi="宋体" w:cs="Calibri" w:hint="eastAsia"/>
                <w:color w:val="000000"/>
                <w:szCs w:val="21"/>
              </w:rPr>
              <w:t>深圳市福田区深南大道招商银行大厦40</w:t>
            </w:r>
            <w:r w:rsidRPr="00E9771B">
              <w:rPr>
                <w:rFonts w:ascii="宋体" w:hAnsi="宋体" w:cs="Calibri"/>
                <w:color w:val="000000"/>
                <w:szCs w:val="21"/>
              </w:rPr>
              <w:t>-42</w:t>
            </w:r>
            <w:r w:rsidRPr="00E9771B">
              <w:rPr>
                <w:rFonts w:ascii="宋体" w:hAnsi="宋体" w:cs="Calibri" w:hint="eastAsia"/>
                <w:color w:val="000000"/>
                <w:szCs w:val="21"/>
              </w:rPr>
              <w:t>层</w:t>
            </w:r>
          </w:p>
          <w:p w14:paraId="08BE867F" w14:textId="77777777" w:rsidR="00712774" w:rsidRPr="00E9771B" w:rsidRDefault="00712774" w:rsidP="00AF7038">
            <w:pPr>
              <w:snapToGrid w:val="0"/>
              <w:spacing w:line="360" w:lineRule="auto"/>
              <w:rPr>
                <w:rFonts w:ascii="宋体" w:hAnsi="宋体" w:cs="Calibri"/>
                <w:color w:val="000000"/>
                <w:szCs w:val="21"/>
              </w:rPr>
            </w:pPr>
            <w:r w:rsidRPr="00E60846">
              <w:rPr>
                <w:rFonts w:ascii="宋体" w:hAnsi="宋体" w:cs="Calibri" w:hint="eastAsia"/>
                <w:color w:val="000000"/>
                <w:szCs w:val="21"/>
              </w:rPr>
              <w:t>客服电话：</w:t>
            </w:r>
            <w:r w:rsidRPr="00E9771B">
              <w:rPr>
                <w:rFonts w:ascii="宋体" w:hAnsi="宋体" w:cs="Calibri" w:hint="eastAsia"/>
                <w:color w:val="000000"/>
                <w:szCs w:val="21"/>
              </w:rPr>
              <w:t>4008323000</w:t>
            </w:r>
          </w:p>
          <w:p w14:paraId="103A5FBA" w14:textId="77777777" w:rsidR="00712774" w:rsidRPr="00C52A47" w:rsidRDefault="00712774" w:rsidP="00AF7038">
            <w:pPr>
              <w:snapToGrid w:val="0"/>
              <w:spacing w:line="360" w:lineRule="auto"/>
              <w:rPr>
                <w:rFonts w:ascii="宋体" w:hAnsi="宋体" w:cs="Calibri"/>
                <w:color w:val="000000"/>
                <w:szCs w:val="21"/>
              </w:rPr>
            </w:pPr>
            <w:r w:rsidRPr="00E60846">
              <w:rPr>
                <w:rFonts w:ascii="宋体" w:hAnsi="宋体" w:cs="Calibri" w:hint="eastAsia"/>
                <w:color w:val="000000"/>
                <w:szCs w:val="21"/>
              </w:rPr>
              <w:lastRenderedPageBreak/>
              <w:t>网站：</w:t>
            </w:r>
            <w:r w:rsidRPr="00E9771B" w:rsidDel="009A50FB">
              <w:rPr>
                <w:rFonts w:ascii="宋体" w:hAnsi="宋体" w:cs="Calibri"/>
                <w:color w:val="000000"/>
                <w:szCs w:val="21"/>
              </w:rPr>
              <w:t xml:space="preserve"> </w:t>
            </w:r>
            <w:r w:rsidRPr="00E9771B">
              <w:rPr>
                <w:rFonts w:ascii="宋体" w:hAnsi="宋体" w:cs="Calibri"/>
                <w:color w:val="000000"/>
                <w:szCs w:val="21"/>
              </w:rPr>
              <w:t>http://www.csco.com.cn</w:t>
            </w:r>
          </w:p>
        </w:tc>
      </w:tr>
      <w:tr w:rsidR="00712774" w:rsidRPr="00A40A5E" w14:paraId="63038A53" w14:textId="77777777" w:rsidTr="00D45D19">
        <w:trPr>
          <w:trHeight w:val="983"/>
        </w:trPr>
        <w:tc>
          <w:tcPr>
            <w:tcW w:w="709" w:type="dxa"/>
          </w:tcPr>
          <w:p w14:paraId="347EC894" w14:textId="77777777" w:rsidR="00712774" w:rsidRPr="00C52A47" w:rsidRDefault="00712774" w:rsidP="00AF7038">
            <w:pPr>
              <w:spacing w:line="360" w:lineRule="auto"/>
              <w:jc w:val="center"/>
              <w:rPr>
                <w:rFonts w:ascii="宋体" w:hAnsi="宋体" w:cs="Arial"/>
              </w:rPr>
            </w:pPr>
            <w:r>
              <w:rPr>
                <w:rFonts w:ascii="宋体" w:hAnsi="宋体" w:cs="Arial" w:hint="eastAsia"/>
              </w:rPr>
              <w:lastRenderedPageBreak/>
              <w:t>5</w:t>
            </w:r>
          </w:p>
        </w:tc>
        <w:tc>
          <w:tcPr>
            <w:tcW w:w="3260" w:type="dxa"/>
            <w:hideMark/>
          </w:tcPr>
          <w:p w14:paraId="7EE198E6" w14:textId="77777777" w:rsidR="00712774" w:rsidRPr="00A40A5E" w:rsidRDefault="00712774" w:rsidP="00AF7038">
            <w:pPr>
              <w:snapToGrid w:val="0"/>
              <w:spacing w:line="360" w:lineRule="auto"/>
              <w:rPr>
                <w:rFonts w:ascii="宋体" w:hAnsi="宋体" w:cs="Calibri"/>
                <w:color w:val="000000"/>
                <w:szCs w:val="21"/>
              </w:rPr>
            </w:pPr>
            <w:r w:rsidRPr="00A40A5E">
              <w:rPr>
                <w:rFonts w:ascii="宋体" w:hAnsi="宋体" w:cs="Calibri" w:hint="eastAsia"/>
                <w:color w:val="000000"/>
                <w:szCs w:val="21"/>
              </w:rPr>
              <w:t>华鑫证券有限责任公司</w:t>
            </w:r>
          </w:p>
        </w:tc>
        <w:tc>
          <w:tcPr>
            <w:tcW w:w="4820" w:type="dxa"/>
            <w:hideMark/>
          </w:tcPr>
          <w:p w14:paraId="2FB3A62B" w14:textId="77777777" w:rsidR="00712774" w:rsidRPr="00A40A5E" w:rsidRDefault="00712774" w:rsidP="00AF7038">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(办公)地址：深圳市福田区金田路4018号安联大厦28层A01、B01（b）单元</w:t>
            </w:r>
          </w:p>
          <w:p w14:paraId="19FA87C8" w14:textId="77777777" w:rsidR="00712774" w:rsidRPr="00A40A5E" w:rsidRDefault="00712774" w:rsidP="00AF7038">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95323</w:t>
            </w:r>
          </w:p>
          <w:p w14:paraId="3B37B410" w14:textId="77777777" w:rsidR="00712774" w:rsidRPr="00A40A5E" w:rsidRDefault="00712774" w:rsidP="00AF7038">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www.cfsc.com.cn</w:t>
            </w:r>
          </w:p>
        </w:tc>
      </w:tr>
      <w:tr w:rsidR="00712774" w:rsidRPr="00A40A5E" w14:paraId="6485DF37" w14:textId="77777777" w:rsidTr="00D45D19">
        <w:trPr>
          <w:trHeight w:val="1492"/>
        </w:trPr>
        <w:tc>
          <w:tcPr>
            <w:tcW w:w="709" w:type="dxa"/>
            <w:hideMark/>
          </w:tcPr>
          <w:p w14:paraId="19DE7B0E" w14:textId="77777777" w:rsidR="00712774" w:rsidRPr="00C52A47" w:rsidRDefault="00712774" w:rsidP="00AF7038">
            <w:pPr>
              <w:spacing w:line="360" w:lineRule="auto"/>
              <w:jc w:val="center"/>
              <w:rPr>
                <w:rFonts w:ascii="宋体" w:hAnsi="宋体" w:cs="Arial"/>
              </w:rPr>
            </w:pPr>
            <w:r>
              <w:rPr>
                <w:rFonts w:ascii="宋体" w:hAnsi="宋体" w:cs="Arial" w:hint="eastAsia"/>
              </w:rPr>
              <w:t>6</w:t>
            </w:r>
          </w:p>
        </w:tc>
        <w:tc>
          <w:tcPr>
            <w:tcW w:w="3260" w:type="dxa"/>
            <w:hideMark/>
          </w:tcPr>
          <w:p w14:paraId="072386F4" w14:textId="77777777" w:rsidR="00712774" w:rsidRPr="00A40A5E" w:rsidRDefault="00712774" w:rsidP="00AF7038">
            <w:pPr>
              <w:snapToGrid w:val="0"/>
              <w:spacing w:line="360" w:lineRule="auto"/>
              <w:rPr>
                <w:rFonts w:ascii="宋体" w:hAnsi="宋体" w:cs="Calibri"/>
                <w:color w:val="000000"/>
                <w:szCs w:val="21"/>
              </w:rPr>
            </w:pPr>
            <w:r w:rsidRPr="00A40A5E">
              <w:rPr>
                <w:rFonts w:ascii="宋体" w:hAnsi="宋体" w:cs="Calibri" w:hint="eastAsia"/>
                <w:color w:val="000000"/>
                <w:szCs w:val="21"/>
              </w:rPr>
              <w:t>长城证券股份有限公司</w:t>
            </w:r>
          </w:p>
        </w:tc>
        <w:tc>
          <w:tcPr>
            <w:tcW w:w="4820" w:type="dxa"/>
            <w:hideMark/>
          </w:tcPr>
          <w:p w14:paraId="78FD0153" w14:textId="77777777" w:rsidR="00712774" w:rsidRPr="00A40A5E" w:rsidRDefault="00712774" w:rsidP="00AF7038">
            <w:pPr>
              <w:snapToGrid w:val="0"/>
              <w:spacing w:line="360" w:lineRule="auto"/>
              <w:rPr>
                <w:rFonts w:ascii="宋体" w:hAnsi="宋体" w:cs="Calibri"/>
                <w:color w:val="000000"/>
                <w:szCs w:val="21"/>
              </w:rPr>
            </w:pPr>
            <w:r w:rsidRPr="00A40A5E">
              <w:rPr>
                <w:rFonts w:ascii="宋体" w:hAnsi="宋体" w:cs="Calibri"/>
                <w:color w:val="000000"/>
                <w:szCs w:val="21"/>
              </w:rPr>
              <w:t>注册（办公）地址：深圳市福田区深南大道6008号特区报业大厦14、16、17层</w:t>
            </w:r>
          </w:p>
          <w:p w14:paraId="1D28C052" w14:textId="77777777" w:rsidR="00712774" w:rsidRPr="00A40A5E" w:rsidRDefault="00712774" w:rsidP="00AF7038">
            <w:pPr>
              <w:snapToGrid w:val="0"/>
              <w:spacing w:line="360" w:lineRule="auto"/>
              <w:rPr>
                <w:rFonts w:ascii="宋体" w:hAnsi="宋体" w:cs="Calibri"/>
                <w:color w:val="000000"/>
                <w:szCs w:val="21"/>
              </w:rPr>
            </w:pPr>
            <w:r w:rsidRPr="00A40A5E">
              <w:rPr>
                <w:rFonts w:ascii="宋体" w:hAnsi="宋体" w:cs="Calibri"/>
                <w:color w:val="000000"/>
                <w:szCs w:val="21"/>
              </w:rPr>
              <w:t>客户服务热线：0755-33680000、400 6666 888</w:t>
            </w:r>
          </w:p>
          <w:p w14:paraId="3F66C44F" w14:textId="77777777" w:rsidR="00712774" w:rsidRPr="00A40A5E" w:rsidRDefault="00712774" w:rsidP="00AF7038">
            <w:pPr>
              <w:snapToGrid w:val="0"/>
              <w:spacing w:line="360" w:lineRule="auto"/>
              <w:rPr>
                <w:rFonts w:ascii="宋体" w:hAnsi="宋体" w:cs="Calibri"/>
                <w:color w:val="000000"/>
                <w:szCs w:val="21"/>
              </w:rPr>
            </w:pPr>
            <w:r w:rsidRPr="00A40A5E">
              <w:rPr>
                <w:rFonts w:ascii="宋体" w:hAnsi="宋体" w:cs="Calibri"/>
                <w:color w:val="000000"/>
                <w:szCs w:val="21"/>
              </w:rPr>
              <w:t>网址：www.cgws.com</w:t>
            </w:r>
          </w:p>
        </w:tc>
      </w:tr>
      <w:tr w:rsidR="00712774" w:rsidRPr="00C52A47" w14:paraId="5E1FCF29" w14:textId="77777777" w:rsidTr="00D45D19">
        <w:trPr>
          <w:trHeight w:val="685"/>
        </w:trPr>
        <w:tc>
          <w:tcPr>
            <w:tcW w:w="709" w:type="dxa"/>
            <w:hideMark/>
          </w:tcPr>
          <w:p w14:paraId="7ED13CFC" w14:textId="77777777" w:rsidR="00712774" w:rsidRPr="00C52A47" w:rsidRDefault="00712774" w:rsidP="00AF7038">
            <w:pPr>
              <w:spacing w:line="360" w:lineRule="auto"/>
              <w:jc w:val="center"/>
              <w:rPr>
                <w:rFonts w:ascii="宋体" w:hAnsi="宋体" w:cs="Arial"/>
              </w:rPr>
            </w:pPr>
            <w:r>
              <w:rPr>
                <w:rFonts w:ascii="宋体" w:hAnsi="宋体" w:cs="Arial" w:hint="eastAsia"/>
              </w:rPr>
              <w:t>7</w:t>
            </w:r>
          </w:p>
        </w:tc>
        <w:tc>
          <w:tcPr>
            <w:tcW w:w="3260" w:type="dxa"/>
            <w:hideMark/>
          </w:tcPr>
          <w:p w14:paraId="3C1D80FD" w14:textId="77777777" w:rsidR="00712774" w:rsidRPr="00C52A47" w:rsidRDefault="00712774" w:rsidP="00AF7038">
            <w:pPr>
              <w:spacing w:line="360" w:lineRule="auto"/>
              <w:rPr>
                <w:rFonts w:asciiTheme="minorEastAsia" w:hAnsiTheme="minorEastAsia" w:cs="Arial"/>
              </w:rPr>
            </w:pPr>
            <w:r>
              <w:rPr>
                <w:rFonts w:asciiTheme="minorEastAsia" w:hAnsiTheme="minorEastAsia" w:cs="Arial" w:hint="eastAsia"/>
              </w:rPr>
              <w:t>五矿证券有限公司</w:t>
            </w:r>
          </w:p>
        </w:tc>
        <w:tc>
          <w:tcPr>
            <w:tcW w:w="4820" w:type="dxa"/>
            <w:hideMark/>
          </w:tcPr>
          <w:p w14:paraId="52EA440C" w14:textId="77777777" w:rsidR="00712774" w:rsidRDefault="00712774" w:rsidP="00AF7038">
            <w:pPr>
              <w:snapToGrid w:val="0"/>
              <w:spacing w:line="360" w:lineRule="auto"/>
              <w:rPr>
                <w:rFonts w:ascii="宋体" w:hAnsi="宋体" w:cs="Calibri"/>
                <w:color w:val="000000"/>
                <w:szCs w:val="21"/>
              </w:rPr>
            </w:pPr>
            <w:r>
              <w:rPr>
                <w:rFonts w:ascii="宋体" w:hAnsi="宋体" w:cs="Calibri" w:hint="eastAsia"/>
                <w:color w:val="000000"/>
                <w:szCs w:val="21"/>
              </w:rPr>
              <w:t>办公地址： 深圳市南山区滨海大道与后海滨路交汇处滨海大道3165号五矿金融大厦（18-25层）</w:t>
            </w:r>
          </w:p>
          <w:p w14:paraId="00416DE9" w14:textId="77777777" w:rsidR="00712774" w:rsidRDefault="00712774" w:rsidP="00AF7038">
            <w:pPr>
              <w:snapToGrid w:val="0"/>
              <w:spacing w:line="360" w:lineRule="auto"/>
              <w:rPr>
                <w:rFonts w:ascii="宋体" w:hAnsi="宋体" w:cs="Calibri"/>
                <w:color w:val="000000"/>
                <w:szCs w:val="21"/>
              </w:rPr>
            </w:pPr>
            <w:r>
              <w:rPr>
                <w:rFonts w:ascii="宋体" w:hAnsi="宋体" w:cs="Calibri" w:hint="eastAsia"/>
                <w:color w:val="000000"/>
                <w:szCs w:val="21"/>
              </w:rPr>
              <w:t>客户服务电话：4001840028</w:t>
            </w:r>
          </w:p>
          <w:p w14:paraId="6922262F" w14:textId="77777777" w:rsidR="00712774" w:rsidRPr="00C52A47" w:rsidRDefault="00712774" w:rsidP="00AF7038">
            <w:pPr>
              <w:spacing w:line="360" w:lineRule="auto"/>
              <w:jc w:val="left"/>
              <w:rPr>
                <w:rFonts w:asciiTheme="minorEastAsia" w:hAnsiTheme="minorEastAsia" w:cs="Arial"/>
              </w:rPr>
            </w:pPr>
            <w:r>
              <w:rPr>
                <w:rFonts w:ascii="宋体" w:hAnsi="宋体" w:cs="Calibri" w:hint="eastAsia"/>
                <w:color w:val="000000"/>
                <w:szCs w:val="21"/>
              </w:rPr>
              <w:t>网址：www.wkzq.com.cn</w:t>
            </w:r>
          </w:p>
        </w:tc>
      </w:tr>
      <w:tr w:rsidR="00712774" w:rsidRPr="00A40A5E" w14:paraId="181CC95E" w14:textId="77777777" w:rsidTr="00D45D19">
        <w:tc>
          <w:tcPr>
            <w:tcW w:w="709" w:type="dxa"/>
            <w:hideMark/>
          </w:tcPr>
          <w:p w14:paraId="055B4A50" w14:textId="77777777" w:rsidR="00712774" w:rsidRPr="00C52A47" w:rsidRDefault="00712774" w:rsidP="00AF7038">
            <w:pPr>
              <w:spacing w:line="360" w:lineRule="auto"/>
              <w:jc w:val="center"/>
              <w:rPr>
                <w:rFonts w:ascii="宋体" w:hAnsi="宋体" w:cs="Arial"/>
              </w:rPr>
            </w:pPr>
            <w:r>
              <w:rPr>
                <w:rFonts w:ascii="宋体" w:hAnsi="宋体" w:cs="Arial" w:hint="eastAsia"/>
              </w:rPr>
              <w:t>8</w:t>
            </w:r>
          </w:p>
        </w:tc>
        <w:tc>
          <w:tcPr>
            <w:tcW w:w="3260" w:type="dxa"/>
            <w:hideMark/>
          </w:tcPr>
          <w:p w14:paraId="1A3EA08D" w14:textId="77777777" w:rsidR="00712774" w:rsidRPr="00A40A5E" w:rsidRDefault="00712774" w:rsidP="00AF7038">
            <w:pPr>
              <w:snapToGrid w:val="0"/>
              <w:spacing w:line="360" w:lineRule="auto"/>
              <w:rPr>
                <w:rFonts w:ascii="宋体" w:hAnsi="宋体" w:cs="Calibri"/>
                <w:color w:val="000000"/>
                <w:szCs w:val="21"/>
              </w:rPr>
            </w:pPr>
            <w:r w:rsidRPr="00A40A5E">
              <w:rPr>
                <w:rFonts w:ascii="宋体" w:hAnsi="宋体" w:cs="Calibri" w:hint="eastAsia"/>
                <w:color w:val="000000"/>
                <w:szCs w:val="21"/>
              </w:rPr>
              <w:t>东方财富证券股份有限公司</w:t>
            </w:r>
          </w:p>
        </w:tc>
        <w:tc>
          <w:tcPr>
            <w:tcW w:w="4820" w:type="dxa"/>
            <w:hideMark/>
          </w:tcPr>
          <w:p w14:paraId="6FA2119E" w14:textId="77777777" w:rsidR="00712774" w:rsidRPr="00A40A5E" w:rsidRDefault="00712774" w:rsidP="00AF7038">
            <w:pPr>
              <w:snapToGrid w:val="0"/>
              <w:spacing w:line="360" w:lineRule="auto"/>
              <w:rPr>
                <w:rFonts w:ascii="宋体" w:hAnsi="宋体" w:cs="Calibri"/>
                <w:color w:val="000000"/>
                <w:szCs w:val="21"/>
              </w:rPr>
            </w:pPr>
            <w:r w:rsidRPr="00A40A5E">
              <w:rPr>
                <w:rFonts w:ascii="宋体" w:hAnsi="宋体" w:cs="Calibri" w:hint="eastAsia"/>
                <w:color w:val="000000"/>
                <w:szCs w:val="21"/>
              </w:rPr>
              <w:t xml:space="preserve">注册(办公)地址：西藏自治区拉萨市柳梧新区国际总部城10栋楼 </w:t>
            </w:r>
          </w:p>
          <w:p w14:paraId="378AD6C8" w14:textId="77777777" w:rsidR="00712774" w:rsidRPr="00A40A5E" w:rsidRDefault="00712774" w:rsidP="00AF7038">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客户服务电话：95357</w:t>
            </w:r>
          </w:p>
          <w:p w14:paraId="645E7E36" w14:textId="77777777" w:rsidR="00712774" w:rsidRPr="00A40A5E" w:rsidRDefault="00712774" w:rsidP="00AF7038">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 xml:space="preserve"> www.</w:t>
            </w:r>
            <w:r w:rsidRPr="00A40A5E">
              <w:rPr>
                <w:rFonts w:ascii="宋体" w:hAnsi="宋体" w:cs="Calibri" w:hint="eastAsia"/>
                <w:color w:val="000000"/>
                <w:szCs w:val="21"/>
              </w:rPr>
              <w:t>18.cn</w:t>
            </w:r>
          </w:p>
        </w:tc>
      </w:tr>
      <w:tr w:rsidR="00712774" w:rsidRPr="008076EE" w14:paraId="4FD86796" w14:textId="77777777" w:rsidTr="00D45D19">
        <w:trPr>
          <w:trHeight w:val="498"/>
        </w:trPr>
        <w:tc>
          <w:tcPr>
            <w:tcW w:w="709" w:type="dxa"/>
          </w:tcPr>
          <w:p w14:paraId="2365D645" w14:textId="77777777" w:rsidR="00712774" w:rsidRDefault="00712774" w:rsidP="00AF7038">
            <w:pPr>
              <w:spacing w:line="360" w:lineRule="auto"/>
              <w:jc w:val="center"/>
              <w:rPr>
                <w:rFonts w:ascii="宋体" w:hAnsi="宋体" w:cs="Arial"/>
              </w:rPr>
            </w:pPr>
            <w:r>
              <w:rPr>
                <w:rFonts w:ascii="宋体" w:hAnsi="宋体" w:cs="Arial" w:hint="eastAsia"/>
              </w:rPr>
              <w:t>9</w:t>
            </w:r>
          </w:p>
        </w:tc>
        <w:tc>
          <w:tcPr>
            <w:tcW w:w="3260" w:type="dxa"/>
          </w:tcPr>
          <w:p w14:paraId="14D9D49C" w14:textId="77777777" w:rsidR="00712774" w:rsidRDefault="00712774" w:rsidP="00AF7038">
            <w:pPr>
              <w:spacing w:line="360" w:lineRule="auto"/>
              <w:rPr>
                <w:rFonts w:asciiTheme="minorEastAsia" w:hAnsiTheme="minorEastAsia" w:cs="Arial"/>
              </w:rPr>
            </w:pPr>
            <w:r>
              <w:rPr>
                <w:rFonts w:asciiTheme="minorEastAsia" w:hAnsiTheme="minorEastAsia" w:cs="Arial" w:hint="eastAsia"/>
              </w:rPr>
              <w:t>光大证券股份有限公司</w:t>
            </w:r>
          </w:p>
        </w:tc>
        <w:tc>
          <w:tcPr>
            <w:tcW w:w="4820" w:type="dxa"/>
          </w:tcPr>
          <w:p w14:paraId="03BE195A" w14:textId="77777777" w:rsidR="00712774" w:rsidRPr="008076EE" w:rsidRDefault="00712774" w:rsidP="00AF7038">
            <w:pPr>
              <w:snapToGrid w:val="0"/>
              <w:spacing w:line="360" w:lineRule="auto"/>
              <w:rPr>
                <w:rFonts w:ascii="宋体" w:hAnsi="宋体" w:cs="Calibri"/>
                <w:color w:val="000000"/>
                <w:szCs w:val="21"/>
              </w:rPr>
            </w:pPr>
            <w:r w:rsidRPr="008076EE">
              <w:rPr>
                <w:rFonts w:ascii="宋体" w:hAnsi="宋体" w:cs="Calibri" w:hint="eastAsia"/>
                <w:color w:val="000000"/>
                <w:szCs w:val="21"/>
              </w:rPr>
              <w:t>注册(办公)地址 :</w:t>
            </w:r>
            <w:r w:rsidRPr="008076EE" w:rsidDel="001A7C26">
              <w:rPr>
                <w:rFonts w:ascii="宋体" w:hAnsi="宋体" w:cs="Calibri" w:hint="eastAsia"/>
                <w:color w:val="000000"/>
                <w:szCs w:val="21"/>
              </w:rPr>
              <w:t xml:space="preserve"> </w:t>
            </w:r>
            <w:r w:rsidRPr="008076EE">
              <w:rPr>
                <w:rFonts w:ascii="宋体" w:hAnsi="宋体" w:cs="Calibri" w:hint="eastAsia"/>
                <w:color w:val="000000"/>
                <w:szCs w:val="21"/>
              </w:rPr>
              <w:t>上海市静安区新闸路1508号</w:t>
            </w:r>
          </w:p>
          <w:p w14:paraId="2EDF3969" w14:textId="77777777" w:rsidR="00712774" w:rsidRDefault="00712774" w:rsidP="00AF7038">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客户服务电话：95525</w:t>
            </w:r>
          </w:p>
          <w:p w14:paraId="44AA2EF6" w14:textId="77777777" w:rsidR="00712774" w:rsidRPr="008076EE" w:rsidRDefault="00712774" w:rsidP="00AF7038">
            <w:pPr>
              <w:snapToGrid w:val="0"/>
              <w:spacing w:line="360" w:lineRule="auto"/>
              <w:rPr>
                <w:rFonts w:ascii="宋体" w:hAnsi="宋体" w:cs="Calibri"/>
                <w:color w:val="000000"/>
                <w:szCs w:val="21"/>
              </w:rPr>
            </w:pPr>
            <w:r w:rsidRPr="008076EE">
              <w:rPr>
                <w:rFonts w:ascii="宋体" w:hAnsi="宋体" w:cs="Calibri" w:hint="eastAsia"/>
                <w:color w:val="000000"/>
                <w:szCs w:val="21"/>
              </w:rPr>
              <w:t>网址：www.ebscn.com</w:t>
            </w:r>
          </w:p>
        </w:tc>
      </w:tr>
      <w:tr w:rsidR="00712774" w:rsidRPr="00823D72" w14:paraId="3A258DD7" w14:textId="77777777" w:rsidTr="00D45D19">
        <w:trPr>
          <w:trHeight w:val="498"/>
        </w:trPr>
        <w:tc>
          <w:tcPr>
            <w:tcW w:w="709" w:type="dxa"/>
          </w:tcPr>
          <w:p w14:paraId="3C0AC5A0" w14:textId="77777777" w:rsidR="00712774" w:rsidRPr="00C52A47" w:rsidRDefault="00712774" w:rsidP="00AF7038">
            <w:pPr>
              <w:spacing w:line="360" w:lineRule="auto"/>
              <w:jc w:val="center"/>
              <w:rPr>
                <w:rFonts w:ascii="宋体" w:hAnsi="宋体" w:cs="Arial"/>
              </w:rPr>
            </w:pPr>
            <w:r>
              <w:rPr>
                <w:rFonts w:ascii="宋体" w:hAnsi="宋体" w:cs="Arial" w:hint="eastAsia"/>
              </w:rPr>
              <w:t>10</w:t>
            </w:r>
          </w:p>
        </w:tc>
        <w:tc>
          <w:tcPr>
            <w:tcW w:w="3260" w:type="dxa"/>
          </w:tcPr>
          <w:p w14:paraId="044C66B1" w14:textId="77777777" w:rsidR="00712774" w:rsidRPr="00C52A47" w:rsidRDefault="00712774" w:rsidP="00AF7038">
            <w:pPr>
              <w:spacing w:line="360" w:lineRule="auto"/>
              <w:rPr>
                <w:rFonts w:asciiTheme="minorEastAsia" w:hAnsiTheme="minorEastAsia" w:cs="Arial"/>
              </w:rPr>
            </w:pPr>
            <w:r>
              <w:rPr>
                <w:rFonts w:asciiTheme="minorEastAsia" w:hAnsiTheme="minorEastAsia" w:cs="Arial" w:hint="eastAsia"/>
              </w:rPr>
              <w:t>渤海证券股份有限公司</w:t>
            </w:r>
          </w:p>
        </w:tc>
        <w:tc>
          <w:tcPr>
            <w:tcW w:w="4820" w:type="dxa"/>
          </w:tcPr>
          <w:p w14:paraId="020C466F" w14:textId="77777777" w:rsidR="00712774" w:rsidRDefault="00712774" w:rsidP="00AF7038">
            <w:pPr>
              <w:spacing w:line="360" w:lineRule="auto"/>
              <w:jc w:val="left"/>
              <w:rPr>
                <w:rFonts w:asciiTheme="minorEastAsia" w:hAnsiTheme="minorEastAsia" w:cs="Arial"/>
              </w:rPr>
            </w:pPr>
            <w:r w:rsidRPr="00A40A5E">
              <w:rPr>
                <w:rFonts w:ascii="宋体" w:hAnsi="宋体" w:cs="Calibri" w:hint="eastAsia"/>
                <w:color w:val="000000"/>
                <w:szCs w:val="21"/>
              </w:rPr>
              <w:t>注册</w:t>
            </w:r>
            <w:r w:rsidRPr="00A40A5E">
              <w:rPr>
                <w:rFonts w:ascii="宋体" w:hAnsi="宋体" w:cs="Calibri"/>
                <w:color w:val="000000"/>
                <w:szCs w:val="21"/>
              </w:rPr>
              <w:t>地址:</w:t>
            </w:r>
            <w:r w:rsidRPr="0012741C">
              <w:rPr>
                <w:rFonts w:asciiTheme="minorEastAsia" w:hAnsiTheme="minorEastAsia" w:cs="Arial" w:hint="eastAsia"/>
              </w:rPr>
              <w:t>天津市经济技术开发区第二大街42号写字楼101室</w:t>
            </w:r>
          </w:p>
          <w:p w14:paraId="2BF6B14B" w14:textId="77777777" w:rsidR="00712774" w:rsidRPr="00823D72" w:rsidRDefault="00712774" w:rsidP="00AF7038">
            <w:pPr>
              <w:spacing w:line="360" w:lineRule="auto"/>
              <w:jc w:val="left"/>
              <w:rPr>
                <w:rFonts w:asciiTheme="minorEastAsia" w:hAnsiTheme="minorEastAsia" w:cs="Arial"/>
              </w:rPr>
            </w:pPr>
            <w:r w:rsidRPr="00823D72">
              <w:rPr>
                <w:rFonts w:asciiTheme="minorEastAsia" w:hAnsiTheme="minorEastAsia" w:cs="Arial" w:hint="eastAsia"/>
              </w:rPr>
              <w:t>客户服务电话：400-651-5988</w:t>
            </w:r>
          </w:p>
          <w:p w14:paraId="31FC6117" w14:textId="77777777" w:rsidR="00712774" w:rsidRPr="00823D72" w:rsidRDefault="00712774" w:rsidP="00AF7038">
            <w:pPr>
              <w:spacing w:line="360" w:lineRule="auto"/>
              <w:jc w:val="left"/>
              <w:rPr>
                <w:rFonts w:asciiTheme="minorEastAsia" w:hAnsiTheme="minorEastAsia" w:cs="Arial"/>
              </w:rPr>
            </w:pPr>
            <w:r w:rsidRPr="00823D72">
              <w:rPr>
                <w:rFonts w:asciiTheme="minorEastAsia" w:hAnsiTheme="minorEastAsia" w:cs="Arial" w:hint="eastAsia"/>
              </w:rPr>
              <w:t>网址：www.ewww.com.cn</w:t>
            </w:r>
          </w:p>
        </w:tc>
      </w:tr>
      <w:tr w:rsidR="00712774" w:rsidRPr="00A40A5E" w14:paraId="46F697B4" w14:textId="77777777" w:rsidTr="00D45D19">
        <w:tc>
          <w:tcPr>
            <w:tcW w:w="709" w:type="dxa"/>
          </w:tcPr>
          <w:p w14:paraId="4DBF4CD1" w14:textId="77777777" w:rsidR="00712774" w:rsidRPr="00C52A47" w:rsidRDefault="00712774" w:rsidP="00AF7038">
            <w:pPr>
              <w:spacing w:line="360" w:lineRule="auto"/>
              <w:jc w:val="center"/>
              <w:rPr>
                <w:rFonts w:ascii="宋体" w:hAnsi="宋体" w:cs="Arial"/>
              </w:rPr>
            </w:pPr>
            <w:r>
              <w:rPr>
                <w:rFonts w:ascii="宋体" w:hAnsi="宋体" w:cs="Arial" w:hint="eastAsia"/>
              </w:rPr>
              <w:t>11</w:t>
            </w:r>
          </w:p>
        </w:tc>
        <w:tc>
          <w:tcPr>
            <w:tcW w:w="3260" w:type="dxa"/>
            <w:hideMark/>
          </w:tcPr>
          <w:p w14:paraId="3EF2D45A" w14:textId="77777777" w:rsidR="00712774" w:rsidRPr="00A40A5E" w:rsidRDefault="00712774" w:rsidP="00AF7038">
            <w:pPr>
              <w:snapToGrid w:val="0"/>
              <w:spacing w:line="360" w:lineRule="auto"/>
              <w:rPr>
                <w:rFonts w:ascii="宋体" w:hAnsi="宋体" w:cs="Calibri"/>
                <w:color w:val="000000"/>
                <w:szCs w:val="21"/>
              </w:rPr>
            </w:pPr>
            <w:r w:rsidRPr="00A40A5E">
              <w:rPr>
                <w:rFonts w:ascii="宋体" w:hAnsi="宋体" w:cs="Calibri" w:hint="eastAsia"/>
                <w:color w:val="000000"/>
                <w:szCs w:val="21"/>
              </w:rPr>
              <w:t>上海基煜基金销售有限公司</w:t>
            </w:r>
          </w:p>
        </w:tc>
        <w:tc>
          <w:tcPr>
            <w:tcW w:w="4820" w:type="dxa"/>
            <w:hideMark/>
          </w:tcPr>
          <w:p w14:paraId="04C96627" w14:textId="77777777" w:rsidR="00712774" w:rsidRPr="00A40A5E" w:rsidRDefault="00712774" w:rsidP="00AF7038">
            <w:pPr>
              <w:snapToGrid w:val="0"/>
              <w:spacing w:line="360" w:lineRule="auto"/>
              <w:rPr>
                <w:rFonts w:ascii="宋体" w:hAnsi="宋体" w:cs="Calibri"/>
                <w:color w:val="000000"/>
                <w:szCs w:val="21"/>
              </w:rPr>
            </w:pPr>
            <w:r w:rsidRPr="00A40A5E">
              <w:rPr>
                <w:rFonts w:ascii="宋体" w:hAnsi="宋体" w:cs="Calibri" w:hint="eastAsia"/>
                <w:color w:val="000000"/>
                <w:szCs w:val="21"/>
              </w:rPr>
              <w:t>办公地址：上海市杨浦区昆明路518号A1002室</w:t>
            </w:r>
          </w:p>
          <w:p w14:paraId="3D609765" w14:textId="77777777" w:rsidR="00712774" w:rsidRPr="00A40A5E" w:rsidRDefault="00712774" w:rsidP="00AF7038">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客户服务电话：4008205369</w:t>
            </w:r>
          </w:p>
          <w:p w14:paraId="3D9CE47E" w14:textId="77777777" w:rsidR="00712774" w:rsidRPr="00A40A5E" w:rsidRDefault="00712774" w:rsidP="00AF7038">
            <w:pPr>
              <w:snapToGrid w:val="0"/>
              <w:spacing w:line="360" w:lineRule="auto"/>
              <w:rPr>
                <w:rFonts w:ascii="宋体" w:hAnsi="宋体" w:cs="Calibri"/>
                <w:color w:val="000000"/>
                <w:szCs w:val="21"/>
              </w:rPr>
            </w:pPr>
            <w:r w:rsidRPr="00A40A5E">
              <w:rPr>
                <w:rFonts w:ascii="宋体" w:hAnsi="宋体" w:cs="Calibri" w:hint="eastAsia"/>
                <w:color w:val="000000"/>
                <w:szCs w:val="21"/>
              </w:rPr>
              <w:t>网址：www.jiyufund.com.cn</w:t>
            </w:r>
          </w:p>
        </w:tc>
      </w:tr>
      <w:tr w:rsidR="00712774" w:rsidRPr="00C52A47" w14:paraId="1734FF77" w14:textId="77777777" w:rsidTr="00D45D19">
        <w:trPr>
          <w:trHeight w:val="416"/>
        </w:trPr>
        <w:tc>
          <w:tcPr>
            <w:tcW w:w="709" w:type="dxa"/>
          </w:tcPr>
          <w:p w14:paraId="7D26BDBD" w14:textId="77777777" w:rsidR="00712774" w:rsidRPr="00C52A47" w:rsidRDefault="00712774" w:rsidP="00AF7038">
            <w:pPr>
              <w:spacing w:line="360" w:lineRule="auto"/>
              <w:jc w:val="center"/>
              <w:rPr>
                <w:rFonts w:ascii="宋体" w:hAnsi="宋体" w:cs="Arial"/>
              </w:rPr>
            </w:pPr>
            <w:r>
              <w:rPr>
                <w:rFonts w:ascii="宋体" w:hAnsi="宋体" w:cs="Arial" w:hint="eastAsia"/>
              </w:rPr>
              <w:t>12</w:t>
            </w:r>
          </w:p>
        </w:tc>
        <w:tc>
          <w:tcPr>
            <w:tcW w:w="3260" w:type="dxa"/>
            <w:hideMark/>
          </w:tcPr>
          <w:p w14:paraId="5249E456" w14:textId="77777777" w:rsidR="00712774" w:rsidRPr="00C52A47" w:rsidRDefault="00712774" w:rsidP="00AF7038">
            <w:pPr>
              <w:spacing w:line="360" w:lineRule="auto"/>
              <w:rPr>
                <w:rFonts w:asciiTheme="minorEastAsia" w:hAnsiTheme="minorEastAsia" w:cs="Arial"/>
              </w:rPr>
            </w:pPr>
            <w:r>
              <w:rPr>
                <w:rFonts w:asciiTheme="minorEastAsia" w:hAnsiTheme="minorEastAsia" w:cs="Arial" w:hint="eastAsia"/>
              </w:rPr>
              <w:t>奕丰金融销售有限公司</w:t>
            </w:r>
          </w:p>
        </w:tc>
        <w:tc>
          <w:tcPr>
            <w:tcW w:w="4820" w:type="dxa"/>
            <w:hideMark/>
          </w:tcPr>
          <w:p w14:paraId="77C987A3" w14:textId="77777777" w:rsidR="00712774" w:rsidRPr="00A40A5E" w:rsidRDefault="00712774" w:rsidP="00AF7038">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深圳市前海深港合作区前湾一路</w:t>
            </w:r>
            <w:r w:rsidRPr="00A40A5E">
              <w:rPr>
                <w:rFonts w:ascii="宋体" w:hAnsi="宋体" w:cs="Calibri"/>
                <w:color w:val="000000"/>
                <w:szCs w:val="21"/>
              </w:rPr>
              <w:t>1</w:t>
            </w:r>
            <w:r w:rsidRPr="00A40A5E">
              <w:rPr>
                <w:rFonts w:ascii="宋体" w:hAnsi="宋体" w:cs="Calibri" w:hint="eastAsia"/>
                <w:color w:val="000000"/>
                <w:szCs w:val="21"/>
              </w:rPr>
              <w:t>号</w:t>
            </w:r>
            <w:r w:rsidRPr="00A40A5E">
              <w:rPr>
                <w:rFonts w:ascii="宋体" w:hAnsi="宋体" w:cs="Calibri"/>
                <w:color w:val="000000"/>
                <w:szCs w:val="21"/>
              </w:rPr>
              <w:t>A</w:t>
            </w:r>
            <w:r w:rsidRPr="00A40A5E">
              <w:rPr>
                <w:rFonts w:ascii="宋体" w:hAnsi="宋体" w:cs="Calibri" w:hint="eastAsia"/>
                <w:color w:val="000000"/>
                <w:szCs w:val="21"/>
              </w:rPr>
              <w:t>栋</w:t>
            </w:r>
            <w:r w:rsidRPr="00A40A5E">
              <w:rPr>
                <w:rFonts w:ascii="宋体" w:hAnsi="宋体" w:cs="Calibri"/>
                <w:color w:val="000000"/>
                <w:szCs w:val="21"/>
              </w:rPr>
              <w:t>201</w:t>
            </w:r>
            <w:r w:rsidRPr="00A40A5E">
              <w:rPr>
                <w:rFonts w:ascii="宋体" w:hAnsi="宋体" w:cs="Calibri" w:hint="eastAsia"/>
                <w:color w:val="000000"/>
                <w:szCs w:val="21"/>
              </w:rPr>
              <w:t>室（入驻深圳市前海商务秘书有限公司）</w:t>
            </w:r>
          </w:p>
          <w:p w14:paraId="09657499" w14:textId="77777777" w:rsidR="00712774" w:rsidRPr="00A40A5E" w:rsidRDefault="00712774" w:rsidP="00AF7038">
            <w:pPr>
              <w:snapToGrid w:val="0"/>
              <w:spacing w:line="360" w:lineRule="auto"/>
              <w:rPr>
                <w:rFonts w:ascii="宋体" w:hAnsi="宋体" w:cs="Calibri"/>
                <w:color w:val="000000"/>
                <w:szCs w:val="21"/>
              </w:rPr>
            </w:pPr>
            <w:r w:rsidRPr="00A40A5E">
              <w:rPr>
                <w:rFonts w:ascii="宋体" w:hAnsi="宋体" w:cs="Calibri" w:hint="eastAsia"/>
                <w:color w:val="000000"/>
                <w:szCs w:val="21"/>
              </w:rPr>
              <w:lastRenderedPageBreak/>
              <w:t>客户服务电话：</w:t>
            </w:r>
            <w:r w:rsidRPr="00A40A5E">
              <w:rPr>
                <w:rFonts w:ascii="宋体" w:hAnsi="宋体" w:cs="Calibri"/>
                <w:color w:val="000000"/>
                <w:szCs w:val="21"/>
              </w:rPr>
              <w:t>400-684-0500</w:t>
            </w:r>
          </w:p>
          <w:p w14:paraId="1436D924" w14:textId="77777777" w:rsidR="00712774" w:rsidRPr="00C52A47" w:rsidRDefault="00712774" w:rsidP="00AF7038">
            <w:pPr>
              <w:spacing w:line="360" w:lineRule="auto"/>
              <w:jc w:val="left"/>
              <w:rPr>
                <w:rFonts w:asciiTheme="minorEastAsia" w:hAnsiTheme="minorEastAsia" w:cs="Arial"/>
              </w:rPr>
            </w:pPr>
            <w:r w:rsidRPr="00A40A5E">
              <w:rPr>
                <w:rFonts w:ascii="宋体" w:hAnsi="宋体" w:cs="Calibri" w:hint="eastAsia"/>
                <w:color w:val="000000"/>
                <w:szCs w:val="21"/>
              </w:rPr>
              <w:t>网址：</w:t>
            </w:r>
            <w:r w:rsidRPr="00A40A5E">
              <w:rPr>
                <w:rFonts w:ascii="宋体" w:hAnsi="宋体" w:cs="Calibri"/>
                <w:color w:val="000000"/>
                <w:szCs w:val="21"/>
              </w:rPr>
              <w:t>www.ifastps.com.cn</w:t>
            </w:r>
          </w:p>
        </w:tc>
      </w:tr>
      <w:tr w:rsidR="00712774" w:rsidRPr="00A40A5E" w14:paraId="6C270007" w14:textId="77777777" w:rsidTr="00D45D19">
        <w:trPr>
          <w:trHeight w:val="1560"/>
        </w:trPr>
        <w:tc>
          <w:tcPr>
            <w:tcW w:w="709" w:type="dxa"/>
            <w:hideMark/>
          </w:tcPr>
          <w:p w14:paraId="67393359" w14:textId="77777777" w:rsidR="00712774" w:rsidRPr="000659A8" w:rsidRDefault="00712774" w:rsidP="00AF7038">
            <w:pPr>
              <w:spacing w:line="360" w:lineRule="auto"/>
              <w:jc w:val="center"/>
              <w:rPr>
                <w:rFonts w:ascii="宋体" w:hAnsi="宋体" w:cs="Arial"/>
              </w:rPr>
            </w:pPr>
            <w:r>
              <w:rPr>
                <w:rFonts w:ascii="宋体" w:hAnsi="宋体" w:cs="Arial" w:hint="eastAsia"/>
              </w:rPr>
              <w:lastRenderedPageBreak/>
              <w:t>13</w:t>
            </w:r>
          </w:p>
        </w:tc>
        <w:tc>
          <w:tcPr>
            <w:tcW w:w="3260" w:type="dxa"/>
            <w:hideMark/>
          </w:tcPr>
          <w:p w14:paraId="1873C33D" w14:textId="77777777" w:rsidR="00712774" w:rsidRPr="00A40A5E" w:rsidRDefault="00712774" w:rsidP="00AF7038">
            <w:pPr>
              <w:snapToGrid w:val="0"/>
              <w:spacing w:line="360" w:lineRule="auto"/>
              <w:rPr>
                <w:rFonts w:ascii="宋体" w:hAnsi="宋体" w:cs="Calibri"/>
                <w:color w:val="000000"/>
                <w:szCs w:val="21"/>
              </w:rPr>
            </w:pPr>
            <w:r w:rsidRPr="00A40A5E">
              <w:rPr>
                <w:rFonts w:ascii="宋体" w:hAnsi="宋体" w:cs="Calibri" w:hint="eastAsia"/>
                <w:color w:val="000000"/>
                <w:szCs w:val="21"/>
              </w:rPr>
              <w:t>上海好买基金销售有限公司</w:t>
            </w:r>
          </w:p>
        </w:tc>
        <w:tc>
          <w:tcPr>
            <w:tcW w:w="4820" w:type="dxa"/>
            <w:hideMark/>
          </w:tcPr>
          <w:p w14:paraId="2C15AFD6" w14:textId="77777777" w:rsidR="00712774" w:rsidRPr="00A40A5E" w:rsidRDefault="00712774" w:rsidP="00AF7038">
            <w:pPr>
              <w:snapToGrid w:val="0"/>
              <w:spacing w:line="360" w:lineRule="auto"/>
              <w:rPr>
                <w:rFonts w:ascii="宋体" w:hAnsi="宋体" w:cs="Calibri"/>
                <w:color w:val="000000"/>
                <w:szCs w:val="21"/>
              </w:rPr>
            </w:pPr>
            <w:r w:rsidRPr="00A40A5E">
              <w:rPr>
                <w:rFonts w:ascii="宋体" w:hAnsi="宋体" w:cs="Calibri" w:hint="eastAsia"/>
                <w:color w:val="000000"/>
                <w:szCs w:val="21"/>
              </w:rPr>
              <w:t>办公地址：上海市浦东新区浦东南路1118号鄂尔多斯大厦9楼</w:t>
            </w:r>
          </w:p>
          <w:p w14:paraId="570772D1" w14:textId="77777777" w:rsidR="00712774" w:rsidRPr="00A40A5E" w:rsidRDefault="00712774" w:rsidP="00AF7038">
            <w:pPr>
              <w:snapToGrid w:val="0"/>
              <w:spacing w:line="360" w:lineRule="auto"/>
              <w:rPr>
                <w:rFonts w:ascii="宋体" w:hAnsi="宋体" w:cs="Calibri"/>
                <w:color w:val="000000"/>
                <w:szCs w:val="21"/>
              </w:rPr>
            </w:pPr>
            <w:r w:rsidRPr="00A40A5E">
              <w:rPr>
                <w:rFonts w:ascii="宋体" w:hAnsi="宋体" w:cs="Calibri" w:hint="eastAsia"/>
                <w:color w:val="000000"/>
                <w:szCs w:val="21"/>
              </w:rPr>
              <w:t>客服电话：400-700-9665</w:t>
            </w:r>
          </w:p>
          <w:p w14:paraId="53CCA01B" w14:textId="77777777" w:rsidR="00712774" w:rsidRPr="00A40A5E" w:rsidRDefault="00712774" w:rsidP="00AF7038">
            <w:pPr>
              <w:snapToGrid w:val="0"/>
              <w:spacing w:line="360" w:lineRule="auto"/>
              <w:rPr>
                <w:rFonts w:ascii="宋体" w:hAnsi="宋体" w:cs="Calibri"/>
                <w:color w:val="000000"/>
                <w:szCs w:val="21"/>
              </w:rPr>
            </w:pPr>
            <w:r w:rsidRPr="00A40A5E">
              <w:rPr>
                <w:rFonts w:ascii="宋体" w:hAnsi="宋体" w:cs="Calibri" w:hint="eastAsia"/>
                <w:color w:val="000000"/>
                <w:szCs w:val="21"/>
              </w:rPr>
              <w:t>公司网址：www.ehowbuy.com</w:t>
            </w:r>
          </w:p>
        </w:tc>
      </w:tr>
      <w:tr w:rsidR="00712774" w:rsidRPr="008076EE" w14:paraId="1F04013E" w14:textId="77777777" w:rsidTr="00D45D19">
        <w:trPr>
          <w:trHeight w:val="1479"/>
        </w:trPr>
        <w:tc>
          <w:tcPr>
            <w:tcW w:w="709" w:type="dxa"/>
            <w:hideMark/>
          </w:tcPr>
          <w:p w14:paraId="2F38ECAD" w14:textId="77777777" w:rsidR="00712774" w:rsidRPr="00C52A47" w:rsidRDefault="00712774" w:rsidP="00AF7038">
            <w:pPr>
              <w:spacing w:line="360" w:lineRule="auto"/>
              <w:jc w:val="center"/>
              <w:rPr>
                <w:rFonts w:ascii="宋体" w:hAnsi="宋体" w:cs="Arial"/>
              </w:rPr>
            </w:pPr>
            <w:r>
              <w:rPr>
                <w:rFonts w:ascii="宋体" w:hAnsi="宋体" w:cs="Arial" w:hint="eastAsia"/>
              </w:rPr>
              <w:t>14</w:t>
            </w:r>
          </w:p>
        </w:tc>
        <w:tc>
          <w:tcPr>
            <w:tcW w:w="3260" w:type="dxa"/>
            <w:hideMark/>
          </w:tcPr>
          <w:p w14:paraId="35DC847C" w14:textId="77777777" w:rsidR="00712774" w:rsidRPr="008076EE" w:rsidRDefault="00712774" w:rsidP="00AF7038">
            <w:pPr>
              <w:snapToGrid w:val="0"/>
              <w:spacing w:line="360" w:lineRule="auto"/>
              <w:rPr>
                <w:rFonts w:ascii="宋体" w:hAnsi="宋体" w:cs="Calibri"/>
                <w:color w:val="000000"/>
                <w:szCs w:val="21"/>
              </w:rPr>
            </w:pPr>
            <w:r>
              <w:rPr>
                <w:rFonts w:ascii="宋体" w:hAnsi="宋体" w:cs="Calibri" w:hint="eastAsia"/>
                <w:color w:val="000000"/>
                <w:szCs w:val="21"/>
              </w:rPr>
              <w:t>京东</w:t>
            </w:r>
            <w:r w:rsidRPr="008076EE">
              <w:rPr>
                <w:rFonts w:ascii="宋体" w:hAnsi="宋体" w:cs="Calibri" w:hint="eastAsia"/>
                <w:color w:val="000000"/>
                <w:szCs w:val="21"/>
              </w:rPr>
              <w:t>肯特瑞</w:t>
            </w:r>
            <w:r>
              <w:rPr>
                <w:rFonts w:ascii="宋体" w:hAnsi="宋体" w:cs="Calibri" w:hint="eastAsia"/>
                <w:color w:val="000000"/>
                <w:szCs w:val="21"/>
              </w:rPr>
              <w:t>基金销售</w:t>
            </w:r>
            <w:r w:rsidRPr="008076EE">
              <w:rPr>
                <w:rFonts w:ascii="宋体" w:hAnsi="宋体" w:cs="Calibri" w:hint="eastAsia"/>
                <w:color w:val="000000"/>
                <w:szCs w:val="21"/>
              </w:rPr>
              <w:t>有限公司</w:t>
            </w:r>
          </w:p>
        </w:tc>
        <w:tc>
          <w:tcPr>
            <w:tcW w:w="4820" w:type="dxa"/>
            <w:hideMark/>
          </w:tcPr>
          <w:p w14:paraId="67D36881" w14:textId="77777777" w:rsidR="00712774" w:rsidRPr="008076EE" w:rsidRDefault="00712774" w:rsidP="00AF7038">
            <w:pPr>
              <w:snapToGrid w:val="0"/>
              <w:spacing w:line="360" w:lineRule="auto"/>
              <w:rPr>
                <w:rFonts w:ascii="宋体" w:hAnsi="宋体" w:cs="Calibri"/>
                <w:color w:val="000000"/>
                <w:szCs w:val="21"/>
              </w:rPr>
            </w:pPr>
            <w:r w:rsidRPr="008076EE">
              <w:rPr>
                <w:rFonts w:ascii="宋体" w:hAnsi="宋体" w:cs="Calibri" w:hint="eastAsia"/>
                <w:color w:val="000000"/>
                <w:szCs w:val="21"/>
              </w:rPr>
              <w:t>办公地址：北京市</w:t>
            </w:r>
            <w:r>
              <w:rPr>
                <w:rFonts w:ascii="宋体" w:hAnsi="宋体" w:cs="Calibri" w:hint="eastAsia"/>
                <w:color w:val="000000"/>
                <w:szCs w:val="21"/>
              </w:rPr>
              <w:t>通州区亦庄经济技术开发区科创十一街18号院京东集团总部A座17层</w:t>
            </w:r>
          </w:p>
          <w:p w14:paraId="345D0670" w14:textId="77777777" w:rsidR="00712774" w:rsidRPr="008076EE" w:rsidRDefault="00712774" w:rsidP="00AF7038">
            <w:pPr>
              <w:snapToGrid w:val="0"/>
              <w:spacing w:line="360" w:lineRule="auto"/>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95118</w:t>
            </w:r>
          </w:p>
          <w:p w14:paraId="6FCCCDE7" w14:textId="77777777" w:rsidR="00712774" w:rsidRPr="008076EE" w:rsidRDefault="00712774" w:rsidP="00AF7038">
            <w:pPr>
              <w:snapToGrid w:val="0"/>
              <w:spacing w:line="360" w:lineRule="auto"/>
              <w:rPr>
                <w:rFonts w:ascii="宋体" w:hAnsi="宋体" w:cs="Calibri"/>
                <w:color w:val="000000"/>
                <w:szCs w:val="21"/>
              </w:rPr>
            </w:pPr>
            <w:r w:rsidRPr="008076EE">
              <w:rPr>
                <w:rFonts w:ascii="宋体" w:hAnsi="宋体" w:cs="Calibri" w:hint="eastAsia"/>
                <w:color w:val="000000"/>
                <w:szCs w:val="21"/>
              </w:rPr>
              <w:t>公司网址：</w:t>
            </w:r>
            <w:r w:rsidRPr="008076EE">
              <w:rPr>
                <w:rFonts w:ascii="宋体" w:hAnsi="宋体" w:cs="Calibri"/>
                <w:color w:val="000000"/>
                <w:szCs w:val="21"/>
              </w:rPr>
              <w:t>www.</w:t>
            </w:r>
            <w:r>
              <w:rPr>
                <w:rFonts w:ascii="宋体" w:hAnsi="宋体" w:cs="Calibri" w:hint="eastAsia"/>
                <w:color w:val="000000"/>
                <w:szCs w:val="21"/>
              </w:rPr>
              <w:t>kenterui</w:t>
            </w:r>
            <w:r w:rsidRPr="008076EE">
              <w:rPr>
                <w:rFonts w:ascii="宋体" w:hAnsi="宋体" w:cs="Calibri"/>
                <w:color w:val="000000"/>
                <w:szCs w:val="21"/>
              </w:rPr>
              <w:t>.jd.com</w:t>
            </w:r>
          </w:p>
        </w:tc>
      </w:tr>
      <w:tr w:rsidR="00712774" w:rsidRPr="00A40A5E" w14:paraId="2871307C" w14:textId="77777777" w:rsidTr="00D45D19">
        <w:trPr>
          <w:trHeight w:val="1756"/>
        </w:trPr>
        <w:tc>
          <w:tcPr>
            <w:tcW w:w="709" w:type="dxa"/>
            <w:hideMark/>
          </w:tcPr>
          <w:p w14:paraId="77B077C5" w14:textId="77777777" w:rsidR="00712774" w:rsidRPr="00C52A47" w:rsidRDefault="00712774" w:rsidP="00AF7038">
            <w:pPr>
              <w:spacing w:line="360" w:lineRule="auto"/>
              <w:jc w:val="center"/>
              <w:rPr>
                <w:rFonts w:ascii="宋体" w:hAnsi="宋体" w:cs="Arial"/>
              </w:rPr>
            </w:pPr>
            <w:r>
              <w:rPr>
                <w:rFonts w:ascii="宋体" w:hAnsi="宋体" w:cs="Arial" w:hint="eastAsia"/>
              </w:rPr>
              <w:t>15</w:t>
            </w:r>
          </w:p>
        </w:tc>
        <w:tc>
          <w:tcPr>
            <w:tcW w:w="3260" w:type="dxa"/>
            <w:hideMark/>
          </w:tcPr>
          <w:p w14:paraId="47EFAF03" w14:textId="77777777" w:rsidR="00712774" w:rsidRPr="00A40A5E" w:rsidRDefault="00712774" w:rsidP="00AF7038">
            <w:pPr>
              <w:snapToGrid w:val="0"/>
              <w:spacing w:line="360" w:lineRule="auto"/>
              <w:rPr>
                <w:rFonts w:ascii="宋体" w:hAnsi="宋体" w:cs="Calibri"/>
                <w:color w:val="000000"/>
                <w:szCs w:val="21"/>
              </w:rPr>
            </w:pPr>
            <w:r w:rsidRPr="00A40A5E">
              <w:rPr>
                <w:rFonts w:ascii="宋体" w:hAnsi="宋体" w:cs="Calibri" w:hint="eastAsia"/>
                <w:color w:val="000000"/>
                <w:szCs w:val="21"/>
              </w:rPr>
              <w:t>北京虹点基金销售有限公司</w:t>
            </w:r>
          </w:p>
        </w:tc>
        <w:tc>
          <w:tcPr>
            <w:tcW w:w="4820" w:type="dxa"/>
            <w:hideMark/>
          </w:tcPr>
          <w:p w14:paraId="5119D60A" w14:textId="77777777" w:rsidR="00712774" w:rsidRPr="00A40A5E" w:rsidRDefault="00712774" w:rsidP="00AF7038">
            <w:pPr>
              <w:snapToGrid w:val="0"/>
              <w:spacing w:line="360" w:lineRule="auto"/>
              <w:rPr>
                <w:rFonts w:ascii="宋体" w:hAnsi="宋体" w:cs="Calibri"/>
                <w:color w:val="000000"/>
                <w:szCs w:val="21"/>
              </w:rPr>
            </w:pPr>
            <w:r w:rsidRPr="00A40A5E">
              <w:rPr>
                <w:rFonts w:ascii="宋体" w:hAnsi="宋体" w:cs="Calibri" w:hint="eastAsia"/>
                <w:color w:val="000000"/>
                <w:szCs w:val="21"/>
              </w:rPr>
              <w:t>注册地址：北京市朝阳区工人体育场北路甲2号裙房2层222单元</w:t>
            </w:r>
          </w:p>
          <w:p w14:paraId="67351034" w14:textId="77777777" w:rsidR="00712774" w:rsidRPr="00A40A5E" w:rsidRDefault="00712774" w:rsidP="00AF7038">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400-618-0707</w:t>
            </w:r>
          </w:p>
          <w:p w14:paraId="79BB7B2C" w14:textId="77777777" w:rsidR="00712774" w:rsidRPr="00A40A5E" w:rsidRDefault="00712774" w:rsidP="00AF7038">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http://www.hongdianfund.com/</w:t>
            </w:r>
          </w:p>
        </w:tc>
      </w:tr>
      <w:tr w:rsidR="00712774" w:rsidRPr="00A40A5E" w14:paraId="371A8D22" w14:textId="77777777" w:rsidTr="00D45D19">
        <w:trPr>
          <w:trHeight w:val="1838"/>
        </w:trPr>
        <w:tc>
          <w:tcPr>
            <w:tcW w:w="709" w:type="dxa"/>
            <w:hideMark/>
          </w:tcPr>
          <w:p w14:paraId="195DD54C" w14:textId="77777777" w:rsidR="00712774" w:rsidRPr="00C52A47" w:rsidRDefault="00712774" w:rsidP="00AF7038">
            <w:pPr>
              <w:spacing w:line="360" w:lineRule="auto"/>
              <w:jc w:val="center"/>
              <w:rPr>
                <w:rFonts w:ascii="宋体" w:hAnsi="宋体" w:cs="Arial"/>
              </w:rPr>
            </w:pPr>
            <w:r>
              <w:rPr>
                <w:rFonts w:ascii="宋体" w:hAnsi="宋体" w:cs="Arial" w:hint="eastAsia"/>
              </w:rPr>
              <w:t>16</w:t>
            </w:r>
          </w:p>
        </w:tc>
        <w:tc>
          <w:tcPr>
            <w:tcW w:w="3260" w:type="dxa"/>
            <w:hideMark/>
          </w:tcPr>
          <w:p w14:paraId="3FCC8CB1" w14:textId="77777777" w:rsidR="00712774" w:rsidRPr="00A40A5E" w:rsidRDefault="00712774" w:rsidP="00AF7038">
            <w:pPr>
              <w:snapToGrid w:val="0"/>
              <w:spacing w:line="360" w:lineRule="auto"/>
              <w:rPr>
                <w:rFonts w:ascii="宋体" w:hAnsi="宋体" w:cs="Calibri"/>
                <w:color w:val="000000"/>
                <w:szCs w:val="21"/>
              </w:rPr>
            </w:pPr>
            <w:r w:rsidRPr="00A40A5E">
              <w:rPr>
                <w:rFonts w:ascii="宋体" w:hAnsi="宋体" w:cs="Calibri" w:hint="eastAsia"/>
                <w:color w:val="000000"/>
                <w:szCs w:val="21"/>
              </w:rPr>
              <w:t>蚂蚁（杭州）基金销售有限公司</w:t>
            </w:r>
          </w:p>
        </w:tc>
        <w:tc>
          <w:tcPr>
            <w:tcW w:w="4820" w:type="dxa"/>
            <w:hideMark/>
          </w:tcPr>
          <w:p w14:paraId="253E321A" w14:textId="77777777" w:rsidR="00712774" w:rsidRPr="00A40A5E" w:rsidRDefault="00712774" w:rsidP="00AF7038">
            <w:pPr>
              <w:snapToGrid w:val="0"/>
              <w:spacing w:line="360" w:lineRule="auto"/>
              <w:rPr>
                <w:rFonts w:ascii="宋体" w:hAnsi="宋体" w:cs="Calibri"/>
                <w:color w:val="000000"/>
                <w:szCs w:val="21"/>
              </w:rPr>
            </w:pPr>
            <w:r w:rsidRPr="00A40A5E">
              <w:rPr>
                <w:rFonts w:ascii="宋体" w:hAnsi="宋体" w:cs="Calibri" w:hint="eastAsia"/>
                <w:color w:val="000000"/>
                <w:szCs w:val="21"/>
              </w:rPr>
              <w:t>办公地址：浙江省杭州市西湖区万塘路</w:t>
            </w:r>
            <w:r w:rsidRPr="00A40A5E">
              <w:rPr>
                <w:rFonts w:ascii="宋体" w:hAnsi="宋体" w:cs="Calibri"/>
                <w:color w:val="000000"/>
                <w:szCs w:val="21"/>
              </w:rPr>
              <w:t>18</w:t>
            </w:r>
            <w:r w:rsidRPr="00A40A5E">
              <w:rPr>
                <w:rFonts w:ascii="宋体" w:hAnsi="宋体" w:cs="Calibri" w:hint="eastAsia"/>
                <w:color w:val="000000"/>
                <w:szCs w:val="21"/>
              </w:rPr>
              <w:t>号黄龙时代广场</w:t>
            </w:r>
            <w:r w:rsidRPr="00A40A5E">
              <w:rPr>
                <w:rFonts w:ascii="宋体" w:hAnsi="宋体" w:cs="Calibri"/>
                <w:color w:val="000000"/>
                <w:szCs w:val="21"/>
              </w:rPr>
              <w:t>B</w:t>
            </w:r>
            <w:r w:rsidRPr="00A40A5E">
              <w:rPr>
                <w:rFonts w:ascii="宋体" w:hAnsi="宋体" w:cs="Calibri" w:hint="eastAsia"/>
                <w:color w:val="000000"/>
                <w:szCs w:val="21"/>
              </w:rPr>
              <w:t>座</w:t>
            </w:r>
            <w:r w:rsidRPr="00A40A5E">
              <w:rPr>
                <w:rFonts w:ascii="宋体" w:hAnsi="宋体" w:cs="Calibri"/>
                <w:color w:val="000000"/>
                <w:szCs w:val="21"/>
              </w:rPr>
              <w:t>6F </w:t>
            </w:r>
          </w:p>
          <w:p w14:paraId="5E14D414" w14:textId="77777777" w:rsidR="00712774" w:rsidRPr="00A40A5E" w:rsidRDefault="00712774" w:rsidP="00AF7038">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客户服务电话：400-076-6123</w:t>
            </w:r>
          </w:p>
          <w:p w14:paraId="6018EBCA" w14:textId="77777777" w:rsidR="00712774" w:rsidRPr="00A40A5E" w:rsidRDefault="00712774" w:rsidP="00AF7038">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00000000">
              <w:fldChar w:fldCharType="begin"/>
            </w:r>
            <w:r w:rsidR="00000000">
              <w:instrText xml:space="preserve"> HYPERLINK "http://www.fund123.cn" </w:instrText>
            </w:r>
            <w:r w:rsidR="00000000">
              <w:fldChar w:fldCharType="separate"/>
            </w:r>
            <w:r w:rsidRPr="00A40A5E">
              <w:rPr>
                <w:rFonts w:ascii="宋体" w:hAnsi="宋体" w:cs="Calibri" w:hint="eastAsia"/>
                <w:color w:val="000000"/>
                <w:szCs w:val="21"/>
              </w:rPr>
              <w:t>www.fund123.cn</w:t>
            </w:r>
            <w:r w:rsidR="00000000">
              <w:rPr>
                <w:rFonts w:ascii="宋体" w:hAnsi="宋体" w:cs="Calibri"/>
                <w:color w:val="000000"/>
                <w:szCs w:val="21"/>
              </w:rPr>
              <w:fldChar w:fldCharType="end"/>
            </w:r>
          </w:p>
        </w:tc>
      </w:tr>
      <w:tr w:rsidR="00712774" w:rsidRPr="00A40A5E" w14:paraId="40B60A8D" w14:textId="77777777" w:rsidTr="00D45D19">
        <w:tc>
          <w:tcPr>
            <w:tcW w:w="709" w:type="dxa"/>
            <w:hideMark/>
          </w:tcPr>
          <w:p w14:paraId="10A528A5" w14:textId="77777777" w:rsidR="00712774" w:rsidRPr="00C52A47" w:rsidRDefault="00712774" w:rsidP="00AF7038">
            <w:pPr>
              <w:spacing w:line="360" w:lineRule="auto"/>
              <w:jc w:val="center"/>
              <w:rPr>
                <w:rFonts w:ascii="宋体" w:hAnsi="宋体" w:cs="Arial"/>
              </w:rPr>
            </w:pPr>
            <w:r>
              <w:rPr>
                <w:rFonts w:ascii="宋体" w:hAnsi="宋体" w:cs="Arial" w:hint="eastAsia"/>
              </w:rPr>
              <w:t>17</w:t>
            </w:r>
          </w:p>
        </w:tc>
        <w:tc>
          <w:tcPr>
            <w:tcW w:w="3260" w:type="dxa"/>
            <w:hideMark/>
          </w:tcPr>
          <w:p w14:paraId="2B150CDF" w14:textId="77777777" w:rsidR="00712774" w:rsidRPr="00A40A5E" w:rsidRDefault="00712774" w:rsidP="00AF7038">
            <w:pPr>
              <w:snapToGrid w:val="0"/>
              <w:spacing w:line="360" w:lineRule="auto"/>
              <w:rPr>
                <w:rFonts w:ascii="宋体" w:hAnsi="宋体" w:cs="Calibri"/>
                <w:color w:val="000000"/>
                <w:szCs w:val="21"/>
              </w:rPr>
            </w:pPr>
            <w:r w:rsidRPr="00A40A5E">
              <w:rPr>
                <w:rFonts w:ascii="宋体" w:hAnsi="宋体" w:cs="Calibri" w:hint="eastAsia"/>
                <w:color w:val="000000"/>
                <w:szCs w:val="21"/>
              </w:rPr>
              <w:t>浙江同花顺基金销售有限公司</w:t>
            </w:r>
          </w:p>
        </w:tc>
        <w:tc>
          <w:tcPr>
            <w:tcW w:w="4820" w:type="dxa"/>
            <w:hideMark/>
          </w:tcPr>
          <w:p w14:paraId="619B9310" w14:textId="77777777" w:rsidR="00712774" w:rsidRPr="00A40A5E" w:rsidRDefault="00712774" w:rsidP="00AF7038">
            <w:pPr>
              <w:snapToGrid w:val="0"/>
              <w:spacing w:line="360" w:lineRule="auto"/>
              <w:rPr>
                <w:rFonts w:ascii="宋体" w:hAnsi="宋体" w:cs="Calibri"/>
                <w:color w:val="000000"/>
                <w:szCs w:val="21"/>
              </w:rPr>
            </w:pPr>
            <w:r w:rsidRPr="00A40A5E">
              <w:rPr>
                <w:rFonts w:ascii="宋体" w:hAnsi="宋体" w:cs="Calibri" w:hint="eastAsia"/>
                <w:color w:val="000000"/>
                <w:szCs w:val="21"/>
              </w:rPr>
              <w:t xml:space="preserve">注册(办公)地址：浙江省杭州市余杭区同顺街18号同花顺大楼 </w:t>
            </w:r>
          </w:p>
          <w:p w14:paraId="2865B4AA" w14:textId="77777777" w:rsidR="00712774" w:rsidRPr="00A40A5E" w:rsidRDefault="00712774" w:rsidP="00AF7038">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客户服务电话：400-877-3772</w:t>
            </w:r>
          </w:p>
          <w:p w14:paraId="60D0AE27" w14:textId="77777777" w:rsidR="00712774" w:rsidRPr="00A40A5E" w:rsidRDefault="00712774" w:rsidP="00AF7038">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00000000">
              <w:fldChar w:fldCharType="begin"/>
            </w:r>
            <w:r w:rsidR="00000000">
              <w:instrText xml:space="preserve"> HYPERLINK "http://www.5ifund.com" </w:instrText>
            </w:r>
            <w:r w:rsidR="00000000">
              <w:fldChar w:fldCharType="separate"/>
            </w:r>
            <w:r w:rsidRPr="00A40A5E">
              <w:rPr>
                <w:rFonts w:cs="Calibri" w:hint="eastAsia"/>
                <w:color w:val="000000"/>
                <w:szCs w:val="21"/>
              </w:rPr>
              <w:t>www.5ifund.com</w:t>
            </w:r>
            <w:r w:rsidR="00000000">
              <w:rPr>
                <w:rFonts w:cs="Calibri"/>
                <w:color w:val="000000"/>
                <w:szCs w:val="21"/>
              </w:rPr>
              <w:fldChar w:fldCharType="end"/>
            </w:r>
          </w:p>
        </w:tc>
      </w:tr>
      <w:tr w:rsidR="00712774" w:rsidRPr="00A40A5E" w14:paraId="0F8057A6" w14:textId="77777777" w:rsidTr="00D45D19">
        <w:tc>
          <w:tcPr>
            <w:tcW w:w="709" w:type="dxa"/>
            <w:hideMark/>
          </w:tcPr>
          <w:p w14:paraId="22BF8AC8" w14:textId="77777777" w:rsidR="00712774" w:rsidRPr="00C52A47" w:rsidRDefault="00712774" w:rsidP="00AF7038">
            <w:pPr>
              <w:spacing w:line="360" w:lineRule="auto"/>
              <w:jc w:val="center"/>
              <w:rPr>
                <w:rFonts w:ascii="宋体" w:hAnsi="宋体" w:cs="Arial"/>
              </w:rPr>
            </w:pPr>
            <w:r>
              <w:rPr>
                <w:rFonts w:ascii="宋体" w:hAnsi="宋体" w:cs="Arial" w:hint="eastAsia"/>
              </w:rPr>
              <w:t>18</w:t>
            </w:r>
          </w:p>
        </w:tc>
        <w:tc>
          <w:tcPr>
            <w:tcW w:w="3260" w:type="dxa"/>
            <w:hideMark/>
          </w:tcPr>
          <w:p w14:paraId="293BE00B" w14:textId="77777777" w:rsidR="00712774" w:rsidRPr="00A40A5E" w:rsidRDefault="00712774" w:rsidP="00AF7038">
            <w:pPr>
              <w:snapToGrid w:val="0"/>
              <w:spacing w:line="360" w:lineRule="auto"/>
              <w:rPr>
                <w:rFonts w:ascii="宋体" w:hAnsi="宋体" w:cs="Calibri"/>
                <w:color w:val="000000"/>
                <w:szCs w:val="21"/>
              </w:rPr>
            </w:pPr>
            <w:r w:rsidRPr="00A40A5E">
              <w:rPr>
                <w:rFonts w:ascii="宋体" w:hAnsi="宋体" w:cs="Calibri" w:hint="eastAsia"/>
                <w:color w:val="000000"/>
                <w:szCs w:val="21"/>
              </w:rPr>
              <w:t>上海陆金所基金销售有限公司</w:t>
            </w:r>
          </w:p>
        </w:tc>
        <w:tc>
          <w:tcPr>
            <w:tcW w:w="4820" w:type="dxa"/>
            <w:hideMark/>
          </w:tcPr>
          <w:p w14:paraId="790EC11D" w14:textId="77777777" w:rsidR="00712774" w:rsidRPr="00A40A5E" w:rsidRDefault="00712774" w:rsidP="00AF7038">
            <w:pPr>
              <w:snapToGrid w:val="0"/>
              <w:spacing w:line="360" w:lineRule="auto"/>
              <w:rPr>
                <w:rFonts w:ascii="宋体" w:hAnsi="宋体" w:cs="Calibri"/>
                <w:color w:val="000000"/>
                <w:szCs w:val="21"/>
              </w:rPr>
            </w:pPr>
            <w:r w:rsidRPr="00A40A5E">
              <w:rPr>
                <w:rFonts w:ascii="宋体" w:hAnsi="宋体" w:cs="Calibri" w:hint="eastAsia"/>
                <w:color w:val="000000"/>
                <w:szCs w:val="21"/>
              </w:rPr>
              <w:t>办公地址：中国（上海）自由贸易试验区陆家嘴环路1333号14楼09单元</w:t>
            </w:r>
          </w:p>
          <w:p w14:paraId="46135B70" w14:textId="77777777" w:rsidR="00712774" w:rsidRPr="00A40A5E" w:rsidRDefault="00712774" w:rsidP="00AF7038">
            <w:pPr>
              <w:snapToGrid w:val="0"/>
              <w:spacing w:line="360" w:lineRule="auto"/>
              <w:rPr>
                <w:rFonts w:ascii="宋体" w:hAnsi="宋体" w:cs="Calibri"/>
                <w:color w:val="000000"/>
                <w:szCs w:val="21"/>
              </w:rPr>
            </w:pPr>
            <w:r w:rsidRPr="00A40A5E">
              <w:rPr>
                <w:rFonts w:ascii="宋体" w:hAnsi="宋体" w:cs="Calibri" w:hint="eastAsia"/>
                <w:color w:val="000000"/>
                <w:szCs w:val="21"/>
              </w:rPr>
              <w:t>客服电话：4008219031</w:t>
            </w:r>
          </w:p>
          <w:p w14:paraId="6FA7B2B9" w14:textId="77777777" w:rsidR="00712774" w:rsidRPr="00A40A5E" w:rsidRDefault="00712774" w:rsidP="00AF7038">
            <w:pPr>
              <w:snapToGrid w:val="0"/>
              <w:spacing w:line="360" w:lineRule="auto"/>
              <w:rPr>
                <w:rFonts w:ascii="宋体" w:hAnsi="宋体" w:cs="Calibri"/>
                <w:color w:val="000000"/>
                <w:szCs w:val="21"/>
              </w:rPr>
            </w:pPr>
            <w:r w:rsidRPr="00A40A5E">
              <w:rPr>
                <w:rFonts w:ascii="宋体" w:hAnsi="宋体" w:cs="Calibri" w:hint="eastAsia"/>
                <w:color w:val="000000"/>
                <w:szCs w:val="21"/>
              </w:rPr>
              <w:t>公司网址：</w:t>
            </w:r>
            <w:r w:rsidRPr="00A40A5E">
              <w:rPr>
                <w:rFonts w:ascii="宋体" w:hAnsi="宋体" w:cs="Calibri"/>
                <w:color w:val="000000"/>
                <w:szCs w:val="21"/>
              </w:rPr>
              <w:t>www.lufunds.com</w:t>
            </w:r>
          </w:p>
        </w:tc>
      </w:tr>
      <w:tr w:rsidR="00712774" w:rsidRPr="00A40A5E" w14:paraId="66C1BB0F" w14:textId="77777777" w:rsidTr="00D45D19">
        <w:tc>
          <w:tcPr>
            <w:tcW w:w="709" w:type="dxa"/>
            <w:hideMark/>
          </w:tcPr>
          <w:p w14:paraId="49AF3945" w14:textId="77777777" w:rsidR="00712774" w:rsidRPr="00C52A47" w:rsidRDefault="00712774" w:rsidP="00AF7038">
            <w:pPr>
              <w:spacing w:line="360" w:lineRule="auto"/>
              <w:jc w:val="center"/>
              <w:rPr>
                <w:rFonts w:ascii="宋体" w:hAnsi="宋体" w:cs="Arial"/>
              </w:rPr>
            </w:pPr>
            <w:r>
              <w:rPr>
                <w:rFonts w:ascii="宋体" w:hAnsi="宋体" w:cs="Arial" w:hint="eastAsia"/>
              </w:rPr>
              <w:t>19</w:t>
            </w:r>
          </w:p>
        </w:tc>
        <w:tc>
          <w:tcPr>
            <w:tcW w:w="3260" w:type="dxa"/>
            <w:hideMark/>
          </w:tcPr>
          <w:p w14:paraId="6234EE39" w14:textId="77777777" w:rsidR="00712774" w:rsidRPr="00A40A5E" w:rsidRDefault="00712774" w:rsidP="00AF7038">
            <w:pPr>
              <w:snapToGrid w:val="0"/>
              <w:spacing w:line="360" w:lineRule="auto"/>
              <w:rPr>
                <w:rFonts w:ascii="宋体" w:hAnsi="宋体" w:cs="Calibri"/>
                <w:color w:val="000000"/>
                <w:szCs w:val="21"/>
              </w:rPr>
            </w:pPr>
            <w:r w:rsidRPr="00A40A5E">
              <w:rPr>
                <w:rFonts w:ascii="宋体" w:hAnsi="宋体" w:cs="Calibri" w:hint="eastAsia"/>
                <w:color w:val="000000"/>
                <w:szCs w:val="21"/>
              </w:rPr>
              <w:t>上海联泰资产管理有限公司</w:t>
            </w:r>
          </w:p>
        </w:tc>
        <w:tc>
          <w:tcPr>
            <w:tcW w:w="4820" w:type="dxa"/>
            <w:hideMark/>
          </w:tcPr>
          <w:p w14:paraId="23A3D89A" w14:textId="77777777" w:rsidR="00712774" w:rsidRPr="00A40A5E" w:rsidRDefault="00712774" w:rsidP="00AF7038">
            <w:pPr>
              <w:snapToGrid w:val="0"/>
              <w:spacing w:line="360" w:lineRule="auto"/>
              <w:rPr>
                <w:rFonts w:ascii="宋体" w:hAnsi="宋体" w:cs="Calibri"/>
                <w:color w:val="000000"/>
                <w:szCs w:val="21"/>
              </w:rPr>
            </w:pPr>
            <w:r w:rsidRPr="00A40A5E">
              <w:rPr>
                <w:rFonts w:ascii="宋体" w:hAnsi="宋体" w:cs="Calibri" w:hint="eastAsia"/>
                <w:color w:val="000000"/>
                <w:szCs w:val="21"/>
              </w:rPr>
              <w:t>办公地址：中国（上海）自由贸易试验区富特北路277号3层310室</w:t>
            </w:r>
          </w:p>
          <w:p w14:paraId="5FB941E4" w14:textId="77777777" w:rsidR="00712774" w:rsidRPr="00A40A5E" w:rsidRDefault="00712774" w:rsidP="00AF7038">
            <w:pPr>
              <w:snapToGrid w:val="0"/>
              <w:spacing w:line="360" w:lineRule="auto"/>
              <w:rPr>
                <w:rFonts w:ascii="宋体" w:hAnsi="宋体" w:cs="Calibri"/>
                <w:color w:val="000000"/>
                <w:szCs w:val="21"/>
              </w:rPr>
            </w:pPr>
            <w:r w:rsidRPr="00A40A5E">
              <w:rPr>
                <w:rFonts w:ascii="宋体" w:hAnsi="宋体" w:cs="Calibri" w:hint="eastAsia"/>
                <w:color w:val="000000"/>
                <w:szCs w:val="21"/>
              </w:rPr>
              <w:t>客服电话：4000466788</w:t>
            </w:r>
          </w:p>
          <w:p w14:paraId="6121BFA3" w14:textId="77777777" w:rsidR="00712774" w:rsidRPr="00A40A5E" w:rsidRDefault="00712774" w:rsidP="00AF7038">
            <w:pPr>
              <w:snapToGrid w:val="0"/>
              <w:spacing w:line="360" w:lineRule="auto"/>
              <w:rPr>
                <w:rFonts w:ascii="宋体" w:hAnsi="宋体" w:cs="Calibri"/>
                <w:color w:val="000000"/>
                <w:szCs w:val="21"/>
              </w:rPr>
            </w:pPr>
            <w:r w:rsidRPr="00A40A5E">
              <w:rPr>
                <w:rFonts w:ascii="宋体" w:hAnsi="宋体" w:cs="Calibri" w:hint="eastAsia"/>
                <w:color w:val="000000"/>
                <w:szCs w:val="21"/>
              </w:rPr>
              <w:t>公司网址：</w:t>
            </w:r>
            <w:r w:rsidRPr="00A40A5E">
              <w:rPr>
                <w:rFonts w:ascii="宋体" w:hAnsi="宋体" w:cs="Calibri"/>
                <w:color w:val="000000"/>
                <w:szCs w:val="21"/>
              </w:rPr>
              <w:t xml:space="preserve"> www.66zichan.com</w:t>
            </w:r>
          </w:p>
        </w:tc>
      </w:tr>
      <w:tr w:rsidR="00712774" w:rsidRPr="000659A8" w14:paraId="21DAD091" w14:textId="77777777" w:rsidTr="00D45D19">
        <w:tc>
          <w:tcPr>
            <w:tcW w:w="709" w:type="dxa"/>
            <w:hideMark/>
          </w:tcPr>
          <w:p w14:paraId="31322F67" w14:textId="77777777" w:rsidR="00712774" w:rsidRPr="00C52A47" w:rsidRDefault="00712774" w:rsidP="00AF7038">
            <w:pPr>
              <w:spacing w:line="360" w:lineRule="auto"/>
              <w:jc w:val="center"/>
              <w:rPr>
                <w:rFonts w:ascii="宋体" w:hAnsi="宋体" w:cs="Arial"/>
              </w:rPr>
            </w:pPr>
            <w:r>
              <w:rPr>
                <w:rFonts w:ascii="宋体" w:hAnsi="宋体" w:cs="Arial" w:hint="eastAsia"/>
              </w:rPr>
              <w:t>20</w:t>
            </w:r>
          </w:p>
        </w:tc>
        <w:tc>
          <w:tcPr>
            <w:tcW w:w="3260" w:type="dxa"/>
            <w:hideMark/>
          </w:tcPr>
          <w:p w14:paraId="6D514D0B" w14:textId="77777777" w:rsidR="00712774" w:rsidRPr="000659A8" w:rsidRDefault="00712774" w:rsidP="00AF7038">
            <w:pPr>
              <w:snapToGrid w:val="0"/>
              <w:spacing w:line="360" w:lineRule="auto"/>
              <w:rPr>
                <w:rFonts w:ascii="宋体" w:hAnsi="宋体" w:cs="Calibri"/>
                <w:color w:val="000000"/>
                <w:szCs w:val="21"/>
              </w:rPr>
            </w:pPr>
            <w:r w:rsidRPr="000659A8">
              <w:rPr>
                <w:rFonts w:ascii="宋体" w:hAnsi="宋体" w:cs="Calibri" w:hint="eastAsia"/>
                <w:color w:val="000000"/>
                <w:szCs w:val="21"/>
              </w:rPr>
              <w:t>上海天天基金销售有限公司</w:t>
            </w:r>
          </w:p>
        </w:tc>
        <w:tc>
          <w:tcPr>
            <w:tcW w:w="4820" w:type="dxa"/>
            <w:hideMark/>
          </w:tcPr>
          <w:p w14:paraId="63059BE6" w14:textId="77777777" w:rsidR="00712774" w:rsidRPr="000659A8" w:rsidRDefault="00712774" w:rsidP="00AF7038">
            <w:pPr>
              <w:snapToGrid w:val="0"/>
              <w:spacing w:line="360" w:lineRule="auto"/>
              <w:rPr>
                <w:rFonts w:ascii="宋体" w:hAnsi="宋体" w:cs="Calibri"/>
                <w:color w:val="000000"/>
                <w:szCs w:val="21"/>
              </w:rPr>
            </w:pPr>
            <w:r w:rsidRPr="000659A8">
              <w:rPr>
                <w:rFonts w:ascii="宋体" w:hAnsi="宋体" w:cs="Calibri" w:hint="eastAsia"/>
                <w:color w:val="000000"/>
                <w:szCs w:val="21"/>
              </w:rPr>
              <w:t>办公地址：</w:t>
            </w:r>
            <w:r w:rsidRPr="000659A8">
              <w:rPr>
                <w:rFonts w:ascii="宋体" w:hAnsi="宋体" w:cs="Calibri"/>
                <w:color w:val="000000"/>
                <w:szCs w:val="21"/>
              </w:rPr>
              <w:t xml:space="preserve"> </w:t>
            </w:r>
            <w:r w:rsidRPr="000659A8">
              <w:rPr>
                <w:rFonts w:ascii="宋体" w:hAnsi="宋体" w:cs="Calibri" w:hint="eastAsia"/>
                <w:color w:val="000000"/>
                <w:szCs w:val="21"/>
              </w:rPr>
              <w:t>上海市徐汇区宛平南路</w:t>
            </w:r>
            <w:r w:rsidRPr="000659A8">
              <w:rPr>
                <w:rFonts w:ascii="宋体" w:hAnsi="宋体" w:cs="Calibri"/>
                <w:color w:val="000000"/>
                <w:szCs w:val="21"/>
              </w:rPr>
              <w:t>88</w:t>
            </w:r>
            <w:r w:rsidRPr="000659A8">
              <w:rPr>
                <w:rFonts w:ascii="宋体" w:hAnsi="宋体" w:cs="Calibri" w:hint="eastAsia"/>
                <w:color w:val="000000"/>
                <w:szCs w:val="21"/>
              </w:rPr>
              <w:t>号金座（北楼）</w:t>
            </w:r>
            <w:r w:rsidRPr="000659A8">
              <w:rPr>
                <w:rFonts w:ascii="宋体" w:hAnsi="宋体" w:cs="Calibri"/>
                <w:color w:val="000000"/>
                <w:szCs w:val="21"/>
              </w:rPr>
              <w:t>25</w:t>
            </w:r>
            <w:r w:rsidRPr="000659A8">
              <w:rPr>
                <w:rFonts w:ascii="宋体" w:hAnsi="宋体" w:cs="Calibri" w:hint="eastAsia"/>
                <w:color w:val="000000"/>
                <w:szCs w:val="21"/>
              </w:rPr>
              <w:t>层</w:t>
            </w:r>
          </w:p>
          <w:p w14:paraId="693ABEF6" w14:textId="77777777" w:rsidR="00712774" w:rsidRPr="000659A8" w:rsidRDefault="00712774" w:rsidP="00AF7038">
            <w:pPr>
              <w:snapToGrid w:val="0"/>
              <w:spacing w:line="360" w:lineRule="auto"/>
              <w:rPr>
                <w:rFonts w:ascii="宋体" w:hAnsi="宋体" w:cs="Calibri"/>
                <w:color w:val="000000"/>
                <w:szCs w:val="21"/>
              </w:rPr>
            </w:pPr>
            <w:r w:rsidRPr="000659A8">
              <w:rPr>
                <w:rFonts w:ascii="宋体" w:hAnsi="宋体" w:cs="Calibri" w:hint="eastAsia"/>
                <w:color w:val="000000"/>
                <w:szCs w:val="21"/>
              </w:rPr>
              <w:lastRenderedPageBreak/>
              <w:t>客服电话：400-1818-188</w:t>
            </w:r>
          </w:p>
          <w:p w14:paraId="0DBCDF9A" w14:textId="77777777" w:rsidR="00712774" w:rsidRPr="000659A8" w:rsidRDefault="00712774" w:rsidP="00AF7038">
            <w:pPr>
              <w:snapToGrid w:val="0"/>
              <w:spacing w:line="360" w:lineRule="auto"/>
              <w:rPr>
                <w:rFonts w:ascii="宋体" w:hAnsi="宋体" w:cs="Calibri"/>
                <w:color w:val="000000"/>
                <w:szCs w:val="21"/>
              </w:rPr>
            </w:pPr>
            <w:r w:rsidRPr="000659A8">
              <w:rPr>
                <w:rFonts w:ascii="宋体" w:hAnsi="宋体" w:cs="Calibri" w:hint="eastAsia"/>
                <w:color w:val="000000"/>
                <w:szCs w:val="21"/>
              </w:rPr>
              <w:t>网址：http://www.1234567.com.cn</w:t>
            </w:r>
          </w:p>
        </w:tc>
      </w:tr>
      <w:tr w:rsidR="00712774" w:rsidRPr="000659A8" w14:paraId="656A1975" w14:textId="77777777" w:rsidTr="00D45D19">
        <w:tc>
          <w:tcPr>
            <w:tcW w:w="709" w:type="dxa"/>
            <w:hideMark/>
          </w:tcPr>
          <w:p w14:paraId="6280184D" w14:textId="77777777" w:rsidR="00712774" w:rsidRPr="00C52A47" w:rsidRDefault="00712774" w:rsidP="00AF7038">
            <w:pPr>
              <w:spacing w:line="360" w:lineRule="auto"/>
              <w:jc w:val="center"/>
              <w:rPr>
                <w:rFonts w:ascii="宋体" w:hAnsi="宋体" w:cs="Arial"/>
              </w:rPr>
            </w:pPr>
            <w:r>
              <w:rPr>
                <w:rFonts w:ascii="宋体" w:hAnsi="宋体" w:cs="Arial" w:hint="eastAsia"/>
              </w:rPr>
              <w:lastRenderedPageBreak/>
              <w:t>21</w:t>
            </w:r>
          </w:p>
        </w:tc>
        <w:tc>
          <w:tcPr>
            <w:tcW w:w="3260" w:type="dxa"/>
            <w:hideMark/>
          </w:tcPr>
          <w:p w14:paraId="673122B4" w14:textId="77777777" w:rsidR="00712774" w:rsidRPr="000659A8" w:rsidRDefault="00712774" w:rsidP="00AF7038">
            <w:pPr>
              <w:snapToGrid w:val="0"/>
              <w:spacing w:line="360" w:lineRule="auto"/>
              <w:rPr>
                <w:rFonts w:ascii="宋体" w:hAnsi="宋体" w:cs="Calibri"/>
                <w:color w:val="000000"/>
                <w:szCs w:val="21"/>
              </w:rPr>
            </w:pPr>
            <w:r w:rsidRPr="000659A8">
              <w:rPr>
                <w:rFonts w:ascii="宋体" w:hAnsi="宋体" w:cs="Calibri" w:hint="eastAsia"/>
                <w:color w:val="000000"/>
                <w:szCs w:val="21"/>
              </w:rPr>
              <w:t>珠海盈米财富管理有限公司</w:t>
            </w:r>
          </w:p>
        </w:tc>
        <w:tc>
          <w:tcPr>
            <w:tcW w:w="4820" w:type="dxa"/>
            <w:hideMark/>
          </w:tcPr>
          <w:p w14:paraId="630D4056" w14:textId="77777777" w:rsidR="00712774" w:rsidRPr="000659A8" w:rsidRDefault="00712774" w:rsidP="00AF7038">
            <w:pPr>
              <w:snapToGrid w:val="0"/>
              <w:spacing w:line="360" w:lineRule="auto"/>
              <w:rPr>
                <w:rFonts w:ascii="宋体" w:hAnsi="宋体" w:cs="Calibri"/>
                <w:color w:val="000000"/>
                <w:szCs w:val="21"/>
              </w:rPr>
            </w:pPr>
            <w:r w:rsidRPr="000659A8">
              <w:rPr>
                <w:rFonts w:ascii="宋体" w:hAnsi="宋体" w:cs="Calibri" w:hint="eastAsia"/>
                <w:color w:val="000000"/>
                <w:szCs w:val="21"/>
              </w:rPr>
              <w:t>办公地址：广州市海珠区琶洲大道东1号保利国际广场南塔12楼B1201-1203</w:t>
            </w:r>
          </w:p>
          <w:p w14:paraId="0E6A0121" w14:textId="77777777" w:rsidR="00712774" w:rsidRPr="000659A8" w:rsidRDefault="00712774" w:rsidP="00AF7038">
            <w:pPr>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客户服务电话：020-89629066</w:t>
            </w:r>
          </w:p>
          <w:p w14:paraId="13BA1952" w14:textId="77777777" w:rsidR="00712774" w:rsidRPr="000659A8" w:rsidRDefault="00712774" w:rsidP="00AF7038">
            <w:pPr>
              <w:snapToGrid w:val="0"/>
              <w:spacing w:line="360" w:lineRule="auto"/>
              <w:rPr>
                <w:rFonts w:ascii="宋体" w:hAnsi="宋体" w:cs="Calibri"/>
                <w:color w:val="000000"/>
                <w:szCs w:val="21"/>
              </w:rPr>
            </w:pPr>
            <w:r w:rsidRPr="000659A8">
              <w:rPr>
                <w:rFonts w:ascii="宋体" w:hAnsi="宋体" w:cs="Calibri" w:hint="eastAsia"/>
                <w:color w:val="000000"/>
                <w:szCs w:val="21"/>
              </w:rPr>
              <w:t>网址：</w:t>
            </w:r>
            <w:r w:rsidR="00000000">
              <w:fldChar w:fldCharType="begin"/>
            </w:r>
            <w:r w:rsidR="00000000">
              <w:instrText xml:space="preserve"> HYPERLINK "http://www.yingmi.cn" </w:instrText>
            </w:r>
            <w:r w:rsidR="00000000">
              <w:fldChar w:fldCharType="separate"/>
            </w:r>
            <w:r w:rsidRPr="000659A8">
              <w:rPr>
                <w:rFonts w:ascii="宋体" w:hAnsi="宋体" w:cs="Calibri"/>
                <w:color w:val="000000"/>
                <w:szCs w:val="21"/>
              </w:rPr>
              <w:t>www.yingmi.cn</w:t>
            </w:r>
            <w:r w:rsidR="00000000">
              <w:rPr>
                <w:rFonts w:ascii="宋体" w:hAnsi="宋体" w:cs="Calibri"/>
                <w:color w:val="000000"/>
                <w:szCs w:val="21"/>
              </w:rPr>
              <w:fldChar w:fldCharType="end"/>
            </w:r>
          </w:p>
        </w:tc>
      </w:tr>
      <w:tr w:rsidR="00712774" w:rsidRPr="000659A8" w14:paraId="17221FB8" w14:textId="77777777" w:rsidTr="00D45D19">
        <w:trPr>
          <w:trHeight w:val="1118"/>
        </w:trPr>
        <w:tc>
          <w:tcPr>
            <w:tcW w:w="709" w:type="dxa"/>
            <w:hideMark/>
          </w:tcPr>
          <w:p w14:paraId="325F7FF6" w14:textId="77777777" w:rsidR="00712774" w:rsidRPr="00C52A47" w:rsidRDefault="00712774" w:rsidP="00AF7038">
            <w:pPr>
              <w:spacing w:line="360" w:lineRule="auto"/>
              <w:jc w:val="center"/>
              <w:rPr>
                <w:rFonts w:ascii="宋体" w:hAnsi="宋体" w:cs="Arial"/>
              </w:rPr>
            </w:pPr>
            <w:r>
              <w:rPr>
                <w:rFonts w:ascii="宋体" w:hAnsi="宋体" w:cs="Arial" w:hint="eastAsia"/>
              </w:rPr>
              <w:t>22</w:t>
            </w:r>
          </w:p>
        </w:tc>
        <w:tc>
          <w:tcPr>
            <w:tcW w:w="3260" w:type="dxa"/>
            <w:hideMark/>
          </w:tcPr>
          <w:p w14:paraId="14BCCDC5" w14:textId="77777777" w:rsidR="00712774" w:rsidRPr="000659A8" w:rsidRDefault="00712774" w:rsidP="00AF7038">
            <w:pPr>
              <w:snapToGrid w:val="0"/>
              <w:spacing w:line="360" w:lineRule="auto"/>
              <w:rPr>
                <w:rFonts w:ascii="宋体" w:hAnsi="宋体" w:cs="Calibri"/>
                <w:color w:val="000000"/>
                <w:szCs w:val="21"/>
              </w:rPr>
            </w:pPr>
            <w:r w:rsidRPr="000659A8">
              <w:rPr>
                <w:rFonts w:ascii="宋体" w:hAnsi="宋体" w:cs="Calibri" w:hint="eastAsia"/>
                <w:color w:val="000000"/>
                <w:szCs w:val="21"/>
              </w:rPr>
              <w:t>上海长量基金销售投资顾问有限公司</w:t>
            </w:r>
          </w:p>
        </w:tc>
        <w:tc>
          <w:tcPr>
            <w:tcW w:w="4820" w:type="dxa"/>
            <w:hideMark/>
          </w:tcPr>
          <w:p w14:paraId="2A2ECA65" w14:textId="77777777" w:rsidR="00712774" w:rsidRPr="000659A8" w:rsidRDefault="00712774" w:rsidP="00AF7038">
            <w:pPr>
              <w:snapToGrid w:val="0"/>
              <w:spacing w:line="360" w:lineRule="auto"/>
              <w:rPr>
                <w:rFonts w:ascii="宋体" w:hAnsi="宋体" w:cs="Calibri"/>
                <w:color w:val="000000"/>
                <w:szCs w:val="21"/>
              </w:rPr>
            </w:pPr>
            <w:r w:rsidRPr="000659A8">
              <w:rPr>
                <w:rFonts w:ascii="宋体" w:hAnsi="宋体" w:cs="Calibri" w:hint="eastAsia"/>
                <w:color w:val="000000"/>
                <w:szCs w:val="21"/>
              </w:rPr>
              <w:t>办公地址：上海市浦东新区东方路1267号11层</w:t>
            </w:r>
          </w:p>
          <w:p w14:paraId="601757A3" w14:textId="77777777" w:rsidR="00712774" w:rsidRPr="000659A8" w:rsidRDefault="00712774" w:rsidP="00AF7038">
            <w:pPr>
              <w:snapToGrid w:val="0"/>
              <w:spacing w:line="360" w:lineRule="auto"/>
              <w:rPr>
                <w:rFonts w:ascii="宋体" w:hAnsi="宋体" w:cs="Calibri"/>
                <w:color w:val="000000"/>
                <w:szCs w:val="21"/>
              </w:rPr>
            </w:pPr>
            <w:r w:rsidRPr="000659A8">
              <w:rPr>
                <w:rFonts w:ascii="宋体" w:hAnsi="宋体" w:cs="Calibri" w:hint="eastAsia"/>
                <w:color w:val="000000"/>
                <w:szCs w:val="21"/>
              </w:rPr>
              <w:t>客服电话：400-820-2899</w:t>
            </w:r>
          </w:p>
          <w:p w14:paraId="7A89E4F9" w14:textId="77777777" w:rsidR="00712774" w:rsidRPr="000659A8" w:rsidRDefault="00712774" w:rsidP="00AF7038">
            <w:pPr>
              <w:snapToGrid w:val="0"/>
              <w:spacing w:line="360" w:lineRule="auto"/>
              <w:rPr>
                <w:rFonts w:ascii="宋体" w:hAnsi="宋体" w:cs="Calibri"/>
                <w:color w:val="000000"/>
                <w:szCs w:val="21"/>
              </w:rPr>
            </w:pPr>
            <w:r w:rsidRPr="000659A8">
              <w:rPr>
                <w:rFonts w:ascii="宋体" w:hAnsi="宋体" w:cs="Calibri" w:hint="eastAsia"/>
                <w:color w:val="000000"/>
                <w:szCs w:val="21"/>
              </w:rPr>
              <w:t>公司网站：</w:t>
            </w:r>
            <w:r w:rsidRPr="000659A8">
              <w:rPr>
                <w:rFonts w:ascii="宋体" w:hAnsi="宋体" w:cs="Calibri"/>
                <w:color w:val="000000"/>
                <w:szCs w:val="21"/>
              </w:rPr>
              <w:t xml:space="preserve"> www.erichfund.com</w:t>
            </w:r>
          </w:p>
        </w:tc>
      </w:tr>
      <w:tr w:rsidR="00712774" w:rsidRPr="00B85155" w14:paraId="5F120F5A" w14:textId="77777777" w:rsidTr="00D45D19">
        <w:trPr>
          <w:trHeight w:val="1678"/>
        </w:trPr>
        <w:tc>
          <w:tcPr>
            <w:tcW w:w="709" w:type="dxa"/>
            <w:hideMark/>
          </w:tcPr>
          <w:p w14:paraId="132781AE" w14:textId="77777777" w:rsidR="00712774" w:rsidRPr="00C52A47" w:rsidRDefault="00712774" w:rsidP="00AF7038">
            <w:pPr>
              <w:spacing w:line="360" w:lineRule="auto"/>
              <w:jc w:val="center"/>
              <w:rPr>
                <w:rFonts w:ascii="宋体" w:hAnsi="宋体" w:cs="Arial"/>
              </w:rPr>
            </w:pPr>
            <w:r>
              <w:rPr>
                <w:rFonts w:ascii="宋体" w:hAnsi="宋体" w:cs="Arial" w:hint="eastAsia"/>
              </w:rPr>
              <w:t>23</w:t>
            </w:r>
          </w:p>
        </w:tc>
        <w:tc>
          <w:tcPr>
            <w:tcW w:w="3260" w:type="dxa"/>
            <w:hideMark/>
          </w:tcPr>
          <w:p w14:paraId="6DA6ADA6" w14:textId="77777777" w:rsidR="00712774" w:rsidRPr="00A40A5E" w:rsidRDefault="00712774" w:rsidP="00AF7038">
            <w:pPr>
              <w:snapToGrid w:val="0"/>
              <w:spacing w:line="360" w:lineRule="auto"/>
              <w:rPr>
                <w:rFonts w:ascii="宋体" w:hAnsi="宋体" w:cs="Calibri"/>
                <w:color w:val="000000"/>
                <w:szCs w:val="21"/>
              </w:rPr>
            </w:pPr>
            <w:r w:rsidRPr="00A40A5E">
              <w:rPr>
                <w:rFonts w:ascii="宋体" w:hAnsi="宋体" w:cs="Calibri" w:hint="eastAsia"/>
                <w:color w:val="000000"/>
                <w:szCs w:val="21"/>
              </w:rPr>
              <w:t>北京植信基金销售有限公司</w:t>
            </w:r>
          </w:p>
        </w:tc>
        <w:tc>
          <w:tcPr>
            <w:tcW w:w="4820" w:type="dxa"/>
            <w:hideMark/>
          </w:tcPr>
          <w:p w14:paraId="2E60B769" w14:textId="77777777" w:rsidR="00712774" w:rsidRPr="00A40A5E" w:rsidRDefault="00712774" w:rsidP="00AF7038">
            <w:pPr>
              <w:snapToGrid w:val="0"/>
              <w:spacing w:line="360" w:lineRule="auto"/>
              <w:rPr>
                <w:rFonts w:ascii="宋体" w:hAnsi="宋体" w:cs="Calibri"/>
                <w:color w:val="000000"/>
                <w:szCs w:val="21"/>
              </w:rPr>
            </w:pPr>
            <w:r w:rsidRPr="00A40A5E">
              <w:rPr>
                <w:rFonts w:ascii="宋体" w:hAnsi="宋体" w:cs="Calibri" w:hint="eastAsia"/>
                <w:color w:val="000000"/>
                <w:szCs w:val="21"/>
              </w:rPr>
              <w:t>注册(办公)地址：北京市密云区兴盛南路8号院2号楼106室-67</w:t>
            </w:r>
          </w:p>
          <w:p w14:paraId="4F690598" w14:textId="77777777" w:rsidR="00712774" w:rsidRPr="00A40A5E" w:rsidRDefault="00712774" w:rsidP="00AF7038">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4006-802-123</w:t>
            </w:r>
          </w:p>
          <w:p w14:paraId="0B0878E1" w14:textId="77777777" w:rsidR="00712774" w:rsidRPr="00B85155" w:rsidRDefault="00712774" w:rsidP="00AF7038">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12741C">
              <w:rPr>
                <w:rFonts w:ascii="宋体" w:hAnsi="宋体" w:cs="Calibri" w:hint="eastAsia"/>
                <w:szCs w:val="21"/>
              </w:rPr>
              <w:t>www.zhixin-inv.com</w:t>
            </w:r>
          </w:p>
        </w:tc>
      </w:tr>
      <w:tr w:rsidR="00712774" w:rsidRPr="00A40A5E" w14:paraId="79E6A1A3" w14:textId="77777777" w:rsidTr="00D45D19">
        <w:tc>
          <w:tcPr>
            <w:tcW w:w="709" w:type="dxa"/>
            <w:hideMark/>
          </w:tcPr>
          <w:p w14:paraId="52E3D1B3" w14:textId="77777777" w:rsidR="00712774" w:rsidRPr="00C52A47" w:rsidRDefault="00712774" w:rsidP="00AF7038">
            <w:pPr>
              <w:spacing w:line="360" w:lineRule="auto"/>
              <w:jc w:val="center"/>
              <w:rPr>
                <w:rFonts w:ascii="宋体" w:hAnsi="宋体" w:cs="Arial"/>
              </w:rPr>
            </w:pPr>
            <w:r>
              <w:rPr>
                <w:rFonts w:ascii="宋体" w:hAnsi="宋体" w:cs="Arial" w:hint="eastAsia"/>
              </w:rPr>
              <w:t>24</w:t>
            </w:r>
          </w:p>
        </w:tc>
        <w:tc>
          <w:tcPr>
            <w:tcW w:w="3260" w:type="dxa"/>
            <w:hideMark/>
          </w:tcPr>
          <w:p w14:paraId="08F0B059" w14:textId="77777777" w:rsidR="00712774" w:rsidRPr="00A40A5E" w:rsidRDefault="00712774" w:rsidP="00AF7038">
            <w:pPr>
              <w:snapToGrid w:val="0"/>
              <w:spacing w:line="360" w:lineRule="auto"/>
              <w:rPr>
                <w:rFonts w:ascii="宋体" w:hAnsi="宋体" w:cs="Calibri"/>
                <w:color w:val="000000"/>
                <w:szCs w:val="21"/>
              </w:rPr>
            </w:pPr>
            <w:r w:rsidRPr="00A40A5E">
              <w:rPr>
                <w:rFonts w:ascii="宋体" w:hAnsi="宋体" w:cs="Calibri" w:hint="eastAsia"/>
                <w:color w:val="000000"/>
                <w:szCs w:val="21"/>
              </w:rPr>
              <w:t>北京汇成基金销售有限公司</w:t>
            </w:r>
          </w:p>
        </w:tc>
        <w:tc>
          <w:tcPr>
            <w:tcW w:w="4820" w:type="dxa"/>
            <w:hideMark/>
          </w:tcPr>
          <w:p w14:paraId="14AA0487" w14:textId="77777777" w:rsidR="00712774" w:rsidRPr="00A40A5E" w:rsidRDefault="00712774" w:rsidP="00AF7038">
            <w:pPr>
              <w:snapToGrid w:val="0"/>
              <w:spacing w:line="360" w:lineRule="auto"/>
              <w:rPr>
                <w:rFonts w:ascii="宋体" w:hAnsi="宋体" w:cs="Calibri"/>
                <w:color w:val="000000"/>
                <w:szCs w:val="21"/>
              </w:rPr>
            </w:pPr>
            <w:r w:rsidRPr="00A40A5E">
              <w:rPr>
                <w:rFonts w:ascii="宋体" w:hAnsi="宋体" w:cs="Calibri" w:hint="eastAsia"/>
                <w:color w:val="000000"/>
                <w:szCs w:val="21"/>
              </w:rPr>
              <w:t>注册(办公)地址：</w:t>
            </w:r>
            <w:r w:rsidRPr="00F818B8">
              <w:rPr>
                <w:rFonts w:ascii="宋体" w:hAnsi="宋体" w:cs="Calibri" w:hint="eastAsia"/>
                <w:bCs/>
                <w:color w:val="000000"/>
                <w:szCs w:val="21"/>
              </w:rPr>
              <w:t>北京市西城区宣武门外大街甲1号环球财讯中心D座401</w:t>
            </w:r>
          </w:p>
          <w:p w14:paraId="597C5960" w14:textId="77777777" w:rsidR="00712774" w:rsidRPr="00A40A5E" w:rsidRDefault="00712774" w:rsidP="00AF7038">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400-619-9059</w:t>
            </w:r>
          </w:p>
          <w:p w14:paraId="127DA9C5" w14:textId="77777777" w:rsidR="00712774" w:rsidRPr="00A40A5E" w:rsidRDefault="00712774" w:rsidP="00AF7038">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www.hcjijin.com</w:t>
            </w:r>
          </w:p>
        </w:tc>
      </w:tr>
      <w:tr w:rsidR="00712774" w:rsidRPr="000659A8" w14:paraId="749E1D78" w14:textId="77777777" w:rsidTr="00D45D19">
        <w:tc>
          <w:tcPr>
            <w:tcW w:w="709" w:type="dxa"/>
            <w:hideMark/>
          </w:tcPr>
          <w:p w14:paraId="1FD3D776" w14:textId="77777777" w:rsidR="00712774" w:rsidRPr="00C52A47" w:rsidRDefault="00712774" w:rsidP="00AF7038">
            <w:pPr>
              <w:spacing w:line="360" w:lineRule="auto"/>
              <w:jc w:val="center"/>
              <w:rPr>
                <w:rFonts w:ascii="宋体" w:hAnsi="宋体" w:cs="Arial"/>
              </w:rPr>
            </w:pPr>
            <w:r>
              <w:rPr>
                <w:rFonts w:ascii="宋体" w:hAnsi="宋体" w:cs="Arial" w:hint="eastAsia"/>
              </w:rPr>
              <w:t>25</w:t>
            </w:r>
          </w:p>
        </w:tc>
        <w:tc>
          <w:tcPr>
            <w:tcW w:w="3260" w:type="dxa"/>
            <w:hideMark/>
          </w:tcPr>
          <w:p w14:paraId="1CFD9D6A" w14:textId="77777777" w:rsidR="00712774" w:rsidRPr="000659A8" w:rsidRDefault="00712774" w:rsidP="00AF7038">
            <w:pPr>
              <w:snapToGrid w:val="0"/>
              <w:spacing w:line="360" w:lineRule="auto"/>
              <w:rPr>
                <w:rFonts w:ascii="宋体" w:hAnsi="宋体" w:cs="Calibri"/>
                <w:color w:val="000000"/>
                <w:szCs w:val="21"/>
              </w:rPr>
            </w:pPr>
            <w:r w:rsidRPr="000659A8">
              <w:rPr>
                <w:rFonts w:ascii="宋体" w:hAnsi="宋体" w:cs="Calibri" w:hint="eastAsia"/>
                <w:color w:val="000000"/>
                <w:szCs w:val="21"/>
              </w:rPr>
              <w:t>深圳市新兰德证券投资咨询有限公司</w:t>
            </w:r>
          </w:p>
        </w:tc>
        <w:tc>
          <w:tcPr>
            <w:tcW w:w="4820" w:type="dxa"/>
            <w:hideMark/>
          </w:tcPr>
          <w:p w14:paraId="488CB34A" w14:textId="77777777" w:rsidR="00712774" w:rsidRPr="000659A8" w:rsidRDefault="00712774" w:rsidP="00AF7038">
            <w:pPr>
              <w:snapToGrid w:val="0"/>
              <w:spacing w:line="360" w:lineRule="auto"/>
              <w:rPr>
                <w:rFonts w:ascii="宋体" w:hAnsi="宋体" w:cs="Calibri"/>
                <w:color w:val="000000"/>
                <w:szCs w:val="21"/>
              </w:rPr>
            </w:pPr>
            <w:r w:rsidRPr="000659A8">
              <w:rPr>
                <w:rFonts w:ascii="宋体" w:hAnsi="宋体" w:cs="Calibri" w:hint="eastAsia"/>
                <w:color w:val="000000"/>
                <w:szCs w:val="21"/>
              </w:rPr>
              <w:t>办公地址：北京市西城区宣武门外大街</w:t>
            </w:r>
            <w:r w:rsidRPr="000659A8">
              <w:rPr>
                <w:rFonts w:ascii="宋体" w:hAnsi="宋体" w:cs="Calibri"/>
                <w:color w:val="000000"/>
                <w:szCs w:val="21"/>
              </w:rPr>
              <w:t>10</w:t>
            </w:r>
            <w:r w:rsidRPr="000659A8">
              <w:rPr>
                <w:rFonts w:ascii="宋体" w:hAnsi="宋体" w:cs="Calibri" w:hint="eastAsia"/>
                <w:color w:val="000000"/>
                <w:szCs w:val="21"/>
              </w:rPr>
              <w:t>号庄胜广场中央办公楼东翼</w:t>
            </w:r>
            <w:r w:rsidRPr="000659A8">
              <w:rPr>
                <w:rFonts w:ascii="宋体" w:hAnsi="宋体" w:cs="Calibri"/>
                <w:color w:val="000000"/>
                <w:szCs w:val="21"/>
              </w:rPr>
              <w:t>7</w:t>
            </w:r>
            <w:r w:rsidRPr="000659A8">
              <w:rPr>
                <w:rFonts w:ascii="宋体" w:hAnsi="宋体" w:cs="Calibri" w:hint="eastAsia"/>
                <w:color w:val="000000"/>
                <w:szCs w:val="21"/>
              </w:rPr>
              <w:t>层</w:t>
            </w:r>
          </w:p>
          <w:p w14:paraId="58C6F82C" w14:textId="77777777" w:rsidR="00712774" w:rsidRPr="000659A8" w:rsidRDefault="00712774" w:rsidP="00AF7038">
            <w:pPr>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400-166-1188</w:t>
            </w:r>
          </w:p>
          <w:p w14:paraId="642B851A" w14:textId="77777777" w:rsidR="00712774" w:rsidRPr="000659A8" w:rsidRDefault="00712774" w:rsidP="00AF7038">
            <w:pPr>
              <w:snapToGrid w:val="0"/>
              <w:spacing w:line="360" w:lineRule="auto"/>
              <w:rPr>
                <w:rFonts w:ascii="宋体" w:hAnsi="宋体" w:cs="Calibri"/>
                <w:color w:val="000000"/>
                <w:szCs w:val="21"/>
              </w:rPr>
            </w:pPr>
            <w:r w:rsidRPr="000659A8">
              <w:rPr>
                <w:rFonts w:ascii="宋体" w:hAnsi="宋体" w:cs="Calibri" w:hint="eastAsia"/>
                <w:color w:val="000000"/>
                <w:szCs w:val="21"/>
              </w:rPr>
              <w:t>网址：</w:t>
            </w:r>
            <w:r w:rsidRPr="000659A8">
              <w:rPr>
                <w:rFonts w:ascii="宋体" w:hAnsi="宋体" w:cs="Calibri"/>
                <w:color w:val="000000"/>
                <w:szCs w:val="21"/>
              </w:rPr>
              <w:t>http://8.jrj.com.cn/</w:t>
            </w:r>
          </w:p>
        </w:tc>
      </w:tr>
      <w:tr w:rsidR="00712774" w:rsidRPr="000659A8" w14:paraId="3B837364" w14:textId="77777777" w:rsidTr="00D45D19">
        <w:tc>
          <w:tcPr>
            <w:tcW w:w="709" w:type="dxa"/>
            <w:hideMark/>
          </w:tcPr>
          <w:p w14:paraId="70DD7B6D" w14:textId="77777777" w:rsidR="00712774" w:rsidRPr="00C52A47" w:rsidRDefault="00712774" w:rsidP="00AF7038">
            <w:pPr>
              <w:spacing w:line="360" w:lineRule="auto"/>
              <w:jc w:val="center"/>
              <w:rPr>
                <w:rFonts w:ascii="宋体" w:hAnsi="宋体" w:cs="Arial"/>
              </w:rPr>
            </w:pPr>
            <w:r>
              <w:rPr>
                <w:rFonts w:ascii="宋体" w:hAnsi="宋体" w:cs="Arial" w:hint="eastAsia"/>
              </w:rPr>
              <w:t>26</w:t>
            </w:r>
          </w:p>
        </w:tc>
        <w:tc>
          <w:tcPr>
            <w:tcW w:w="3260" w:type="dxa"/>
            <w:hideMark/>
          </w:tcPr>
          <w:p w14:paraId="7BD50818" w14:textId="77777777" w:rsidR="00712774" w:rsidRPr="000659A8" w:rsidRDefault="00712774" w:rsidP="00AF7038">
            <w:pPr>
              <w:snapToGrid w:val="0"/>
              <w:spacing w:line="360" w:lineRule="auto"/>
              <w:rPr>
                <w:rFonts w:ascii="宋体" w:hAnsi="宋体" w:cs="Calibri"/>
                <w:color w:val="000000"/>
                <w:szCs w:val="21"/>
              </w:rPr>
            </w:pPr>
            <w:r w:rsidRPr="000659A8">
              <w:rPr>
                <w:rFonts w:ascii="宋体" w:hAnsi="宋体" w:cs="Calibri" w:hint="eastAsia"/>
                <w:color w:val="000000"/>
                <w:szCs w:val="21"/>
              </w:rPr>
              <w:t>济安财富（北京）基金销售有限公司</w:t>
            </w:r>
          </w:p>
        </w:tc>
        <w:tc>
          <w:tcPr>
            <w:tcW w:w="4820" w:type="dxa"/>
            <w:hideMark/>
          </w:tcPr>
          <w:p w14:paraId="36A47888" w14:textId="77777777" w:rsidR="00712774" w:rsidRPr="000659A8" w:rsidRDefault="00712774" w:rsidP="00AF7038">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办公地址：北京市朝阳区东三环中路7号北京财富中心A座46层</w:t>
            </w:r>
            <w:r w:rsidRPr="000659A8" w:rsidDel="00E15C1D">
              <w:rPr>
                <w:rFonts w:ascii="宋体" w:hAnsi="宋体" w:cs="Calibri"/>
                <w:color w:val="000000"/>
                <w:szCs w:val="21"/>
              </w:rPr>
              <w:t xml:space="preserve"> </w:t>
            </w:r>
          </w:p>
          <w:p w14:paraId="5EB0BDF7" w14:textId="77777777" w:rsidR="00712774" w:rsidRPr="000659A8" w:rsidRDefault="00712774" w:rsidP="00AF7038">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400-673-7010</w:t>
            </w:r>
          </w:p>
          <w:p w14:paraId="3D748E4A" w14:textId="77777777" w:rsidR="00712774" w:rsidRPr="000659A8" w:rsidRDefault="00712774" w:rsidP="00AF7038">
            <w:pPr>
              <w:snapToGrid w:val="0"/>
              <w:spacing w:line="360" w:lineRule="auto"/>
              <w:rPr>
                <w:rFonts w:ascii="宋体" w:hAnsi="宋体" w:cs="Calibri"/>
                <w:color w:val="000000"/>
                <w:szCs w:val="21"/>
              </w:rPr>
            </w:pPr>
            <w:r w:rsidRPr="000659A8">
              <w:rPr>
                <w:rFonts w:ascii="宋体" w:hAnsi="宋体" w:cs="Calibri" w:hint="eastAsia"/>
                <w:color w:val="000000"/>
                <w:szCs w:val="21"/>
              </w:rPr>
              <w:t>网址：</w:t>
            </w:r>
            <w:r w:rsidR="00000000">
              <w:fldChar w:fldCharType="begin"/>
            </w:r>
            <w:r w:rsidR="00000000">
              <w:instrText xml:space="preserve"> HYPERLINK "http://www.jianfortune.com" </w:instrText>
            </w:r>
            <w:r w:rsidR="00000000">
              <w:fldChar w:fldCharType="separate"/>
            </w:r>
            <w:r w:rsidRPr="000659A8">
              <w:rPr>
                <w:rFonts w:ascii="宋体" w:hAnsi="宋体" w:cs="Calibri"/>
                <w:color w:val="000000"/>
                <w:szCs w:val="21"/>
              </w:rPr>
              <w:t>www.jianfortune.com</w:t>
            </w:r>
            <w:r w:rsidR="00000000">
              <w:rPr>
                <w:rFonts w:ascii="宋体" w:hAnsi="宋体" w:cs="Calibri"/>
                <w:color w:val="000000"/>
                <w:szCs w:val="21"/>
              </w:rPr>
              <w:fldChar w:fldCharType="end"/>
            </w:r>
          </w:p>
        </w:tc>
      </w:tr>
      <w:tr w:rsidR="00712774" w:rsidRPr="000659A8" w14:paraId="3854D876" w14:textId="77777777" w:rsidTr="00D45D19">
        <w:tc>
          <w:tcPr>
            <w:tcW w:w="709" w:type="dxa"/>
          </w:tcPr>
          <w:p w14:paraId="3CEE9A3F" w14:textId="77777777" w:rsidR="00712774" w:rsidRPr="00C52A47" w:rsidRDefault="00712774" w:rsidP="00AF7038">
            <w:pPr>
              <w:spacing w:line="360" w:lineRule="auto"/>
              <w:jc w:val="center"/>
              <w:rPr>
                <w:rFonts w:ascii="宋体" w:hAnsi="宋体" w:cs="Arial"/>
              </w:rPr>
            </w:pPr>
            <w:r>
              <w:rPr>
                <w:rFonts w:ascii="宋体" w:hAnsi="宋体" w:hint="eastAsia"/>
                <w:color w:val="000000"/>
              </w:rPr>
              <w:t>27</w:t>
            </w:r>
          </w:p>
        </w:tc>
        <w:tc>
          <w:tcPr>
            <w:tcW w:w="3260" w:type="dxa"/>
            <w:hideMark/>
          </w:tcPr>
          <w:p w14:paraId="28A03157" w14:textId="77777777" w:rsidR="00712774" w:rsidRPr="000659A8" w:rsidRDefault="00712774" w:rsidP="00AF7038">
            <w:pPr>
              <w:snapToGrid w:val="0"/>
              <w:spacing w:line="360" w:lineRule="auto"/>
              <w:rPr>
                <w:rFonts w:ascii="宋体" w:hAnsi="宋体" w:cs="Calibri"/>
                <w:color w:val="000000"/>
                <w:szCs w:val="21"/>
              </w:rPr>
            </w:pPr>
            <w:r>
              <w:rPr>
                <w:rFonts w:ascii="宋体" w:hAnsi="宋体" w:cs="Calibri" w:hint="eastAsia"/>
                <w:color w:val="000000"/>
                <w:szCs w:val="21"/>
              </w:rPr>
              <w:t>方德</w:t>
            </w:r>
            <w:r w:rsidRPr="000659A8">
              <w:rPr>
                <w:rFonts w:ascii="宋体" w:hAnsi="宋体" w:cs="Calibri" w:hint="eastAsia"/>
                <w:color w:val="000000"/>
                <w:szCs w:val="21"/>
              </w:rPr>
              <w:t>保险代理有限公司</w:t>
            </w:r>
          </w:p>
        </w:tc>
        <w:tc>
          <w:tcPr>
            <w:tcW w:w="4820" w:type="dxa"/>
            <w:hideMark/>
          </w:tcPr>
          <w:p w14:paraId="249190E7" w14:textId="77777777" w:rsidR="00712774" w:rsidRPr="000659A8" w:rsidRDefault="00712774" w:rsidP="00AF7038">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注册(办公)地址：</w:t>
            </w:r>
            <w:r w:rsidRPr="00BA70C0">
              <w:rPr>
                <w:rFonts w:ascii="宋体" w:hAnsi="宋体" w:cs="Calibri" w:hint="eastAsia"/>
                <w:bCs/>
                <w:color w:val="000000"/>
                <w:szCs w:val="21"/>
              </w:rPr>
              <w:t>北京市东城区东直门外大街46号12层02室</w:t>
            </w:r>
          </w:p>
          <w:p w14:paraId="7F70AD87" w14:textId="77777777" w:rsidR="00712774" w:rsidRPr="000659A8" w:rsidRDefault="00712774" w:rsidP="00AF7038">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w:t>
            </w:r>
            <w:r w:rsidRPr="00BA70C0">
              <w:rPr>
                <w:rFonts w:ascii="宋体" w:hAnsi="宋体" w:cs="Calibri"/>
                <w:color w:val="000000"/>
                <w:szCs w:val="21"/>
              </w:rPr>
              <w:t>010-64068617</w:t>
            </w:r>
          </w:p>
          <w:p w14:paraId="20BE1C6A" w14:textId="77777777" w:rsidR="00712774" w:rsidRPr="000659A8" w:rsidRDefault="00712774" w:rsidP="00AF7038">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网址：</w:t>
            </w:r>
            <w:r w:rsidRPr="00BA70C0">
              <w:rPr>
                <w:rFonts w:ascii="宋体" w:hAnsi="宋体" w:cs="Calibri"/>
                <w:color w:val="000000"/>
                <w:szCs w:val="21"/>
              </w:rPr>
              <w:t>http://www.fundsure.cn/</w:t>
            </w:r>
          </w:p>
        </w:tc>
      </w:tr>
      <w:tr w:rsidR="00712774" w:rsidRPr="000659A8" w14:paraId="5DF3E831" w14:textId="77777777" w:rsidTr="00D45D19">
        <w:tc>
          <w:tcPr>
            <w:tcW w:w="709" w:type="dxa"/>
          </w:tcPr>
          <w:p w14:paraId="2A010B6C" w14:textId="77777777" w:rsidR="00712774" w:rsidRPr="00C52A47" w:rsidRDefault="00712774" w:rsidP="00AF7038">
            <w:pPr>
              <w:spacing w:line="360" w:lineRule="auto"/>
              <w:jc w:val="center"/>
              <w:rPr>
                <w:rFonts w:ascii="宋体" w:hAnsi="宋体" w:cs="Arial"/>
              </w:rPr>
            </w:pPr>
            <w:r>
              <w:rPr>
                <w:rFonts w:ascii="宋体" w:hAnsi="宋体" w:hint="eastAsia"/>
                <w:color w:val="000000"/>
              </w:rPr>
              <w:t>28</w:t>
            </w:r>
          </w:p>
        </w:tc>
        <w:tc>
          <w:tcPr>
            <w:tcW w:w="3260" w:type="dxa"/>
          </w:tcPr>
          <w:p w14:paraId="051FFEF0" w14:textId="77777777" w:rsidR="00712774" w:rsidRPr="000659A8" w:rsidRDefault="00712774" w:rsidP="00AF7038">
            <w:pPr>
              <w:snapToGrid w:val="0"/>
              <w:spacing w:line="360" w:lineRule="auto"/>
              <w:rPr>
                <w:rFonts w:ascii="宋体" w:hAnsi="宋体" w:cs="Calibri"/>
                <w:color w:val="000000"/>
                <w:szCs w:val="21"/>
              </w:rPr>
            </w:pPr>
            <w:r w:rsidRPr="000659A8">
              <w:rPr>
                <w:rFonts w:ascii="宋体" w:hAnsi="宋体" w:cs="Calibri" w:hint="eastAsia"/>
                <w:color w:val="000000"/>
                <w:szCs w:val="21"/>
              </w:rPr>
              <w:t>民商基金销售(上海)有限公司</w:t>
            </w:r>
          </w:p>
        </w:tc>
        <w:tc>
          <w:tcPr>
            <w:tcW w:w="4820" w:type="dxa"/>
          </w:tcPr>
          <w:p w14:paraId="3783E25A" w14:textId="77777777" w:rsidR="00712774" w:rsidRPr="000659A8" w:rsidRDefault="00712774" w:rsidP="00AF7038">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注册(办公)地址：上海黄浦区北京东路666号H区（东座）6楼A31室</w:t>
            </w:r>
          </w:p>
          <w:p w14:paraId="598F7421" w14:textId="77777777" w:rsidR="00712774" w:rsidRPr="000659A8" w:rsidRDefault="00712774" w:rsidP="00AF7038">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客户服务电话：021-50206003</w:t>
            </w:r>
          </w:p>
          <w:p w14:paraId="6F67033B" w14:textId="77777777" w:rsidR="00712774" w:rsidRPr="000659A8" w:rsidRDefault="00712774" w:rsidP="00AF7038">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网址：http://www.msftec.com</w:t>
            </w:r>
          </w:p>
        </w:tc>
      </w:tr>
      <w:tr w:rsidR="00712774" w:rsidRPr="000659A8" w14:paraId="58A67BC9" w14:textId="77777777" w:rsidTr="00D45D19">
        <w:tc>
          <w:tcPr>
            <w:tcW w:w="709" w:type="dxa"/>
          </w:tcPr>
          <w:p w14:paraId="711F8015" w14:textId="77777777" w:rsidR="00712774" w:rsidRPr="00C52A47" w:rsidRDefault="00712774" w:rsidP="00AF7038">
            <w:pPr>
              <w:spacing w:line="360" w:lineRule="auto"/>
              <w:jc w:val="center"/>
              <w:rPr>
                <w:rFonts w:ascii="宋体" w:hAnsi="宋体"/>
                <w:color w:val="000000"/>
              </w:rPr>
            </w:pPr>
            <w:r>
              <w:rPr>
                <w:rFonts w:ascii="宋体" w:hAnsi="宋体" w:cs="宋体" w:hint="eastAsia"/>
              </w:rPr>
              <w:lastRenderedPageBreak/>
              <w:t>29</w:t>
            </w:r>
          </w:p>
        </w:tc>
        <w:tc>
          <w:tcPr>
            <w:tcW w:w="3260" w:type="dxa"/>
          </w:tcPr>
          <w:p w14:paraId="60818F20" w14:textId="77777777" w:rsidR="00712774" w:rsidRPr="000659A8" w:rsidRDefault="00712774" w:rsidP="00AF7038">
            <w:pPr>
              <w:snapToGrid w:val="0"/>
              <w:spacing w:line="360" w:lineRule="auto"/>
              <w:rPr>
                <w:rFonts w:ascii="宋体" w:hAnsi="宋体" w:cs="Calibri"/>
                <w:color w:val="000000"/>
                <w:szCs w:val="21"/>
              </w:rPr>
            </w:pPr>
            <w:r w:rsidRPr="000659A8">
              <w:rPr>
                <w:rFonts w:ascii="宋体" w:hAnsi="宋体" w:cs="Calibri" w:hint="eastAsia"/>
                <w:color w:val="000000"/>
                <w:szCs w:val="21"/>
              </w:rPr>
              <w:t>大连网金基金销售有限公司</w:t>
            </w:r>
          </w:p>
        </w:tc>
        <w:tc>
          <w:tcPr>
            <w:tcW w:w="4820" w:type="dxa"/>
          </w:tcPr>
          <w:p w14:paraId="655CB53C" w14:textId="77777777" w:rsidR="00712774" w:rsidRPr="000659A8" w:rsidRDefault="00712774" w:rsidP="00AF7038">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注册</w:t>
            </w:r>
            <w:r w:rsidRPr="000659A8">
              <w:rPr>
                <w:rFonts w:ascii="宋体" w:hAnsi="宋体" w:cs="Calibri"/>
                <w:color w:val="000000"/>
                <w:szCs w:val="21"/>
              </w:rPr>
              <w:t>(</w:t>
            </w:r>
            <w:r w:rsidRPr="000659A8">
              <w:rPr>
                <w:rFonts w:ascii="宋体" w:hAnsi="宋体" w:cs="Calibri" w:hint="eastAsia"/>
                <w:color w:val="000000"/>
                <w:szCs w:val="21"/>
              </w:rPr>
              <w:t>办公</w:t>
            </w:r>
            <w:r w:rsidRPr="000659A8">
              <w:rPr>
                <w:rFonts w:ascii="宋体" w:hAnsi="宋体" w:cs="Calibri"/>
                <w:color w:val="000000"/>
                <w:szCs w:val="21"/>
              </w:rPr>
              <w:t>)</w:t>
            </w:r>
            <w:r w:rsidRPr="000659A8">
              <w:rPr>
                <w:rFonts w:ascii="宋体" w:hAnsi="宋体" w:cs="Calibri" w:hint="eastAsia"/>
                <w:color w:val="000000"/>
                <w:szCs w:val="21"/>
              </w:rPr>
              <w:t>地址：大连市沙河口区体坛路</w:t>
            </w:r>
            <w:r w:rsidRPr="000659A8">
              <w:rPr>
                <w:rFonts w:ascii="宋体" w:hAnsi="宋体" w:cs="Calibri"/>
                <w:color w:val="000000"/>
                <w:szCs w:val="21"/>
              </w:rPr>
              <w:t>22</w:t>
            </w:r>
            <w:r w:rsidRPr="000659A8">
              <w:rPr>
                <w:rFonts w:ascii="宋体" w:hAnsi="宋体" w:cs="Calibri" w:hint="eastAsia"/>
                <w:color w:val="000000"/>
                <w:szCs w:val="21"/>
              </w:rPr>
              <w:t>号诺德大厦</w:t>
            </w:r>
            <w:r w:rsidRPr="000659A8">
              <w:rPr>
                <w:rFonts w:ascii="宋体" w:hAnsi="宋体" w:cs="Calibri"/>
                <w:color w:val="000000"/>
                <w:szCs w:val="21"/>
              </w:rPr>
              <w:t>2</w:t>
            </w:r>
            <w:r w:rsidRPr="000659A8">
              <w:rPr>
                <w:rFonts w:ascii="宋体" w:hAnsi="宋体" w:cs="Calibri" w:hint="eastAsia"/>
                <w:color w:val="000000"/>
                <w:szCs w:val="21"/>
              </w:rPr>
              <w:t>层</w:t>
            </w:r>
          </w:p>
          <w:p w14:paraId="30A1AD3E" w14:textId="77777777" w:rsidR="00712774" w:rsidRPr="000659A8" w:rsidRDefault="00712774" w:rsidP="00AF7038">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4000-899-100</w:t>
            </w:r>
          </w:p>
          <w:p w14:paraId="457FF352" w14:textId="77777777" w:rsidR="00712774" w:rsidRPr="000659A8" w:rsidRDefault="00712774" w:rsidP="00AF7038">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网址：</w:t>
            </w:r>
            <w:r w:rsidRPr="000659A8">
              <w:rPr>
                <w:rFonts w:ascii="宋体" w:hAnsi="宋体" w:cs="Calibri"/>
                <w:color w:val="000000"/>
                <w:szCs w:val="21"/>
              </w:rPr>
              <w:t xml:space="preserve"> http://www.yibaijin.com/</w:t>
            </w:r>
          </w:p>
        </w:tc>
      </w:tr>
      <w:tr w:rsidR="00712774" w:rsidRPr="000659A8" w14:paraId="39044B01" w14:textId="77777777" w:rsidTr="00D45D19">
        <w:tc>
          <w:tcPr>
            <w:tcW w:w="709" w:type="dxa"/>
          </w:tcPr>
          <w:p w14:paraId="05E7B68C" w14:textId="77777777" w:rsidR="00712774" w:rsidRPr="00C52A47" w:rsidRDefault="00712774" w:rsidP="00AF7038">
            <w:pPr>
              <w:spacing w:line="360" w:lineRule="auto"/>
              <w:jc w:val="center"/>
              <w:rPr>
                <w:rFonts w:ascii="宋体" w:hAnsi="宋体"/>
                <w:color w:val="000000"/>
              </w:rPr>
            </w:pPr>
            <w:r>
              <w:rPr>
                <w:rFonts w:ascii="宋体" w:hAnsi="宋体" w:cs="宋体" w:hint="eastAsia"/>
              </w:rPr>
              <w:t>30</w:t>
            </w:r>
          </w:p>
        </w:tc>
        <w:tc>
          <w:tcPr>
            <w:tcW w:w="3260" w:type="dxa"/>
          </w:tcPr>
          <w:p w14:paraId="2552DB3F" w14:textId="77777777" w:rsidR="00712774" w:rsidRPr="000659A8" w:rsidRDefault="00712774" w:rsidP="00AF7038">
            <w:pPr>
              <w:snapToGrid w:val="0"/>
              <w:spacing w:line="360" w:lineRule="auto"/>
              <w:rPr>
                <w:rFonts w:ascii="宋体" w:hAnsi="宋体" w:cs="Calibri"/>
                <w:color w:val="000000"/>
                <w:szCs w:val="21"/>
              </w:rPr>
            </w:pPr>
            <w:r w:rsidRPr="000659A8">
              <w:rPr>
                <w:rFonts w:ascii="宋体" w:hAnsi="宋体" w:cs="Calibri" w:hint="eastAsia"/>
                <w:color w:val="000000"/>
                <w:szCs w:val="21"/>
              </w:rPr>
              <w:t>深圳众禄基金销售股份有限公司</w:t>
            </w:r>
          </w:p>
        </w:tc>
        <w:tc>
          <w:tcPr>
            <w:tcW w:w="4820" w:type="dxa"/>
          </w:tcPr>
          <w:p w14:paraId="76B1D72D" w14:textId="77777777" w:rsidR="00712774" w:rsidRPr="000659A8" w:rsidRDefault="00712774" w:rsidP="00AF7038">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注册（办公）地址：深圳市罗湖区梨园路物资控股置地大厦8楼</w:t>
            </w:r>
          </w:p>
          <w:p w14:paraId="1F98CAA4" w14:textId="77777777" w:rsidR="00712774" w:rsidRPr="000659A8" w:rsidRDefault="00712774" w:rsidP="00AF7038">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4006-788-887</w:t>
            </w:r>
          </w:p>
          <w:p w14:paraId="43A2C1A1" w14:textId="77777777" w:rsidR="00712774" w:rsidRPr="000659A8" w:rsidRDefault="00712774" w:rsidP="00AF7038">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网址：众禄基金网</w:t>
            </w:r>
            <w:r w:rsidRPr="000659A8">
              <w:rPr>
                <w:rFonts w:ascii="宋体" w:hAnsi="宋体" w:cs="Calibri"/>
                <w:color w:val="000000"/>
                <w:szCs w:val="21"/>
              </w:rPr>
              <w:t xml:space="preserve"> </w:t>
            </w:r>
            <w:hyperlink r:id="rId14" w:history="1">
              <w:r w:rsidRPr="000659A8">
                <w:rPr>
                  <w:rFonts w:ascii="宋体" w:hAnsi="宋体" w:cs="Calibri"/>
                  <w:color w:val="000000"/>
                  <w:szCs w:val="21"/>
                </w:rPr>
                <w:t>www.zlfund.cn</w:t>
              </w:r>
            </w:hyperlink>
          </w:p>
          <w:p w14:paraId="55EB2556" w14:textId="77777777" w:rsidR="00712774" w:rsidRPr="000659A8" w:rsidRDefault="00712774" w:rsidP="00AF7038">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基金买卖网</w:t>
            </w:r>
            <w:r w:rsidRPr="000659A8">
              <w:rPr>
                <w:rFonts w:ascii="宋体" w:hAnsi="宋体" w:cs="Calibri"/>
                <w:color w:val="000000"/>
                <w:szCs w:val="21"/>
              </w:rPr>
              <w:t xml:space="preserve"> </w:t>
            </w:r>
            <w:hyperlink r:id="rId15" w:history="1">
              <w:r w:rsidRPr="000659A8">
                <w:rPr>
                  <w:rFonts w:ascii="宋体" w:hAnsi="宋体" w:cs="Calibri"/>
                  <w:color w:val="000000"/>
                  <w:szCs w:val="21"/>
                </w:rPr>
                <w:t>www.jjmmw.com</w:t>
              </w:r>
            </w:hyperlink>
          </w:p>
        </w:tc>
      </w:tr>
      <w:tr w:rsidR="00712774" w:rsidRPr="000659A8" w14:paraId="682BA41E" w14:textId="77777777" w:rsidTr="00D45D19">
        <w:tc>
          <w:tcPr>
            <w:tcW w:w="709" w:type="dxa"/>
          </w:tcPr>
          <w:p w14:paraId="74BE3B61" w14:textId="77777777" w:rsidR="00712774" w:rsidRPr="00C52A47" w:rsidRDefault="00712774" w:rsidP="00AF7038">
            <w:pPr>
              <w:spacing w:line="360" w:lineRule="auto"/>
              <w:jc w:val="center"/>
              <w:rPr>
                <w:rFonts w:ascii="宋体" w:hAnsi="宋体"/>
                <w:color w:val="000000"/>
              </w:rPr>
            </w:pPr>
            <w:r>
              <w:rPr>
                <w:rFonts w:ascii="宋体" w:hAnsi="宋体" w:hint="eastAsia"/>
                <w:color w:val="000000"/>
              </w:rPr>
              <w:t>31</w:t>
            </w:r>
          </w:p>
        </w:tc>
        <w:tc>
          <w:tcPr>
            <w:tcW w:w="3260" w:type="dxa"/>
          </w:tcPr>
          <w:p w14:paraId="40F8E629" w14:textId="77777777" w:rsidR="00712774" w:rsidRPr="000659A8" w:rsidRDefault="00712774" w:rsidP="00AF7038">
            <w:pPr>
              <w:snapToGrid w:val="0"/>
              <w:spacing w:line="360" w:lineRule="auto"/>
              <w:rPr>
                <w:rFonts w:ascii="宋体" w:hAnsi="宋体" w:cs="Calibri"/>
                <w:color w:val="000000"/>
                <w:szCs w:val="21"/>
              </w:rPr>
            </w:pPr>
            <w:r w:rsidRPr="000659A8">
              <w:rPr>
                <w:rFonts w:ascii="宋体" w:hAnsi="宋体" w:cs="Calibri" w:hint="eastAsia"/>
                <w:color w:val="000000"/>
                <w:szCs w:val="21"/>
              </w:rPr>
              <w:t>北京蛋卷基金销售有限公司</w:t>
            </w:r>
          </w:p>
        </w:tc>
        <w:tc>
          <w:tcPr>
            <w:tcW w:w="4820" w:type="dxa"/>
          </w:tcPr>
          <w:p w14:paraId="27A2785B" w14:textId="77777777" w:rsidR="00712774" w:rsidRPr="000659A8" w:rsidRDefault="00712774" w:rsidP="00AF7038">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注册（办公）地址：北京市朝阳区阜通东大街</w:t>
            </w:r>
            <w:r w:rsidRPr="000659A8">
              <w:rPr>
                <w:rFonts w:ascii="宋体" w:hAnsi="宋体" w:cs="Calibri"/>
                <w:color w:val="000000"/>
                <w:szCs w:val="21"/>
              </w:rPr>
              <w:t>1</w:t>
            </w:r>
            <w:r w:rsidRPr="000659A8">
              <w:rPr>
                <w:rFonts w:ascii="宋体" w:hAnsi="宋体" w:cs="Calibri" w:hint="eastAsia"/>
                <w:color w:val="000000"/>
                <w:szCs w:val="21"/>
              </w:rPr>
              <w:t>号院</w:t>
            </w:r>
            <w:r w:rsidRPr="000659A8">
              <w:rPr>
                <w:rFonts w:ascii="宋体" w:hAnsi="宋体" w:cs="Calibri"/>
                <w:color w:val="000000"/>
                <w:szCs w:val="21"/>
              </w:rPr>
              <w:t>6</w:t>
            </w:r>
            <w:r w:rsidRPr="000659A8">
              <w:rPr>
                <w:rFonts w:ascii="宋体" w:hAnsi="宋体" w:cs="Calibri" w:hint="eastAsia"/>
                <w:color w:val="000000"/>
                <w:szCs w:val="21"/>
              </w:rPr>
              <w:t>号楼</w:t>
            </w:r>
            <w:r w:rsidRPr="000659A8">
              <w:rPr>
                <w:rFonts w:ascii="宋体" w:hAnsi="宋体" w:cs="Calibri"/>
                <w:color w:val="000000"/>
                <w:szCs w:val="21"/>
              </w:rPr>
              <w:t>2</w:t>
            </w:r>
            <w:r w:rsidRPr="000659A8">
              <w:rPr>
                <w:rFonts w:ascii="宋体" w:hAnsi="宋体" w:cs="Calibri" w:hint="eastAsia"/>
                <w:color w:val="000000"/>
                <w:szCs w:val="21"/>
              </w:rPr>
              <w:t>单元</w:t>
            </w:r>
            <w:r w:rsidRPr="000659A8">
              <w:rPr>
                <w:rFonts w:ascii="宋体" w:hAnsi="宋体" w:cs="Calibri"/>
                <w:color w:val="000000"/>
                <w:szCs w:val="21"/>
              </w:rPr>
              <w:t>21</w:t>
            </w:r>
            <w:r w:rsidRPr="000659A8">
              <w:rPr>
                <w:rFonts w:ascii="宋体" w:hAnsi="宋体" w:cs="Calibri" w:hint="eastAsia"/>
                <w:color w:val="000000"/>
                <w:szCs w:val="21"/>
              </w:rPr>
              <w:t>层</w:t>
            </w:r>
            <w:r w:rsidRPr="000659A8">
              <w:rPr>
                <w:rFonts w:ascii="宋体" w:hAnsi="宋体" w:cs="Calibri"/>
                <w:color w:val="000000"/>
                <w:szCs w:val="21"/>
              </w:rPr>
              <w:t>222507</w:t>
            </w:r>
          </w:p>
          <w:p w14:paraId="1EEFFD26" w14:textId="77777777" w:rsidR="00712774" w:rsidRPr="000659A8" w:rsidRDefault="00712774" w:rsidP="00AF7038">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w:t>
            </w:r>
            <w:r w:rsidRPr="000659A8">
              <w:rPr>
                <w:rFonts w:ascii="宋体" w:hAnsi="宋体" w:cs="Calibri" w:hint="eastAsia"/>
                <w:color w:val="000000"/>
                <w:szCs w:val="21"/>
              </w:rPr>
              <w:t xml:space="preserve"> </w:t>
            </w:r>
            <w:r w:rsidRPr="000659A8">
              <w:rPr>
                <w:rFonts w:ascii="宋体" w:hAnsi="宋体" w:cs="Calibri"/>
                <w:color w:val="000000"/>
                <w:szCs w:val="21"/>
              </w:rPr>
              <w:t>0618</w:t>
            </w:r>
            <w:r w:rsidRPr="000659A8">
              <w:rPr>
                <w:rFonts w:ascii="宋体" w:hAnsi="宋体" w:cs="Calibri" w:hint="eastAsia"/>
                <w:color w:val="000000"/>
                <w:szCs w:val="21"/>
              </w:rPr>
              <w:t xml:space="preserve"> </w:t>
            </w:r>
            <w:r w:rsidRPr="000659A8">
              <w:rPr>
                <w:rFonts w:ascii="宋体" w:hAnsi="宋体" w:cs="Calibri"/>
                <w:color w:val="000000"/>
                <w:szCs w:val="21"/>
              </w:rPr>
              <w:t>518</w:t>
            </w:r>
          </w:p>
          <w:p w14:paraId="77CF5638" w14:textId="77777777" w:rsidR="00712774" w:rsidRPr="000659A8" w:rsidRDefault="00712774" w:rsidP="00AF7038">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网址：</w:t>
            </w:r>
            <w:r w:rsidR="00000000">
              <w:fldChar w:fldCharType="begin"/>
            </w:r>
            <w:r w:rsidR="00000000">
              <w:instrText xml:space="preserve"> HYPERLINK "http://danjuanapp.com/" </w:instrText>
            </w:r>
            <w:r w:rsidR="00000000">
              <w:fldChar w:fldCharType="separate"/>
            </w:r>
            <w:r w:rsidRPr="000659A8">
              <w:rPr>
                <w:rFonts w:ascii="宋体" w:hAnsi="宋体" w:cs="Calibri"/>
                <w:color w:val="000000"/>
                <w:szCs w:val="21"/>
              </w:rPr>
              <w:t>http://danjuanapp.com/</w:t>
            </w:r>
            <w:r w:rsidR="00000000">
              <w:rPr>
                <w:rFonts w:ascii="宋体" w:hAnsi="宋体" w:cs="Calibri"/>
                <w:color w:val="000000"/>
                <w:szCs w:val="21"/>
              </w:rPr>
              <w:fldChar w:fldCharType="end"/>
            </w:r>
          </w:p>
        </w:tc>
      </w:tr>
      <w:tr w:rsidR="00712774" w:rsidRPr="000659A8" w14:paraId="6E300BA4" w14:textId="77777777" w:rsidTr="00D45D19">
        <w:tc>
          <w:tcPr>
            <w:tcW w:w="709" w:type="dxa"/>
          </w:tcPr>
          <w:p w14:paraId="6D4403D0" w14:textId="77777777" w:rsidR="00712774" w:rsidRPr="00C52A47" w:rsidRDefault="00712774" w:rsidP="00AF7038">
            <w:pPr>
              <w:spacing w:line="360" w:lineRule="auto"/>
              <w:jc w:val="center"/>
              <w:rPr>
                <w:rFonts w:ascii="宋体" w:hAnsi="宋体"/>
                <w:color w:val="000000"/>
              </w:rPr>
            </w:pPr>
            <w:r>
              <w:rPr>
                <w:rFonts w:ascii="宋体" w:hAnsi="宋体" w:hint="eastAsia"/>
                <w:color w:val="000000"/>
              </w:rPr>
              <w:t>33</w:t>
            </w:r>
          </w:p>
        </w:tc>
        <w:tc>
          <w:tcPr>
            <w:tcW w:w="3260" w:type="dxa"/>
          </w:tcPr>
          <w:p w14:paraId="6553387F" w14:textId="77777777" w:rsidR="00712774" w:rsidRPr="000659A8" w:rsidRDefault="00712774" w:rsidP="00AF7038">
            <w:pPr>
              <w:snapToGrid w:val="0"/>
              <w:spacing w:line="360" w:lineRule="auto"/>
              <w:rPr>
                <w:rFonts w:ascii="宋体" w:hAnsi="宋体" w:cs="Calibri"/>
                <w:color w:val="000000"/>
                <w:szCs w:val="21"/>
              </w:rPr>
            </w:pPr>
            <w:r w:rsidRPr="000659A8">
              <w:rPr>
                <w:rFonts w:ascii="宋体" w:hAnsi="宋体" w:cs="Calibri" w:hint="eastAsia"/>
                <w:color w:val="000000"/>
                <w:szCs w:val="21"/>
              </w:rPr>
              <w:t>北京恒天明泽基金销售有限公司</w:t>
            </w:r>
          </w:p>
        </w:tc>
        <w:tc>
          <w:tcPr>
            <w:tcW w:w="4820" w:type="dxa"/>
          </w:tcPr>
          <w:p w14:paraId="44AB5CBE" w14:textId="77777777" w:rsidR="00712774" w:rsidRPr="000659A8" w:rsidRDefault="00712774" w:rsidP="00AF7038">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注册地址：北京市经济技术开发区宏达北路10号五层5122室</w:t>
            </w:r>
          </w:p>
          <w:p w14:paraId="7D11C17B" w14:textId="77777777" w:rsidR="00712774" w:rsidRPr="000659A8" w:rsidRDefault="00712774" w:rsidP="00AF7038">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客户服务电话：400-786-8868-5</w:t>
            </w:r>
          </w:p>
          <w:p w14:paraId="2D38916F" w14:textId="77777777" w:rsidR="00712774" w:rsidRPr="000659A8" w:rsidRDefault="00712774" w:rsidP="00AF7038">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网址:www.chtfund.com</w:t>
            </w:r>
          </w:p>
        </w:tc>
      </w:tr>
      <w:tr w:rsidR="00712774" w:rsidRPr="000659A8" w14:paraId="7CDE506F" w14:textId="77777777" w:rsidTr="00D45D19">
        <w:tc>
          <w:tcPr>
            <w:tcW w:w="709" w:type="dxa"/>
          </w:tcPr>
          <w:p w14:paraId="443B74E2" w14:textId="77777777" w:rsidR="00712774" w:rsidRPr="00C52A47" w:rsidRDefault="00712774" w:rsidP="00AF7038">
            <w:pPr>
              <w:spacing w:line="360" w:lineRule="auto"/>
              <w:jc w:val="center"/>
              <w:rPr>
                <w:rFonts w:ascii="宋体" w:hAnsi="宋体"/>
                <w:color w:val="000000"/>
              </w:rPr>
            </w:pPr>
            <w:r>
              <w:rPr>
                <w:rFonts w:ascii="宋体" w:hAnsi="宋体" w:hint="eastAsia"/>
                <w:color w:val="000000"/>
              </w:rPr>
              <w:t>34</w:t>
            </w:r>
          </w:p>
        </w:tc>
        <w:tc>
          <w:tcPr>
            <w:tcW w:w="3260" w:type="dxa"/>
          </w:tcPr>
          <w:p w14:paraId="37FFE7EE" w14:textId="77777777" w:rsidR="00712774" w:rsidRPr="000659A8" w:rsidRDefault="00712774" w:rsidP="00AF7038">
            <w:pPr>
              <w:snapToGrid w:val="0"/>
              <w:spacing w:line="360" w:lineRule="auto"/>
              <w:rPr>
                <w:rFonts w:ascii="宋体" w:hAnsi="宋体" w:cs="Calibri"/>
                <w:color w:val="000000"/>
                <w:szCs w:val="21"/>
              </w:rPr>
            </w:pPr>
            <w:r w:rsidRPr="000659A8">
              <w:rPr>
                <w:rFonts w:ascii="宋体" w:hAnsi="宋体" w:cs="Calibri" w:hint="eastAsia"/>
                <w:color w:val="000000"/>
                <w:szCs w:val="21"/>
              </w:rPr>
              <w:t>深圳前海财厚基金销售有限公司</w:t>
            </w:r>
          </w:p>
        </w:tc>
        <w:tc>
          <w:tcPr>
            <w:tcW w:w="4820" w:type="dxa"/>
          </w:tcPr>
          <w:p w14:paraId="6F716987" w14:textId="77777777" w:rsidR="00712774" w:rsidRPr="000659A8" w:rsidRDefault="00712774" w:rsidP="00AF7038">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办公地址：广东省深圳市南山区高新南十道 深圳湾科技生态园三区</w:t>
            </w:r>
            <w:r w:rsidRPr="000659A8">
              <w:rPr>
                <w:rFonts w:ascii="宋体" w:hAnsi="宋体" w:cs="Calibri"/>
                <w:color w:val="000000"/>
                <w:szCs w:val="21"/>
              </w:rPr>
              <w:t>11栋A座3608室</w:t>
            </w:r>
          </w:p>
          <w:p w14:paraId="6CEA589A" w14:textId="77777777" w:rsidR="00712774" w:rsidRPr="000659A8" w:rsidRDefault="00712774" w:rsidP="00AF7038">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400-128-6800</w:t>
            </w:r>
          </w:p>
          <w:p w14:paraId="7555EFD2" w14:textId="77777777" w:rsidR="00712774" w:rsidRPr="000659A8" w:rsidRDefault="00712774" w:rsidP="00AF7038">
            <w:pPr>
              <w:tabs>
                <w:tab w:val="left" w:pos="540"/>
              </w:tabs>
              <w:adjustRightInd w:val="0"/>
              <w:snapToGrid w:val="0"/>
              <w:spacing w:line="360" w:lineRule="auto"/>
              <w:rPr>
                <w:rFonts w:ascii="宋体" w:hAnsi="宋体" w:cs="Calibri"/>
                <w:color w:val="000000"/>
                <w:szCs w:val="21"/>
              </w:rPr>
            </w:pPr>
            <w:r w:rsidRPr="000659A8">
              <w:rPr>
                <w:rFonts w:ascii="宋体" w:hAnsi="宋体" w:cs="Calibri" w:hint="eastAsia"/>
                <w:color w:val="000000"/>
                <w:szCs w:val="21"/>
              </w:rPr>
              <w:t>网址：</w:t>
            </w:r>
            <w:r w:rsidRPr="000659A8">
              <w:rPr>
                <w:rFonts w:ascii="宋体" w:hAnsi="宋体" w:cs="Calibri"/>
                <w:color w:val="000000"/>
                <w:szCs w:val="21"/>
              </w:rPr>
              <w:t>caiho.cn</w:t>
            </w:r>
          </w:p>
        </w:tc>
      </w:tr>
      <w:tr w:rsidR="00712774" w:rsidRPr="00A40A5E" w14:paraId="2901BC39" w14:textId="77777777" w:rsidTr="00D45D19">
        <w:tc>
          <w:tcPr>
            <w:tcW w:w="709" w:type="dxa"/>
          </w:tcPr>
          <w:p w14:paraId="77C0A9FB" w14:textId="77777777" w:rsidR="00712774" w:rsidRPr="00C52A47" w:rsidRDefault="00712774" w:rsidP="00AF7038">
            <w:pPr>
              <w:spacing w:line="360" w:lineRule="auto"/>
              <w:jc w:val="center"/>
              <w:rPr>
                <w:rFonts w:ascii="宋体" w:hAnsi="宋体"/>
                <w:color w:val="000000"/>
              </w:rPr>
            </w:pPr>
            <w:r>
              <w:rPr>
                <w:rFonts w:ascii="宋体" w:hAnsi="宋体" w:hint="eastAsia"/>
                <w:color w:val="000000"/>
              </w:rPr>
              <w:t>35</w:t>
            </w:r>
          </w:p>
        </w:tc>
        <w:tc>
          <w:tcPr>
            <w:tcW w:w="3260" w:type="dxa"/>
          </w:tcPr>
          <w:p w14:paraId="35460589" w14:textId="77777777" w:rsidR="00712774" w:rsidRPr="00A40A5E" w:rsidRDefault="00712774" w:rsidP="00AF7038">
            <w:pPr>
              <w:snapToGrid w:val="0"/>
              <w:spacing w:line="360" w:lineRule="auto"/>
              <w:rPr>
                <w:rFonts w:ascii="宋体" w:hAnsi="宋体" w:cs="Calibri"/>
                <w:color w:val="000000"/>
                <w:szCs w:val="21"/>
              </w:rPr>
            </w:pPr>
            <w:r w:rsidRPr="00A40A5E">
              <w:rPr>
                <w:rFonts w:ascii="宋体" w:hAnsi="宋体" w:cs="Calibri" w:hint="eastAsia"/>
                <w:color w:val="000000"/>
                <w:szCs w:val="21"/>
              </w:rPr>
              <w:t>上海</w:t>
            </w:r>
            <w:r w:rsidRPr="00A40A5E">
              <w:rPr>
                <w:rFonts w:ascii="宋体" w:hAnsi="宋体" w:cs="Calibri"/>
                <w:color w:val="000000"/>
                <w:szCs w:val="21"/>
              </w:rPr>
              <w:t>挖财基金销售有限公司</w:t>
            </w:r>
          </w:p>
        </w:tc>
        <w:tc>
          <w:tcPr>
            <w:tcW w:w="4820" w:type="dxa"/>
          </w:tcPr>
          <w:p w14:paraId="5A4F1C47" w14:textId="77777777" w:rsidR="00712774" w:rsidRPr="00A40A5E" w:rsidRDefault="00712774" w:rsidP="00AF7038">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(办公)地址：中国（上海）自由贸易试验区扬高南路799号5楼01、02、03室</w:t>
            </w:r>
          </w:p>
          <w:p w14:paraId="27FCC2E2" w14:textId="77777777" w:rsidR="00712774" w:rsidRPr="00A40A5E" w:rsidRDefault="00712774" w:rsidP="00AF7038">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400-711-8718</w:t>
            </w:r>
          </w:p>
          <w:p w14:paraId="26CD31F1" w14:textId="77777777" w:rsidR="00712774" w:rsidRPr="00A40A5E" w:rsidRDefault="00712774" w:rsidP="00AF7038">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 </w:t>
            </w:r>
            <w:hyperlink r:id="rId16" w:history="1">
              <w:r w:rsidRPr="00A40A5E">
                <w:rPr>
                  <w:rFonts w:ascii="宋体" w:hAnsi="宋体" w:cs="Calibri"/>
                  <w:color w:val="000000"/>
                  <w:szCs w:val="21"/>
                </w:rPr>
                <w:t>www.wacaijijin.com</w:t>
              </w:r>
            </w:hyperlink>
          </w:p>
        </w:tc>
      </w:tr>
      <w:tr w:rsidR="00712774" w:rsidRPr="00A40A5E" w14:paraId="6CAEA52C" w14:textId="77777777" w:rsidTr="00D45D19">
        <w:tc>
          <w:tcPr>
            <w:tcW w:w="709" w:type="dxa"/>
          </w:tcPr>
          <w:p w14:paraId="429EB019" w14:textId="77777777" w:rsidR="00712774" w:rsidRPr="00C52A47" w:rsidRDefault="00712774" w:rsidP="00AF7038">
            <w:pPr>
              <w:spacing w:line="360" w:lineRule="auto"/>
              <w:jc w:val="center"/>
              <w:rPr>
                <w:rFonts w:ascii="宋体" w:hAnsi="宋体"/>
                <w:color w:val="000000"/>
              </w:rPr>
            </w:pPr>
            <w:r>
              <w:rPr>
                <w:rFonts w:ascii="宋体" w:hAnsi="宋体" w:hint="eastAsia"/>
                <w:color w:val="000000"/>
              </w:rPr>
              <w:t>36</w:t>
            </w:r>
          </w:p>
        </w:tc>
        <w:tc>
          <w:tcPr>
            <w:tcW w:w="3260" w:type="dxa"/>
          </w:tcPr>
          <w:p w14:paraId="5CD67D4E" w14:textId="77777777" w:rsidR="00712774" w:rsidRPr="00A40A5E" w:rsidRDefault="00712774" w:rsidP="00AF7038">
            <w:pPr>
              <w:snapToGrid w:val="0"/>
              <w:spacing w:line="360" w:lineRule="auto"/>
              <w:rPr>
                <w:rFonts w:ascii="宋体" w:hAnsi="宋体" w:cs="Calibri"/>
                <w:color w:val="000000"/>
                <w:szCs w:val="21"/>
              </w:rPr>
            </w:pPr>
            <w:r w:rsidRPr="00A40A5E">
              <w:rPr>
                <w:rFonts w:ascii="宋体" w:hAnsi="宋体" w:cs="Calibri" w:hint="eastAsia"/>
                <w:color w:val="000000"/>
                <w:szCs w:val="21"/>
              </w:rPr>
              <w:t>诺亚正行基金销售有限公司</w:t>
            </w:r>
          </w:p>
        </w:tc>
        <w:tc>
          <w:tcPr>
            <w:tcW w:w="4820" w:type="dxa"/>
          </w:tcPr>
          <w:p w14:paraId="2B920B74" w14:textId="77777777" w:rsidR="00712774" w:rsidRPr="00A40A5E" w:rsidRDefault="00712774" w:rsidP="00AF7038">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(办公)地址：上海市杨浦区长阳路1687号2号楼</w:t>
            </w:r>
          </w:p>
          <w:p w14:paraId="1CCE2D1F" w14:textId="77777777" w:rsidR="00712774" w:rsidRPr="00A40A5E" w:rsidRDefault="00712774" w:rsidP="00AF7038">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4008-215-399</w:t>
            </w:r>
          </w:p>
          <w:p w14:paraId="2CA5B8C8" w14:textId="77777777" w:rsidR="00712774" w:rsidRPr="00A40A5E" w:rsidRDefault="00712774" w:rsidP="00AF7038">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www.noah-fund.com</w:t>
            </w:r>
          </w:p>
        </w:tc>
      </w:tr>
      <w:tr w:rsidR="00712774" w:rsidRPr="00A40A5E" w14:paraId="1DB4677D" w14:textId="77777777" w:rsidTr="00D45D19">
        <w:tc>
          <w:tcPr>
            <w:tcW w:w="709" w:type="dxa"/>
          </w:tcPr>
          <w:p w14:paraId="030384FF" w14:textId="77777777" w:rsidR="00712774" w:rsidRPr="00C52A47" w:rsidRDefault="00712774" w:rsidP="00AF7038">
            <w:pPr>
              <w:spacing w:line="360" w:lineRule="auto"/>
              <w:jc w:val="center"/>
              <w:rPr>
                <w:rFonts w:ascii="宋体" w:hAnsi="宋体"/>
                <w:color w:val="000000"/>
              </w:rPr>
            </w:pPr>
            <w:r>
              <w:rPr>
                <w:rFonts w:ascii="宋体" w:hAnsi="宋体" w:hint="eastAsia"/>
                <w:color w:val="000000"/>
              </w:rPr>
              <w:t>37</w:t>
            </w:r>
          </w:p>
        </w:tc>
        <w:tc>
          <w:tcPr>
            <w:tcW w:w="3260" w:type="dxa"/>
          </w:tcPr>
          <w:p w14:paraId="3911CF6D" w14:textId="77777777" w:rsidR="00712774" w:rsidRPr="00A40A5E" w:rsidRDefault="00712774" w:rsidP="00AF7038">
            <w:pPr>
              <w:snapToGrid w:val="0"/>
              <w:spacing w:line="360" w:lineRule="auto"/>
              <w:rPr>
                <w:rFonts w:ascii="宋体" w:hAnsi="宋体" w:cs="Calibri"/>
                <w:color w:val="000000"/>
                <w:szCs w:val="21"/>
              </w:rPr>
            </w:pPr>
            <w:r w:rsidRPr="00A40A5E">
              <w:rPr>
                <w:rFonts w:ascii="宋体" w:hAnsi="宋体" w:cs="Calibri" w:hint="eastAsia"/>
                <w:color w:val="000000"/>
                <w:szCs w:val="21"/>
              </w:rPr>
              <w:t>上海凯石财富基金销售有限公司</w:t>
            </w:r>
          </w:p>
        </w:tc>
        <w:tc>
          <w:tcPr>
            <w:tcW w:w="4820" w:type="dxa"/>
          </w:tcPr>
          <w:p w14:paraId="7B4F698E" w14:textId="77777777" w:rsidR="00712774" w:rsidRPr="00A40A5E" w:rsidRDefault="00712774" w:rsidP="00AF7038">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(办公)地址：上海市黄浦区西藏南路765号602-115室</w:t>
            </w:r>
          </w:p>
          <w:p w14:paraId="30915F14" w14:textId="77777777" w:rsidR="00712774" w:rsidRPr="00A40A5E" w:rsidRDefault="00712774" w:rsidP="00AF7038">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400-643-3389</w:t>
            </w:r>
          </w:p>
          <w:p w14:paraId="53F94AB8" w14:textId="77777777" w:rsidR="00712774" w:rsidRPr="00A40A5E" w:rsidRDefault="00712774" w:rsidP="00AF7038">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www.vstonewealth.com</w:t>
            </w:r>
          </w:p>
        </w:tc>
      </w:tr>
      <w:tr w:rsidR="00712774" w:rsidRPr="00A40A5E" w14:paraId="7962C459" w14:textId="77777777" w:rsidTr="00D45D19">
        <w:tc>
          <w:tcPr>
            <w:tcW w:w="709" w:type="dxa"/>
          </w:tcPr>
          <w:p w14:paraId="2CF2D671" w14:textId="77777777" w:rsidR="00712774" w:rsidRPr="00C52A47" w:rsidRDefault="00712774" w:rsidP="00AF7038">
            <w:pPr>
              <w:spacing w:line="360" w:lineRule="auto"/>
              <w:jc w:val="center"/>
              <w:rPr>
                <w:rFonts w:ascii="宋体" w:hAnsi="宋体"/>
                <w:color w:val="000000"/>
              </w:rPr>
            </w:pPr>
            <w:r>
              <w:rPr>
                <w:rFonts w:ascii="宋体" w:hAnsi="宋体" w:hint="eastAsia"/>
                <w:color w:val="000000"/>
              </w:rPr>
              <w:lastRenderedPageBreak/>
              <w:t>38</w:t>
            </w:r>
          </w:p>
        </w:tc>
        <w:tc>
          <w:tcPr>
            <w:tcW w:w="3260" w:type="dxa"/>
          </w:tcPr>
          <w:p w14:paraId="7B197115" w14:textId="77777777" w:rsidR="00712774" w:rsidRPr="00A40A5E" w:rsidRDefault="00712774" w:rsidP="00AF7038">
            <w:pPr>
              <w:snapToGrid w:val="0"/>
              <w:spacing w:line="360" w:lineRule="auto"/>
              <w:rPr>
                <w:rFonts w:ascii="宋体" w:hAnsi="宋体" w:cs="Calibri"/>
                <w:color w:val="000000"/>
                <w:szCs w:val="21"/>
              </w:rPr>
            </w:pPr>
            <w:r w:rsidRPr="00A40A5E">
              <w:rPr>
                <w:rFonts w:ascii="宋体" w:hAnsi="宋体" w:cs="Calibri" w:hint="eastAsia"/>
                <w:color w:val="000000"/>
                <w:szCs w:val="21"/>
              </w:rPr>
              <w:t>北京唐鼎耀华基金销售有限公司</w:t>
            </w:r>
          </w:p>
        </w:tc>
        <w:tc>
          <w:tcPr>
            <w:tcW w:w="4820" w:type="dxa"/>
          </w:tcPr>
          <w:p w14:paraId="1A143023" w14:textId="77777777" w:rsidR="00712774" w:rsidRPr="00A40A5E" w:rsidRDefault="00712774" w:rsidP="00AF7038">
            <w:pPr>
              <w:snapToGrid w:val="0"/>
              <w:spacing w:line="360" w:lineRule="auto"/>
              <w:rPr>
                <w:rFonts w:ascii="宋体" w:hAnsi="宋体" w:cs="Calibri"/>
                <w:color w:val="000000"/>
                <w:szCs w:val="21"/>
              </w:rPr>
            </w:pPr>
            <w:r w:rsidRPr="00A40A5E">
              <w:rPr>
                <w:rFonts w:ascii="宋体" w:hAnsi="宋体" w:cs="Calibri" w:hint="eastAsia"/>
                <w:color w:val="000000"/>
                <w:szCs w:val="21"/>
              </w:rPr>
              <w:t>注册(办公)地址：</w:t>
            </w:r>
            <w:r w:rsidRPr="00A40A5E" w:rsidDel="00BA2C2B">
              <w:rPr>
                <w:rFonts w:ascii="宋体" w:hAnsi="宋体" w:cs="Calibri" w:hint="eastAsia"/>
                <w:color w:val="000000"/>
                <w:szCs w:val="21"/>
              </w:rPr>
              <w:t xml:space="preserve"> </w:t>
            </w:r>
            <w:r w:rsidRPr="00A40A5E">
              <w:rPr>
                <w:rFonts w:ascii="宋体" w:hAnsi="宋体" w:cs="Calibri" w:hint="eastAsia"/>
                <w:color w:val="000000"/>
                <w:szCs w:val="21"/>
              </w:rPr>
              <w:t>北京市延庆县延庆经济开发区百泉街10号2栋236室</w:t>
            </w:r>
          </w:p>
          <w:p w14:paraId="13876BC9" w14:textId="77777777" w:rsidR="00712774" w:rsidRPr="00A40A5E" w:rsidRDefault="00712774" w:rsidP="00AF7038">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400-819-9868</w:t>
            </w:r>
          </w:p>
          <w:p w14:paraId="4D3EB2EB" w14:textId="77777777" w:rsidR="00712774" w:rsidRPr="00A40A5E" w:rsidRDefault="00712774" w:rsidP="00AF7038">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sidDel="00BA2C2B">
              <w:rPr>
                <w:rFonts w:ascii="宋体" w:hAnsi="宋体" w:cs="Calibri"/>
                <w:color w:val="000000"/>
                <w:szCs w:val="21"/>
              </w:rPr>
              <w:t xml:space="preserve"> </w:t>
            </w:r>
            <w:r w:rsidRPr="00A40A5E">
              <w:rPr>
                <w:rFonts w:ascii="宋体" w:hAnsi="宋体" w:cs="Calibri"/>
                <w:color w:val="000000"/>
                <w:szCs w:val="21"/>
              </w:rPr>
              <w:t>http://www.tdyhfund.com/Index</w:t>
            </w:r>
          </w:p>
        </w:tc>
      </w:tr>
      <w:tr w:rsidR="00712774" w:rsidRPr="00A40A5E" w14:paraId="3184C35D" w14:textId="77777777" w:rsidTr="00D45D19">
        <w:tc>
          <w:tcPr>
            <w:tcW w:w="709" w:type="dxa"/>
          </w:tcPr>
          <w:p w14:paraId="5D138883" w14:textId="77777777" w:rsidR="00712774" w:rsidRPr="00C52A47" w:rsidRDefault="00712774" w:rsidP="00AF7038">
            <w:pPr>
              <w:spacing w:line="360" w:lineRule="auto"/>
              <w:jc w:val="center"/>
              <w:rPr>
                <w:rFonts w:ascii="宋体" w:hAnsi="宋体"/>
                <w:color w:val="000000"/>
              </w:rPr>
            </w:pPr>
            <w:r>
              <w:rPr>
                <w:rFonts w:ascii="宋体" w:hAnsi="宋体" w:hint="eastAsia"/>
                <w:color w:val="000000"/>
              </w:rPr>
              <w:t>39</w:t>
            </w:r>
          </w:p>
        </w:tc>
        <w:tc>
          <w:tcPr>
            <w:tcW w:w="3260" w:type="dxa"/>
          </w:tcPr>
          <w:p w14:paraId="5168DEEF" w14:textId="77777777" w:rsidR="00712774" w:rsidRPr="00A40A5E" w:rsidRDefault="00712774" w:rsidP="00AF7038">
            <w:pPr>
              <w:snapToGrid w:val="0"/>
              <w:spacing w:line="360" w:lineRule="auto"/>
              <w:rPr>
                <w:rFonts w:ascii="宋体" w:hAnsi="宋体" w:cs="Calibri"/>
                <w:color w:val="000000"/>
                <w:szCs w:val="21"/>
              </w:rPr>
            </w:pPr>
            <w:r w:rsidRPr="00A40A5E">
              <w:rPr>
                <w:rFonts w:ascii="宋体" w:hAnsi="宋体" w:cs="Calibri" w:hint="eastAsia"/>
                <w:color w:val="000000"/>
                <w:szCs w:val="21"/>
              </w:rPr>
              <w:t>上海利得基金销售有限公司</w:t>
            </w:r>
          </w:p>
        </w:tc>
        <w:tc>
          <w:tcPr>
            <w:tcW w:w="4820" w:type="dxa"/>
          </w:tcPr>
          <w:p w14:paraId="3F3D4C65" w14:textId="77777777" w:rsidR="00712774" w:rsidRPr="00A40A5E" w:rsidRDefault="00712774" w:rsidP="00AF7038">
            <w:pPr>
              <w:snapToGrid w:val="0"/>
              <w:spacing w:line="360" w:lineRule="auto"/>
              <w:rPr>
                <w:rFonts w:ascii="宋体" w:hAnsi="宋体" w:cs="Calibri"/>
                <w:color w:val="000000"/>
                <w:szCs w:val="21"/>
              </w:rPr>
            </w:pPr>
            <w:r w:rsidRPr="00A40A5E">
              <w:rPr>
                <w:rFonts w:ascii="宋体" w:hAnsi="宋体" w:cs="Calibri" w:hint="eastAsia"/>
                <w:color w:val="000000"/>
                <w:szCs w:val="21"/>
              </w:rPr>
              <w:t>注册地址：上海市宝山区蕴川路5475号1033室</w:t>
            </w:r>
          </w:p>
          <w:p w14:paraId="2DA882CD" w14:textId="77777777" w:rsidR="00712774" w:rsidRPr="00A40A5E" w:rsidRDefault="00712774" w:rsidP="00AF7038">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95733</w:t>
            </w:r>
          </w:p>
          <w:p w14:paraId="34AED095" w14:textId="77777777" w:rsidR="00712774" w:rsidRPr="00A40A5E" w:rsidRDefault="00712774" w:rsidP="00AF7038">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www.leadfund.com.cn</w:t>
            </w:r>
          </w:p>
        </w:tc>
      </w:tr>
      <w:tr w:rsidR="00712774" w:rsidRPr="00A40A5E" w14:paraId="4BD12096" w14:textId="77777777" w:rsidTr="00D45D19">
        <w:tc>
          <w:tcPr>
            <w:tcW w:w="709" w:type="dxa"/>
          </w:tcPr>
          <w:p w14:paraId="4D479B74" w14:textId="77777777" w:rsidR="00712774" w:rsidRPr="00C52A47" w:rsidRDefault="00712774" w:rsidP="00AF7038">
            <w:pPr>
              <w:spacing w:line="360" w:lineRule="auto"/>
              <w:jc w:val="center"/>
              <w:rPr>
                <w:rFonts w:ascii="宋体" w:hAnsi="宋体"/>
                <w:color w:val="000000"/>
              </w:rPr>
            </w:pPr>
            <w:r>
              <w:rPr>
                <w:rFonts w:ascii="宋体" w:hAnsi="宋体" w:hint="eastAsia"/>
                <w:color w:val="000000"/>
              </w:rPr>
              <w:t>40</w:t>
            </w:r>
          </w:p>
        </w:tc>
        <w:tc>
          <w:tcPr>
            <w:tcW w:w="3260" w:type="dxa"/>
          </w:tcPr>
          <w:p w14:paraId="4F2394B8" w14:textId="77777777" w:rsidR="00712774" w:rsidRPr="00A40A5E" w:rsidRDefault="00712774" w:rsidP="00AF7038">
            <w:pPr>
              <w:snapToGrid w:val="0"/>
              <w:spacing w:line="360" w:lineRule="auto"/>
              <w:rPr>
                <w:rFonts w:ascii="宋体" w:hAnsi="宋体" w:cs="Calibri"/>
                <w:color w:val="000000"/>
                <w:szCs w:val="21"/>
              </w:rPr>
            </w:pPr>
            <w:r w:rsidRPr="00A40A5E">
              <w:rPr>
                <w:rFonts w:ascii="宋体" w:hAnsi="宋体" w:cs="Calibri" w:hint="eastAsia"/>
                <w:color w:val="000000"/>
                <w:szCs w:val="21"/>
              </w:rPr>
              <w:t>南京苏宁基金销售有限公司</w:t>
            </w:r>
          </w:p>
        </w:tc>
        <w:tc>
          <w:tcPr>
            <w:tcW w:w="4820" w:type="dxa"/>
          </w:tcPr>
          <w:p w14:paraId="230D400C" w14:textId="77777777" w:rsidR="00712774" w:rsidRPr="00A40A5E" w:rsidRDefault="00712774" w:rsidP="00AF7038">
            <w:pPr>
              <w:snapToGrid w:val="0"/>
              <w:spacing w:line="360" w:lineRule="auto"/>
              <w:rPr>
                <w:rFonts w:ascii="宋体" w:hAnsi="宋体" w:cs="Calibri"/>
                <w:color w:val="000000"/>
                <w:szCs w:val="21"/>
              </w:rPr>
            </w:pPr>
            <w:r w:rsidRPr="00A40A5E">
              <w:rPr>
                <w:rFonts w:ascii="宋体" w:hAnsi="宋体" w:cs="Calibri" w:hint="eastAsia"/>
                <w:color w:val="000000"/>
                <w:szCs w:val="21"/>
              </w:rPr>
              <w:t>注册(办公)地址 :南京市玄武区苏宁大道1-6号</w:t>
            </w:r>
          </w:p>
          <w:p w14:paraId="4E5EC0BC" w14:textId="77777777" w:rsidR="00712774" w:rsidRPr="00A40A5E" w:rsidRDefault="00712774" w:rsidP="00AF7038">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客户服务电话：025-66996699</w:t>
            </w:r>
          </w:p>
          <w:p w14:paraId="2414C4DD" w14:textId="77777777" w:rsidR="00712774" w:rsidRPr="00A40A5E" w:rsidRDefault="00712774" w:rsidP="00AF7038">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12741C">
              <w:rPr>
                <w:rFonts w:ascii="宋体" w:hAnsi="宋体" w:cs="Calibri"/>
                <w:szCs w:val="21"/>
              </w:rPr>
              <w:t>www.snjijin</w:t>
            </w:r>
            <w:r w:rsidRPr="00A40A5E">
              <w:rPr>
                <w:rFonts w:ascii="宋体" w:hAnsi="宋体" w:cs="Calibri" w:hint="eastAsia"/>
                <w:color w:val="000000"/>
                <w:szCs w:val="21"/>
              </w:rPr>
              <w:t>.com</w:t>
            </w:r>
          </w:p>
        </w:tc>
      </w:tr>
      <w:tr w:rsidR="00712774" w:rsidRPr="00A40A5E" w14:paraId="6B66A6C0" w14:textId="77777777" w:rsidTr="00D45D19">
        <w:tc>
          <w:tcPr>
            <w:tcW w:w="709" w:type="dxa"/>
          </w:tcPr>
          <w:p w14:paraId="30DBED37" w14:textId="77777777" w:rsidR="00712774" w:rsidRPr="00C52A47" w:rsidRDefault="00712774" w:rsidP="00AF7038">
            <w:pPr>
              <w:spacing w:line="360" w:lineRule="auto"/>
              <w:jc w:val="center"/>
              <w:rPr>
                <w:rFonts w:ascii="宋体" w:hAnsi="宋体"/>
                <w:color w:val="000000"/>
              </w:rPr>
            </w:pPr>
            <w:r>
              <w:rPr>
                <w:rFonts w:ascii="宋体" w:hAnsi="宋体" w:hint="eastAsia"/>
                <w:color w:val="000000"/>
              </w:rPr>
              <w:t>41</w:t>
            </w:r>
          </w:p>
        </w:tc>
        <w:tc>
          <w:tcPr>
            <w:tcW w:w="3260" w:type="dxa"/>
          </w:tcPr>
          <w:p w14:paraId="00281ED7" w14:textId="77777777" w:rsidR="00712774" w:rsidRPr="00A40A5E" w:rsidRDefault="00712774" w:rsidP="00AF7038">
            <w:pPr>
              <w:snapToGrid w:val="0"/>
              <w:spacing w:line="360" w:lineRule="auto"/>
              <w:rPr>
                <w:rFonts w:ascii="宋体" w:hAnsi="宋体" w:cs="Calibri"/>
                <w:color w:val="000000"/>
                <w:szCs w:val="21"/>
              </w:rPr>
            </w:pPr>
            <w:r w:rsidRPr="00A40A5E">
              <w:rPr>
                <w:rFonts w:ascii="宋体" w:hAnsi="宋体" w:cs="Calibri" w:hint="eastAsia"/>
                <w:color w:val="000000"/>
                <w:szCs w:val="21"/>
              </w:rPr>
              <w:t>中证金牛（北京）投资咨询有限公司</w:t>
            </w:r>
          </w:p>
        </w:tc>
        <w:tc>
          <w:tcPr>
            <w:tcW w:w="4820" w:type="dxa"/>
          </w:tcPr>
          <w:p w14:paraId="1E33D900" w14:textId="77777777" w:rsidR="00712774" w:rsidRPr="00A40A5E" w:rsidRDefault="00712774" w:rsidP="00AF7038">
            <w:pPr>
              <w:snapToGrid w:val="0"/>
              <w:spacing w:line="360" w:lineRule="auto"/>
              <w:rPr>
                <w:rFonts w:ascii="宋体" w:hAnsi="宋体" w:cs="Calibri"/>
                <w:color w:val="000000"/>
                <w:szCs w:val="21"/>
              </w:rPr>
            </w:pPr>
            <w:r w:rsidRPr="00A40A5E">
              <w:rPr>
                <w:rFonts w:ascii="宋体" w:hAnsi="宋体" w:cs="Calibri" w:hint="eastAsia"/>
                <w:color w:val="000000"/>
                <w:szCs w:val="21"/>
              </w:rPr>
              <w:t>注册地址:北京市丰台区东管头</w:t>
            </w:r>
            <w:r w:rsidRPr="00A40A5E">
              <w:rPr>
                <w:rFonts w:ascii="宋体" w:hAnsi="宋体" w:cs="Calibri"/>
                <w:color w:val="000000"/>
                <w:szCs w:val="21"/>
              </w:rPr>
              <w:t>1号2号楼2-45室</w:t>
            </w:r>
          </w:p>
          <w:p w14:paraId="4618A600" w14:textId="77777777" w:rsidR="00712774" w:rsidRPr="00A40A5E" w:rsidRDefault="00712774" w:rsidP="00AF7038">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客户服务电话：4008-909-998</w:t>
            </w:r>
          </w:p>
          <w:p w14:paraId="3AA51D6D" w14:textId="77777777" w:rsidR="00712774" w:rsidRPr="00A40A5E" w:rsidRDefault="00712774" w:rsidP="00AF7038">
            <w:pPr>
              <w:snapToGrid w:val="0"/>
              <w:spacing w:line="360" w:lineRule="auto"/>
              <w:rPr>
                <w:rFonts w:ascii="宋体" w:hAnsi="宋体" w:cs="Calibri"/>
                <w:color w:val="000000"/>
                <w:szCs w:val="21"/>
              </w:rPr>
            </w:pPr>
            <w:r w:rsidRPr="00A40A5E">
              <w:rPr>
                <w:rFonts w:ascii="宋体" w:hAnsi="宋体" w:cs="Calibri" w:hint="eastAsia"/>
                <w:color w:val="000000"/>
                <w:szCs w:val="21"/>
              </w:rPr>
              <w:t>网址：www.jnlc.com</w:t>
            </w:r>
          </w:p>
        </w:tc>
      </w:tr>
      <w:tr w:rsidR="00712774" w:rsidRPr="00A40A5E" w14:paraId="47069578" w14:textId="77777777" w:rsidTr="00D45D19">
        <w:tc>
          <w:tcPr>
            <w:tcW w:w="709" w:type="dxa"/>
          </w:tcPr>
          <w:p w14:paraId="5C1810E1" w14:textId="77777777" w:rsidR="00712774" w:rsidRPr="00C52A47" w:rsidRDefault="00712774" w:rsidP="00AF7038">
            <w:pPr>
              <w:spacing w:line="360" w:lineRule="auto"/>
              <w:jc w:val="center"/>
              <w:rPr>
                <w:rFonts w:ascii="宋体" w:hAnsi="宋体"/>
                <w:color w:val="000000"/>
              </w:rPr>
            </w:pPr>
            <w:r>
              <w:rPr>
                <w:rFonts w:ascii="宋体" w:hAnsi="宋体" w:hint="eastAsia"/>
                <w:color w:val="000000"/>
              </w:rPr>
              <w:t>42</w:t>
            </w:r>
          </w:p>
        </w:tc>
        <w:tc>
          <w:tcPr>
            <w:tcW w:w="3260" w:type="dxa"/>
          </w:tcPr>
          <w:p w14:paraId="224C6EC4" w14:textId="77777777" w:rsidR="00712774" w:rsidRPr="00A40A5E" w:rsidRDefault="00712774" w:rsidP="00AF7038">
            <w:pPr>
              <w:snapToGrid w:val="0"/>
              <w:spacing w:line="360" w:lineRule="auto"/>
              <w:rPr>
                <w:rFonts w:ascii="宋体" w:hAnsi="宋体" w:cs="Calibri"/>
                <w:color w:val="000000"/>
                <w:szCs w:val="21"/>
              </w:rPr>
            </w:pPr>
            <w:r w:rsidRPr="00A40A5E">
              <w:rPr>
                <w:rFonts w:ascii="宋体" w:hAnsi="宋体" w:cs="Calibri" w:hint="eastAsia"/>
                <w:color w:val="000000"/>
                <w:szCs w:val="21"/>
              </w:rPr>
              <w:t>江苏汇林保大基金销售有限公司</w:t>
            </w:r>
          </w:p>
        </w:tc>
        <w:tc>
          <w:tcPr>
            <w:tcW w:w="4820" w:type="dxa"/>
          </w:tcPr>
          <w:p w14:paraId="694225AD" w14:textId="77777777" w:rsidR="00712774" w:rsidRPr="00A40A5E" w:rsidRDefault="00712774" w:rsidP="00AF7038">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地址:</w:t>
            </w:r>
            <w:r w:rsidRPr="00A40A5E">
              <w:rPr>
                <w:rFonts w:ascii="宋体" w:hAnsi="宋体" w:cs="Calibri" w:hint="eastAsia"/>
                <w:color w:val="000000"/>
                <w:szCs w:val="21"/>
              </w:rPr>
              <w:t>南京市高淳区经济开发区古檀大道47号</w:t>
            </w:r>
          </w:p>
          <w:p w14:paraId="29AC3AD6" w14:textId="77777777" w:rsidR="00712774" w:rsidRPr="00A40A5E" w:rsidRDefault="00712774" w:rsidP="00AF7038">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025-66046166</w:t>
            </w:r>
          </w:p>
          <w:p w14:paraId="4F59E72D" w14:textId="77777777" w:rsidR="00712774" w:rsidRPr="00A40A5E" w:rsidRDefault="00712774" w:rsidP="00AF7038">
            <w:pPr>
              <w:snapToGrid w:val="0"/>
              <w:spacing w:line="360" w:lineRule="auto"/>
              <w:rPr>
                <w:rFonts w:ascii="宋体" w:hAnsi="宋体" w:cs="Calibri"/>
                <w:color w:val="000000"/>
                <w:szCs w:val="21"/>
              </w:rPr>
            </w:pPr>
            <w:r w:rsidRPr="00A40A5E">
              <w:rPr>
                <w:rFonts w:ascii="宋体" w:hAnsi="宋体" w:cs="Calibri" w:hint="eastAsia"/>
                <w:color w:val="000000"/>
                <w:szCs w:val="21"/>
              </w:rPr>
              <w:t>网址：www.huilinbd.com</w:t>
            </w:r>
          </w:p>
        </w:tc>
      </w:tr>
      <w:tr w:rsidR="00712774" w:rsidRPr="00A40A5E" w14:paraId="1DC3FD9F" w14:textId="77777777" w:rsidTr="00D45D19">
        <w:tc>
          <w:tcPr>
            <w:tcW w:w="709" w:type="dxa"/>
          </w:tcPr>
          <w:p w14:paraId="62A0FA8D" w14:textId="77777777" w:rsidR="00712774" w:rsidRPr="00C52A47" w:rsidRDefault="00712774" w:rsidP="00AF7038">
            <w:pPr>
              <w:spacing w:line="360" w:lineRule="auto"/>
              <w:jc w:val="center"/>
              <w:rPr>
                <w:rFonts w:ascii="宋体" w:hAnsi="宋体"/>
                <w:color w:val="000000"/>
              </w:rPr>
            </w:pPr>
            <w:r>
              <w:rPr>
                <w:rFonts w:ascii="宋体" w:hAnsi="宋体" w:hint="eastAsia"/>
                <w:color w:val="000000"/>
              </w:rPr>
              <w:t>43</w:t>
            </w:r>
          </w:p>
        </w:tc>
        <w:tc>
          <w:tcPr>
            <w:tcW w:w="3260" w:type="dxa"/>
          </w:tcPr>
          <w:p w14:paraId="54B8EAE2" w14:textId="77777777" w:rsidR="00712774" w:rsidRPr="00A40A5E" w:rsidRDefault="00712774" w:rsidP="00AF7038">
            <w:pPr>
              <w:snapToGrid w:val="0"/>
              <w:spacing w:line="360" w:lineRule="auto"/>
              <w:rPr>
                <w:rFonts w:ascii="宋体" w:hAnsi="宋体" w:cs="Calibri"/>
                <w:color w:val="000000"/>
                <w:szCs w:val="21"/>
              </w:rPr>
            </w:pPr>
            <w:r w:rsidRPr="00A40A5E">
              <w:rPr>
                <w:rFonts w:ascii="宋体" w:hAnsi="宋体" w:cs="Calibri" w:hint="eastAsia"/>
                <w:color w:val="000000"/>
                <w:szCs w:val="21"/>
              </w:rPr>
              <w:t>玄元保险代理有限公司</w:t>
            </w:r>
          </w:p>
        </w:tc>
        <w:tc>
          <w:tcPr>
            <w:tcW w:w="4820" w:type="dxa"/>
          </w:tcPr>
          <w:p w14:paraId="5517BD03" w14:textId="77777777" w:rsidR="00712774" w:rsidRPr="00A40A5E" w:rsidRDefault="00712774" w:rsidP="00AF7038">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中国（上海）自由贸易试验区张杨路7</w:t>
            </w:r>
            <w:r w:rsidRPr="00A40A5E">
              <w:rPr>
                <w:rFonts w:ascii="宋体" w:hAnsi="宋体" w:cs="Calibri"/>
                <w:color w:val="000000"/>
                <w:szCs w:val="21"/>
              </w:rPr>
              <w:t>07</w:t>
            </w:r>
            <w:r w:rsidRPr="00A40A5E">
              <w:rPr>
                <w:rFonts w:ascii="宋体" w:hAnsi="宋体" w:cs="Calibri" w:hint="eastAsia"/>
                <w:color w:val="000000"/>
                <w:szCs w:val="21"/>
              </w:rPr>
              <w:t>号1</w:t>
            </w:r>
            <w:r w:rsidRPr="00A40A5E">
              <w:rPr>
                <w:rFonts w:ascii="宋体" w:hAnsi="宋体" w:cs="Calibri"/>
                <w:color w:val="000000"/>
                <w:szCs w:val="21"/>
              </w:rPr>
              <w:t>105</w:t>
            </w:r>
            <w:r w:rsidRPr="00A40A5E">
              <w:rPr>
                <w:rFonts w:ascii="宋体" w:hAnsi="宋体" w:cs="Calibri" w:hint="eastAsia"/>
                <w:color w:val="000000"/>
                <w:szCs w:val="21"/>
              </w:rPr>
              <w:t>室</w:t>
            </w:r>
          </w:p>
          <w:p w14:paraId="0ABAFEED" w14:textId="77777777" w:rsidR="00712774" w:rsidRPr="00A40A5E" w:rsidRDefault="00712774" w:rsidP="00AF7038">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客户服务电话：0</w:t>
            </w:r>
            <w:r w:rsidRPr="00A40A5E">
              <w:rPr>
                <w:rFonts w:ascii="宋体" w:hAnsi="宋体" w:cs="Calibri"/>
                <w:color w:val="000000"/>
                <w:szCs w:val="21"/>
              </w:rPr>
              <w:t>21-50701003</w:t>
            </w:r>
          </w:p>
          <w:p w14:paraId="42D26D9D" w14:textId="77777777" w:rsidR="00712774" w:rsidRPr="00A40A5E" w:rsidRDefault="00712774" w:rsidP="00AF7038">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www.licaimofang.cn</w:t>
            </w:r>
          </w:p>
        </w:tc>
      </w:tr>
      <w:tr w:rsidR="00712774" w:rsidRPr="00A40A5E" w14:paraId="68DAF346" w14:textId="77777777" w:rsidTr="00D45D19">
        <w:tc>
          <w:tcPr>
            <w:tcW w:w="709" w:type="dxa"/>
          </w:tcPr>
          <w:p w14:paraId="02E59196" w14:textId="77777777" w:rsidR="00712774" w:rsidRPr="00C52A47" w:rsidRDefault="00712774" w:rsidP="00AF7038">
            <w:pPr>
              <w:spacing w:line="360" w:lineRule="auto"/>
              <w:jc w:val="center"/>
              <w:rPr>
                <w:rFonts w:ascii="宋体" w:hAnsi="宋体"/>
                <w:color w:val="000000"/>
              </w:rPr>
            </w:pPr>
            <w:r>
              <w:rPr>
                <w:rFonts w:ascii="宋体" w:hAnsi="宋体" w:hint="eastAsia"/>
                <w:color w:val="000000"/>
              </w:rPr>
              <w:t>44</w:t>
            </w:r>
          </w:p>
        </w:tc>
        <w:tc>
          <w:tcPr>
            <w:tcW w:w="3260" w:type="dxa"/>
          </w:tcPr>
          <w:p w14:paraId="3C0ECC48" w14:textId="77777777" w:rsidR="00712774" w:rsidRPr="00A40A5E" w:rsidRDefault="00712774" w:rsidP="00AF7038">
            <w:pPr>
              <w:snapToGrid w:val="0"/>
              <w:spacing w:line="360" w:lineRule="auto"/>
              <w:rPr>
                <w:rFonts w:ascii="宋体" w:hAnsi="宋体" w:cs="Calibri"/>
                <w:color w:val="000000"/>
                <w:szCs w:val="21"/>
              </w:rPr>
            </w:pPr>
            <w:r w:rsidRPr="00A40A5E">
              <w:rPr>
                <w:rFonts w:ascii="宋体" w:hAnsi="宋体" w:cs="Calibri" w:hint="eastAsia"/>
                <w:color w:val="000000"/>
                <w:szCs w:val="21"/>
              </w:rPr>
              <w:t>宜信普泽（北京）基金销售有限公司</w:t>
            </w:r>
          </w:p>
        </w:tc>
        <w:tc>
          <w:tcPr>
            <w:tcW w:w="4820" w:type="dxa"/>
          </w:tcPr>
          <w:p w14:paraId="1EBFC71E" w14:textId="77777777" w:rsidR="00712774" w:rsidRPr="00A40A5E" w:rsidRDefault="00712774" w:rsidP="00AF7038">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北京市</w:t>
            </w:r>
            <w:r w:rsidRPr="00A40A5E">
              <w:rPr>
                <w:rFonts w:ascii="宋体" w:hAnsi="宋体" w:cs="Calibri"/>
                <w:color w:val="000000"/>
                <w:szCs w:val="21"/>
              </w:rPr>
              <w:t>朝阳区建国路</w:t>
            </w:r>
            <w:r w:rsidRPr="00A40A5E">
              <w:rPr>
                <w:rFonts w:ascii="宋体" w:hAnsi="宋体" w:cs="Calibri" w:hint="eastAsia"/>
                <w:color w:val="000000"/>
                <w:szCs w:val="21"/>
              </w:rPr>
              <w:t>88号9号</w:t>
            </w:r>
            <w:r w:rsidRPr="00A40A5E">
              <w:rPr>
                <w:rFonts w:ascii="宋体" w:hAnsi="宋体" w:cs="Calibri"/>
                <w:color w:val="000000"/>
                <w:szCs w:val="21"/>
              </w:rPr>
              <w:t>楼</w:t>
            </w:r>
            <w:r w:rsidRPr="00A40A5E">
              <w:rPr>
                <w:rFonts w:ascii="宋体" w:hAnsi="宋体" w:cs="Calibri" w:hint="eastAsia"/>
                <w:color w:val="000000"/>
                <w:szCs w:val="21"/>
              </w:rPr>
              <w:t>15层1809</w:t>
            </w:r>
          </w:p>
          <w:p w14:paraId="3E469607" w14:textId="77777777" w:rsidR="00712774" w:rsidRPr="00A40A5E" w:rsidRDefault="00712774" w:rsidP="00AF7038">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w:t>
            </w:r>
            <w:r w:rsidRPr="00A40A5E">
              <w:rPr>
                <w:rFonts w:ascii="宋体" w:hAnsi="宋体" w:cs="Calibri"/>
                <w:color w:val="000000"/>
                <w:szCs w:val="21"/>
              </w:rPr>
              <w:t>6099200</w:t>
            </w:r>
          </w:p>
          <w:p w14:paraId="34F65300" w14:textId="77777777" w:rsidR="00712774" w:rsidRPr="00A40A5E" w:rsidRDefault="00712774" w:rsidP="00AF7038">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http://www.yixinfund.com/</w:t>
            </w:r>
          </w:p>
        </w:tc>
      </w:tr>
      <w:tr w:rsidR="00712774" w:rsidRPr="00A40A5E" w14:paraId="17F1B107" w14:textId="77777777" w:rsidTr="00D45D19">
        <w:tc>
          <w:tcPr>
            <w:tcW w:w="709" w:type="dxa"/>
          </w:tcPr>
          <w:p w14:paraId="32B3C130" w14:textId="77777777" w:rsidR="00712774" w:rsidRPr="00C52A47" w:rsidRDefault="00712774" w:rsidP="00AF7038">
            <w:pPr>
              <w:spacing w:line="360" w:lineRule="auto"/>
              <w:jc w:val="center"/>
              <w:rPr>
                <w:rFonts w:ascii="宋体" w:hAnsi="宋体"/>
                <w:color w:val="000000"/>
              </w:rPr>
            </w:pPr>
            <w:r>
              <w:rPr>
                <w:rFonts w:ascii="宋体" w:hAnsi="宋体" w:hint="eastAsia"/>
                <w:color w:val="000000"/>
              </w:rPr>
              <w:t>45</w:t>
            </w:r>
          </w:p>
        </w:tc>
        <w:tc>
          <w:tcPr>
            <w:tcW w:w="3260" w:type="dxa"/>
          </w:tcPr>
          <w:p w14:paraId="35071279" w14:textId="77777777" w:rsidR="00712774" w:rsidRPr="00A40A5E" w:rsidRDefault="00712774" w:rsidP="00AF7038">
            <w:pPr>
              <w:snapToGrid w:val="0"/>
              <w:spacing w:line="360" w:lineRule="auto"/>
              <w:rPr>
                <w:rFonts w:ascii="宋体" w:hAnsi="宋体" w:cs="Calibri"/>
                <w:color w:val="000000"/>
                <w:szCs w:val="21"/>
              </w:rPr>
            </w:pPr>
            <w:r w:rsidRPr="00A40A5E">
              <w:rPr>
                <w:rFonts w:ascii="宋体" w:hAnsi="宋体" w:cs="Calibri" w:hint="eastAsia"/>
                <w:color w:val="000000"/>
                <w:szCs w:val="21"/>
              </w:rPr>
              <w:t>喜鹊财富基金销售有限公司</w:t>
            </w:r>
          </w:p>
        </w:tc>
        <w:tc>
          <w:tcPr>
            <w:tcW w:w="4820" w:type="dxa"/>
          </w:tcPr>
          <w:p w14:paraId="6B5C8319" w14:textId="77777777" w:rsidR="00712774" w:rsidRPr="00A40A5E" w:rsidRDefault="00712774" w:rsidP="00AF7038">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西藏拉萨市柳梧新区柳梧大厦1513室</w:t>
            </w:r>
          </w:p>
          <w:p w14:paraId="571E3970" w14:textId="77777777" w:rsidR="00712774" w:rsidRPr="00A40A5E" w:rsidRDefault="00712774" w:rsidP="00AF7038">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客户服务电话：400-699-7719</w:t>
            </w:r>
          </w:p>
          <w:p w14:paraId="3D8E5222" w14:textId="77777777" w:rsidR="00712774" w:rsidRPr="00A40A5E" w:rsidRDefault="00712774" w:rsidP="00AF7038">
            <w:pPr>
              <w:snapToGrid w:val="0"/>
              <w:spacing w:line="360" w:lineRule="auto"/>
              <w:rPr>
                <w:rFonts w:ascii="宋体" w:hAnsi="宋体" w:cs="Calibri"/>
                <w:color w:val="000000"/>
                <w:szCs w:val="21"/>
              </w:rPr>
            </w:pPr>
            <w:r w:rsidRPr="00A40A5E">
              <w:rPr>
                <w:rFonts w:ascii="宋体" w:hAnsi="宋体" w:cs="Calibri" w:hint="eastAsia"/>
                <w:color w:val="000000"/>
                <w:szCs w:val="21"/>
              </w:rPr>
              <w:t>网址：www.xiquefund.com</w:t>
            </w:r>
          </w:p>
        </w:tc>
      </w:tr>
      <w:tr w:rsidR="00712774" w:rsidRPr="0037390A" w14:paraId="19B76205" w14:textId="77777777" w:rsidTr="00D45D19">
        <w:tc>
          <w:tcPr>
            <w:tcW w:w="709" w:type="dxa"/>
          </w:tcPr>
          <w:p w14:paraId="2E2128BE" w14:textId="77777777" w:rsidR="00712774" w:rsidRDefault="00712774" w:rsidP="00AF7038">
            <w:pPr>
              <w:spacing w:line="360" w:lineRule="auto"/>
              <w:jc w:val="center"/>
              <w:rPr>
                <w:rFonts w:ascii="宋体" w:hAnsi="宋体"/>
                <w:color w:val="000000"/>
              </w:rPr>
            </w:pPr>
            <w:r>
              <w:rPr>
                <w:rFonts w:ascii="宋体" w:hAnsi="宋体" w:hint="eastAsia"/>
                <w:color w:val="000000"/>
              </w:rPr>
              <w:t>46</w:t>
            </w:r>
          </w:p>
        </w:tc>
        <w:tc>
          <w:tcPr>
            <w:tcW w:w="3260" w:type="dxa"/>
          </w:tcPr>
          <w:p w14:paraId="4924DAA3" w14:textId="77777777" w:rsidR="00712774" w:rsidRPr="004E284A" w:rsidRDefault="00712774" w:rsidP="00AF7038">
            <w:pPr>
              <w:spacing w:line="360" w:lineRule="auto"/>
              <w:rPr>
                <w:rFonts w:ascii="宋体" w:hAnsi="宋体"/>
                <w:color w:val="000000"/>
              </w:rPr>
            </w:pPr>
            <w:r>
              <w:rPr>
                <w:rFonts w:ascii="宋体" w:hAnsi="宋体" w:cs="Calibri" w:hint="eastAsia"/>
                <w:bCs/>
                <w:color w:val="000000"/>
                <w:szCs w:val="21"/>
              </w:rPr>
              <w:t>和耕传承基金销售有限公司</w:t>
            </w:r>
          </w:p>
        </w:tc>
        <w:tc>
          <w:tcPr>
            <w:tcW w:w="4820" w:type="dxa"/>
          </w:tcPr>
          <w:p w14:paraId="25E48259" w14:textId="77777777" w:rsidR="00712774" w:rsidRDefault="00712774" w:rsidP="00AF7038">
            <w:pPr>
              <w:spacing w:line="360" w:lineRule="auto"/>
              <w:rPr>
                <w:rFonts w:ascii="宋体" w:hAnsi="宋体" w:cs="Calibri"/>
                <w:color w:val="000000"/>
                <w:szCs w:val="21"/>
              </w:rPr>
            </w:pPr>
            <w:r>
              <w:rPr>
                <w:rFonts w:ascii="宋体" w:hAnsi="宋体" w:cs="Calibri" w:hint="eastAsia"/>
                <w:color w:val="000000"/>
                <w:szCs w:val="21"/>
              </w:rPr>
              <w:t>注册地址：</w:t>
            </w:r>
            <w:r w:rsidRPr="009F3D98">
              <w:rPr>
                <w:rFonts w:ascii="宋体" w:hAnsi="宋体" w:cs="Calibri" w:hint="eastAsia"/>
                <w:color w:val="000000"/>
                <w:szCs w:val="21"/>
              </w:rPr>
              <w:t>河南自贸试验区郑州片区（郑东）东风南路东康宁街北6号楼5楼503</w:t>
            </w:r>
          </w:p>
          <w:p w14:paraId="4A694FB9" w14:textId="77777777" w:rsidR="00712774" w:rsidRDefault="00712774" w:rsidP="00AF7038">
            <w:pPr>
              <w:spacing w:line="360" w:lineRule="auto"/>
              <w:rPr>
                <w:rFonts w:ascii="宋体" w:hAnsi="宋体" w:cs="Calibri"/>
                <w:color w:val="000000"/>
                <w:szCs w:val="21"/>
              </w:rPr>
            </w:pPr>
            <w:r>
              <w:rPr>
                <w:rFonts w:ascii="宋体" w:hAnsi="宋体" w:cs="Calibri" w:hint="eastAsia"/>
                <w:color w:val="000000"/>
                <w:szCs w:val="21"/>
              </w:rPr>
              <w:t>客户服务电话：</w:t>
            </w:r>
            <w:r w:rsidRPr="009F3D98">
              <w:rPr>
                <w:rFonts w:ascii="宋体" w:hAnsi="宋体" w:cs="Calibri"/>
                <w:color w:val="000000"/>
                <w:szCs w:val="21"/>
              </w:rPr>
              <w:t>4000-555-671</w:t>
            </w:r>
          </w:p>
          <w:p w14:paraId="4524394F" w14:textId="77777777" w:rsidR="00712774" w:rsidRPr="0037390A" w:rsidRDefault="00712774" w:rsidP="00AF7038">
            <w:pPr>
              <w:spacing w:line="360" w:lineRule="auto"/>
              <w:rPr>
                <w:rFonts w:ascii="宋体" w:hAnsi="宋体"/>
                <w:color w:val="000000"/>
              </w:rPr>
            </w:pPr>
            <w:r>
              <w:rPr>
                <w:rFonts w:ascii="宋体" w:hAnsi="宋体" w:cs="Calibri" w:hint="eastAsia"/>
                <w:color w:val="000000"/>
                <w:szCs w:val="21"/>
              </w:rPr>
              <w:t>网址：</w:t>
            </w:r>
            <w:r w:rsidRPr="009F3D98">
              <w:rPr>
                <w:rFonts w:ascii="宋体" w:hAnsi="宋体" w:cs="Calibri"/>
                <w:color w:val="000000"/>
                <w:szCs w:val="21"/>
              </w:rPr>
              <w:t>www. hgccpb.com</w:t>
            </w:r>
          </w:p>
        </w:tc>
      </w:tr>
      <w:tr w:rsidR="00712774" w:rsidRPr="0037390A" w14:paraId="511ECB76" w14:textId="77777777" w:rsidTr="00D45D19">
        <w:tc>
          <w:tcPr>
            <w:tcW w:w="709" w:type="dxa"/>
          </w:tcPr>
          <w:p w14:paraId="2B3816E2" w14:textId="77777777" w:rsidR="00712774" w:rsidRDefault="00712774" w:rsidP="00AF7038">
            <w:pPr>
              <w:spacing w:line="360" w:lineRule="auto"/>
              <w:jc w:val="center"/>
              <w:rPr>
                <w:rFonts w:ascii="宋体" w:hAnsi="宋体"/>
                <w:color w:val="000000"/>
              </w:rPr>
            </w:pPr>
            <w:r>
              <w:rPr>
                <w:rFonts w:ascii="宋体" w:hAnsi="宋体" w:hint="eastAsia"/>
                <w:color w:val="000000"/>
              </w:rPr>
              <w:t>47</w:t>
            </w:r>
          </w:p>
        </w:tc>
        <w:tc>
          <w:tcPr>
            <w:tcW w:w="3260" w:type="dxa"/>
          </w:tcPr>
          <w:p w14:paraId="21D2B75E" w14:textId="77777777" w:rsidR="00712774" w:rsidRPr="004E284A" w:rsidRDefault="00712774" w:rsidP="00AF7038">
            <w:pPr>
              <w:spacing w:line="360" w:lineRule="auto"/>
              <w:rPr>
                <w:rFonts w:ascii="宋体" w:hAnsi="宋体"/>
                <w:color w:val="000000"/>
              </w:rPr>
            </w:pPr>
            <w:r>
              <w:rPr>
                <w:rFonts w:ascii="宋体" w:hAnsi="宋体" w:cs="Calibri" w:hint="eastAsia"/>
                <w:bCs/>
                <w:color w:val="000000"/>
                <w:szCs w:val="21"/>
              </w:rPr>
              <w:t>北京新浪仓石基金销售有限公司</w:t>
            </w:r>
          </w:p>
        </w:tc>
        <w:tc>
          <w:tcPr>
            <w:tcW w:w="4820" w:type="dxa"/>
          </w:tcPr>
          <w:p w14:paraId="2BD14DC4" w14:textId="77777777" w:rsidR="00712774" w:rsidRDefault="00712774" w:rsidP="00AF7038">
            <w:pPr>
              <w:spacing w:line="360" w:lineRule="auto"/>
              <w:rPr>
                <w:rFonts w:ascii="宋体" w:hAnsi="宋体" w:cs="Calibri"/>
                <w:color w:val="000000"/>
                <w:szCs w:val="21"/>
              </w:rPr>
            </w:pPr>
            <w:r>
              <w:rPr>
                <w:rFonts w:ascii="宋体" w:hAnsi="宋体" w:cs="Calibri" w:hint="eastAsia"/>
                <w:color w:val="000000"/>
                <w:szCs w:val="21"/>
              </w:rPr>
              <w:t>注册地址：</w:t>
            </w:r>
            <w:r w:rsidRPr="009F3D98">
              <w:rPr>
                <w:rFonts w:ascii="宋体" w:hAnsi="宋体" w:cs="Calibri" w:hint="eastAsia"/>
                <w:color w:val="000000"/>
                <w:szCs w:val="21"/>
              </w:rPr>
              <w:t>北京市海淀区东北旺西路中关村软件园</w:t>
            </w:r>
            <w:r w:rsidRPr="009F3D98">
              <w:rPr>
                <w:rFonts w:ascii="宋体" w:hAnsi="宋体" w:cs="Calibri" w:hint="eastAsia"/>
                <w:color w:val="000000"/>
                <w:szCs w:val="21"/>
              </w:rPr>
              <w:lastRenderedPageBreak/>
              <w:t>二期（西扩）N-1、N-2地块新浪总部科研楼5层518室</w:t>
            </w:r>
          </w:p>
          <w:p w14:paraId="17A13006" w14:textId="77777777" w:rsidR="00712774" w:rsidRDefault="00712774" w:rsidP="00AF7038">
            <w:pPr>
              <w:spacing w:line="360" w:lineRule="auto"/>
              <w:rPr>
                <w:rFonts w:ascii="宋体" w:hAnsi="宋体" w:cs="Calibri"/>
                <w:color w:val="000000"/>
                <w:szCs w:val="21"/>
              </w:rPr>
            </w:pPr>
            <w:r>
              <w:rPr>
                <w:rFonts w:ascii="宋体" w:hAnsi="宋体" w:cs="Calibri" w:hint="eastAsia"/>
                <w:color w:val="000000"/>
                <w:szCs w:val="21"/>
              </w:rPr>
              <w:t>客户服务电话：</w:t>
            </w:r>
            <w:r w:rsidRPr="009F3D98">
              <w:rPr>
                <w:rFonts w:ascii="宋体" w:hAnsi="宋体" w:cs="Calibri" w:hint="eastAsia"/>
                <w:color w:val="000000"/>
                <w:szCs w:val="21"/>
              </w:rPr>
              <w:t>010-62675369</w:t>
            </w:r>
          </w:p>
          <w:p w14:paraId="1DBC052A" w14:textId="77777777" w:rsidR="00712774" w:rsidRPr="0037390A" w:rsidRDefault="00712774" w:rsidP="00AF7038">
            <w:pPr>
              <w:spacing w:line="360" w:lineRule="auto"/>
              <w:rPr>
                <w:rFonts w:ascii="宋体" w:hAnsi="宋体"/>
                <w:color w:val="000000"/>
              </w:rPr>
            </w:pPr>
            <w:r>
              <w:rPr>
                <w:rFonts w:ascii="宋体" w:hAnsi="宋体" w:cs="Calibri" w:hint="eastAsia"/>
                <w:color w:val="000000"/>
                <w:szCs w:val="21"/>
              </w:rPr>
              <w:t>网址：</w:t>
            </w:r>
            <w:r w:rsidRPr="009F3D98">
              <w:rPr>
                <w:rFonts w:ascii="宋体" w:hAnsi="宋体" w:cs="Calibri" w:hint="eastAsia"/>
                <w:color w:val="000000"/>
                <w:szCs w:val="21"/>
              </w:rPr>
              <w:t>www.xincai.com</w:t>
            </w:r>
          </w:p>
        </w:tc>
      </w:tr>
      <w:tr w:rsidR="00712774" w:rsidRPr="0037390A" w14:paraId="75AB48CC" w14:textId="77777777" w:rsidTr="00D45D19">
        <w:tc>
          <w:tcPr>
            <w:tcW w:w="709" w:type="dxa"/>
          </w:tcPr>
          <w:p w14:paraId="25705858" w14:textId="77777777" w:rsidR="00712774" w:rsidRDefault="00712774" w:rsidP="00AF7038">
            <w:pPr>
              <w:spacing w:line="360" w:lineRule="auto"/>
              <w:jc w:val="center"/>
              <w:rPr>
                <w:rFonts w:ascii="宋体" w:hAnsi="宋体"/>
                <w:color w:val="000000"/>
              </w:rPr>
            </w:pPr>
            <w:r>
              <w:rPr>
                <w:rFonts w:ascii="宋体" w:hAnsi="宋体" w:hint="eastAsia"/>
                <w:color w:val="000000"/>
              </w:rPr>
              <w:lastRenderedPageBreak/>
              <w:t>48</w:t>
            </w:r>
          </w:p>
        </w:tc>
        <w:tc>
          <w:tcPr>
            <w:tcW w:w="3260" w:type="dxa"/>
            <w:vAlign w:val="center"/>
          </w:tcPr>
          <w:p w14:paraId="61F9DFB7" w14:textId="77777777" w:rsidR="00712774" w:rsidRPr="004E284A" w:rsidRDefault="00712774" w:rsidP="00AF7038">
            <w:pPr>
              <w:spacing w:line="360" w:lineRule="auto"/>
              <w:rPr>
                <w:rFonts w:ascii="宋体" w:hAnsi="宋体"/>
                <w:color w:val="000000"/>
              </w:rPr>
            </w:pPr>
            <w:r w:rsidRPr="00051DCE">
              <w:rPr>
                <w:rFonts w:ascii="宋体" w:hAnsi="宋体" w:cs="Calibri" w:hint="eastAsia"/>
                <w:bCs/>
                <w:color w:val="000000"/>
                <w:szCs w:val="21"/>
              </w:rPr>
              <w:t>财咨道信息技术有限公司</w:t>
            </w:r>
          </w:p>
        </w:tc>
        <w:tc>
          <w:tcPr>
            <w:tcW w:w="4820" w:type="dxa"/>
          </w:tcPr>
          <w:p w14:paraId="4A084EB7" w14:textId="77777777" w:rsidR="00712774" w:rsidRDefault="00712774" w:rsidP="00AF7038">
            <w:pPr>
              <w:widowControl/>
              <w:spacing w:line="360" w:lineRule="auto"/>
              <w:jc w:val="left"/>
              <w:rPr>
                <w:rFonts w:ascii="宋体" w:hAnsi="宋体" w:cs="Calibri"/>
                <w:color w:val="000000"/>
                <w:szCs w:val="21"/>
              </w:rPr>
            </w:pPr>
            <w:r w:rsidRPr="00051DCE">
              <w:rPr>
                <w:rFonts w:ascii="宋体" w:hAnsi="宋体" w:cs="Calibri" w:hint="eastAsia"/>
                <w:color w:val="000000"/>
                <w:szCs w:val="21"/>
              </w:rPr>
              <w:t>注册地址：</w:t>
            </w:r>
            <w:r w:rsidRPr="00051DCE">
              <w:rPr>
                <w:rFonts w:ascii="宋体" w:hAnsi="宋体" w:cs="Calibri"/>
                <w:color w:val="000000"/>
                <w:szCs w:val="21"/>
              </w:rPr>
              <w:t>辽宁省沈阳市浑南区白塔二南街18-2号B座601</w:t>
            </w:r>
          </w:p>
          <w:p w14:paraId="3BC09726" w14:textId="77777777" w:rsidR="00712774" w:rsidRPr="0016118C" w:rsidRDefault="00712774" w:rsidP="00AF7038">
            <w:pPr>
              <w:widowControl/>
              <w:spacing w:line="360" w:lineRule="auto"/>
              <w:jc w:val="left"/>
              <w:rPr>
                <w:rFonts w:ascii="宋体" w:hAnsi="宋体" w:cs="Calibri"/>
                <w:color w:val="000000"/>
                <w:szCs w:val="21"/>
              </w:rPr>
            </w:pPr>
            <w:r w:rsidRPr="0016118C">
              <w:rPr>
                <w:rFonts w:ascii="宋体" w:hAnsi="宋体" w:cs="Calibri" w:hint="eastAsia"/>
                <w:color w:val="000000"/>
                <w:szCs w:val="21"/>
              </w:rPr>
              <w:t>客户服务电话：</w:t>
            </w:r>
            <w:r w:rsidRPr="0016118C">
              <w:rPr>
                <w:rFonts w:ascii="宋体" w:hAnsi="宋体" w:cs="Calibri"/>
                <w:color w:val="000000"/>
                <w:szCs w:val="21"/>
              </w:rPr>
              <w:t>400-003-5811</w:t>
            </w:r>
          </w:p>
          <w:p w14:paraId="66737062" w14:textId="77777777" w:rsidR="00712774" w:rsidRPr="0037390A" w:rsidRDefault="00712774" w:rsidP="00AF7038">
            <w:pPr>
              <w:spacing w:line="360" w:lineRule="auto"/>
              <w:rPr>
                <w:rFonts w:ascii="宋体" w:hAnsi="宋体"/>
                <w:color w:val="000000"/>
              </w:rPr>
            </w:pPr>
            <w:r w:rsidRPr="0016118C">
              <w:rPr>
                <w:rFonts w:ascii="宋体" w:hAnsi="宋体" w:cs="Calibri" w:hint="eastAsia"/>
                <w:color w:val="000000"/>
                <w:szCs w:val="21"/>
              </w:rPr>
              <w:t>网址：</w:t>
            </w:r>
            <w:r w:rsidRPr="0016118C">
              <w:rPr>
                <w:rFonts w:ascii="宋体" w:hAnsi="宋体" w:cs="Calibri"/>
                <w:color w:val="000000"/>
                <w:szCs w:val="21"/>
              </w:rPr>
              <w:t>ww</w:t>
            </w:r>
            <w:r w:rsidRPr="007A00AD">
              <w:rPr>
                <w:rFonts w:ascii="宋体" w:hAnsi="宋体" w:cs="Calibri"/>
                <w:color w:val="000000"/>
                <w:szCs w:val="21"/>
              </w:rPr>
              <w:t>w.win-stock.com.cn</w:t>
            </w:r>
          </w:p>
        </w:tc>
      </w:tr>
      <w:tr w:rsidR="00712774" w:rsidRPr="0037390A" w14:paraId="43E4676D" w14:textId="77777777" w:rsidTr="00D45D19">
        <w:tc>
          <w:tcPr>
            <w:tcW w:w="709" w:type="dxa"/>
          </w:tcPr>
          <w:p w14:paraId="4714BB36" w14:textId="77777777" w:rsidR="00712774" w:rsidRDefault="00712774" w:rsidP="00AF7038">
            <w:pPr>
              <w:spacing w:line="360" w:lineRule="auto"/>
              <w:jc w:val="center"/>
              <w:rPr>
                <w:rFonts w:ascii="宋体" w:hAnsi="宋体"/>
                <w:color w:val="000000"/>
              </w:rPr>
            </w:pPr>
            <w:r>
              <w:rPr>
                <w:rFonts w:ascii="宋体" w:hAnsi="宋体" w:hint="eastAsia"/>
                <w:color w:val="000000"/>
              </w:rPr>
              <w:t>49</w:t>
            </w:r>
          </w:p>
        </w:tc>
        <w:tc>
          <w:tcPr>
            <w:tcW w:w="3260" w:type="dxa"/>
            <w:vAlign w:val="center"/>
          </w:tcPr>
          <w:p w14:paraId="015EDF43" w14:textId="77777777" w:rsidR="00712774" w:rsidRPr="004E284A" w:rsidRDefault="00712774" w:rsidP="00AF7038">
            <w:pPr>
              <w:spacing w:line="360" w:lineRule="auto"/>
              <w:rPr>
                <w:rFonts w:ascii="宋体" w:hAnsi="宋体"/>
                <w:color w:val="000000"/>
              </w:rPr>
            </w:pPr>
            <w:r w:rsidRPr="00051DCE">
              <w:rPr>
                <w:rFonts w:ascii="宋体" w:hAnsi="宋体" w:cs="Calibri" w:hint="eastAsia"/>
                <w:bCs/>
                <w:color w:val="000000"/>
                <w:szCs w:val="21"/>
              </w:rPr>
              <w:t>北京度小满基金销售有限公司</w:t>
            </w:r>
          </w:p>
        </w:tc>
        <w:tc>
          <w:tcPr>
            <w:tcW w:w="4820" w:type="dxa"/>
          </w:tcPr>
          <w:p w14:paraId="2FA7BC3F" w14:textId="77777777" w:rsidR="00712774" w:rsidRDefault="00712774" w:rsidP="00AF7038">
            <w:pPr>
              <w:spacing w:line="360" w:lineRule="auto"/>
              <w:rPr>
                <w:rFonts w:ascii="宋体" w:hAnsi="宋体" w:cs="Calibri"/>
                <w:color w:val="000000"/>
                <w:szCs w:val="21"/>
              </w:rPr>
            </w:pPr>
            <w:r w:rsidRPr="00051DCE">
              <w:rPr>
                <w:rFonts w:ascii="宋体" w:hAnsi="宋体" w:cs="Calibri"/>
                <w:color w:val="000000"/>
                <w:szCs w:val="21"/>
              </w:rPr>
              <w:t xml:space="preserve">注册地址: </w:t>
            </w:r>
            <w:r w:rsidRPr="00051DCE">
              <w:rPr>
                <w:rFonts w:ascii="宋体" w:hAnsi="宋体" w:cs="Calibri" w:hint="eastAsia"/>
                <w:color w:val="000000"/>
                <w:szCs w:val="21"/>
              </w:rPr>
              <w:t>北京市海淀区西北旺东路10号院西区4号楼1层103室</w:t>
            </w:r>
          </w:p>
          <w:p w14:paraId="50ED8B7D" w14:textId="77777777" w:rsidR="00712774" w:rsidRPr="0016623B" w:rsidRDefault="00712774" w:rsidP="00AF7038">
            <w:pPr>
              <w:widowControl/>
              <w:spacing w:line="360" w:lineRule="auto"/>
              <w:jc w:val="left"/>
              <w:rPr>
                <w:rFonts w:ascii="宋体" w:hAnsi="宋体" w:cs="Calibri"/>
                <w:color w:val="000000"/>
                <w:szCs w:val="21"/>
              </w:rPr>
            </w:pPr>
            <w:r w:rsidRPr="0016623B">
              <w:rPr>
                <w:rFonts w:ascii="宋体" w:hAnsi="宋体" w:cs="Calibri" w:hint="eastAsia"/>
                <w:color w:val="000000"/>
                <w:szCs w:val="21"/>
              </w:rPr>
              <w:t>客服电话：9</w:t>
            </w:r>
            <w:r w:rsidRPr="0016623B">
              <w:rPr>
                <w:rFonts w:ascii="宋体" w:hAnsi="宋体" w:cs="Calibri"/>
                <w:color w:val="000000"/>
                <w:szCs w:val="21"/>
              </w:rPr>
              <w:t>5055</w:t>
            </w:r>
          </w:p>
          <w:p w14:paraId="440D0E25" w14:textId="77777777" w:rsidR="00712774" w:rsidRPr="0037390A" w:rsidRDefault="00712774" w:rsidP="00AF7038">
            <w:pPr>
              <w:spacing w:line="360" w:lineRule="auto"/>
              <w:rPr>
                <w:rFonts w:ascii="宋体" w:hAnsi="宋体"/>
                <w:color w:val="000000"/>
              </w:rPr>
            </w:pPr>
            <w:r w:rsidRPr="0016623B">
              <w:rPr>
                <w:rFonts w:ascii="宋体" w:hAnsi="宋体" w:cs="Calibri" w:hint="eastAsia"/>
                <w:color w:val="000000"/>
                <w:szCs w:val="21"/>
              </w:rPr>
              <w:t>网站：</w:t>
            </w:r>
            <w:r>
              <w:rPr>
                <w:rFonts w:ascii="宋体" w:hAnsi="宋体" w:cs="Calibri" w:hint="eastAsia"/>
                <w:color w:val="000000"/>
                <w:szCs w:val="21"/>
              </w:rPr>
              <w:t>www.duxiaoman.com</w:t>
            </w:r>
          </w:p>
        </w:tc>
      </w:tr>
      <w:tr w:rsidR="00712774" w:rsidRPr="0037390A" w14:paraId="753AA96B" w14:textId="77777777" w:rsidTr="00D45D19">
        <w:tc>
          <w:tcPr>
            <w:tcW w:w="709" w:type="dxa"/>
          </w:tcPr>
          <w:p w14:paraId="2C608D1A" w14:textId="77777777" w:rsidR="00712774" w:rsidRDefault="00712774" w:rsidP="00AF7038">
            <w:pPr>
              <w:spacing w:line="360" w:lineRule="auto"/>
              <w:jc w:val="center"/>
              <w:rPr>
                <w:rFonts w:ascii="宋体" w:hAnsi="宋体"/>
                <w:color w:val="000000"/>
              </w:rPr>
            </w:pPr>
            <w:r>
              <w:rPr>
                <w:rFonts w:ascii="宋体" w:hAnsi="宋体" w:hint="eastAsia"/>
                <w:color w:val="000000"/>
              </w:rPr>
              <w:t>50</w:t>
            </w:r>
          </w:p>
        </w:tc>
        <w:tc>
          <w:tcPr>
            <w:tcW w:w="3260" w:type="dxa"/>
            <w:vAlign w:val="center"/>
          </w:tcPr>
          <w:p w14:paraId="0F11E362" w14:textId="77777777" w:rsidR="00712774" w:rsidRPr="004E284A" w:rsidRDefault="00712774" w:rsidP="00AF7038">
            <w:pPr>
              <w:spacing w:line="360" w:lineRule="auto"/>
              <w:rPr>
                <w:rFonts w:ascii="宋体" w:hAnsi="宋体"/>
                <w:color w:val="000000"/>
              </w:rPr>
            </w:pPr>
            <w:r w:rsidRPr="00051DCE">
              <w:rPr>
                <w:rFonts w:ascii="宋体" w:hAnsi="宋体" w:cs="Calibri" w:hint="eastAsia"/>
                <w:bCs/>
                <w:color w:val="000000"/>
                <w:szCs w:val="21"/>
              </w:rPr>
              <w:t>通华财富（上海）基金销售有限公司</w:t>
            </w:r>
          </w:p>
        </w:tc>
        <w:tc>
          <w:tcPr>
            <w:tcW w:w="4820" w:type="dxa"/>
          </w:tcPr>
          <w:p w14:paraId="3C4CDE46" w14:textId="77777777" w:rsidR="00712774" w:rsidRPr="00051DCE" w:rsidRDefault="00712774" w:rsidP="00AF7038">
            <w:pPr>
              <w:spacing w:line="360" w:lineRule="auto"/>
              <w:rPr>
                <w:rFonts w:ascii="宋体" w:hAnsi="宋体"/>
                <w:color w:val="000000"/>
              </w:rPr>
            </w:pPr>
            <w:r>
              <w:rPr>
                <w:rFonts w:ascii="宋体" w:hAnsi="宋体" w:hint="eastAsia"/>
                <w:color w:val="000000"/>
              </w:rPr>
              <w:t>注册地址</w:t>
            </w:r>
            <w:r w:rsidRPr="00051DCE">
              <w:rPr>
                <w:rFonts w:ascii="宋体" w:hAnsi="宋体" w:hint="eastAsia"/>
                <w:color w:val="000000"/>
              </w:rPr>
              <w:t>：上海市虹口区同丰路667弄107号201室</w:t>
            </w:r>
          </w:p>
          <w:p w14:paraId="6BF7FBB1" w14:textId="77777777" w:rsidR="00712774" w:rsidRPr="00051DCE" w:rsidRDefault="00712774" w:rsidP="00AF7038">
            <w:pPr>
              <w:spacing w:line="360" w:lineRule="auto"/>
              <w:rPr>
                <w:rFonts w:ascii="宋体" w:hAnsi="宋体"/>
                <w:color w:val="000000"/>
              </w:rPr>
            </w:pPr>
            <w:r w:rsidRPr="00051DCE">
              <w:rPr>
                <w:rFonts w:ascii="宋体" w:hAnsi="宋体" w:hint="eastAsia"/>
                <w:color w:val="000000"/>
              </w:rPr>
              <w:t>客户服务电话：</w:t>
            </w:r>
            <w:r w:rsidRPr="00051DCE">
              <w:rPr>
                <w:rFonts w:ascii="宋体" w:hAnsi="宋体"/>
                <w:color w:val="000000"/>
              </w:rPr>
              <w:t>400-101-9301</w:t>
            </w:r>
          </w:p>
          <w:p w14:paraId="237FB475" w14:textId="77777777" w:rsidR="00712774" w:rsidRPr="0037390A" w:rsidRDefault="00712774" w:rsidP="00AF7038">
            <w:pPr>
              <w:spacing w:line="360" w:lineRule="auto"/>
              <w:rPr>
                <w:rFonts w:ascii="宋体" w:hAnsi="宋体"/>
                <w:color w:val="000000"/>
              </w:rPr>
            </w:pPr>
            <w:r w:rsidRPr="00051DCE">
              <w:rPr>
                <w:rFonts w:ascii="宋体" w:hAnsi="宋体" w:hint="eastAsia"/>
                <w:color w:val="000000"/>
              </w:rPr>
              <w:t>网址：</w:t>
            </w:r>
            <w:r w:rsidRPr="00051DCE">
              <w:rPr>
                <w:rFonts w:ascii="宋体" w:hAnsi="宋体"/>
                <w:color w:val="000000"/>
              </w:rPr>
              <w:t>www.tonghuafund.com</w:t>
            </w:r>
          </w:p>
        </w:tc>
      </w:tr>
      <w:tr w:rsidR="00712774" w:rsidRPr="0012741C" w14:paraId="76262B37" w14:textId="77777777" w:rsidTr="00D45D19">
        <w:tc>
          <w:tcPr>
            <w:tcW w:w="709" w:type="dxa"/>
          </w:tcPr>
          <w:p w14:paraId="6682618F" w14:textId="77777777" w:rsidR="00712774" w:rsidRDefault="00712774" w:rsidP="00AF7038">
            <w:pPr>
              <w:spacing w:line="360" w:lineRule="auto"/>
              <w:jc w:val="center"/>
              <w:rPr>
                <w:rFonts w:ascii="宋体" w:hAnsi="宋体"/>
                <w:color w:val="000000"/>
              </w:rPr>
            </w:pPr>
            <w:r>
              <w:rPr>
                <w:rFonts w:ascii="宋体" w:hAnsi="宋体" w:hint="eastAsia"/>
                <w:color w:val="000000"/>
              </w:rPr>
              <w:t>51</w:t>
            </w:r>
          </w:p>
        </w:tc>
        <w:tc>
          <w:tcPr>
            <w:tcW w:w="3260" w:type="dxa"/>
          </w:tcPr>
          <w:p w14:paraId="32E5962C" w14:textId="77777777" w:rsidR="00712774" w:rsidRPr="004E284A" w:rsidRDefault="00712774" w:rsidP="00AF7038">
            <w:pPr>
              <w:spacing w:line="360" w:lineRule="auto"/>
              <w:rPr>
                <w:rFonts w:ascii="宋体" w:hAnsi="宋体"/>
                <w:color w:val="000000"/>
              </w:rPr>
            </w:pPr>
            <w:r w:rsidRPr="0012741C">
              <w:rPr>
                <w:rFonts w:ascii="宋体" w:hAnsi="宋体" w:hint="eastAsia"/>
                <w:color w:val="000000"/>
              </w:rPr>
              <w:t>上海万得基金销售有限公司</w:t>
            </w:r>
          </w:p>
        </w:tc>
        <w:tc>
          <w:tcPr>
            <w:tcW w:w="4820" w:type="dxa"/>
          </w:tcPr>
          <w:p w14:paraId="2CBEED0D" w14:textId="77777777" w:rsidR="00712774" w:rsidRDefault="00712774" w:rsidP="00AF7038">
            <w:pPr>
              <w:spacing w:line="360" w:lineRule="auto"/>
              <w:rPr>
                <w:rFonts w:ascii="宋体" w:hAnsi="宋体"/>
                <w:color w:val="000000"/>
              </w:rPr>
            </w:pPr>
            <w:r>
              <w:rPr>
                <w:rFonts w:ascii="宋体" w:hAnsi="宋体" w:hint="eastAsia"/>
                <w:color w:val="000000"/>
              </w:rPr>
              <w:t>注册地址</w:t>
            </w:r>
            <w:r w:rsidRPr="00051DCE">
              <w:rPr>
                <w:rFonts w:ascii="宋体" w:hAnsi="宋体" w:hint="eastAsia"/>
                <w:color w:val="000000"/>
              </w:rPr>
              <w:t>：</w:t>
            </w:r>
            <w:r w:rsidRPr="0012741C">
              <w:rPr>
                <w:rFonts w:ascii="宋体" w:hAnsi="宋体" w:hint="eastAsia"/>
                <w:color w:val="000000"/>
              </w:rPr>
              <w:t>上海市浦东新区浦明路1500号万得大厦11楼</w:t>
            </w:r>
          </w:p>
          <w:p w14:paraId="3398E81C" w14:textId="77777777" w:rsidR="00712774" w:rsidRPr="0012741C" w:rsidRDefault="00712774" w:rsidP="00AF7038">
            <w:pPr>
              <w:spacing w:line="360" w:lineRule="auto"/>
              <w:rPr>
                <w:rFonts w:ascii="宋体" w:hAnsi="宋体"/>
                <w:color w:val="000000"/>
              </w:rPr>
            </w:pPr>
            <w:r w:rsidRPr="0012741C">
              <w:rPr>
                <w:rFonts w:ascii="宋体" w:hAnsi="宋体" w:hint="eastAsia"/>
                <w:color w:val="000000"/>
              </w:rPr>
              <w:t>客户服务电话：400-799-1888</w:t>
            </w:r>
          </w:p>
          <w:p w14:paraId="0C0D5297" w14:textId="77777777" w:rsidR="00712774" w:rsidRPr="0012741C" w:rsidRDefault="00712774" w:rsidP="00AF7038">
            <w:pPr>
              <w:spacing w:line="360" w:lineRule="auto"/>
              <w:rPr>
                <w:rFonts w:ascii="宋体" w:hAnsi="宋体"/>
                <w:color w:val="000000"/>
              </w:rPr>
            </w:pPr>
            <w:r w:rsidRPr="0012741C">
              <w:rPr>
                <w:rFonts w:ascii="宋体" w:hAnsi="宋体" w:hint="eastAsia"/>
                <w:color w:val="000000"/>
              </w:rPr>
              <w:t>网址：www.520fund.com.cn</w:t>
            </w:r>
          </w:p>
        </w:tc>
      </w:tr>
      <w:tr w:rsidR="00712774" w:rsidRPr="000E1DB5" w14:paraId="6B8CD7D9" w14:textId="77777777" w:rsidTr="00D45D19">
        <w:tc>
          <w:tcPr>
            <w:tcW w:w="709" w:type="dxa"/>
          </w:tcPr>
          <w:p w14:paraId="3154DE4F" w14:textId="77777777" w:rsidR="00712774" w:rsidRDefault="00712774" w:rsidP="00AF7038">
            <w:pPr>
              <w:spacing w:line="360" w:lineRule="auto"/>
              <w:jc w:val="center"/>
              <w:rPr>
                <w:rFonts w:ascii="宋体" w:hAnsi="宋体"/>
                <w:color w:val="000000"/>
              </w:rPr>
            </w:pPr>
            <w:r>
              <w:rPr>
                <w:rFonts w:ascii="宋体" w:hAnsi="宋体" w:hint="eastAsia"/>
                <w:color w:val="000000"/>
              </w:rPr>
              <w:t>52</w:t>
            </w:r>
          </w:p>
        </w:tc>
        <w:tc>
          <w:tcPr>
            <w:tcW w:w="3260" w:type="dxa"/>
          </w:tcPr>
          <w:p w14:paraId="1FE143F5" w14:textId="77777777" w:rsidR="00712774" w:rsidRPr="00F20D14" w:rsidRDefault="00712774" w:rsidP="00AF7038">
            <w:pPr>
              <w:spacing w:line="360" w:lineRule="auto"/>
              <w:rPr>
                <w:rFonts w:ascii="宋体" w:hAnsi="宋体" w:cs="Calibri"/>
                <w:bCs/>
                <w:color w:val="000000"/>
                <w:szCs w:val="21"/>
              </w:rPr>
            </w:pPr>
            <w:r>
              <w:rPr>
                <w:rFonts w:ascii="宋体" w:hAnsi="宋体" w:cs="Calibri" w:hint="eastAsia"/>
                <w:bCs/>
                <w:color w:val="000000"/>
                <w:szCs w:val="21"/>
              </w:rPr>
              <w:t>华瑞保险销售有限公司</w:t>
            </w:r>
          </w:p>
        </w:tc>
        <w:tc>
          <w:tcPr>
            <w:tcW w:w="4820" w:type="dxa"/>
          </w:tcPr>
          <w:p w14:paraId="1FF8DDE1" w14:textId="77777777" w:rsidR="00712774" w:rsidRDefault="00712774" w:rsidP="00AF7038">
            <w:pPr>
              <w:spacing w:line="360" w:lineRule="auto"/>
              <w:rPr>
                <w:rFonts w:ascii="宋体" w:hAnsi="宋体"/>
                <w:color w:val="000000"/>
              </w:rPr>
            </w:pPr>
            <w:r w:rsidRPr="0037390A">
              <w:rPr>
                <w:rFonts w:ascii="宋体" w:hAnsi="宋体" w:hint="eastAsia"/>
                <w:color w:val="000000"/>
              </w:rPr>
              <w:t>注册</w:t>
            </w:r>
            <w:r w:rsidRPr="0037390A">
              <w:rPr>
                <w:rFonts w:ascii="宋体" w:hAnsi="宋体"/>
                <w:color w:val="000000"/>
              </w:rPr>
              <w:t>地址:</w:t>
            </w:r>
            <w:r w:rsidRPr="0037390A" w:rsidDel="00FA340E">
              <w:rPr>
                <w:rFonts w:ascii="宋体" w:hAnsi="宋体"/>
                <w:color w:val="000000"/>
              </w:rPr>
              <w:t xml:space="preserve"> </w:t>
            </w:r>
            <w:r w:rsidRPr="0037390A">
              <w:rPr>
                <w:rFonts w:ascii="宋体" w:hAnsi="宋体" w:hint="eastAsia"/>
                <w:color w:val="000000"/>
              </w:rPr>
              <w:t>上海市嘉定区南翔镇众仁路399号运通星财富广场1号楼B座13、14层</w:t>
            </w:r>
          </w:p>
          <w:p w14:paraId="2964CC58" w14:textId="77777777" w:rsidR="00712774" w:rsidRPr="0037390A" w:rsidRDefault="00712774" w:rsidP="00AF7038">
            <w:pPr>
              <w:spacing w:line="360" w:lineRule="auto"/>
              <w:rPr>
                <w:rFonts w:ascii="宋体" w:hAnsi="宋体"/>
                <w:color w:val="000000"/>
              </w:rPr>
            </w:pPr>
            <w:r w:rsidRPr="0037390A">
              <w:rPr>
                <w:rFonts w:ascii="宋体" w:hAnsi="宋体" w:hint="eastAsia"/>
                <w:color w:val="000000"/>
              </w:rPr>
              <w:t>客户服务电话：952303</w:t>
            </w:r>
          </w:p>
          <w:p w14:paraId="1B000A03" w14:textId="77777777" w:rsidR="00712774" w:rsidRPr="000E1DB5" w:rsidRDefault="00712774" w:rsidP="00AF7038">
            <w:pPr>
              <w:spacing w:line="360" w:lineRule="auto"/>
              <w:rPr>
                <w:rFonts w:ascii="宋体" w:hAnsi="宋体" w:cs="Calibri"/>
                <w:color w:val="000000"/>
                <w:szCs w:val="21"/>
              </w:rPr>
            </w:pPr>
            <w:r w:rsidRPr="0037390A">
              <w:rPr>
                <w:rFonts w:ascii="宋体" w:hAnsi="宋体" w:hint="eastAsia"/>
                <w:color w:val="000000"/>
              </w:rPr>
              <w:t>网址：w</w:t>
            </w:r>
            <w:r w:rsidRPr="0037390A">
              <w:rPr>
                <w:rFonts w:ascii="宋体" w:hAnsi="宋体"/>
                <w:color w:val="000000"/>
              </w:rPr>
              <w:t>ww.huaruisales.com</w:t>
            </w:r>
          </w:p>
        </w:tc>
      </w:tr>
      <w:tr w:rsidR="00712774" w:rsidRPr="00F20D14" w14:paraId="70A83CA6" w14:textId="77777777" w:rsidTr="00D45D19">
        <w:tc>
          <w:tcPr>
            <w:tcW w:w="709" w:type="dxa"/>
          </w:tcPr>
          <w:p w14:paraId="154199F8" w14:textId="77777777" w:rsidR="00712774" w:rsidRDefault="00712774" w:rsidP="00AF7038">
            <w:pPr>
              <w:spacing w:line="360" w:lineRule="auto"/>
              <w:jc w:val="center"/>
              <w:rPr>
                <w:rFonts w:ascii="宋体" w:hAnsi="宋体"/>
                <w:color w:val="000000"/>
              </w:rPr>
            </w:pPr>
            <w:r>
              <w:rPr>
                <w:rFonts w:ascii="宋体" w:hAnsi="宋体" w:hint="eastAsia"/>
                <w:color w:val="000000"/>
              </w:rPr>
              <w:t>53</w:t>
            </w:r>
          </w:p>
        </w:tc>
        <w:tc>
          <w:tcPr>
            <w:tcW w:w="3260" w:type="dxa"/>
          </w:tcPr>
          <w:p w14:paraId="10BC7592" w14:textId="77777777" w:rsidR="00712774" w:rsidRDefault="00712774" w:rsidP="00AF7038">
            <w:pPr>
              <w:spacing w:line="360" w:lineRule="auto"/>
              <w:rPr>
                <w:rFonts w:ascii="宋体" w:hAnsi="宋体" w:cs="Calibri"/>
                <w:bCs/>
                <w:color w:val="000000"/>
                <w:szCs w:val="21"/>
              </w:rPr>
            </w:pPr>
            <w:r w:rsidRPr="00F20D14">
              <w:rPr>
                <w:rFonts w:ascii="宋体" w:hAnsi="宋体" w:cs="Calibri" w:hint="eastAsia"/>
                <w:bCs/>
                <w:color w:val="000000"/>
                <w:szCs w:val="21"/>
              </w:rPr>
              <w:t>阳光人寿保险股份有限公司</w:t>
            </w:r>
          </w:p>
        </w:tc>
        <w:tc>
          <w:tcPr>
            <w:tcW w:w="4820" w:type="dxa"/>
          </w:tcPr>
          <w:p w14:paraId="28F7178A" w14:textId="77777777" w:rsidR="00712774" w:rsidRDefault="00712774" w:rsidP="00AF7038">
            <w:pPr>
              <w:spacing w:line="360" w:lineRule="auto"/>
              <w:rPr>
                <w:rFonts w:ascii="宋体" w:hAnsi="宋体" w:cs="Calibri"/>
                <w:color w:val="000000"/>
                <w:szCs w:val="21"/>
              </w:rPr>
            </w:pPr>
            <w:r w:rsidRPr="000E1DB5">
              <w:rPr>
                <w:rFonts w:ascii="宋体" w:hAnsi="宋体" w:cs="Calibri" w:hint="eastAsia"/>
                <w:color w:val="000000"/>
                <w:szCs w:val="21"/>
              </w:rPr>
              <w:t>注册</w:t>
            </w:r>
            <w:r w:rsidRPr="000E1DB5">
              <w:rPr>
                <w:rFonts w:ascii="宋体" w:hAnsi="宋体" w:cs="Calibri"/>
                <w:color w:val="000000"/>
                <w:szCs w:val="21"/>
              </w:rPr>
              <w:t>地址:</w:t>
            </w:r>
            <w:r w:rsidRPr="000E1DB5" w:rsidDel="00FA340E">
              <w:rPr>
                <w:rFonts w:ascii="宋体" w:hAnsi="宋体" w:cs="Calibri"/>
                <w:color w:val="000000"/>
                <w:szCs w:val="21"/>
              </w:rPr>
              <w:t xml:space="preserve"> </w:t>
            </w:r>
            <w:r w:rsidRPr="000E1DB5">
              <w:rPr>
                <w:rFonts w:ascii="宋体" w:hAnsi="宋体" w:cs="Calibri" w:hint="eastAsia"/>
                <w:color w:val="000000"/>
                <w:szCs w:val="21"/>
              </w:rPr>
              <w:t>海南省三亚市迎宾路360-1号三亚阳光金融广场16层</w:t>
            </w:r>
          </w:p>
          <w:p w14:paraId="2A4ED723" w14:textId="77777777" w:rsidR="00712774" w:rsidRPr="000E1DB5" w:rsidRDefault="00712774" w:rsidP="00AF7038">
            <w:pPr>
              <w:widowControl/>
              <w:spacing w:line="360" w:lineRule="auto"/>
              <w:jc w:val="left"/>
              <w:rPr>
                <w:rFonts w:ascii="宋体" w:hAnsi="宋体" w:cs="Calibri"/>
                <w:color w:val="000000"/>
                <w:szCs w:val="21"/>
              </w:rPr>
            </w:pPr>
            <w:r w:rsidRPr="000E1DB5">
              <w:rPr>
                <w:rFonts w:ascii="宋体" w:hAnsi="宋体" w:cs="Calibri" w:hint="eastAsia"/>
                <w:color w:val="000000"/>
                <w:szCs w:val="21"/>
              </w:rPr>
              <w:t>客户服务电话：95510</w:t>
            </w:r>
          </w:p>
          <w:p w14:paraId="2DA01090" w14:textId="77777777" w:rsidR="00712774" w:rsidRPr="00F20D14" w:rsidRDefault="00712774" w:rsidP="00AF7038">
            <w:pPr>
              <w:widowControl/>
              <w:spacing w:line="360" w:lineRule="auto"/>
              <w:jc w:val="left"/>
              <w:rPr>
                <w:rFonts w:ascii="宋体" w:hAnsi="宋体" w:cs="Calibri"/>
                <w:color w:val="000000"/>
                <w:szCs w:val="21"/>
              </w:rPr>
            </w:pPr>
            <w:r w:rsidRPr="000E1DB5">
              <w:rPr>
                <w:rFonts w:ascii="宋体" w:hAnsi="宋体" w:cs="Calibri" w:hint="eastAsia"/>
                <w:color w:val="000000"/>
                <w:szCs w:val="21"/>
              </w:rPr>
              <w:t>网址：fund.sinosig.com</w:t>
            </w:r>
          </w:p>
        </w:tc>
      </w:tr>
      <w:tr w:rsidR="00712774" w:rsidRPr="000E1DB5" w14:paraId="44FB7343" w14:textId="77777777" w:rsidTr="00D45D19">
        <w:tc>
          <w:tcPr>
            <w:tcW w:w="709" w:type="dxa"/>
          </w:tcPr>
          <w:p w14:paraId="012BB26E" w14:textId="77777777" w:rsidR="00712774" w:rsidRDefault="00712774" w:rsidP="00AF7038">
            <w:pPr>
              <w:spacing w:line="360" w:lineRule="auto"/>
              <w:jc w:val="center"/>
              <w:rPr>
                <w:rFonts w:ascii="宋体" w:hAnsi="宋体"/>
                <w:color w:val="000000"/>
              </w:rPr>
            </w:pPr>
            <w:r>
              <w:rPr>
                <w:rFonts w:ascii="宋体" w:hAnsi="宋体" w:hint="eastAsia"/>
                <w:color w:val="000000"/>
              </w:rPr>
              <w:t>54</w:t>
            </w:r>
          </w:p>
        </w:tc>
        <w:tc>
          <w:tcPr>
            <w:tcW w:w="3260" w:type="dxa"/>
          </w:tcPr>
          <w:p w14:paraId="0468DED6" w14:textId="77777777" w:rsidR="00712774" w:rsidRPr="00F20D14" w:rsidRDefault="00712774" w:rsidP="00AF7038">
            <w:pPr>
              <w:spacing w:line="360" w:lineRule="auto"/>
              <w:rPr>
                <w:rFonts w:ascii="宋体" w:hAnsi="宋体" w:cs="Calibri"/>
                <w:bCs/>
                <w:color w:val="000000"/>
                <w:szCs w:val="21"/>
              </w:rPr>
            </w:pPr>
            <w:r w:rsidRPr="00051DCE">
              <w:rPr>
                <w:rFonts w:ascii="宋体" w:hAnsi="宋体" w:cs="Calibri" w:hint="eastAsia"/>
                <w:bCs/>
                <w:color w:val="000000"/>
                <w:szCs w:val="21"/>
              </w:rPr>
              <w:t>中国人寿股份有限公司</w:t>
            </w:r>
          </w:p>
        </w:tc>
        <w:tc>
          <w:tcPr>
            <w:tcW w:w="4820" w:type="dxa"/>
          </w:tcPr>
          <w:p w14:paraId="4639660D" w14:textId="77777777" w:rsidR="00712774" w:rsidRDefault="00712774" w:rsidP="00AF7038">
            <w:pPr>
              <w:spacing w:line="360" w:lineRule="auto"/>
              <w:rPr>
                <w:rFonts w:ascii="宋体" w:hAnsi="宋体" w:cs="Calibri"/>
                <w:color w:val="000000"/>
                <w:szCs w:val="21"/>
              </w:rPr>
            </w:pPr>
            <w:r w:rsidRPr="00051DCE">
              <w:rPr>
                <w:rFonts w:ascii="宋体" w:hAnsi="宋体" w:cs="Calibri" w:hint="eastAsia"/>
                <w:color w:val="000000"/>
                <w:szCs w:val="21"/>
              </w:rPr>
              <w:t>注册地址：中国北京市西城区金融大街16号</w:t>
            </w:r>
          </w:p>
          <w:p w14:paraId="230CC970" w14:textId="77777777" w:rsidR="00712774" w:rsidRPr="00051DCE" w:rsidRDefault="00712774" w:rsidP="00AF7038">
            <w:pPr>
              <w:spacing w:line="360" w:lineRule="auto"/>
              <w:rPr>
                <w:rFonts w:ascii="宋体" w:hAnsi="宋体" w:cs="Calibri"/>
                <w:color w:val="000000"/>
                <w:szCs w:val="21"/>
              </w:rPr>
            </w:pPr>
            <w:r w:rsidRPr="00051DCE">
              <w:rPr>
                <w:rFonts w:ascii="宋体" w:hAnsi="宋体" w:cs="Calibri" w:hint="eastAsia"/>
                <w:color w:val="000000"/>
                <w:szCs w:val="21"/>
              </w:rPr>
              <w:lastRenderedPageBreak/>
              <w:t>客户服务电话：95519</w:t>
            </w:r>
          </w:p>
          <w:p w14:paraId="3C989791" w14:textId="77777777" w:rsidR="00712774" w:rsidRPr="000E1DB5" w:rsidRDefault="00712774" w:rsidP="00AF7038">
            <w:pPr>
              <w:spacing w:line="360" w:lineRule="auto"/>
              <w:rPr>
                <w:rFonts w:ascii="宋体" w:hAnsi="宋体" w:cs="Calibri"/>
                <w:color w:val="000000"/>
                <w:szCs w:val="21"/>
              </w:rPr>
            </w:pPr>
            <w:r w:rsidRPr="00051DCE">
              <w:rPr>
                <w:rFonts w:ascii="宋体" w:hAnsi="宋体" w:cs="Calibri" w:hint="eastAsia"/>
                <w:color w:val="000000"/>
                <w:szCs w:val="21"/>
              </w:rPr>
              <w:t>网址：www.e-chinalife.com</w:t>
            </w:r>
          </w:p>
        </w:tc>
      </w:tr>
    </w:tbl>
    <w:p w14:paraId="11770B41" w14:textId="77777777" w:rsidR="003568C2" w:rsidRDefault="003568C2">
      <w:pPr>
        <w:tabs>
          <w:tab w:val="left" w:pos="540"/>
        </w:tabs>
        <w:adjustRightInd w:val="0"/>
        <w:snapToGrid w:val="0"/>
        <w:spacing w:line="360" w:lineRule="auto"/>
        <w:ind w:firstLineChars="200" w:firstLine="480"/>
        <w:rPr>
          <w:rFonts w:asciiTheme="minorEastAsia" w:hAnsiTheme="minorEastAsia" w:cs="Arial"/>
          <w:sz w:val="24"/>
          <w:szCs w:val="24"/>
        </w:rPr>
      </w:pPr>
    </w:p>
    <w:p w14:paraId="1EF789DE" w14:textId="77777777" w:rsidR="003568C2" w:rsidRDefault="00695B03">
      <w:pPr>
        <w:tabs>
          <w:tab w:val="left" w:pos="540"/>
        </w:tabs>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sz w:val="24"/>
          <w:szCs w:val="24"/>
        </w:rPr>
        <w:t>二、登记机构</w:t>
      </w:r>
    </w:p>
    <w:p w14:paraId="1970C78B" w14:textId="77777777" w:rsidR="003568C2" w:rsidRDefault="00695B03">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 xml:space="preserve">名称：富荣基金管理有限公司 </w:t>
      </w:r>
    </w:p>
    <w:p w14:paraId="16A3D453" w14:textId="77777777" w:rsidR="003568C2" w:rsidRDefault="00695B03">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 xml:space="preserve">住所：广东省广州市南沙区海滨路171号南沙金融大厦11楼1101之一J20 </w:t>
      </w:r>
    </w:p>
    <w:p w14:paraId="261529CE" w14:textId="77777777" w:rsidR="003568C2" w:rsidRDefault="00695B03">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办公地址：广东省深圳市福田区八卦四路52号安吉尔大厦24层</w:t>
      </w:r>
    </w:p>
    <w:p w14:paraId="14F1796A" w14:textId="77777777" w:rsidR="003568C2" w:rsidRDefault="00695B03">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 xml:space="preserve">法定代表人：杨小舟 </w:t>
      </w:r>
    </w:p>
    <w:p w14:paraId="0ECB861E" w14:textId="77777777" w:rsidR="003568C2" w:rsidRDefault="00695B03">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联系人：黄文飞</w:t>
      </w:r>
    </w:p>
    <w:p w14:paraId="30E4DFA0" w14:textId="77777777" w:rsidR="003568C2" w:rsidRDefault="00695B03">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电话： 0755-84356604</w:t>
      </w:r>
    </w:p>
    <w:p w14:paraId="5763D5D7" w14:textId="77777777" w:rsidR="003568C2" w:rsidRDefault="00695B03">
      <w:pPr>
        <w:adjustRightInd w:val="0"/>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传真： 0755-83230787</w:t>
      </w:r>
    </w:p>
    <w:p w14:paraId="2C0F7558" w14:textId="77777777" w:rsidR="003568C2" w:rsidRDefault="00695B03">
      <w:pPr>
        <w:tabs>
          <w:tab w:val="left" w:pos="54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三、</w:t>
      </w:r>
      <w:r>
        <w:rPr>
          <w:rFonts w:asciiTheme="minorEastAsia" w:hAnsiTheme="minorEastAsia" w:cs="Times New Roman" w:hint="eastAsia"/>
          <w:b/>
          <w:bCs/>
          <w:color w:val="000000"/>
          <w:sz w:val="24"/>
          <w:szCs w:val="24"/>
        </w:rPr>
        <w:t>出具法律意见书的律师事务所</w:t>
      </w:r>
    </w:p>
    <w:p w14:paraId="68157B72" w14:textId="77777777" w:rsidR="003568C2" w:rsidRDefault="00695B03">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kern w:val="0"/>
          <w:sz w:val="24"/>
          <w:szCs w:val="24"/>
        </w:rPr>
        <w:t>名</w:t>
      </w:r>
      <w:r>
        <w:rPr>
          <w:rFonts w:asciiTheme="minorEastAsia" w:hAnsiTheme="minorEastAsia" w:cs="Arial" w:hint="eastAsia"/>
          <w:color w:val="000000"/>
          <w:kern w:val="0"/>
          <w:sz w:val="24"/>
          <w:szCs w:val="24"/>
        </w:rPr>
        <w:t>称：上海市通力律师事务所</w:t>
      </w:r>
    </w:p>
    <w:p w14:paraId="1B2DB363" w14:textId="77777777" w:rsidR="003568C2" w:rsidRDefault="00695B03">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住所：上海市银城中路</w:t>
      </w:r>
      <w:r>
        <w:rPr>
          <w:rFonts w:asciiTheme="minorEastAsia" w:hAnsiTheme="minorEastAsia" w:cs="Arial"/>
          <w:color w:val="000000"/>
          <w:kern w:val="0"/>
          <w:sz w:val="24"/>
          <w:szCs w:val="24"/>
        </w:rPr>
        <w:t>68号时代金融中心19楼</w:t>
      </w:r>
    </w:p>
    <w:p w14:paraId="434790D1" w14:textId="77777777" w:rsidR="003568C2" w:rsidRDefault="00695B03">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办公地址：上海市银城中路</w:t>
      </w:r>
      <w:r>
        <w:rPr>
          <w:rFonts w:asciiTheme="minorEastAsia" w:hAnsiTheme="minorEastAsia" w:cs="Arial"/>
          <w:color w:val="000000"/>
          <w:kern w:val="0"/>
          <w:sz w:val="24"/>
          <w:szCs w:val="24"/>
        </w:rPr>
        <w:t>68号时代金融中心19楼</w:t>
      </w:r>
    </w:p>
    <w:p w14:paraId="2B8B7014" w14:textId="77777777" w:rsidR="003568C2" w:rsidRDefault="00695B03">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负责人：俞卫锋</w:t>
      </w:r>
    </w:p>
    <w:p w14:paraId="1F57740D" w14:textId="77777777" w:rsidR="003568C2" w:rsidRDefault="00695B03">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电话：</w:t>
      </w:r>
      <w:r>
        <w:rPr>
          <w:rFonts w:asciiTheme="minorEastAsia" w:hAnsiTheme="minorEastAsia" w:cs="Arial"/>
          <w:color w:val="000000"/>
          <w:kern w:val="0"/>
          <w:sz w:val="24"/>
          <w:szCs w:val="24"/>
        </w:rPr>
        <w:t>021-31358666</w:t>
      </w:r>
    </w:p>
    <w:p w14:paraId="790BE6D1" w14:textId="77777777" w:rsidR="003568C2" w:rsidRDefault="00695B03">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传真：</w:t>
      </w:r>
      <w:r>
        <w:rPr>
          <w:rFonts w:asciiTheme="minorEastAsia" w:hAnsiTheme="minorEastAsia" w:cs="Arial"/>
          <w:color w:val="000000"/>
          <w:kern w:val="0"/>
          <w:sz w:val="24"/>
          <w:szCs w:val="24"/>
        </w:rPr>
        <w:t>021-31358600</w:t>
      </w:r>
    </w:p>
    <w:p w14:paraId="58A2E6CC" w14:textId="77777777" w:rsidR="003568C2" w:rsidRDefault="00695B03">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经办律师：陆奇、安冬</w:t>
      </w:r>
    </w:p>
    <w:p w14:paraId="7C7CF826" w14:textId="77777777" w:rsidR="003568C2" w:rsidRDefault="00695B03">
      <w:pPr>
        <w:adjustRightInd w:val="0"/>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联系人：</w:t>
      </w:r>
      <w:r>
        <w:rPr>
          <w:rFonts w:asciiTheme="minorEastAsia" w:hAnsiTheme="minorEastAsia" w:cs="Arial"/>
          <w:color w:val="000000"/>
          <w:kern w:val="0"/>
          <w:sz w:val="24"/>
          <w:szCs w:val="24"/>
        </w:rPr>
        <w:t xml:space="preserve"> </w:t>
      </w:r>
      <w:r>
        <w:rPr>
          <w:rFonts w:asciiTheme="minorEastAsia" w:hAnsiTheme="minorEastAsia" w:cs="Arial" w:hint="eastAsia"/>
          <w:color w:val="000000"/>
          <w:kern w:val="0"/>
          <w:sz w:val="24"/>
          <w:szCs w:val="24"/>
        </w:rPr>
        <w:t>陆奇</w:t>
      </w:r>
    </w:p>
    <w:p w14:paraId="6148B40D" w14:textId="77777777" w:rsidR="003568C2" w:rsidRDefault="00695B03">
      <w:pPr>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kern w:val="0"/>
          <w:sz w:val="24"/>
          <w:szCs w:val="24"/>
        </w:rPr>
        <w:t>四、</w:t>
      </w:r>
      <w:r>
        <w:rPr>
          <w:rFonts w:asciiTheme="minorEastAsia" w:hAnsiTheme="minorEastAsia" w:cs="Times New Roman" w:hint="eastAsia"/>
          <w:b/>
          <w:bCs/>
          <w:color w:val="000000"/>
          <w:sz w:val="24"/>
          <w:szCs w:val="24"/>
        </w:rPr>
        <w:t>审计基金财产的会计师事务所</w:t>
      </w:r>
    </w:p>
    <w:p w14:paraId="3D304671" w14:textId="77777777" w:rsidR="003568C2" w:rsidRDefault="00695B0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名称：安永华明会计师事务所（特殊普通合伙）</w:t>
      </w:r>
    </w:p>
    <w:p w14:paraId="000B303A" w14:textId="77777777" w:rsidR="003568C2" w:rsidRDefault="00695B0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住所：中国北京市东城区东长安街1号东方广场安永大楼16层</w:t>
      </w:r>
    </w:p>
    <w:p w14:paraId="4845C603" w14:textId="77777777" w:rsidR="003568C2" w:rsidRDefault="00695B0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办公地址：中国北京市东城区东长安街1号东方广场安永大楼16层</w:t>
      </w:r>
    </w:p>
    <w:p w14:paraId="37CA299F" w14:textId="77777777" w:rsidR="003568C2" w:rsidRDefault="00695B0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法定代表人：毛鞍宁</w:t>
      </w:r>
    </w:p>
    <w:p w14:paraId="61AB99A4" w14:textId="77777777" w:rsidR="003568C2" w:rsidRDefault="00695B0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电话：+86 10 58153000</w:t>
      </w:r>
    </w:p>
    <w:p w14:paraId="0F322377" w14:textId="77777777" w:rsidR="003568C2" w:rsidRDefault="00695B0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传真：+86 10 85188298</w:t>
      </w:r>
    </w:p>
    <w:p w14:paraId="11873B83" w14:textId="77777777" w:rsidR="003568C2" w:rsidRDefault="00695B0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签字注册会计师：吴翠蓉、高鹤</w:t>
      </w:r>
    </w:p>
    <w:p w14:paraId="0C02DBAC" w14:textId="77777777" w:rsidR="003568C2" w:rsidRDefault="00695B0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联系人：吴翠蓉</w:t>
      </w:r>
      <w:bookmarkStart w:id="115" w:name="_Toc416264542"/>
      <w:bookmarkStart w:id="116" w:name="_Toc263092314"/>
      <w:bookmarkStart w:id="117" w:name="_Toc31235"/>
      <w:bookmarkStart w:id="118" w:name="_Toc29251"/>
      <w:bookmarkStart w:id="119" w:name="_Toc6405"/>
      <w:bookmarkStart w:id="120" w:name="_Toc123051453"/>
      <w:bookmarkStart w:id="121" w:name="_Toc139991737"/>
      <w:bookmarkStart w:id="122" w:name="_Toc12245"/>
      <w:bookmarkStart w:id="123" w:name="_Toc123112235"/>
      <w:bookmarkStart w:id="124" w:name="_Toc31644"/>
      <w:bookmarkStart w:id="125" w:name="_Toc14835"/>
      <w:bookmarkStart w:id="126" w:name="_Toc3601"/>
      <w:bookmarkStart w:id="127" w:name="_Toc352229753"/>
      <w:bookmarkStart w:id="128" w:name="_Toc31653"/>
      <w:bookmarkStart w:id="129" w:name="_Toc16859"/>
      <w:bookmarkStart w:id="130" w:name="_Toc15143"/>
      <w:bookmarkStart w:id="131" w:name="_Toc98560353"/>
      <w:bookmarkStart w:id="132" w:name="_Toc26207"/>
      <w:bookmarkStart w:id="133" w:name="_Toc141703887"/>
      <w:bookmarkStart w:id="134" w:name="_Toc123102454"/>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r>
        <w:rPr>
          <w:rFonts w:asciiTheme="minorEastAsia" w:hAnsiTheme="minorEastAsia" w:cs="Arial"/>
          <w:kern w:val="0"/>
          <w:sz w:val="24"/>
          <w:szCs w:val="24"/>
        </w:rPr>
        <w:br w:type="page"/>
      </w:r>
    </w:p>
    <w:p w14:paraId="64B2091C" w14:textId="77777777" w:rsidR="003568C2" w:rsidRDefault="00695B03">
      <w:pPr>
        <w:pStyle w:val="1"/>
        <w:jc w:val="center"/>
        <w:rPr>
          <w:sz w:val="30"/>
          <w:szCs w:val="30"/>
        </w:rPr>
      </w:pPr>
      <w:bookmarkStart w:id="135" w:name="_Toc15892919"/>
      <w:r>
        <w:rPr>
          <w:rFonts w:hint="eastAsia"/>
          <w:sz w:val="30"/>
          <w:szCs w:val="30"/>
        </w:rPr>
        <w:lastRenderedPageBreak/>
        <w:t>第六部分</w:t>
      </w:r>
      <w:r>
        <w:rPr>
          <w:sz w:val="30"/>
          <w:szCs w:val="30"/>
        </w:rPr>
        <w:t xml:space="preserve">  </w:t>
      </w:r>
      <w:r>
        <w:rPr>
          <w:rFonts w:hint="eastAsia"/>
          <w:sz w:val="30"/>
          <w:szCs w:val="30"/>
        </w:rPr>
        <w:t>基金的历史沿革</w:t>
      </w:r>
      <w:bookmarkEnd w:id="115"/>
      <w:bookmarkEnd w:id="116"/>
      <w:bookmarkEnd w:id="135"/>
    </w:p>
    <w:p w14:paraId="1D1456C8" w14:textId="77777777" w:rsidR="003568C2" w:rsidRDefault="00695B03">
      <w:pPr>
        <w:spacing w:line="360" w:lineRule="auto"/>
        <w:ind w:firstLineChars="200" w:firstLine="480"/>
        <w:rPr>
          <w:bCs/>
          <w:sz w:val="24"/>
        </w:rPr>
      </w:pPr>
      <w:r>
        <w:rPr>
          <w:rFonts w:hint="eastAsia"/>
          <w:bCs/>
          <w:sz w:val="24"/>
        </w:rPr>
        <w:t>富荣沪深</w:t>
      </w:r>
      <w:r>
        <w:rPr>
          <w:bCs/>
          <w:sz w:val="24"/>
        </w:rPr>
        <w:t>300</w:t>
      </w:r>
      <w:r>
        <w:rPr>
          <w:rFonts w:hint="eastAsia"/>
          <w:bCs/>
          <w:sz w:val="24"/>
        </w:rPr>
        <w:t>指数增强型证券投资基金由富荣福泰灵活配置混合型证券投资基金变更注册而来。</w:t>
      </w:r>
    </w:p>
    <w:p w14:paraId="305207CE" w14:textId="77777777" w:rsidR="003568C2" w:rsidRDefault="00695B03">
      <w:pPr>
        <w:spacing w:line="360" w:lineRule="auto"/>
        <w:ind w:firstLineChars="200" w:firstLine="480"/>
        <w:rPr>
          <w:bCs/>
          <w:sz w:val="24"/>
        </w:rPr>
      </w:pPr>
      <w:r>
        <w:rPr>
          <w:rFonts w:hint="eastAsia"/>
          <w:bCs/>
          <w:sz w:val="24"/>
        </w:rPr>
        <w:t>富荣福泰灵活配置混合型证券投资基金经中国证监会证监许可</w:t>
      </w:r>
      <w:r>
        <w:rPr>
          <w:bCs/>
          <w:sz w:val="24"/>
        </w:rPr>
        <w:t>[2017]726</w:t>
      </w:r>
      <w:r>
        <w:rPr>
          <w:rFonts w:hint="eastAsia"/>
          <w:bCs/>
          <w:sz w:val="24"/>
        </w:rPr>
        <w:t>号文注册，基金管理人为富荣基金管理有限公司，基金托管人为招商银行股份有限公司。</w:t>
      </w:r>
    </w:p>
    <w:p w14:paraId="560238CF" w14:textId="77777777" w:rsidR="003568C2" w:rsidRDefault="00695B03">
      <w:pPr>
        <w:spacing w:line="360" w:lineRule="auto"/>
        <w:ind w:firstLineChars="200" w:firstLine="480"/>
        <w:rPr>
          <w:bCs/>
          <w:sz w:val="24"/>
        </w:rPr>
      </w:pPr>
      <w:r>
        <w:rPr>
          <w:rFonts w:hint="eastAsia"/>
          <w:bCs/>
          <w:sz w:val="24"/>
        </w:rPr>
        <w:t>富荣福泰灵活配置混合型证券投资基金自</w:t>
      </w:r>
      <w:r>
        <w:rPr>
          <w:bCs/>
          <w:sz w:val="24"/>
        </w:rPr>
        <w:t>2017</w:t>
      </w:r>
      <w:r>
        <w:rPr>
          <w:rFonts w:hint="eastAsia"/>
          <w:bCs/>
          <w:sz w:val="24"/>
        </w:rPr>
        <w:t>年</w:t>
      </w:r>
      <w:r>
        <w:rPr>
          <w:bCs/>
          <w:sz w:val="24"/>
        </w:rPr>
        <w:t>11</w:t>
      </w:r>
      <w:r>
        <w:rPr>
          <w:rFonts w:hint="eastAsia"/>
          <w:bCs/>
          <w:sz w:val="24"/>
        </w:rPr>
        <w:t>月</w:t>
      </w:r>
      <w:r>
        <w:rPr>
          <w:bCs/>
          <w:sz w:val="24"/>
        </w:rPr>
        <w:t>14</w:t>
      </w:r>
      <w:r>
        <w:rPr>
          <w:rFonts w:hint="eastAsia"/>
          <w:bCs/>
          <w:sz w:val="24"/>
        </w:rPr>
        <w:t>日至</w:t>
      </w:r>
      <w:r>
        <w:rPr>
          <w:bCs/>
          <w:sz w:val="24"/>
        </w:rPr>
        <w:t xml:space="preserve"> 2018</w:t>
      </w:r>
      <w:r>
        <w:rPr>
          <w:rFonts w:hint="eastAsia"/>
          <w:bCs/>
          <w:sz w:val="24"/>
        </w:rPr>
        <w:t>年</w:t>
      </w:r>
      <w:r>
        <w:rPr>
          <w:bCs/>
          <w:sz w:val="24"/>
        </w:rPr>
        <w:t>2</w:t>
      </w:r>
      <w:r>
        <w:rPr>
          <w:rFonts w:hint="eastAsia"/>
          <w:bCs/>
          <w:sz w:val="24"/>
        </w:rPr>
        <w:t>月</w:t>
      </w:r>
      <w:r>
        <w:rPr>
          <w:bCs/>
          <w:sz w:val="24"/>
        </w:rPr>
        <w:t>8</w:t>
      </w:r>
      <w:r>
        <w:rPr>
          <w:rFonts w:hint="eastAsia"/>
          <w:bCs/>
          <w:sz w:val="24"/>
        </w:rPr>
        <w:t>日公开募集，募集结束后基金管理人向中国证监会办理备案手续。经中国证监会书面确认，《富荣福泰灵活配置混合型证券投资基金基金合同》于</w:t>
      </w:r>
      <w:r>
        <w:rPr>
          <w:bCs/>
          <w:sz w:val="24"/>
        </w:rPr>
        <w:t>2018</w:t>
      </w:r>
      <w:r>
        <w:rPr>
          <w:rFonts w:hint="eastAsia"/>
          <w:bCs/>
          <w:sz w:val="24"/>
        </w:rPr>
        <w:t>年</w:t>
      </w:r>
      <w:r>
        <w:rPr>
          <w:bCs/>
          <w:sz w:val="24"/>
        </w:rPr>
        <w:t>2</w:t>
      </w:r>
      <w:r>
        <w:rPr>
          <w:rFonts w:hint="eastAsia"/>
          <w:bCs/>
          <w:sz w:val="24"/>
        </w:rPr>
        <w:t>月</w:t>
      </w:r>
      <w:r>
        <w:rPr>
          <w:bCs/>
          <w:sz w:val="24"/>
        </w:rPr>
        <w:t>1</w:t>
      </w:r>
      <w:r>
        <w:rPr>
          <w:rFonts w:hint="eastAsia"/>
          <w:bCs/>
          <w:sz w:val="24"/>
        </w:rPr>
        <w:t>1</w:t>
      </w:r>
      <w:r>
        <w:rPr>
          <w:rFonts w:hint="eastAsia"/>
          <w:bCs/>
          <w:sz w:val="24"/>
        </w:rPr>
        <w:t>日生效。</w:t>
      </w:r>
    </w:p>
    <w:p w14:paraId="2E4A4846" w14:textId="77777777" w:rsidR="003568C2" w:rsidRDefault="00695B03">
      <w:pPr>
        <w:spacing w:line="360" w:lineRule="auto"/>
        <w:ind w:firstLineChars="200" w:firstLine="480"/>
        <w:rPr>
          <w:bCs/>
          <w:sz w:val="24"/>
        </w:rPr>
      </w:pPr>
      <w:r>
        <w:rPr>
          <w:rFonts w:hint="eastAsia"/>
          <w:bCs/>
          <w:sz w:val="24"/>
        </w:rPr>
        <w:t>富荣福泰灵活配置混合型证券投资基金经中国证监会证监许可</w:t>
      </w:r>
      <w:r>
        <w:rPr>
          <w:bCs/>
          <w:sz w:val="24"/>
        </w:rPr>
        <w:t>[</w:t>
      </w:r>
      <w:r>
        <w:rPr>
          <w:rFonts w:ascii="宋体" w:hAnsi="宋体" w:hint="eastAsia"/>
          <w:bCs/>
          <w:sz w:val="24"/>
        </w:rPr>
        <w:t>2018</w:t>
      </w:r>
      <w:r>
        <w:rPr>
          <w:bCs/>
          <w:sz w:val="24"/>
        </w:rPr>
        <w:t>]</w:t>
      </w:r>
      <w:r>
        <w:rPr>
          <w:rFonts w:ascii="宋体" w:hAnsi="宋体" w:hint="eastAsia"/>
          <w:bCs/>
          <w:sz w:val="24"/>
        </w:rPr>
        <w:t>1827</w:t>
      </w:r>
      <w:r>
        <w:rPr>
          <w:rFonts w:hint="eastAsia"/>
          <w:bCs/>
          <w:sz w:val="24"/>
        </w:rPr>
        <w:t>号文准予变更注册。</w:t>
      </w:r>
    </w:p>
    <w:p w14:paraId="72C36E8F" w14:textId="77777777" w:rsidR="003568C2" w:rsidRDefault="00695B03">
      <w:pPr>
        <w:spacing w:line="360" w:lineRule="auto"/>
        <w:ind w:firstLineChars="200" w:firstLine="480"/>
        <w:rPr>
          <w:rFonts w:ascii="Times New Roman"/>
          <w:sz w:val="30"/>
          <w:szCs w:val="30"/>
        </w:rPr>
      </w:pPr>
      <w:r>
        <w:rPr>
          <w:bCs/>
          <w:sz w:val="24"/>
        </w:rPr>
        <w:t>2018</w:t>
      </w:r>
      <w:r>
        <w:rPr>
          <w:rFonts w:hint="eastAsia"/>
          <w:bCs/>
          <w:sz w:val="24"/>
        </w:rPr>
        <w:t>年</w:t>
      </w:r>
      <w:r>
        <w:rPr>
          <w:rFonts w:hint="eastAsia"/>
          <w:bCs/>
          <w:sz w:val="24"/>
        </w:rPr>
        <w:t>11</w:t>
      </w:r>
      <w:r>
        <w:rPr>
          <w:rFonts w:hint="eastAsia"/>
          <w:bCs/>
          <w:sz w:val="24"/>
        </w:rPr>
        <w:t>月</w:t>
      </w:r>
      <w:r>
        <w:rPr>
          <w:rFonts w:hint="eastAsia"/>
          <w:bCs/>
          <w:sz w:val="24"/>
        </w:rPr>
        <w:t>27</w:t>
      </w:r>
      <w:r>
        <w:rPr>
          <w:rFonts w:hint="eastAsia"/>
          <w:bCs/>
          <w:sz w:val="24"/>
        </w:rPr>
        <w:t>日至</w:t>
      </w:r>
      <w:r>
        <w:rPr>
          <w:bCs/>
          <w:sz w:val="24"/>
        </w:rPr>
        <w:t>2018</w:t>
      </w:r>
      <w:r>
        <w:rPr>
          <w:rFonts w:hint="eastAsia"/>
          <w:bCs/>
          <w:sz w:val="24"/>
        </w:rPr>
        <w:t>年</w:t>
      </w:r>
      <w:r>
        <w:rPr>
          <w:rFonts w:hint="eastAsia"/>
          <w:bCs/>
          <w:sz w:val="24"/>
        </w:rPr>
        <w:t>12</w:t>
      </w:r>
      <w:r>
        <w:rPr>
          <w:rFonts w:hint="eastAsia"/>
          <w:bCs/>
          <w:sz w:val="24"/>
        </w:rPr>
        <w:t>月</w:t>
      </w:r>
      <w:r>
        <w:rPr>
          <w:rFonts w:hint="eastAsia"/>
          <w:bCs/>
          <w:sz w:val="24"/>
        </w:rPr>
        <w:t>21</w:t>
      </w:r>
      <w:r>
        <w:rPr>
          <w:rFonts w:hint="eastAsia"/>
          <w:bCs/>
          <w:sz w:val="24"/>
        </w:rPr>
        <w:t>日，富荣福泰灵活配置混合型证券投资基金基金份额持有人大会以通讯方式召开，大会审议并通过了《富荣福泰灵活配置混合型证券投资基金转型有关事项的议案》，内容包括富荣福泰灵活配置混合型证券投资基金变更名称、基金类别、投资目标、投资范围、投资策略、投资比例限制及业绩比较基准、估值方法、基金费用等内容，并相应修订基金合同等事项。持有人大会决议自表决通过之日起生效。自</w:t>
      </w:r>
      <w:r>
        <w:rPr>
          <w:bCs/>
          <w:sz w:val="24"/>
        </w:rPr>
        <w:t>201</w:t>
      </w:r>
      <w:r>
        <w:rPr>
          <w:rFonts w:hint="eastAsia"/>
          <w:bCs/>
          <w:sz w:val="24"/>
        </w:rPr>
        <w:t>9</w:t>
      </w:r>
      <w:r>
        <w:rPr>
          <w:rFonts w:hint="eastAsia"/>
          <w:bCs/>
          <w:sz w:val="24"/>
        </w:rPr>
        <w:t>年</w:t>
      </w:r>
      <w:r>
        <w:rPr>
          <w:rFonts w:hint="eastAsia"/>
          <w:bCs/>
          <w:sz w:val="24"/>
        </w:rPr>
        <w:t>1</w:t>
      </w:r>
      <w:r>
        <w:rPr>
          <w:rFonts w:hint="eastAsia"/>
          <w:bCs/>
          <w:sz w:val="24"/>
        </w:rPr>
        <w:t>月</w:t>
      </w:r>
      <w:r>
        <w:rPr>
          <w:rFonts w:hint="eastAsia"/>
          <w:bCs/>
          <w:sz w:val="24"/>
        </w:rPr>
        <w:t>24</w:t>
      </w:r>
      <w:r>
        <w:rPr>
          <w:rFonts w:hint="eastAsia"/>
          <w:bCs/>
          <w:sz w:val="24"/>
        </w:rPr>
        <w:t>日起，《富荣福泰灵活配置混合型证券投资基金基金合同》失效且《富荣沪深</w:t>
      </w:r>
      <w:r>
        <w:rPr>
          <w:bCs/>
          <w:sz w:val="24"/>
        </w:rPr>
        <w:t>300</w:t>
      </w:r>
      <w:r>
        <w:rPr>
          <w:rFonts w:hint="eastAsia"/>
          <w:bCs/>
          <w:sz w:val="24"/>
        </w:rPr>
        <w:t>指数增强型证券投资基金基金合同》同时生效，富荣福泰灵活配置混合型证券投资基金正式变更为富荣沪深</w:t>
      </w:r>
      <w:r>
        <w:rPr>
          <w:bCs/>
          <w:sz w:val="24"/>
        </w:rPr>
        <w:t>300</w:t>
      </w:r>
      <w:r>
        <w:rPr>
          <w:rFonts w:hint="eastAsia"/>
          <w:bCs/>
          <w:sz w:val="24"/>
        </w:rPr>
        <w:t>指数增强型证券投资基金。</w:t>
      </w:r>
      <w:bookmarkStart w:id="136" w:name="_Toc416264543"/>
      <w:bookmarkStart w:id="137" w:name="_Toc214873596"/>
      <w:bookmarkStart w:id="138" w:name="_Toc263092315"/>
      <w:bookmarkStart w:id="139" w:name="_Toc25783"/>
      <w:bookmarkStart w:id="140" w:name="_Toc4559"/>
      <w:bookmarkStart w:id="141" w:name="_Toc11030"/>
      <w:bookmarkStart w:id="142" w:name="_Toc139991738"/>
      <w:bookmarkStart w:id="143" w:name="_Toc79392583"/>
      <w:bookmarkStart w:id="144" w:name="_Toc3321"/>
      <w:bookmarkStart w:id="145" w:name="_Toc20768"/>
      <w:bookmarkStart w:id="146" w:name="_Toc10650"/>
      <w:bookmarkStart w:id="147" w:name="_Toc123112236"/>
      <w:bookmarkStart w:id="148" w:name="_Toc98560354"/>
      <w:bookmarkStart w:id="149" w:name="_Toc123051454"/>
      <w:bookmarkStart w:id="150" w:name="_Toc7058"/>
      <w:bookmarkStart w:id="151" w:name="_Toc3771"/>
      <w:bookmarkStart w:id="152" w:name="_Toc123102455"/>
      <w:bookmarkStart w:id="153" w:name="_Toc141703888"/>
      <w:bookmarkStart w:id="154" w:name="_Toc352229754"/>
      <w:bookmarkStart w:id="155" w:name="_Toc18567"/>
      <w:bookmarkStart w:id="156" w:name="_Toc6447"/>
      <w:bookmarkStart w:id="157" w:name="_Toc970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r>
        <w:rPr>
          <w:rFonts w:ascii="Times New Roman"/>
          <w:sz w:val="30"/>
          <w:szCs w:val="30"/>
        </w:rPr>
        <w:br w:type="page"/>
      </w:r>
    </w:p>
    <w:p w14:paraId="4E754894" w14:textId="77777777" w:rsidR="003568C2" w:rsidRDefault="00695B03">
      <w:pPr>
        <w:pStyle w:val="1"/>
        <w:jc w:val="center"/>
        <w:rPr>
          <w:sz w:val="30"/>
          <w:szCs w:val="30"/>
        </w:rPr>
      </w:pPr>
      <w:bookmarkStart w:id="158" w:name="_Toc15892920"/>
      <w:r>
        <w:rPr>
          <w:rFonts w:hint="eastAsia"/>
          <w:sz w:val="30"/>
          <w:szCs w:val="30"/>
        </w:rPr>
        <w:lastRenderedPageBreak/>
        <w:t>第七部分</w:t>
      </w:r>
      <w:r>
        <w:rPr>
          <w:sz w:val="30"/>
          <w:szCs w:val="30"/>
        </w:rPr>
        <w:t xml:space="preserve">  </w:t>
      </w:r>
      <w:bookmarkEnd w:id="136"/>
      <w:bookmarkEnd w:id="137"/>
      <w:bookmarkEnd w:id="138"/>
      <w:r>
        <w:rPr>
          <w:rFonts w:hint="eastAsia"/>
          <w:sz w:val="30"/>
          <w:szCs w:val="30"/>
        </w:rPr>
        <w:t>基金的存续</w:t>
      </w:r>
      <w:bookmarkEnd w:id="158"/>
    </w:p>
    <w:p w14:paraId="046E2D83" w14:textId="77777777" w:rsidR="003568C2" w:rsidRDefault="003568C2">
      <w:pPr>
        <w:rPr>
          <w:rFonts w:ascii="Times New Roman" w:eastAsia="宋体" w:hAnsi="Times New Roman" w:cs="Times New Roman"/>
          <w:szCs w:val="20"/>
        </w:rPr>
      </w:pPr>
    </w:p>
    <w:p w14:paraId="11D4A29B" w14:textId="77777777" w:rsidR="003568C2" w:rsidRDefault="00695B03">
      <w:pPr>
        <w:spacing w:line="360" w:lineRule="auto"/>
        <w:ind w:firstLineChars="200" w:firstLine="480"/>
        <w:rPr>
          <w:bCs/>
          <w:sz w:val="24"/>
        </w:rPr>
      </w:pPr>
      <w:bookmarkStart w:id="159" w:name="_Toc410197819"/>
      <w:r>
        <w:rPr>
          <w:rFonts w:hint="eastAsia"/>
          <w:bCs/>
          <w:sz w:val="24"/>
        </w:rPr>
        <w:t>《基金合同》生效后，连续</w:t>
      </w:r>
      <w:r>
        <w:rPr>
          <w:bCs/>
          <w:sz w:val="24"/>
        </w:rPr>
        <w:t>20</w:t>
      </w:r>
      <w:r>
        <w:rPr>
          <w:rFonts w:hint="eastAsia"/>
          <w:bCs/>
          <w:sz w:val="24"/>
        </w:rPr>
        <w:t>个工作日出现基金份额持有人数量不满</w:t>
      </w:r>
      <w:r>
        <w:rPr>
          <w:bCs/>
          <w:sz w:val="24"/>
        </w:rPr>
        <w:t>200</w:t>
      </w:r>
      <w:r>
        <w:rPr>
          <w:rFonts w:hint="eastAsia"/>
          <w:bCs/>
          <w:sz w:val="24"/>
        </w:rPr>
        <w:t>人或者基金资产净值低于</w:t>
      </w:r>
      <w:r>
        <w:rPr>
          <w:bCs/>
          <w:sz w:val="24"/>
        </w:rPr>
        <w:t>5000</w:t>
      </w:r>
      <w:r>
        <w:rPr>
          <w:rFonts w:hint="eastAsia"/>
          <w:bCs/>
          <w:sz w:val="24"/>
        </w:rPr>
        <w:t>万元的，基金管理人应当在定期报告中予以披露。连续</w:t>
      </w:r>
      <w:r>
        <w:rPr>
          <w:bCs/>
          <w:sz w:val="24"/>
        </w:rPr>
        <w:t>60</w:t>
      </w:r>
      <w:r>
        <w:rPr>
          <w:rFonts w:hint="eastAsia"/>
          <w:bCs/>
          <w:sz w:val="24"/>
        </w:rPr>
        <w:t>个工作日出现基金份额持有人数量不满</w:t>
      </w:r>
      <w:r>
        <w:rPr>
          <w:bCs/>
          <w:sz w:val="24"/>
        </w:rPr>
        <w:t>200</w:t>
      </w:r>
      <w:r>
        <w:rPr>
          <w:rFonts w:hint="eastAsia"/>
          <w:bCs/>
          <w:sz w:val="24"/>
        </w:rPr>
        <w:t>人或者基金资产净值低于</w:t>
      </w:r>
      <w:r>
        <w:rPr>
          <w:bCs/>
          <w:sz w:val="24"/>
        </w:rPr>
        <w:t>5000</w:t>
      </w:r>
      <w:r>
        <w:rPr>
          <w:rFonts w:hint="eastAsia"/>
          <w:bCs/>
          <w:sz w:val="24"/>
        </w:rPr>
        <w:t>万元情形的，基金管理人应当向中国证监会报告并提出解决方案，如转换运作方式、与其他基金合并或者终止基金合同等，并召开基金份额持有人大会进行表决。</w:t>
      </w:r>
    </w:p>
    <w:p w14:paraId="256EC7A3" w14:textId="77777777" w:rsidR="003568C2" w:rsidRDefault="00695B03">
      <w:pPr>
        <w:spacing w:line="360" w:lineRule="auto"/>
        <w:ind w:firstLineChars="200" w:firstLine="480"/>
        <w:rPr>
          <w:bCs/>
          <w:sz w:val="24"/>
        </w:rPr>
      </w:pPr>
      <w:r>
        <w:rPr>
          <w:rFonts w:hint="eastAsia"/>
          <w:bCs/>
          <w:sz w:val="24"/>
        </w:rPr>
        <w:t>法律法规另有规定时，从其规定。</w:t>
      </w:r>
      <w:bookmarkStart w:id="160" w:name="_Toc263092316"/>
      <w:bookmarkStart w:id="161" w:name="_Toc21073391"/>
      <w:bookmarkStart w:id="162" w:name="_Toc147463118"/>
      <w:bookmarkStart w:id="163" w:name="_Toc416264544"/>
      <w:bookmarkStart w:id="164" w:name="_Toc12357171"/>
      <w:bookmarkStart w:id="165" w:name="_Toc214873597"/>
      <w:bookmarkStart w:id="166" w:name="_Toc352229755"/>
      <w:bookmarkStart w:id="167" w:name="_Toc18206"/>
      <w:bookmarkStart w:id="168" w:name="_Toc123051455"/>
      <w:bookmarkStart w:id="169" w:name="_Toc3572"/>
      <w:bookmarkStart w:id="170" w:name="_Toc18769"/>
      <w:bookmarkStart w:id="171" w:name="_Toc3080"/>
      <w:bookmarkStart w:id="172" w:name="_Toc98560355"/>
      <w:bookmarkStart w:id="173" w:name="_Toc725"/>
      <w:bookmarkStart w:id="174" w:name="_Toc21735"/>
      <w:bookmarkStart w:id="175" w:name="_Toc3963"/>
      <w:bookmarkStart w:id="176" w:name="_Toc123102456"/>
      <w:bookmarkStart w:id="177" w:name="_Toc10398"/>
      <w:bookmarkStart w:id="178" w:name="_Toc139991739"/>
      <w:bookmarkStart w:id="179" w:name="_Toc141703889"/>
      <w:bookmarkStart w:id="180" w:name="_Toc31821"/>
      <w:bookmarkStart w:id="181" w:name="_Toc16164"/>
      <w:bookmarkStart w:id="182" w:name="_Toc123112237"/>
      <w:bookmarkStart w:id="183" w:name="_Toc1745"/>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9"/>
      <w:r>
        <w:rPr>
          <w:bCs/>
          <w:sz w:val="24"/>
        </w:rPr>
        <w:br w:type="page"/>
      </w:r>
    </w:p>
    <w:p w14:paraId="25ED7BF4" w14:textId="77777777" w:rsidR="003568C2" w:rsidRDefault="00695B03">
      <w:pPr>
        <w:pStyle w:val="1"/>
        <w:jc w:val="center"/>
        <w:rPr>
          <w:sz w:val="30"/>
          <w:szCs w:val="30"/>
        </w:rPr>
      </w:pPr>
      <w:bookmarkStart w:id="184" w:name="_Toc15892921"/>
      <w:r>
        <w:rPr>
          <w:rFonts w:hint="eastAsia"/>
          <w:sz w:val="30"/>
          <w:szCs w:val="30"/>
        </w:rPr>
        <w:lastRenderedPageBreak/>
        <w:t>第八部分</w:t>
      </w:r>
      <w:r>
        <w:rPr>
          <w:sz w:val="30"/>
          <w:szCs w:val="30"/>
        </w:rPr>
        <w:t xml:space="preserve">  </w:t>
      </w:r>
      <w:r>
        <w:rPr>
          <w:rFonts w:hint="eastAsia"/>
          <w:sz w:val="30"/>
          <w:szCs w:val="30"/>
        </w:rPr>
        <w:t>基金份额的申购与赎回</w:t>
      </w:r>
      <w:bookmarkEnd w:id="160"/>
      <w:bookmarkEnd w:id="161"/>
      <w:bookmarkEnd w:id="162"/>
      <w:bookmarkEnd w:id="163"/>
      <w:bookmarkEnd w:id="164"/>
      <w:bookmarkEnd w:id="165"/>
      <w:bookmarkEnd w:id="184"/>
    </w:p>
    <w:p w14:paraId="22B8FAE9" w14:textId="77777777" w:rsidR="003568C2" w:rsidRDefault="00695B03">
      <w:pPr>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kern w:val="0"/>
          <w:sz w:val="24"/>
          <w:szCs w:val="24"/>
        </w:rPr>
        <w:t>一、申购和赎回场所</w:t>
      </w:r>
    </w:p>
    <w:p w14:paraId="2D7E8A1F" w14:textId="77777777" w:rsidR="003568C2" w:rsidRDefault="00695B03">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的申购与赎回将通过销售机构进行。具体的销售网点将由基金管理人在其他相关公告中列明。基金管理人可根据情况变更或增减销售机构，并在管理人网站公示。基金投资者应当在销售机构办理基金销售业务的营业场所或按销售机构提供的其他方式办理基金份额的申购与赎回。</w:t>
      </w:r>
    </w:p>
    <w:p w14:paraId="6A859A0E" w14:textId="77777777" w:rsidR="003568C2" w:rsidRDefault="00695B03">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若基金管理人或其指定的销售机构开通电话、传真或网上等交易方式，投资人可以通过上述方式进行申购与赎回，具体办法由基金管理人或其指定的销售机构另行公告。</w:t>
      </w:r>
    </w:p>
    <w:p w14:paraId="22740047" w14:textId="77777777" w:rsidR="003568C2" w:rsidRDefault="00695B03">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二、申购和赎回的开放日及时间</w:t>
      </w:r>
    </w:p>
    <w:p w14:paraId="573B5A91" w14:textId="77777777" w:rsidR="003568C2" w:rsidRDefault="00695B03">
      <w:pPr>
        <w:tabs>
          <w:tab w:val="left" w:pos="1110"/>
        </w:tabs>
        <w:adjustRightInd w:val="0"/>
        <w:snapToGrid w:val="0"/>
        <w:spacing w:line="360" w:lineRule="auto"/>
        <w:ind w:firstLineChars="200" w:firstLine="480"/>
        <w:rPr>
          <w:rFonts w:asciiTheme="minorEastAsia" w:hAnsiTheme="minorEastAsia" w:cs="Arial"/>
          <w:sz w:val="24"/>
          <w:szCs w:val="24"/>
        </w:rPr>
      </w:pPr>
      <w:bookmarkStart w:id="185" w:name="_Toc510842719"/>
      <w:r>
        <w:rPr>
          <w:rFonts w:asciiTheme="minorEastAsia" w:hAnsiTheme="minorEastAsia" w:cs="Arial" w:hint="eastAsia"/>
          <w:sz w:val="24"/>
          <w:szCs w:val="24"/>
        </w:rPr>
        <w:t>1、开放日及开放时间</w:t>
      </w:r>
    </w:p>
    <w:p w14:paraId="1B0E3E0D" w14:textId="77777777" w:rsidR="003568C2" w:rsidRDefault="00695B0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14:paraId="0C6F363E" w14:textId="77777777" w:rsidR="003568C2" w:rsidRDefault="00695B0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合同生效后，若出现新的证券/期货交易市场、证券/期货交易所交易时间变更或其他特殊情况，基金管理人将视情况对前述开放日及开放时间进行相应的调整，但应在实施日前依照《信息披露办法》的有关规定在指定媒介上公告。</w:t>
      </w:r>
    </w:p>
    <w:p w14:paraId="2180A0DF" w14:textId="77777777" w:rsidR="003568C2" w:rsidRDefault="00695B0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2、申购、赎回开始日及业务办理时间</w:t>
      </w:r>
    </w:p>
    <w:p w14:paraId="5EA85544" w14:textId="77777777" w:rsidR="003568C2" w:rsidRDefault="00695B0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本基金已于2019年1月</w:t>
      </w:r>
      <w:r>
        <w:rPr>
          <w:rFonts w:asciiTheme="minorEastAsia" w:hAnsiTheme="minorEastAsia" w:cs="Arial"/>
          <w:sz w:val="24"/>
          <w:szCs w:val="24"/>
        </w:rPr>
        <w:t>24</w:t>
      </w:r>
      <w:r>
        <w:rPr>
          <w:rFonts w:asciiTheme="minorEastAsia" w:hAnsiTheme="minorEastAsia" w:cs="Arial" w:hint="eastAsia"/>
          <w:sz w:val="24"/>
          <w:szCs w:val="24"/>
        </w:rPr>
        <w:t>日开始办理申购、赎回业务。</w:t>
      </w:r>
    </w:p>
    <w:p w14:paraId="7ADBEBC3" w14:textId="77777777" w:rsidR="003568C2" w:rsidRDefault="00695B0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不得在基金合同约定之外的日期或者时间办理基金份额的申购、赎回或者转换。投资人在基金合同约定之外的日期和时间提出申购、赎回或转换申请且登记机构确认接受的，其基金份额申购、赎回价格为下一开放日该类别基金份额申购、赎回的价格。</w:t>
      </w:r>
    </w:p>
    <w:bookmarkEnd w:id="185"/>
    <w:p w14:paraId="61F0A4C7" w14:textId="77777777" w:rsidR="003568C2" w:rsidRDefault="00695B03">
      <w:pPr>
        <w:tabs>
          <w:tab w:val="left" w:pos="1110"/>
        </w:tabs>
        <w:adjustRightInd w:val="0"/>
        <w:snapToGrid w:val="0"/>
        <w:spacing w:line="360" w:lineRule="auto"/>
        <w:ind w:firstLineChars="200" w:firstLine="482"/>
        <w:rPr>
          <w:rFonts w:asciiTheme="minorEastAsia" w:hAnsiTheme="minorEastAsia" w:cs="Arial"/>
          <w:sz w:val="24"/>
          <w:szCs w:val="24"/>
        </w:rPr>
      </w:pPr>
      <w:r>
        <w:rPr>
          <w:rFonts w:asciiTheme="minorEastAsia" w:hAnsiTheme="minorEastAsia" w:cs="Arial" w:hint="eastAsia"/>
          <w:b/>
          <w:bCs/>
          <w:sz w:val="24"/>
          <w:szCs w:val="24"/>
        </w:rPr>
        <w:t>三、申购与赎回的原则</w:t>
      </w:r>
    </w:p>
    <w:p w14:paraId="67EE59C1" w14:textId="77777777" w:rsidR="003568C2" w:rsidRDefault="00695B0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、“未知价”原则，即申购、赎回价格以申请当日收市后计算的某一类别基金份额净值为基准进行计算；</w:t>
      </w:r>
    </w:p>
    <w:p w14:paraId="3DF63DCB" w14:textId="77777777" w:rsidR="003568C2" w:rsidRDefault="00695B0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、“金额申购、份额赎回”原则，即申购以金额申请，赎回以份额申请；</w:t>
      </w:r>
    </w:p>
    <w:p w14:paraId="2AAD782D" w14:textId="77777777" w:rsidR="003568C2" w:rsidRDefault="00695B0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、当日的申购与赎回申请可以在基金管理人规定的时间以内撤销；</w:t>
      </w:r>
    </w:p>
    <w:p w14:paraId="5BE8319C" w14:textId="77777777" w:rsidR="003568C2" w:rsidRDefault="00695B0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4</w:t>
      </w:r>
      <w:r>
        <w:rPr>
          <w:rFonts w:asciiTheme="minorEastAsia" w:hAnsiTheme="minorEastAsia" w:cs="Arial" w:hint="eastAsia"/>
          <w:sz w:val="24"/>
          <w:szCs w:val="24"/>
        </w:rPr>
        <w:t>、赎回遵循“先进先出”原则，即按照投资人认购申购的先后次序进行顺</w:t>
      </w:r>
      <w:r>
        <w:rPr>
          <w:rFonts w:asciiTheme="minorEastAsia" w:hAnsiTheme="minorEastAsia" w:cs="Arial" w:hint="eastAsia"/>
          <w:sz w:val="24"/>
          <w:szCs w:val="24"/>
        </w:rPr>
        <w:lastRenderedPageBreak/>
        <w:t>序赎回；</w:t>
      </w:r>
    </w:p>
    <w:p w14:paraId="75C410A6" w14:textId="77777777" w:rsidR="003568C2" w:rsidRDefault="00695B0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5、投资者办理申购、赎回等业务时应提交的文件和办理手续、办理时间、处理规则等在遵守基金合同和招募说明书规定的前提下，以各销售机构的具体规定为准。</w:t>
      </w:r>
    </w:p>
    <w:p w14:paraId="7DBFAE7B" w14:textId="77777777" w:rsidR="003568C2" w:rsidRDefault="00695B0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基金管理人可在法律法规允许的情况下，对上述原则进行调整。基金管理人必须在新规则开始实施前依照《信息披露办法》的有关规定在指定媒介上公告。</w:t>
      </w:r>
    </w:p>
    <w:p w14:paraId="3D95A064" w14:textId="77777777" w:rsidR="003568C2" w:rsidRDefault="00695B03">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四、申购与赎回的程序</w:t>
      </w:r>
    </w:p>
    <w:p w14:paraId="3036F1F9" w14:textId="77777777" w:rsidR="003568C2" w:rsidRDefault="00695B0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、申购和赎回的申请方式</w:t>
      </w:r>
    </w:p>
    <w:p w14:paraId="46EDA889" w14:textId="77777777" w:rsidR="003568C2" w:rsidRDefault="00695B0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投资人必须根据销售机构规定的程序，在开放日的具体业务办理时间内提出申购或赎回的申请。</w:t>
      </w:r>
    </w:p>
    <w:p w14:paraId="266769C3" w14:textId="77777777" w:rsidR="003568C2" w:rsidRDefault="00695B0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、申购和赎回的款项支付</w:t>
      </w:r>
    </w:p>
    <w:p w14:paraId="68511715" w14:textId="77777777" w:rsidR="003568C2" w:rsidRDefault="00695B0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投资人申购基金份额时，必须全额交付申购款项，投资人在规定时间前全额交付申购款项，申购成立；登记机构确认基金份额时，申购生效。</w:t>
      </w:r>
    </w:p>
    <w:p w14:paraId="09EF7825" w14:textId="77777777" w:rsidR="003568C2" w:rsidRDefault="00695B0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基金份额持有人递交赎回申请，赎回成立；登记机构确认赎回时，赎回生效。投资人赎回申请成功后，基金管理人将在</w:t>
      </w:r>
      <w:r>
        <w:rPr>
          <w:rFonts w:asciiTheme="minorEastAsia" w:hAnsiTheme="minorEastAsia" w:cs="Arial"/>
          <w:sz w:val="24"/>
          <w:szCs w:val="24"/>
        </w:rPr>
        <w:t>T</w:t>
      </w:r>
      <w:r>
        <w:rPr>
          <w:rFonts w:asciiTheme="minorEastAsia" w:hAnsiTheme="minorEastAsia" w:cs="Arial" w:hint="eastAsia"/>
          <w:sz w:val="24"/>
          <w:szCs w:val="24"/>
        </w:rPr>
        <w:t>＋</w:t>
      </w:r>
      <w:r>
        <w:rPr>
          <w:rFonts w:asciiTheme="minorEastAsia" w:hAnsiTheme="minorEastAsia" w:cs="Arial"/>
          <w:sz w:val="24"/>
          <w:szCs w:val="24"/>
        </w:rPr>
        <w:t>7</w:t>
      </w:r>
      <w:r>
        <w:rPr>
          <w:rFonts w:asciiTheme="minorEastAsia" w:hAnsiTheme="minorEastAsia" w:cs="Arial" w:hint="eastAsia"/>
          <w:sz w:val="24"/>
          <w:szCs w:val="24"/>
        </w:rPr>
        <w:t>日</w:t>
      </w:r>
      <w:r>
        <w:rPr>
          <w:rFonts w:asciiTheme="minorEastAsia" w:hAnsiTheme="minorEastAsia" w:cs="Arial"/>
          <w:sz w:val="24"/>
          <w:szCs w:val="24"/>
        </w:rPr>
        <w:t>(</w:t>
      </w:r>
      <w:r>
        <w:rPr>
          <w:rFonts w:asciiTheme="minorEastAsia" w:hAnsiTheme="minorEastAsia" w:cs="Arial" w:hint="eastAsia"/>
          <w:sz w:val="24"/>
          <w:szCs w:val="24"/>
        </w:rPr>
        <w:t>包括该日</w:t>
      </w:r>
      <w:r>
        <w:rPr>
          <w:rFonts w:asciiTheme="minorEastAsia" w:hAnsiTheme="minorEastAsia" w:cs="Arial"/>
          <w:sz w:val="24"/>
          <w:szCs w:val="24"/>
        </w:rPr>
        <w:t>)</w:t>
      </w:r>
      <w:r>
        <w:rPr>
          <w:rFonts w:asciiTheme="minorEastAsia" w:hAnsiTheme="minorEastAsia" w:cs="Arial" w:hint="eastAsia"/>
          <w:sz w:val="24"/>
          <w:szCs w:val="24"/>
        </w:rPr>
        <w:t>内支付赎回款项。在发生巨额赎回时，款项的支付办法参照基金合同有关条款处理。</w:t>
      </w:r>
    </w:p>
    <w:p w14:paraId="42E0CC0D" w14:textId="77777777" w:rsidR="003568C2" w:rsidRDefault="00695B0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、申购和赎回申请的确认</w:t>
      </w:r>
    </w:p>
    <w:p w14:paraId="4500F9CC" w14:textId="77777777" w:rsidR="003568C2" w:rsidRDefault="00695B0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基金管理人应以交易时间结束前受理有效申购和赎回申请的当天作为申购或赎回申请日</w:t>
      </w:r>
      <w:r>
        <w:rPr>
          <w:rFonts w:asciiTheme="minorEastAsia" w:hAnsiTheme="minorEastAsia" w:cs="Arial"/>
          <w:sz w:val="24"/>
          <w:szCs w:val="24"/>
        </w:rPr>
        <w:t>(T</w:t>
      </w:r>
      <w:r>
        <w:rPr>
          <w:rFonts w:asciiTheme="minorEastAsia" w:hAnsiTheme="minorEastAsia" w:cs="Arial" w:hint="eastAsia"/>
          <w:sz w:val="24"/>
          <w:szCs w:val="24"/>
        </w:rPr>
        <w:t>日</w:t>
      </w:r>
      <w:r>
        <w:rPr>
          <w:rFonts w:asciiTheme="minorEastAsia" w:hAnsiTheme="minorEastAsia" w:cs="Arial"/>
          <w:sz w:val="24"/>
          <w:szCs w:val="24"/>
        </w:rPr>
        <w:t>)</w:t>
      </w:r>
      <w:r>
        <w:rPr>
          <w:rFonts w:asciiTheme="minorEastAsia" w:hAnsiTheme="minorEastAsia" w:cs="Arial" w:hint="eastAsia"/>
          <w:sz w:val="24"/>
          <w:szCs w:val="24"/>
        </w:rPr>
        <w:t>，在正常情况下，本基金登记机构在</w:t>
      </w:r>
      <w:r>
        <w:rPr>
          <w:rFonts w:asciiTheme="minorEastAsia" w:hAnsiTheme="minorEastAsia" w:cs="Arial"/>
          <w:sz w:val="24"/>
          <w:szCs w:val="24"/>
        </w:rPr>
        <w:t>T+1</w:t>
      </w:r>
      <w:r>
        <w:rPr>
          <w:rFonts w:asciiTheme="minorEastAsia" w:hAnsiTheme="minorEastAsia" w:cs="Arial" w:hint="eastAsia"/>
          <w:sz w:val="24"/>
          <w:szCs w:val="24"/>
        </w:rPr>
        <w:t>日内对该交易的有效性进行确认。</w:t>
      </w:r>
      <w:r>
        <w:rPr>
          <w:rFonts w:asciiTheme="minorEastAsia" w:hAnsiTheme="minorEastAsia" w:cs="Arial"/>
          <w:sz w:val="24"/>
          <w:szCs w:val="24"/>
        </w:rPr>
        <w:t>T</w:t>
      </w:r>
      <w:r>
        <w:rPr>
          <w:rFonts w:asciiTheme="minorEastAsia" w:hAnsiTheme="minorEastAsia" w:cs="Arial" w:hint="eastAsia"/>
          <w:sz w:val="24"/>
          <w:szCs w:val="24"/>
        </w:rPr>
        <w:t>日提交的有效申请，投资人应在</w:t>
      </w:r>
      <w:r>
        <w:rPr>
          <w:rFonts w:asciiTheme="minorEastAsia" w:hAnsiTheme="minorEastAsia" w:cs="Arial"/>
          <w:sz w:val="24"/>
          <w:szCs w:val="24"/>
        </w:rPr>
        <w:t>T+2</w:t>
      </w:r>
      <w:r>
        <w:rPr>
          <w:rFonts w:asciiTheme="minorEastAsia" w:hAnsiTheme="minorEastAsia" w:cs="Arial" w:hint="eastAsia"/>
          <w:sz w:val="24"/>
          <w:szCs w:val="24"/>
        </w:rPr>
        <w:t>日后</w:t>
      </w:r>
      <w:r>
        <w:rPr>
          <w:rFonts w:asciiTheme="minorEastAsia" w:hAnsiTheme="minorEastAsia" w:cs="Arial"/>
          <w:sz w:val="24"/>
          <w:szCs w:val="24"/>
        </w:rPr>
        <w:t>(</w:t>
      </w:r>
      <w:r>
        <w:rPr>
          <w:rFonts w:asciiTheme="minorEastAsia" w:hAnsiTheme="minorEastAsia" w:cs="Arial" w:hint="eastAsia"/>
          <w:sz w:val="24"/>
          <w:szCs w:val="24"/>
        </w:rPr>
        <w:t>包括该日</w:t>
      </w:r>
      <w:r>
        <w:rPr>
          <w:rFonts w:asciiTheme="minorEastAsia" w:hAnsiTheme="minorEastAsia" w:cs="Arial"/>
          <w:sz w:val="24"/>
          <w:szCs w:val="24"/>
        </w:rPr>
        <w:t>)</w:t>
      </w:r>
      <w:r>
        <w:rPr>
          <w:rFonts w:asciiTheme="minorEastAsia" w:hAnsiTheme="minorEastAsia" w:cs="Arial" w:hint="eastAsia"/>
          <w:sz w:val="24"/>
          <w:szCs w:val="24"/>
        </w:rPr>
        <w:t>及时到销售网点柜台或以销售机构规定的其他方式查询申请的确认情况。若申购不成功，则申购款项退还给投资人。</w:t>
      </w:r>
    </w:p>
    <w:p w14:paraId="517BD03D" w14:textId="77777777" w:rsidR="003568C2" w:rsidRDefault="00695B0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基金销售机构对申购、赎回申请的受理并不代表申请一定成功，而仅代表销售机构确实接收到申请。申购、赎回申请的确认以登记机构的确认结果为准。对于申请的确认情况，投资者应及时查询。</w:t>
      </w:r>
    </w:p>
    <w:p w14:paraId="15F098CB" w14:textId="77777777" w:rsidR="003568C2" w:rsidRDefault="00695B0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基金管理人可以在法律法规和基金合同允许的范围内，对上述业务办理时间进行调整，并在调整实施前依照《信息披露办法》的有关规定在指定媒介上公告。</w:t>
      </w:r>
    </w:p>
    <w:p w14:paraId="4A22550C" w14:textId="77777777" w:rsidR="003568C2" w:rsidRDefault="00695B03">
      <w:pPr>
        <w:tabs>
          <w:tab w:val="left" w:pos="1110"/>
        </w:tabs>
        <w:adjustRightInd w:val="0"/>
        <w:snapToGrid w:val="0"/>
        <w:spacing w:line="360" w:lineRule="auto"/>
        <w:ind w:firstLineChars="200" w:firstLine="482"/>
        <w:rPr>
          <w:rFonts w:asciiTheme="minorEastAsia" w:hAnsiTheme="minorEastAsia" w:cs="Arial"/>
          <w:sz w:val="24"/>
          <w:szCs w:val="24"/>
        </w:rPr>
      </w:pPr>
      <w:r>
        <w:rPr>
          <w:rFonts w:asciiTheme="minorEastAsia" w:hAnsiTheme="minorEastAsia" w:cs="Arial" w:hint="eastAsia"/>
          <w:b/>
          <w:bCs/>
          <w:sz w:val="24"/>
          <w:szCs w:val="24"/>
        </w:rPr>
        <w:t>五、申购与赎回的数额限制</w:t>
      </w:r>
    </w:p>
    <w:p w14:paraId="22259B22" w14:textId="77777777" w:rsidR="003568C2" w:rsidRDefault="00695B0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1、投资人申购 A 类基金份额，首次单笔最低申购金额为人民币 1.00 元，</w:t>
      </w:r>
      <w:r>
        <w:rPr>
          <w:rFonts w:asciiTheme="minorEastAsia" w:hAnsiTheme="minorEastAsia" w:cs="Arial" w:hint="eastAsia"/>
          <w:sz w:val="24"/>
          <w:szCs w:val="24"/>
        </w:rPr>
        <w:lastRenderedPageBreak/>
        <w:t>追加申购单笔最低金额为人民币 1.00 元。投资人申购 C 类基金份额，首次单笔最低申购金额为人民币</w:t>
      </w:r>
      <w:r>
        <w:rPr>
          <w:rFonts w:asciiTheme="minorEastAsia" w:hAnsiTheme="minorEastAsia" w:cs="Arial"/>
          <w:kern w:val="0"/>
          <w:sz w:val="24"/>
          <w:szCs w:val="24"/>
        </w:rPr>
        <w:t>1.00</w:t>
      </w:r>
      <w:r>
        <w:rPr>
          <w:rFonts w:asciiTheme="minorEastAsia" w:hAnsiTheme="minorEastAsia" w:cs="Arial" w:hint="eastAsia"/>
          <w:sz w:val="24"/>
          <w:szCs w:val="24"/>
        </w:rPr>
        <w:t>元，追加申购单笔最低金额为人民币</w:t>
      </w:r>
      <w:r>
        <w:rPr>
          <w:rFonts w:asciiTheme="minorEastAsia" w:hAnsiTheme="minorEastAsia" w:cs="Arial"/>
          <w:kern w:val="0"/>
          <w:sz w:val="24"/>
          <w:szCs w:val="24"/>
        </w:rPr>
        <w:t>1.00</w:t>
      </w:r>
      <w:r>
        <w:rPr>
          <w:rFonts w:asciiTheme="minorEastAsia" w:hAnsiTheme="minorEastAsia" w:cs="Arial" w:hint="eastAsia"/>
          <w:sz w:val="24"/>
          <w:szCs w:val="24"/>
        </w:rPr>
        <w:t>元。各销售机构在不低于上述规定的前提下，可根据自己的情况调整首次最低申购金额和追加最低申购金额和追加最低申购金额限制，具体以销售机构公布的为准。</w:t>
      </w:r>
    </w:p>
    <w:p w14:paraId="17BD1ECD" w14:textId="77777777" w:rsidR="003568C2" w:rsidRDefault="00695B0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2、基金份额持有人在销售机构赎回时，每个交易账户最低持有某一类别基金份额余额为 1 份，若某笔赎回导致单个交易账户的某一类别基金份额余额少于 1 份时，该类份额余额部分基金份额必须一同赎回。</w:t>
      </w:r>
    </w:p>
    <w:p w14:paraId="4D5361D5" w14:textId="77777777" w:rsidR="003568C2" w:rsidRDefault="00695B0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3、基金管理人可以规定单个投资者累计持有的某一类别基金份额数量限制，具体规定见定期更新的招募说明书或相关公告。</w:t>
      </w:r>
    </w:p>
    <w:p w14:paraId="12DD0D89" w14:textId="77777777" w:rsidR="003568C2" w:rsidRDefault="00695B03">
      <w:pPr>
        <w:spacing w:line="360" w:lineRule="auto"/>
        <w:ind w:firstLineChars="200" w:firstLine="480"/>
        <w:rPr>
          <w:bCs/>
          <w:sz w:val="24"/>
          <w:szCs w:val="24"/>
        </w:rPr>
      </w:pPr>
      <w:r>
        <w:rPr>
          <w:bCs/>
          <w:sz w:val="24"/>
          <w:szCs w:val="24"/>
        </w:rPr>
        <w:t>4</w:t>
      </w:r>
      <w:r>
        <w:rPr>
          <w:rFonts w:hint="eastAsia"/>
          <w:bCs/>
          <w:sz w:val="24"/>
          <w:szCs w:val="24"/>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具体请参见相关公告。</w:t>
      </w:r>
    </w:p>
    <w:p w14:paraId="455CFC7D" w14:textId="77777777" w:rsidR="003568C2" w:rsidRDefault="00695B03">
      <w:pPr>
        <w:spacing w:line="360" w:lineRule="auto"/>
        <w:ind w:firstLineChars="200" w:firstLine="480"/>
        <w:rPr>
          <w:bCs/>
          <w:sz w:val="24"/>
          <w:szCs w:val="24"/>
        </w:rPr>
      </w:pPr>
      <w:r>
        <w:rPr>
          <w:bCs/>
          <w:sz w:val="24"/>
          <w:szCs w:val="24"/>
        </w:rPr>
        <w:t>5</w:t>
      </w:r>
      <w:r>
        <w:rPr>
          <w:rFonts w:hint="eastAsia"/>
          <w:bCs/>
          <w:sz w:val="24"/>
          <w:szCs w:val="24"/>
        </w:rPr>
        <w:t>、</w:t>
      </w:r>
      <w:r>
        <w:rPr>
          <w:bCs/>
          <w:sz w:val="24"/>
          <w:szCs w:val="24"/>
        </w:rPr>
        <w:t>基金管理人可在法律法规允许的情况下，调整上述规定申购金额和赎回份额</w:t>
      </w:r>
      <w:r>
        <w:rPr>
          <w:rFonts w:hint="eastAsia"/>
          <w:bCs/>
          <w:sz w:val="24"/>
          <w:szCs w:val="24"/>
        </w:rPr>
        <w:t>等</w:t>
      </w:r>
      <w:r>
        <w:rPr>
          <w:bCs/>
          <w:sz w:val="24"/>
          <w:szCs w:val="24"/>
        </w:rPr>
        <w:t>数量限制。基金管理人必须在调整</w:t>
      </w:r>
      <w:r>
        <w:rPr>
          <w:rFonts w:hint="eastAsia"/>
          <w:bCs/>
          <w:sz w:val="24"/>
          <w:szCs w:val="24"/>
        </w:rPr>
        <w:t>实施</w:t>
      </w:r>
      <w:r>
        <w:rPr>
          <w:bCs/>
          <w:sz w:val="24"/>
          <w:szCs w:val="24"/>
        </w:rPr>
        <w:t>前依照《信息披露办法》的有关规定在指定</w:t>
      </w:r>
      <w:r>
        <w:rPr>
          <w:rFonts w:hint="eastAsia"/>
          <w:bCs/>
          <w:sz w:val="24"/>
          <w:szCs w:val="24"/>
        </w:rPr>
        <w:t>媒介</w:t>
      </w:r>
      <w:r>
        <w:rPr>
          <w:bCs/>
          <w:sz w:val="24"/>
          <w:szCs w:val="24"/>
        </w:rPr>
        <w:t>上公告并报中国证监会备案。</w:t>
      </w:r>
    </w:p>
    <w:p w14:paraId="1B4F1856" w14:textId="77777777" w:rsidR="003568C2" w:rsidRDefault="00695B03">
      <w:pPr>
        <w:tabs>
          <w:tab w:val="left" w:pos="1110"/>
          <w:tab w:val="left" w:pos="630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六、申购费用、赎回费用</w:t>
      </w:r>
    </w:p>
    <w:p w14:paraId="44655550" w14:textId="77777777" w:rsidR="003568C2" w:rsidRDefault="00695B0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、申购费用</w:t>
      </w:r>
    </w:p>
    <w:p w14:paraId="7E86AF22" w14:textId="77777777" w:rsidR="003568C2" w:rsidRDefault="00695B0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类基金份额申购均采用金额申购方式，申购费率如下表。投资者在一天之内如果有多笔申购，费率按单笔分别计算。</w:t>
      </w:r>
    </w:p>
    <w:p w14:paraId="0FF999B9" w14:textId="77777777" w:rsidR="003568C2" w:rsidRDefault="003568C2">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92"/>
        <w:gridCol w:w="4430"/>
      </w:tblGrid>
      <w:tr w:rsidR="003568C2" w14:paraId="74028342" w14:textId="77777777">
        <w:trPr>
          <w:trHeight w:val="190"/>
          <w:jc w:val="center"/>
        </w:trPr>
        <w:tc>
          <w:tcPr>
            <w:tcW w:w="5000" w:type="pct"/>
            <w:gridSpan w:val="2"/>
            <w:tcBorders>
              <w:top w:val="single" w:sz="4" w:space="0" w:color="auto"/>
              <w:left w:val="single" w:sz="4" w:space="0" w:color="auto"/>
              <w:bottom w:val="single" w:sz="4" w:space="0" w:color="auto"/>
              <w:right w:val="single" w:sz="4" w:space="0" w:color="auto"/>
            </w:tcBorders>
          </w:tcPr>
          <w:p w14:paraId="758B171C" w14:textId="77777777" w:rsidR="003568C2" w:rsidRDefault="00695B03">
            <w:pPr>
              <w:widowControl/>
              <w:spacing w:line="264" w:lineRule="auto"/>
              <w:jc w:val="center"/>
              <w:rPr>
                <w:rFonts w:asciiTheme="minorEastAsia" w:hAnsiTheme="minorEastAsia" w:cs="Arial"/>
                <w:bCs/>
                <w:kern w:val="0"/>
                <w:sz w:val="24"/>
                <w:szCs w:val="24"/>
              </w:rPr>
            </w:pPr>
            <w:r>
              <w:rPr>
                <w:rFonts w:asciiTheme="minorEastAsia" w:hAnsiTheme="minorEastAsia" w:cs="Arial" w:hint="eastAsia"/>
                <w:b/>
                <w:bCs/>
                <w:kern w:val="0"/>
                <w:sz w:val="24"/>
                <w:szCs w:val="24"/>
              </w:rPr>
              <w:t>A类基金份额</w:t>
            </w:r>
          </w:p>
        </w:tc>
      </w:tr>
      <w:tr w:rsidR="003568C2" w14:paraId="619192F8" w14:textId="77777777">
        <w:trPr>
          <w:trHeight w:val="190"/>
          <w:jc w:val="center"/>
        </w:trPr>
        <w:tc>
          <w:tcPr>
            <w:tcW w:w="2401" w:type="pct"/>
            <w:tcBorders>
              <w:top w:val="single" w:sz="4" w:space="0" w:color="auto"/>
              <w:left w:val="single" w:sz="4" w:space="0" w:color="auto"/>
              <w:bottom w:val="single" w:sz="4" w:space="0" w:color="auto"/>
              <w:right w:val="single" w:sz="4" w:space="0" w:color="auto"/>
            </w:tcBorders>
          </w:tcPr>
          <w:p w14:paraId="1F725F02" w14:textId="77777777" w:rsidR="003568C2" w:rsidRDefault="00695B03">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申购金额（M）</w:t>
            </w:r>
          </w:p>
        </w:tc>
        <w:tc>
          <w:tcPr>
            <w:tcW w:w="2599" w:type="pct"/>
            <w:tcBorders>
              <w:top w:val="single" w:sz="4" w:space="0" w:color="auto"/>
              <w:left w:val="single" w:sz="4" w:space="0" w:color="auto"/>
              <w:bottom w:val="single" w:sz="4" w:space="0" w:color="auto"/>
              <w:right w:val="single" w:sz="4" w:space="0" w:color="auto"/>
            </w:tcBorders>
          </w:tcPr>
          <w:p w14:paraId="01B39617" w14:textId="77777777" w:rsidR="003568C2" w:rsidRDefault="00695B03">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申购费率</w:t>
            </w:r>
          </w:p>
        </w:tc>
      </w:tr>
      <w:tr w:rsidR="003568C2" w14:paraId="27F2D170" w14:textId="77777777">
        <w:trPr>
          <w:trHeight w:val="190"/>
          <w:jc w:val="center"/>
        </w:trPr>
        <w:tc>
          <w:tcPr>
            <w:tcW w:w="2401" w:type="pct"/>
            <w:tcBorders>
              <w:top w:val="single" w:sz="4" w:space="0" w:color="auto"/>
              <w:left w:val="single" w:sz="4" w:space="0" w:color="auto"/>
              <w:bottom w:val="single" w:sz="4" w:space="0" w:color="auto"/>
              <w:right w:val="single" w:sz="4" w:space="0" w:color="auto"/>
            </w:tcBorders>
          </w:tcPr>
          <w:p w14:paraId="28C03127" w14:textId="77777777" w:rsidR="003568C2" w:rsidRDefault="00695B03">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M＜100万元</w:t>
            </w:r>
          </w:p>
        </w:tc>
        <w:tc>
          <w:tcPr>
            <w:tcW w:w="2599" w:type="pct"/>
            <w:tcBorders>
              <w:top w:val="single" w:sz="4" w:space="0" w:color="auto"/>
              <w:left w:val="single" w:sz="4" w:space="0" w:color="auto"/>
              <w:bottom w:val="single" w:sz="4" w:space="0" w:color="auto"/>
              <w:right w:val="single" w:sz="4" w:space="0" w:color="auto"/>
            </w:tcBorders>
          </w:tcPr>
          <w:p w14:paraId="702A75B7" w14:textId="77777777" w:rsidR="003568C2" w:rsidRDefault="00695B03">
            <w:pPr>
              <w:widowControl/>
              <w:spacing w:line="336" w:lineRule="auto"/>
              <w:jc w:val="center"/>
              <w:rPr>
                <w:rFonts w:asciiTheme="minorEastAsia" w:hAnsiTheme="minorEastAsia" w:cs="Arial"/>
                <w:kern w:val="0"/>
                <w:sz w:val="24"/>
                <w:szCs w:val="24"/>
              </w:rPr>
            </w:pPr>
            <w:r>
              <w:rPr>
                <w:rFonts w:asciiTheme="minorEastAsia" w:hAnsiTheme="minorEastAsia" w:cs="Arial"/>
                <w:kern w:val="0"/>
                <w:sz w:val="24"/>
                <w:szCs w:val="24"/>
              </w:rPr>
              <w:t>1.20%</w:t>
            </w:r>
          </w:p>
        </w:tc>
      </w:tr>
      <w:tr w:rsidR="003568C2" w14:paraId="04044F5C" w14:textId="77777777">
        <w:trPr>
          <w:trHeight w:val="190"/>
          <w:jc w:val="center"/>
        </w:trPr>
        <w:tc>
          <w:tcPr>
            <w:tcW w:w="2401" w:type="pct"/>
            <w:tcBorders>
              <w:top w:val="single" w:sz="4" w:space="0" w:color="auto"/>
              <w:left w:val="single" w:sz="4" w:space="0" w:color="auto"/>
              <w:bottom w:val="single" w:sz="4" w:space="0" w:color="auto"/>
              <w:right w:val="single" w:sz="4" w:space="0" w:color="auto"/>
            </w:tcBorders>
          </w:tcPr>
          <w:p w14:paraId="29597527" w14:textId="77777777" w:rsidR="003568C2" w:rsidRDefault="00695B03">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100万元≤M＜500万元</w:t>
            </w:r>
          </w:p>
        </w:tc>
        <w:tc>
          <w:tcPr>
            <w:tcW w:w="2599" w:type="pct"/>
            <w:tcBorders>
              <w:top w:val="single" w:sz="4" w:space="0" w:color="auto"/>
              <w:left w:val="single" w:sz="4" w:space="0" w:color="auto"/>
              <w:bottom w:val="single" w:sz="4" w:space="0" w:color="auto"/>
              <w:right w:val="single" w:sz="4" w:space="0" w:color="auto"/>
            </w:tcBorders>
          </w:tcPr>
          <w:p w14:paraId="67F02D3C" w14:textId="77777777" w:rsidR="003568C2" w:rsidRDefault="00695B03">
            <w:pPr>
              <w:widowControl/>
              <w:spacing w:line="336" w:lineRule="auto"/>
              <w:jc w:val="center"/>
              <w:rPr>
                <w:rFonts w:asciiTheme="minorEastAsia" w:hAnsiTheme="minorEastAsia" w:cs="Arial"/>
                <w:kern w:val="0"/>
                <w:sz w:val="24"/>
                <w:szCs w:val="24"/>
              </w:rPr>
            </w:pPr>
            <w:r>
              <w:rPr>
                <w:rFonts w:asciiTheme="minorEastAsia" w:hAnsiTheme="minorEastAsia" w:cs="Arial"/>
                <w:kern w:val="0"/>
                <w:sz w:val="24"/>
                <w:szCs w:val="24"/>
              </w:rPr>
              <w:t>0.80%</w:t>
            </w:r>
          </w:p>
        </w:tc>
      </w:tr>
      <w:tr w:rsidR="003568C2" w14:paraId="32D2F9EB" w14:textId="77777777">
        <w:trPr>
          <w:trHeight w:val="190"/>
          <w:jc w:val="center"/>
        </w:trPr>
        <w:tc>
          <w:tcPr>
            <w:tcW w:w="2401" w:type="pct"/>
            <w:tcBorders>
              <w:top w:val="single" w:sz="4" w:space="0" w:color="auto"/>
              <w:left w:val="single" w:sz="4" w:space="0" w:color="auto"/>
              <w:bottom w:val="single" w:sz="4" w:space="0" w:color="auto"/>
              <w:right w:val="single" w:sz="4" w:space="0" w:color="auto"/>
            </w:tcBorders>
          </w:tcPr>
          <w:p w14:paraId="346539DD" w14:textId="77777777" w:rsidR="003568C2" w:rsidRDefault="00695B03">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500万元≤M＜1000万元</w:t>
            </w:r>
          </w:p>
        </w:tc>
        <w:tc>
          <w:tcPr>
            <w:tcW w:w="2599" w:type="pct"/>
            <w:tcBorders>
              <w:top w:val="single" w:sz="4" w:space="0" w:color="auto"/>
              <w:left w:val="single" w:sz="4" w:space="0" w:color="auto"/>
              <w:bottom w:val="single" w:sz="4" w:space="0" w:color="auto"/>
              <w:right w:val="single" w:sz="4" w:space="0" w:color="auto"/>
            </w:tcBorders>
          </w:tcPr>
          <w:p w14:paraId="2A69AB07" w14:textId="77777777" w:rsidR="003568C2" w:rsidRDefault="00695B03">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0.30%</w:t>
            </w:r>
          </w:p>
        </w:tc>
      </w:tr>
      <w:tr w:rsidR="003568C2" w14:paraId="3FAAF77E" w14:textId="77777777">
        <w:trPr>
          <w:trHeight w:val="190"/>
          <w:jc w:val="center"/>
        </w:trPr>
        <w:tc>
          <w:tcPr>
            <w:tcW w:w="2401" w:type="pct"/>
            <w:tcBorders>
              <w:top w:val="single" w:sz="4" w:space="0" w:color="auto"/>
              <w:left w:val="single" w:sz="4" w:space="0" w:color="auto"/>
              <w:bottom w:val="single" w:sz="4" w:space="0" w:color="auto"/>
              <w:right w:val="single" w:sz="4" w:space="0" w:color="auto"/>
            </w:tcBorders>
          </w:tcPr>
          <w:p w14:paraId="62CA860F" w14:textId="77777777" w:rsidR="003568C2" w:rsidRDefault="00695B03">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M≥1000万元</w:t>
            </w:r>
          </w:p>
        </w:tc>
        <w:tc>
          <w:tcPr>
            <w:tcW w:w="2599" w:type="pct"/>
            <w:tcBorders>
              <w:top w:val="single" w:sz="4" w:space="0" w:color="auto"/>
              <w:left w:val="single" w:sz="4" w:space="0" w:color="auto"/>
              <w:bottom w:val="single" w:sz="4" w:space="0" w:color="auto"/>
              <w:right w:val="single" w:sz="4" w:space="0" w:color="auto"/>
            </w:tcBorders>
          </w:tcPr>
          <w:p w14:paraId="0E85D78D" w14:textId="77777777" w:rsidR="003568C2" w:rsidRDefault="00695B03">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1000元/笔</w:t>
            </w:r>
          </w:p>
        </w:tc>
      </w:tr>
      <w:tr w:rsidR="003568C2" w14:paraId="2829EC0C" w14:textId="77777777">
        <w:trPr>
          <w:trHeight w:val="415"/>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14:paraId="1CE56A40" w14:textId="77777777" w:rsidR="003568C2" w:rsidRDefault="00695B03">
            <w:pPr>
              <w:widowControl/>
              <w:spacing w:line="264" w:lineRule="auto"/>
              <w:jc w:val="center"/>
              <w:rPr>
                <w:rFonts w:asciiTheme="minorEastAsia" w:hAnsiTheme="minorEastAsia" w:cs="Arial"/>
                <w:b/>
                <w:kern w:val="0"/>
                <w:sz w:val="24"/>
                <w:szCs w:val="24"/>
              </w:rPr>
            </w:pPr>
            <w:r>
              <w:rPr>
                <w:rFonts w:asciiTheme="minorEastAsia" w:hAnsiTheme="minorEastAsia" w:cs="Arial" w:hint="eastAsia"/>
                <w:b/>
                <w:bCs/>
                <w:kern w:val="0"/>
                <w:sz w:val="24"/>
                <w:szCs w:val="24"/>
              </w:rPr>
              <w:t>C类基金份额</w:t>
            </w:r>
          </w:p>
        </w:tc>
      </w:tr>
      <w:tr w:rsidR="003568C2" w14:paraId="2A8A8336" w14:textId="77777777">
        <w:trPr>
          <w:trHeight w:val="415"/>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14:paraId="6B51572E" w14:textId="77777777" w:rsidR="003568C2" w:rsidRDefault="00695B03">
            <w:pPr>
              <w:widowControl/>
              <w:spacing w:line="264" w:lineRule="auto"/>
              <w:jc w:val="center"/>
              <w:rPr>
                <w:rFonts w:asciiTheme="minorEastAsia" w:hAnsiTheme="minorEastAsia" w:cs="Arial"/>
                <w:kern w:val="0"/>
                <w:sz w:val="24"/>
                <w:szCs w:val="24"/>
              </w:rPr>
            </w:pPr>
            <w:r>
              <w:rPr>
                <w:rFonts w:asciiTheme="minorEastAsia" w:hAnsiTheme="minorEastAsia" w:cs="Arial" w:hint="eastAsia"/>
                <w:bCs/>
                <w:kern w:val="0"/>
                <w:sz w:val="24"/>
                <w:szCs w:val="24"/>
              </w:rPr>
              <w:t>申</w:t>
            </w:r>
            <w:r>
              <w:rPr>
                <w:rFonts w:asciiTheme="minorEastAsia" w:hAnsiTheme="minorEastAsia" w:cs="Arial" w:hint="eastAsia"/>
                <w:kern w:val="0"/>
                <w:sz w:val="24"/>
                <w:szCs w:val="24"/>
              </w:rPr>
              <w:t>购费率为零</w:t>
            </w:r>
          </w:p>
        </w:tc>
      </w:tr>
    </w:tbl>
    <w:p w14:paraId="1ED88011" w14:textId="77777777" w:rsidR="003568C2" w:rsidRDefault="003568C2">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p w14:paraId="72B5D0A8" w14:textId="77777777" w:rsidR="003568C2" w:rsidRDefault="00695B03">
      <w:pPr>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本基金的申购费用由申购基金份额的投资人承担，不列入基金资产，用于基金的市场推广、销售、登记等各项费用。</w:t>
      </w:r>
    </w:p>
    <w:p w14:paraId="4412BDFC"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、赎回费用</w:t>
      </w:r>
    </w:p>
    <w:p w14:paraId="1E0F3741"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本基金的</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类基金份额的赎回费率按基金份额持有期限递减，费率如下：</w:t>
      </w:r>
    </w:p>
    <w:tbl>
      <w:tblPr>
        <w:tblW w:w="8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43"/>
        <w:gridCol w:w="2127"/>
        <w:gridCol w:w="2284"/>
      </w:tblGrid>
      <w:tr w:rsidR="003568C2" w14:paraId="5B14A9FC"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48C76FC3" w14:textId="77777777" w:rsidR="003568C2" w:rsidRDefault="00695B03">
            <w:pPr>
              <w:jc w:val="center"/>
              <w:rPr>
                <w:rFonts w:asciiTheme="minorEastAsia" w:hAnsiTheme="minorEastAsia" w:cs="Arial"/>
                <w:color w:val="000000"/>
                <w:sz w:val="24"/>
                <w:szCs w:val="24"/>
              </w:rPr>
            </w:pPr>
            <w:r>
              <w:rPr>
                <w:rFonts w:asciiTheme="minorEastAsia" w:hAnsiTheme="minorEastAsia" w:cs="Arial" w:hint="eastAsia"/>
                <w:color w:val="000000"/>
                <w:sz w:val="24"/>
                <w:szCs w:val="24"/>
              </w:rPr>
              <w:t>持有基金份额期限（Y）</w:t>
            </w:r>
          </w:p>
        </w:tc>
        <w:tc>
          <w:tcPr>
            <w:tcW w:w="2127" w:type="dxa"/>
            <w:tcBorders>
              <w:top w:val="single" w:sz="4" w:space="0" w:color="auto"/>
              <w:left w:val="single" w:sz="4" w:space="0" w:color="auto"/>
              <w:bottom w:val="single" w:sz="4" w:space="0" w:color="auto"/>
              <w:right w:val="single" w:sz="4" w:space="0" w:color="auto"/>
            </w:tcBorders>
          </w:tcPr>
          <w:p w14:paraId="261759B1" w14:textId="77777777" w:rsidR="003568C2" w:rsidRDefault="00695B03">
            <w:pPr>
              <w:jc w:val="center"/>
              <w:rPr>
                <w:rFonts w:asciiTheme="minorEastAsia" w:hAnsiTheme="minorEastAsia" w:cs="Arial"/>
                <w:color w:val="000000"/>
                <w:sz w:val="24"/>
                <w:szCs w:val="24"/>
              </w:rPr>
            </w:pPr>
            <w:r>
              <w:rPr>
                <w:rFonts w:asciiTheme="minorEastAsia" w:hAnsiTheme="minorEastAsia" w:cs="Arial" w:hint="eastAsia"/>
                <w:color w:val="000000"/>
                <w:sz w:val="24"/>
                <w:szCs w:val="24"/>
              </w:rPr>
              <w:t>A类份额赎回费率</w:t>
            </w:r>
          </w:p>
        </w:tc>
        <w:tc>
          <w:tcPr>
            <w:tcW w:w="2284" w:type="dxa"/>
            <w:tcBorders>
              <w:top w:val="single" w:sz="4" w:space="0" w:color="auto"/>
              <w:left w:val="single" w:sz="4" w:space="0" w:color="auto"/>
              <w:bottom w:val="single" w:sz="4" w:space="0" w:color="auto"/>
              <w:right w:val="single" w:sz="4" w:space="0" w:color="auto"/>
            </w:tcBorders>
          </w:tcPr>
          <w:p w14:paraId="68D8AA93" w14:textId="77777777" w:rsidR="003568C2" w:rsidRDefault="00695B03">
            <w:pPr>
              <w:jc w:val="center"/>
              <w:rPr>
                <w:rFonts w:asciiTheme="minorEastAsia" w:hAnsiTheme="minorEastAsia" w:cs="Arial"/>
                <w:color w:val="000000"/>
                <w:sz w:val="24"/>
                <w:szCs w:val="24"/>
              </w:rPr>
            </w:pPr>
            <w:r>
              <w:rPr>
                <w:rFonts w:asciiTheme="minorEastAsia" w:hAnsiTheme="minorEastAsia" w:cs="Arial" w:hint="eastAsia"/>
                <w:color w:val="000000"/>
                <w:sz w:val="24"/>
                <w:szCs w:val="24"/>
              </w:rPr>
              <w:t>C类份额赎回费率</w:t>
            </w:r>
          </w:p>
        </w:tc>
      </w:tr>
      <w:tr w:rsidR="003568C2" w14:paraId="75273D86"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42CA078E" w14:textId="77777777" w:rsidR="003568C2" w:rsidRDefault="00695B03">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Y＜7日</w:t>
            </w:r>
          </w:p>
        </w:tc>
        <w:tc>
          <w:tcPr>
            <w:tcW w:w="2127" w:type="dxa"/>
            <w:tcBorders>
              <w:top w:val="single" w:sz="4" w:space="0" w:color="auto"/>
              <w:left w:val="single" w:sz="4" w:space="0" w:color="auto"/>
              <w:bottom w:val="single" w:sz="4" w:space="0" w:color="auto"/>
              <w:right w:val="single" w:sz="4" w:space="0" w:color="auto"/>
            </w:tcBorders>
          </w:tcPr>
          <w:p w14:paraId="5B90B8B6" w14:textId="77777777" w:rsidR="003568C2" w:rsidRDefault="00695B03">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1.50%</w:t>
            </w:r>
          </w:p>
        </w:tc>
        <w:tc>
          <w:tcPr>
            <w:tcW w:w="2284" w:type="dxa"/>
            <w:tcBorders>
              <w:top w:val="single" w:sz="4" w:space="0" w:color="auto"/>
              <w:left w:val="single" w:sz="4" w:space="0" w:color="auto"/>
              <w:bottom w:val="single" w:sz="4" w:space="0" w:color="auto"/>
              <w:right w:val="single" w:sz="4" w:space="0" w:color="auto"/>
            </w:tcBorders>
          </w:tcPr>
          <w:p w14:paraId="5A0B0E0F" w14:textId="77777777" w:rsidR="003568C2" w:rsidRDefault="00695B03">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1.50%</w:t>
            </w:r>
          </w:p>
        </w:tc>
      </w:tr>
      <w:tr w:rsidR="003568C2" w14:paraId="72FB6817"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7D7022FB" w14:textId="77777777" w:rsidR="003568C2" w:rsidRDefault="00695B03">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7日 ≤ Y ＜ 30日</w:t>
            </w:r>
          </w:p>
        </w:tc>
        <w:tc>
          <w:tcPr>
            <w:tcW w:w="2127" w:type="dxa"/>
            <w:tcBorders>
              <w:top w:val="single" w:sz="4" w:space="0" w:color="auto"/>
              <w:left w:val="single" w:sz="4" w:space="0" w:color="auto"/>
              <w:bottom w:val="single" w:sz="4" w:space="0" w:color="auto"/>
              <w:right w:val="single" w:sz="4" w:space="0" w:color="auto"/>
            </w:tcBorders>
          </w:tcPr>
          <w:p w14:paraId="51FAE733" w14:textId="77777777" w:rsidR="003568C2" w:rsidRDefault="00695B03">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0.75%</w:t>
            </w:r>
          </w:p>
        </w:tc>
        <w:tc>
          <w:tcPr>
            <w:tcW w:w="2284" w:type="dxa"/>
            <w:tcBorders>
              <w:top w:val="single" w:sz="4" w:space="0" w:color="auto"/>
              <w:left w:val="single" w:sz="4" w:space="0" w:color="auto"/>
              <w:bottom w:val="single" w:sz="4" w:space="0" w:color="auto"/>
              <w:right w:val="single" w:sz="4" w:space="0" w:color="auto"/>
            </w:tcBorders>
          </w:tcPr>
          <w:p w14:paraId="21847EA6" w14:textId="77777777" w:rsidR="003568C2" w:rsidRDefault="00695B03">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0.50%</w:t>
            </w:r>
          </w:p>
        </w:tc>
      </w:tr>
      <w:tr w:rsidR="003568C2" w14:paraId="5DEF2C59"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31D526A1" w14:textId="77777777" w:rsidR="003568C2" w:rsidRDefault="00695B03">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30日 ≤ Y ＜ 6个月</w:t>
            </w:r>
          </w:p>
        </w:tc>
        <w:tc>
          <w:tcPr>
            <w:tcW w:w="2127" w:type="dxa"/>
            <w:tcBorders>
              <w:top w:val="single" w:sz="4" w:space="0" w:color="auto"/>
              <w:left w:val="single" w:sz="4" w:space="0" w:color="auto"/>
              <w:bottom w:val="single" w:sz="4" w:space="0" w:color="auto"/>
              <w:right w:val="single" w:sz="4" w:space="0" w:color="auto"/>
            </w:tcBorders>
          </w:tcPr>
          <w:p w14:paraId="5937B418" w14:textId="77777777" w:rsidR="003568C2" w:rsidRDefault="00695B03">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0.50%</w:t>
            </w:r>
          </w:p>
        </w:tc>
        <w:tc>
          <w:tcPr>
            <w:tcW w:w="2284" w:type="dxa"/>
            <w:tcBorders>
              <w:top w:val="single" w:sz="4" w:space="0" w:color="auto"/>
              <w:left w:val="single" w:sz="4" w:space="0" w:color="auto"/>
              <w:bottom w:val="single" w:sz="4" w:space="0" w:color="auto"/>
              <w:right w:val="single" w:sz="4" w:space="0" w:color="auto"/>
            </w:tcBorders>
          </w:tcPr>
          <w:p w14:paraId="4904F31B" w14:textId="77777777" w:rsidR="003568C2" w:rsidRDefault="00695B03">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0</w:t>
            </w:r>
          </w:p>
        </w:tc>
      </w:tr>
      <w:tr w:rsidR="003568C2" w14:paraId="68CB2EBE"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3B852E7F" w14:textId="77777777" w:rsidR="003568C2" w:rsidRDefault="00695B03">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Y≥6个月</w:t>
            </w:r>
          </w:p>
        </w:tc>
        <w:tc>
          <w:tcPr>
            <w:tcW w:w="2127" w:type="dxa"/>
            <w:tcBorders>
              <w:top w:val="single" w:sz="4" w:space="0" w:color="auto"/>
              <w:left w:val="single" w:sz="4" w:space="0" w:color="auto"/>
              <w:bottom w:val="single" w:sz="4" w:space="0" w:color="auto"/>
              <w:right w:val="single" w:sz="4" w:space="0" w:color="auto"/>
            </w:tcBorders>
          </w:tcPr>
          <w:p w14:paraId="7F5581A5" w14:textId="77777777" w:rsidR="003568C2" w:rsidRDefault="00695B03">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0</w:t>
            </w:r>
          </w:p>
        </w:tc>
        <w:tc>
          <w:tcPr>
            <w:tcW w:w="2284" w:type="dxa"/>
            <w:tcBorders>
              <w:top w:val="single" w:sz="4" w:space="0" w:color="auto"/>
              <w:left w:val="single" w:sz="4" w:space="0" w:color="auto"/>
              <w:bottom w:val="single" w:sz="4" w:space="0" w:color="auto"/>
              <w:right w:val="single" w:sz="4" w:space="0" w:color="auto"/>
            </w:tcBorders>
          </w:tcPr>
          <w:p w14:paraId="0E5B8A09" w14:textId="77777777" w:rsidR="003568C2" w:rsidRDefault="00695B03">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0</w:t>
            </w:r>
          </w:p>
        </w:tc>
      </w:tr>
    </w:tbl>
    <w:p w14:paraId="55CD270F" w14:textId="77777777" w:rsidR="003568C2" w:rsidRDefault="00695B03">
      <w:pPr>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（注：一月为</w:t>
      </w:r>
      <w:r>
        <w:rPr>
          <w:rFonts w:asciiTheme="minorEastAsia" w:hAnsiTheme="minorEastAsia" w:cs="Arial"/>
          <w:sz w:val="24"/>
          <w:szCs w:val="24"/>
        </w:rPr>
        <w:t>3</w:t>
      </w:r>
      <w:r>
        <w:rPr>
          <w:rFonts w:asciiTheme="minorEastAsia" w:hAnsiTheme="minorEastAsia" w:cs="Arial" w:hint="eastAsia"/>
          <w:sz w:val="24"/>
          <w:szCs w:val="24"/>
        </w:rPr>
        <w:t>0日）</w:t>
      </w:r>
    </w:p>
    <w:p w14:paraId="3A6043D7"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赎回费用由赎回基金份额的基金份额持有人承担，在基金份额持有人赎回基金份额时收取。</w:t>
      </w:r>
    </w:p>
    <w:p w14:paraId="1A175D55"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就A类基金份额，对持续持有期少于30日的投资人收取的赎回费全额计入基金财产；对持续持有期不少于30日但少于3个月的投资人收取的赎回费总额的75%计入基金财产；对持续持有期不少于3个月但少于6个月的投资人收取的赎回费总额的50%计入基金财产；就C类基金份额，收取的赎回费全额计入基金财产。上述未纳入基金财产的赎回费用于支付登记费和其他必要的手续费。</w:t>
      </w:r>
    </w:p>
    <w:p w14:paraId="0D6451A3"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、基金管理人可以在基金合同约定的范围内调整费率或收费方式，并最迟应于新的费率或收费方式实施日前依照《信息披露办法》的有关规定在指定媒介上公告。</w:t>
      </w:r>
    </w:p>
    <w:p w14:paraId="5C9C7FD4" w14:textId="77777777" w:rsidR="003568C2" w:rsidRDefault="00695B03">
      <w:pPr>
        <w:snapToGrid w:val="0"/>
        <w:spacing w:line="360" w:lineRule="auto"/>
        <w:ind w:firstLineChars="200" w:firstLine="480"/>
        <w:rPr>
          <w:rFonts w:asciiTheme="minorEastAsia" w:hAnsiTheme="minorEastAsia" w:cs="Times New Roman"/>
          <w:sz w:val="24"/>
          <w:szCs w:val="24"/>
        </w:rPr>
      </w:pPr>
      <w:r>
        <w:rPr>
          <w:rFonts w:asciiTheme="minorEastAsia" w:hAnsiTheme="minorEastAsia" w:cs="Arial"/>
          <w:sz w:val="24"/>
          <w:szCs w:val="24"/>
        </w:rPr>
        <w:t>4</w:t>
      </w:r>
      <w:r>
        <w:rPr>
          <w:rFonts w:asciiTheme="minorEastAsia" w:hAnsiTheme="minorEastAsia" w:cs="Arial" w:hint="eastAsia"/>
          <w:sz w:val="24"/>
          <w:szCs w:val="24"/>
        </w:rPr>
        <w:t>、</w:t>
      </w:r>
      <w:r>
        <w:rPr>
          <w:rFonts w:asciiTheme="minorEastAsia" w:hAnsiTheme="minorEastAsia" w:cs="Times New Roman" w:hint="eastAsia"/>
          <w:sz w:val="24"/>
          <w:szCs w:val="24"/>
        </w:rPr>
        <w:t>基金管理人可以在不违反法律法规规定及基金合同约定的情况下根据市场情况制定基金促销计划，定期或不定期地开展基金促销活动。在基金促销活动期间，按相关监管部门要求履行必要手续后，基金管理人可以适当调低基金的申购、赎回费率。</w:t>
      </w:r>
    </w:p>
    <w:p w14:paraId="7AE0C8E5" w14:textId="77777777" w:rsidR="003568C2" w:rsidRDefault="00695B03">
      <w:pPr>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5、当本基金发生大额申购或赎回情形时，基金管理人可以对本基金采用摆动定价机制，以确保基金估值的公平性。具体处理原则与操作规则遵循相关法律法规以及监管部门、自律规则的规定。</w:t>
      </w:r>
    </w:p>
    <w:p w14:paraId="1C87F414" w14:textId="77777777" w:rsidR="003568C2" w:rsidRDefault="00695B03">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七、</w:t>
      </w:r>
      <w:r>
        <w:rPr>
          <w:rFonts w:asciiTheme="minorEastAsia" w:hAnsiTheme="minorEastAsia" w:cs="Arial"/>
          <w:b/>
          <w:bCs/>
          <w:sz w:val="24"/>
          <w:szCs w:val="24"/>
        </w:rPr>
        <w:t>A</w:t>
      </w:r>
      <w:r>
        <w:rPr>
          <w:rFonts w:asciiTheme="minorEastAsia" w:hAnsiTheme="minorEastAsia" w:cs="Arial" w:hint="eastAsia"/>
          <w:b/>
          <w:bCs/>
          <w:sz w:val="24"/>
          <w:szCs w:val="24"/>
        </w:rPr>
        <w:t>类基金份额与</w:t>
      </w:r>
      <w:r>
        <w:rPr>
          <w:rFonts w:asciiTheme="minorEastAsia" w:hAnsiTheme="minorEastAsia" w:cs="Arial"/>
          <w:b/>
          <w:bCs/>
          <w:sz w:val="24"/>
          <w:szCs w:val="24"/>
        </w:rPr>
        <w:t>C</w:t>
      </w:r>
      <w:r>
        <w:rPr>
          <w:rFonts w:asciiTheme="minorEastAsia" w:hAnsiTheme="minorEastAsia" w:cs="Arial" w:hint="eastAsia"/>
          <w:b/>
          <w:bCs/>
          <w:sz w:val="24"/>
          <w:szCs w:val="24"/>
        </w:rPr>
        <w:t>类基金份额的申购份额与赎回金额的计算方式</w:t>
      </w:r>
    </w:p>
    <w:p w14:paraId="26AB528C"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1、A类基金份额申购份额的计算方式：</w:t>
      </w:r>
    </w:p>
    <w:p w14:paraId="158A8FF1"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（1）当申购费用适用比例费率时，申购份额的计算公式如下：</w:t>
      </w:r>
    </w:p>
    <w:p w14:paraId="7FC0C42C"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净申购金额=申购金额/（1+申购费率）</w:t>
      </w:r>
    </w:p>
    <w:p w14:paraId="2132D1F5"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申购费用=申购金额－净申购金额</w:t>
      </w:r>
    </w:p>
    <w:p w14:paraId="35AD7527"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申购份额=净申购金额/T 日A类基金份额净值</w:t>
      </w:r>
    </w:p>
    <w:p w14:paraId="5A742824"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（2）当申购费用为固定金额时，申购份额的计算方法如下：</w:t>
      </w:r>
    </w:p>
    <w:p w14:paraId="3534D827"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申购费用＝固定费用</w:t>
      </w:r>
    </w:p>
    <w:p w14:paraId="4755194C"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净申购金额＝申购金额－申购费用</w:t>
      </w:r>
    </w:p>
    <w:p w14:paraId="26B85D3D"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申购份额＝净申购金额/T日A类基金份额净值</w:t>
      </w:r>
    </w:p>
    <w:p w14:paraId="09DDC4D4"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上述计算结果按照四舍五入方法，保留小数点后两位，由此误差产生的收益或损失由基金财产承担。</w:t>
      </w:r>
    </w:p>
    <w:p w14:paraId="1BD4C06D"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例：某投资者投资50,000 元申购本基金A类基金份额，且该申购申请被全额确认，对应的申购费率为1.20%，假定申购当日A类基金份额净值为1.0500元，则可得到的申购份额为：</w:t>
      </w:r>
    </w:p>
    <w:p w14:paraId="4BE6CD0B"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净申购金额＝50,000/(1+1.20%)＝49,407.11元</w:t>
      </w:r>
    </w:p>
    <w:p w14:paraId="705508B8"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申购费用＝50,000－49,407.11＝592.89元</w:t>
      </w:r>
    </w:p>
    <w:p w14:paraId="093C6000"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w:t>
      </w:r>
      <w:r>
        <w:rPr>
          <w:rFonts w:asciiTheme="minorEastAsia" w:hAnsiTheme="minorEastAsia" w:cs="Arial"/>
          <w:sz w:val="24"/>
          <w:szCs w:val="24"/>
        </w:rPr>
        <w:t>49,407.11</w:t>
      </w:r>
      <w:r>
        <w:rPr>
          <w:rFonts w:asciiTheme="minorEastAsia" w:hAnsiTheme="minorEastAsia" w:cs="Arial" w:hint="eastAsia"/>
          <w:sz w:val="24"/>
          <w:szCs w:val="24"/>
        </w:rPr>
        <w:t>/1.0500＝47,054.39 份</w:t>
      </w:r>
    </w:p>
    <w:p w14:paraId="6C3B9BDE"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kern w:val="0"/>
          <w:sz w:val="24"/>
          <w:szCs w:val="24"/>
        </w:rPr>
        <w:t>即投资者投资50,000 元申购本基金A类基金份额，假定申购当日A类基金份额净值为1.0500元，可得到</w:t>
      </w:r>
      <w:r>
        <w:rPr>
          <w:rFonts w:asciiTheme="minorEastAsia" w:hAnsiTheme="minorEastAsia" w:cs="Arial"/>
          <w:kern w:val="0"/>
          <w:sz w:val="24"/>
          <w:szCs w:val="24"/>
        </w:rPr>
        <w:t>47,054.39</w:t>
      </w:r>
      <w:r>
        <w:rPr>
          <w:rFonts w:asciiTheme="minorEastAsia" w:hAnsiTheme="minorEastAsia" w:cs="Arial" w:hint="eastAsia"/>
          <w:kern w:val="0"/>
          <w:sz w:val="24"/>
          <w:szCs w:val="24"/>
        </w:rPr>
        <w:t>份A类基金份额。</w:t>
      </w:r>
    </w:p>
    <w:p w14:paraId="45D77282"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2、C类基金份额申购份额的计算方式：</w:t>
      </w:r>
    </w:p>
    <w:p w14:paraId="7550BD90"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申购份额＝申购金额/T日C类基金份额净值</w:t>
      </w:r>
    </w:p>
    <w:p w14:paraId="3585436F"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上述计算结果按照四舍五入方法，保留小数点后两位，由此误差产生的收益或损失由基金财产承担。</w:t>
      </w:r>
    </w:p>
    <w:p w14:paraId="5478D88F"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例：某投资者投资5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 xml:space="preserve"> </w:t>
      </w:r>
      <w:r>
        <w:rPr>
          <w:rFonts w:asciiTheme="minorEastAsia" w:hAnsiTheme="minorEastAsia" w:cs="Arial" w:hint="eastAsia"/>
          <w:sz w:val="24"/>
          <w:szCs w:val="24"/>
        </w:rPr>
        <w:t>元申购本基金C类基金份额，且该申购申请被全额确认，假定申购当日C类基金份额净值为</w:t>
      </w:r>
      <w:r>
        <w:rPr>
          <w:rFonts w:asciiTheme="minorEastAsia" w:hAnsiTheme="minorEastAsia" w:cs="Arial"/>
          <w:sz w:val="24"/>
          <w:szCs w:val="24"/>
        </w:rPr>
        <w:t>1.</w:t>
      </w:r>
      <w:r>
        <w:rPr>
          <w:rFonts w:asciiTheme="minorEastAsia" w:hAnsiTheme="minorEastAsia" w:cs="Arial" w:hint="eastAsia"/>
          <w:sz w:val="24"/>
          <w:szCs w:val="24"/>
        </w:rPr>
        <w:t>2500元，则可得到的申购份额为：</w:t>
      </w:r>
    </w:p>
    <w:p w14:paraId="3B18BA9E"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1.</w:t>
      </w:r>
      <w:r>
        <w:rPr>
          <w:rFonts w:asciiTheme="minorEastAsia" w:hAnsiTheme="minorEastAsia" w:cs="Arial" w:hint="eastAsia"/>
          <w:sz w:val="24"/>
          <w:szCs w:val="24"/>
        </w:rPr>
        <w:t>2500=4</w:t>
      </w:r>
      <w:r>
        <w:rPr>
          <w:rFonts w:asciiTheme="minorEastAsia" w:hAnsiTheme="minorEastAsia" w:cs="Arial"/>
          <w:sz w:val="24"/>
          <w:szCs w:val="24"/>
        </w:rPr>
        <w:t>,000</w:t>
      </w:r>
      <w:r>
        <w:rPr>
          <w:rFonts w:asciiTheme="minorEastAsia" w:hAnsiTheme="minorEastAsia" w:cs="Arial" w:hint="eastAsia"/>
          <w:sz w:val="24"/>
          <w:szCs w:val="24"/>
        </w:rPr>
        <w:t>,000份</w:t>
      </w:r>
    </w:p>
    <w:p w14:paraId="3EBC22FB"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即投资者投资5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 xml:space="preserve"> </w:t>
      </w:r>
      <w:r>
        <w:rPr>
          <w:rFonts w:asciiTheme="minorEastAsia" w:hAnsiTheme="minorEastAsia" w:cs="Arial" w:hint="eastAsia"/>
          <w:sz w:val="24"/>
          <w:szCs w:val="24"/>
        </w:rPr>
        <w:t>元申购本基金C类基金份额，假定申购当日C类基金份额净值为</w:t>
      </w:r>
      <w:r>
        <w:rPr>
          <w:rFonts w:asciiTheme="minorEastAsia" w:hAnsiTheme="minorEastAsia" w:cs="Arial"/>
          <w:sz w:val="24"/>
          <w:szCs w:val="24"/>
        </w:rPr>
        <w:t>1.</w:t>
      </w:r>
      <w:r>
        <w:rPr>
          <w:rFonts w:asciiTheme="minorEastAsia" w:hAnsiTheme="minorEastAsia" w:cs="Arial" w:hint="eastAsia"/>
          <w:sz w:val="24"/>
          <w:szCs w:val="24"/>
        </w:rPr>
        <w:t>2500元，可得到4</w:t>
      </w:r>
      <w:r>
        <w:rPr>
          <w:rFonts w:asciiTheme="minorEastAsia" w:hAnsiTheme="minorEastAsia" w:cs="Arial"/>
          <w:sz w:val="24"/>
          <w:szCs w:val="24"/>
        </w:rPr>
        <w:t>,000</w:t>
      </w:r>
      <w:r>
        <w:rPr>
          <w:rFonts w:asciiTheme="minorEastAsia" w:hAnsiTheme="minorEastAsia" w:cs="Arial" w:hint="eastAsia"/>
          <w:sz w:val="24"/>
          <w:szCs w:val="24"/>
        </w:rPr>
        <w:t>,000份C类基金份额。</w:t>
      </w:r>
    </w:p>
    <w:p w14:paraId="5296BA05"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w:t>
      </w:r>
      <w:r>
        <w:rPr>
          <w:rFonts w:asciiTheme="minorEastAsia" w:hAnsiTheme="minorEastAsia" w:cs="Arial"/>
          <w:sz w:val="24"/>
          <w:szCs w:val="24"/>
        </w:rPr>
        <w:t xml:space="preserve"> </w:t>
      </w:r>
      <w:r>
        <w:rPr>
          <w:rFonts w:asciiTheme="minorEastAsia" w:hAnsiTheme="minorEastAsia" w:cs="Arial" w:hint="eastAsia"/>
          <w:sz w:val="24"/>
          <w:szCs w:val="24"/>
        </w:rPr>
        <w:t>赎回金额的计算方式：</w:t>
      </w:r>
    </w:p>
    <w:p w14:paraId="7B6B2C8D"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赎回总额</w:t>
      </w:r>
      <w:r>
        <w:rPr>
          <w:rFonts w:asciiTheme="minorEastAsia" w:hAnsiTheme="minorEastAsia" w:cs="Arial"/>
          <w:sz w:val="24"/>
          <w:szCs w:val="24"/>
        </w:rPr>
        <w:t>=</w:t>
      </w:r>
      <w:r>
        <w:rPr>
          <w:rFonts w:asciiTheme="minorEastAsia" w:hAnsiTheme="minorEastAsia" w:cs="Arial" w:hint="eastAsia"/>
          <w:sz w:val="24"/>
          <w:szCs w:val="24"/>
        </w:rPr>
        <w:t>赎回份额×</w:t>
      </w:r>
      <w:r>
        <w:rPr>
          <w:rFonts w:asciiTheme="minorEastAsia" w:hAnsiTheme="minorEastAsia" w:cs="Arial"/>
          <w:sz w:val="24"/>
          <w:szCs w:val="24"/>
        </w:rPr>
        <w:t>T</w:t>
      </w:r>
      <w:r>
        <w:rPr>
          <w:rFonts w:asciiTheme="minorEastAsia" w:hAnsiTheme="minorEastAsia" w:cs="Arial" w:hint="eastAsia"/>
          <w:sz w:val="24"/>
          <w:szCs w:val="24"/>
        </w:rPr>
        <w:t>日该类别基金份额净值</w:t>
      </w:r>
    </w:p>
    <w:p w14:paraId="59991C26"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w:t>
      </w:r>
      <w:r>
        <w:rPr>
          <w:rFonts w:asciiTheme="minorEastAsia" w:hAnsiTheme="minorEastAsia" w:cs="Arial"/>
          <w:sz w:val="24"/>
          <w:szCs w:val="24"/>
        </w:rPr>
        <w:t>=</w:t>
      </w:r>
      <w:r>
        <w:rPr>
          <w:rFonts w:asciiTheme="minorEastAsia" w:hAnsiTheme="minorEastAsia" w:cs="Arial" w:hint="eastAsia"/>
          <w:sz w:val="24"/>
          <w:szCs w:val="24"/>
        </w:rPr>
        <w:t>赎回总额×赎回费率</w:t>
      </w:r>
    </w:p>
    <w:p w14:paraId="61D9D29E"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w:t>
      </w:r>
      <w:r>
        <w:rPr>
          <w:rFonts w:asciiTheme="minorEastAsia" w:hAnsiTheme="minorEastAsia" w:cs="Arial"/>
          <w:sz w:val="24"/>
          <w:szCs w:val="24"/>
        </w:rPr>
        <w:t>=</w:t>
      </w:r>
      <w:r>
        <w:rPr>
          <w:rFonts w:asciiTheme="minorEastAsia" w:hAnsiTheme="minorEastAsia" w:cs="Arial" w:hint="eastAsia"/>
          <w:sz w:val="24"/>
          <w:szCs w:val="24"/>
        </w:rPr>
        <w:t>赎回总额－赎回费用</w:t>
      </w:r>
    </w:p>
    <w:p w14:paraId="7C71D80D"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上述计算结果均按四舍五入方法，保留到小数点后2位，由此产生的收益或损失由基金财产承担。</w:t>
      </w:r>
    </w:p>
    <w:p w14:paraId="367A7710"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例1：某投资者赎回</w:t>
      </w:r>
      <w:r>
        <w:rPr>
          <w:rFonts w:asciiTheme="minorEastAsia" w:hAnsiTheme="minorEastAsia" w:cs="Arial"/>
          <w:sz w:val="24"/>
          <w:szCs w:val="24"/>
        </w:rPr>
        <w:t xml:space="preserve">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类基金份额且持有时间为3个月，赎回费率为</w:t>
      </w:r>
      <w:r>
        <w:rPr>
          <w:rFonts w:asciiTheme="minorEastAsia" w:hAnsiTheme="minorEastAsia" w:cs="Arial"/>
          <w:sz w:val="24"/>
          <w:szCs w:val="24"/>
        </w:rPr>
        <w:t>0.5%</w:t>
      </w:r>
      <w:r>
        <w:rPr>
          <w:rFonts w:asciiTheme="minorEastAsia" w:hAnsiTheme="minorEastAsia" w:cs="Arial" w:hint="eastAsia"/>
          <w:sz w:val="24"/>
          <w:szCs w:val="24"/>
        </w:rPr>
        <w:t>，假设赎回申请当日</w:t>
      </w:r>
      <w:r>
        <w:rPr>
          <w:rFonts w:asciiTheme="minorEastAsia" w:hAnsiTheme="minorEastAsia" w:cs="Arial"/>
          <w:sz w:val="24"/>
          <w:szCs w:val="24"/>
        </w:rPr>
        <w:t>A</w:t>
      </w:r>
      <w:r>
        <w:rPr>
          <w:rFonts w:asciiTheme="minorEastAsia" w:hAnsiTheme="minorEastAsia" w:cs="Arial" w:hint="eastAsia"/>
          <w:sz w:val="24"/>
          <w:szCs w:val="24"/>
        </w:rPr>
        <w:t>类基金份额净值是</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w:t>
      </w:r>
      <w:r>
        <w:rPr>
          <w:rFonts w:asciiTheme="minorEastAsia" w:hAnsiTheme="minorEastAsia" w:cs="Arial" w:hint="eastAsia"/>
          <w:sz w:val="24"/>
          <w:szCs w:val="24"/>
        </w:rPr>
        <w:t>元，则可得到的赎回金额为：</w:t>
      </w:r>
    </w:p>
    <w:p w14:paraId="133682E6"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赎回总额</w:t>
      </w:r>
      <w:r>
        <w:rPr>
          <w:rFonts w:asciiTheme="minorEastAsia" w:hAnsiTheme="minorEastAsia" w:cs="Arial"/>
          <w:sz w:val="24"/>
          <w:szCs w:val="24"/>
        </w:rPr>
        <w:t xml:space="preserve"> = 10,000 </w:t>
      </w:r>
      <w:r>
        <w:rPr>
          <w:rFonts w:asciiTheme="minorEastAsia" w:hAnsiTheme="minorEastAsia" w:cs="Arial" w:hint="eastAsia"/>
          <w:sz w:val="24"/>
          <w:szCs w:val="24"/>
        </w:rPr>
        <w:t>×</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10,680.00 </w:t>
      </w:r>
      <w:r>
        <w:rPr>
          <w:rFonts w:asciiTheme="minorEastAsia" w:hAnsiTheme="minorEastAsia" w:cs="Arial" w:hint="eastAsia"/>
          <w:sz w:val="24"/>
          <w:szCs w:val="24"/>
        </w:rPr>
        <w:t>元</w:t>
      </w:r>
    </w:p>
    <w:p w14:paraId="2D485C1E"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w:t>
      </w:r>
      <w:r>
        <w:rPr>
          <w:rFonts w:asciiTheme="minorEastAsia" w:hAnsiTheme="minorEastAsia" w:cs="Arial"/>
          <w:sz w:val="24"/>
          <w:szCs w:val="24"/>
        </w:rPr>
        <w:t xml:space="preserve"> = 10,680.00 </w:t>
      </w:r>
      <w:r>
        <w:rPr>
          <w:rFonts w:asciiTheme="minorEastAsia" w:hAnsiTheme="minorEastAsia" w:cs="Arial" w:hint="eastAsia"/>
          <w:sz w:val="24"/>
          <w:szCs w:val="24"/>
        </w:rPr>
        <w:t>×</w:t>
      </w:r>
      <w:r>
        <w:rPr>
          <w:rFonts w:asciiTheme="minorEastAsia" w:hAnsiTheme="minorEastAsia" w:cs="Arial"/>
          <w:sz w:val="24"/>
          <w:szCs w:val="24"/>
        </w:rPr>
        <w:t xml:space="preserve">0.5% = 53.40 </w:t>
      </w:r>
      <w:r>
        <w:rPr>
          <w:rFonts w:asciiTheme="minorEastAsia" w:hAnsiTheme="minorEastAsia" w:cs="Arial" w:hint="eastAsia"/>
          <w:sz w:val="24"/>
          <w:szCs w:val="24"/>
        </w:rPr>
        <w:t>元</w:t>
      </w:r>
    </w:p>
    <w:p w14:paraId="4C02A4F8"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w:t>
      </w:r>
      <w:r>
        <w:rPr>
          <w:rFonts w:asciiTheme="minorEastAsia" w:hAnsiTheme="minorEastAsia" w:cs="Arial"/>
          <w:sz w:val="24"/>
          <w:szCs w:val="24"/>
        </w:rPr>
        <w:t xml:space="preserve"> = 10,680.00 - 53.40 = 10,626.60 </w:t>
      </w:r>
      <w:r>
        <w:rPr>
          <w:rFonts w:asciiTheme="minorEastAsia" w:hAnsiTheme="minorEastAsia" w:cs="Arial" w:hint="eastAsia"/>
          <w:sz w:val="24"/>
          <w:szCs w:val="24"/>
        </w:rPr>
        <w:t>元</w:t>
      </w:r>
    </w:p>
    <w:p w14:paraId="1C7F8F2B"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即：投资者赎回</w:t>
      </w:r>
      <w:r>
        <w:rPr>
          <w:rFonts w:asciiTheme="minorEastAsia" w:hAnsiTheme="minorEastAsia" w:cs="Arial"/>
          <w:sz w:val="24"/>
          <w:szCs w:val="24"/>
        </w:rPr>
        <w:t xml:space="preserve"> 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类基金份额且持有时间为3个月，假设赎回申请当日</w:t>
      </w:r>
      <w:r>
        <w:rPr>
          <w:rFonts w:asciiTheme="minorEastAsia" w:hAnsiTheme="minorEastAsia" w:cs="Arial"/>
          <w:sz w:val="24"/>
          <w:szCs w:val="24"/>
        </w:rPr>
        <w:t>A</w:t>
      </w:r>
      <w:r>
        <w:rPr>
          <w:rFonts w:asciiTheme="minorEastAsia" w:hAnsiTheme="minorEastAsia" w:cs="Arial" w:hint="eastAsia"/>
          <w:sz w:val="24"/>
          <w:szCs w:val="24"/>
        </w:rPr>
        <w:t>类基金份额的基金份额净值是</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w:t>
      </w:r>
      <w:r>
        <w:rPr>
          <w:rFonts w:asciiTheme="minorEastAsia" w:hAnsiTheme="minorEastAsia" w:cs="Arial" w:hint="eastAsia"/>
          <w:sz w:val="24"/>
          <w:szCs w:val="24"/>
        </w:rPr>
        <w:t>元，则其可得到的赎回金额为</w:t>
      </w:r>
      <w:r>
        <w:rPr>
          <w:rFonts w:asciiTheme="minorEastAsia" w:hAnsiTheme="minorEastAsia" w:cs="Arial"/>
          <w:sz w:val="24"/>
          <w:szCs w:val="24"/>
        </w:rPr>
        <w:t xml:space="preserve">10,626.60 </w:t>
      </w:r>
      <w:r>
        <w:rPr>
          <w:rFonts w:asciiTheme="minorEastAsia" w:hAnsiTheme="minorEastAsia" w:cs="Arial" w:hint="eastAsia"/>
          <w:sz w:val="24"/>
          <w:szCs w:val="24"/>
        </w:rPr>
        <w:t>元。</w:t>
      </w:r>
    </w:p>
    <w:p w14:paraId="64A42CA0"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例2：某投资人赎回本基金10,000份C类基金份额，持有时间为20日，对应的赎回费率为0.5%，假设赎回当日C类基金份额净值是1.0680元，则其可得到的赎回金额为：</w:t>
      </w:r>
    </w:p>
    <w:p w14:paraId="0950E552"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赎回金额=10,000×1.0680=10,680元</w:t>
      </w:r>
    </w:p>
    <w:p w14:paraId="7F7A438A"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赎回费用=10,680×0.5%=53.40元</w:t>
      </w:r>
    </w:p>
    <w:p w14:paraId="107E13A6"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净赎回金额=10,680-53.40=10,626.60元</w:t>
      </w:r>
    </w:p>
    <w:p w14:paraId="4FC48D5D"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即：投资人赎回本基金10,000份C类基金份额，持有期限为20日，假设赎回当日本基金C类基金份额净值是1.0680元，则其可得到的净赎回金额为10,626.60元。</w:t>
      </w:r>
    </w:p>
    <w:p w14:paraId="426FFC41"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Arial" w:hint="eastAsia"/>
          <w:sz w:val="24"/>
          <w:szCs w:val="24"/>
        </w:rPr>
        <w:t>4、</w:t>
      </w:r>
      <w:r>
        <w:rPr>
          <w:rFonts w:asciiTheme="minorEastAsia" w:hAnsiTheme="minorEastAsia" w:cs="Arial" w:hint="eastAsia"/>
          <w:bCs/>
          <w:sz w:val="24"/>
          <w:szCs w:val="24"/>
        </w:rPr>
        <w:t>本基金</w:t>
      </w:r>
      <w:r>
        <w:rPr>
          <w:rFonts w:asciiTheme="minorEastAsia" w:hAnsiTheme="minorEastAsia" w:cs="Arial"/>
          <w:bCs/>
          <w:sz w:val="24"/>
          <w:szCs w:val="24"/>
        </w:rPr>
        <w:t>A</w:t>
      </w:r>
      <w:r>
        <w:rPr>
          <w:rFonts w:asciiTheme="minorEastAsia" w:hAnsiTheme="minorEastAsia" w:cs="Arial" w:hint="eastAsia"/>
          <w:bCs/>
          <w:sz w:val="24"/>
          <w:szCs w:val="24"/>
        </w:rPr>
        <w:t>类基金份额和</w:t>
      </w:r>
      <w:r>
        <w:rPr>
          <w:rFonts w:asciiTheme="minorEastAsia" w:hAnsiTheme="minorEastAsia" w:cs="Arial"/>
          <w:bCs/>
          <w:sz w:val="24"/>
          <w:szCs w:val="24"/>
        </w:rPr>
        <w:t>C</w:t>
      </w:r>
      <w:r>
        <w:rPr>
          <w:rFonts w:asciiTheme="minorEastAsia" w:hAnsiTheme="minorEastAsia" w:cs="Arial" w:hint="eastAsia"/>
          <w:bCs/>
          <w:sz w:val="24"/>
          <w:szCs w:val="24"/>
        </w:rPr>
        <w:t>类基金份额分别设置代码，分别计算和公告两类基金份额净值和两类基金份额累计净值。</w:t>
      </w:r>
      <w:r>
        <w:rPr>
          <w:rFonts w:asciiTheme="minorEastAsia" w:hAnsiTheme="minorEastAsia" w:cs="Times New Roman" w:hint="eastAsia"/>
          <w:sz w:val="24"/>
          <w:szCs w:val="24"/>
        </w:rPr>
        <w:t>本基金两类基金份额净值的计算，保留到小数点后4位，小数点后第5位四舍五入，由此产生的收益或损失由基金财产承担。</w:t>
      </w:r>
      <w:r>
        <w:rPr>
          <w:rFonts w:asciiTheme="minorEastAsia" w:hAnsiTheme="minorEastAsia" w:cs="Times New Roman"/>
          <w:sz w:val="24"/>
          <w:szCs w:val="24"/>
        </w:rPr>
        <w:t>T</w:t>
      </w:r>
      <w:r>
        <w:rPr>
          <w:rFonts w:asciiTheme="minorEastAsia" w:hAnsiTheme="minorEastAsia" w:cs="Times New Roman" w:hint="eastAsia"/>
          <w:sz w:val="24"/>
          <w:szCs w:val="24"/>
        </w:rPr>
        <w:t>日的基金份额净值在当天收市后计算，并在</w:t>
      </w:r>
      <w:r>
        <w:rPr>
          <w:rFonts w:asciiTheme="minorEastAsia" w:hAnsiTheme="minorEastAsia" w:cs="Times New Roman"/>
          <w:sz w:val="24"/>
          <w:szCs w:val="24"/>
        </w:rPr>
        <w:t>T+1</w:t>
      </w:r>
      <w:r>
        <w:rPr>
          <w:rFonts w:asciiTheme="minorEastAsia" w:hAnsiTheme="minorEastAsia" w:cs="Times New Roman" w:hint="eastAsia"/>
          <w:sz w:val="24"/>
          <w:szCs w:val="24"/>
        </w:rPr>
        <w:t>日内公告。遇特殊情况，经中国证监会同意，可以适当延迟计算或公告。</w:t>
      </w:r>
    </w:p>
    <w:p w14:paraId="5D2D30CA" w14:textId="77777777" w:rsidR="003568C2" w:rsidRDefault="00695B03">
      <w:pPr>
        <w:snapToGrid w:val="0"/>
        <w:spacing w:line="360" w:lineRule="auto"/>
        <w:ind w:firstLineChars="200" w:firstLine="482"/>
        <w:rPr>
          <w:rFonts w:asciiTheme="minorEastAsia" w:hAnsiTheme="minorEastAsia" w:cs="Arial"/>
          <w:b/>
          <w:bCs/>
          <w:sz w:val="24"/>
          <w:szCs w:val="24"/>
        </w:rPr>
      </w:pPr>
      <w:r>
        <w:rPr>
          <w:rFonts w:asciiTheme="minorEastAsia" w:hAnsiTheme="minorEastAsia" w:cs="Times New Roman" w:hint="eastAsia"/>
          <w:b/>
          <w:sz w:val="24"/>
          <w:szCs w:val="24"/>
        </w:rPr>
        <w:t>八、申购与赎回的登记业务</w:t>
      </w:r>
    </w:p>
    <w:p w14:paraId="29B593CB"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lastRenderedPageBreak/>
        <w:t>1</w:t>
      </w:r>
      <w:r>
        <w:rPr>
          <w:rFonts w:asciiTheme="minorEastAsia" w:hAnsiTheme="minorEastAsia" w:cs="Arial" w:hint="eastAsia"/>
          <w:sz w:val="24"/>
          <w:szCs w:val="24"/>
        </w:rPr>
        <w:t>、投资人</w:t>
      </w:r>
      <w:r>
        <w:rPr>
          <w:rFonts w:asciiTheme="minorEastAsia" w:hAnsiTheme="minorEastAsia" w:cs="Times New Roman" w:hint="eastAsia"/>
          <w:sz w:val="24"/>
          <w:szCs w:val="24"/>
        </w:rPr>
        <w:t>申购基金成功后，在正常情况下，基金登记机构在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日为投资者登记权益并办理登记手续，投资者自</w:t>
      </w:r>
      <w:r>
        <w:rPr>
          <w:rFonts w:asciiTheme="minorEastAsia" w:hAnsiTheme="minorEastAsia" w:cs="Arial"/>
          <w:sz w:val="24"/>
          <w:szCs w:val="24"/>
        </w:rPr>
        <w:t>T+2</w:t>
      </w:r>
      <w:r>
        <w:rPr>
          <w:rFonts w:asciiTheme="minorEastAsia" w:hAnsiTheme="minorEastAsia" w:cs="Times New Roman" w:hint="eastAsia"/>
          <w:sz w:val="24"/>
          <w:szCs w:val="24"/>
        </w:rPr>
        <w:t>日（含该日）后有权赎回该部分基金份额。</w:t>
      </w:r>
    </w:p>
    <w:p w14:paraId="35F3A77E"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、投资人</w:t>
      </w:r>
      <w:r>
        <w:rPr>
          <w:rFonts w:asciiTheme="minorEastAsia" w:hAnsiTheme="minorEastAsia" w:cs="Times New Roman" w:hint="eastAsia"/>
          <w:sz w:val="24"/>
          <w:szCs w:val="24"/>
        </w:rPr>
        <w:t>赎回基金成功后，在正常情况下，基金登记机构在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日为投资者办理扣除权益的登记手续。</w:t>
      </w:r>
    </w:p>
    <w:p w14:paraId="5F6D50F5"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、基金管理人可以在法律法规允许的范围内，对上述登记办理时间进行调整，但不得实质影响投资者的合法权益，并最迟于开始实施前</w:t>
      </w:r>
      <w:r>
        <w:rPr>
          <w:rFonts w:asciiTheme="minorEastAsia" w:hAnsiTheme="minorEastAsia" w:cs="Arial" w:hint="eastAsia"/>
          <w:sz w:val="24"/>
          <w:szCs w:val="24"/>
        </w:rPr>
        <w:t>依照《信息披露办法》的有关规定</w:t>
      </w:r>
      <w:r>
        <w:rPr>
          <w:rFonts w:asciiTheme="minorEastAsia" w:hAnsiTheme="minorEastAsia" w:cs="Times New Roman" w:hint="eastAsia"/>
          <w:sz w:val="24"/>
          <w:szCs w:val="24"/>
        </w:rPr>
        <w:t>在指定媒介公告。</w:t>
      </w:r>
    </w:p>
    <w:p w14:paraId="7FC7AC14" w14:textId="77777777" w:rsidR="003568C2" w:rsidRDefault="00695B03">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九、拒绝或暂停申购的情形及处理</w:t>
      </w:r>
    </w:p>
    <w:p w14:paraId="2A217CBE" w14:textId="77777777" w:rsidR="003568C2" w:rsidRDefault="00695B0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发生下列情况时，基金管理人可拒绝或暂停接受投资人的申购申请：</w:t>
      </w:r>
    </w:p>
    <w:p w14:paraId="61BB5A11"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、因不可抗力导致基金无法正常运作。</w:t>
      </w:r>
    </w:p>
    <w:p w14:paraId="6B7B1E3B"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、发生基金合同规定的暂停基金资产估值情况时，基金管理人可暂停接受投资人的申购申请。</w:t>
      </w:r>
    </w:p>
    <w:p w14:paraId="6D43B863"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、证券、期货交易所交易时间非正常停市，导致基金管理人无法计算当日基金资产净值。</w:t>
      </w:r>
    </w:p>
    <w:p w14:paraId="5A05B103"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4</w:t>
      </w:r>
      <w:r>
        <w:rPr>
          <w:rFonts w:asciiTheme="minorEastAsia" w:hAnsiTheme="minorEastAsia" w:cs="Arial" w:hint="eastAsia"/>
          <w:sz w:val="24"/>
          <w:szCs w:val="24"/>
        </w:rPr>
        <w:t>、基金管理人接受某笔或某些申购申请会损害现有基金份额持有人利益或对存量基金份额持有人利益构成潜在重大不利影响时。</w:t>
      </w:r>
    </w:p>
    <w:p w14:paraId="2764B475"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5</w:t>
      </w:r>
      <w:r>
        <w:rPr>
          <w:rFonts w:asciiTheme="minorEastAsia" w:hAnsiTheme="minorEastAsia" w:cs="Arial" w:hint="eastAsia"/>
          <w:sz w:val="24"/>
          <w:szCs w:val="24"/>
        </w:rPr>
        <w:t>、基金资产规模过大，使基金管理人无法找到合适的投资品种，或其他可能对基金业绩产生负面影响，或发生其他损害现有基金份额持有人利益的情形。</w:t>
      </w:r>
    </w:p>
    <w:p w14:paraId="5D6BA35A"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6</w:t>
      </w:r>
      <w:r>
        <w:rPr>
          <w:rFonts w:asciiTheme="minorEastAsia" w:hAnsiTheme="minorEastAsia" w:cs="Arial" w:hint="eastAsia"/>
          <w:sz w:val="24"/>
          <w:szCs w:val="24"/>
        </w:rPr>
        <w:t>、基金管理人、基金托管人、销售机构或登记机构的技术故障等异常情况导致基金销售系统、基金注册登记系统或基金会计系统无法正常运行。</w:t>
      </w:r>
    </w:p>
    <w:p w14:paraId="05668C0A" w14:textId="77777777" w:rsidR="003568C2" w:rsidRDefault="00695B03">
      <w:pPr>
        <w:spacing w:line="360" w:lineRule="auto"/>
        <w:ind w:firstLineChars="200" w:firstLine="480"/>
        <w:rPr>
          <w:bCs/>
          <w:sz w:val="24"/>
          <w:szCs w:val="24"/>
        </w:rPr>
      </w:pPr>
      <w:r>
        <w:rPr>
          <w:rFonts w:hint="eastAsia"/>
          <w:bCs/>
          <w:sz w:val="24"/>
          <w:szCs w:val="24"/>
        </w:rPr>
        <w:t>7</w:t>
      </w:r>
      <w:r>
        <w:rPr>
          <w:rFonts w:hint="eastAsia"/>
          <w:bCs/>
          <w:sz w:val="24"/>
          <w:szCs w:val="24"/>
        </w:rPr>
        <w:t>、基金管理人接受某笔或者某些申购申请有可能导致单一投资者持有基金份额的比例达到或者超过</w:t>
      </w:r>
      <w:r>
        <w:rPr>
          <w:rFonts w:hint="eastAsia"/>
          <w:bCs/>
          <w:sz w:val="24"/>
          <w:szCs w:val="24"/>
        </w:rPr>
        <w:t>50%</w:t>
      </w:r>
      <w:r>
        <w:rPr>
          <w:rFonts w:hint="eastAsia"/>
          <w:bCs/>
          <w:sz w:val="24"/>
          <w:szCs w:val="24"/>
        </w:rPr>
        <w:t>，或者变相规避</w:t>
      </w:r>
      <w:r>
        <w:rPr>
          <w:rFonts w:hint="eastAsia"/>
          <w:bCs/>
          <w:sz w:val="24"/>
          <w:szCs w:val="24"/>
        </w:rPr>
        <w:t>50%</w:t>
      </w:r>
      <w:r>
        <w:rPr>
          <w:rFonts w:hint="eastAsia"/>
          <w:bCs/>
          <w:sz w:val="24"/>
          <w:szCs w:val="24"/>
        </w:rPr>
        <w:t>集中度的情形时。</w:t>
      </w:r>
    </w:p>
    <w:p w14:paraId="4A171507" w14:textId="77777777" w:rsidR="003568C2" w:rsidRDefault="00695B03">
      <w:pPr>
        <w:spacing w:line="360" w:lineRule="auto"/>
        <w:ind w:firstLineChars="200" w:firstLine="480"/>
        <w:rPr>
          <w:bCs/>
          <w:sz w:val="24"/>
          <w:szCs w:val="24"/>
        </w:rPr>
      </w:pPr>
      <w:r>
        <w:rPr>
          <w:rFonts w:hint="eastAsia"/>
          <w:bCs/>
          <w:sz w:val="24"/>
          <w:szCs w:val="24"/>
        </w:rPr>
        <w:t>8</w:t>
      </w:r>
      <w:r>
        <w:rPr>
          <w:rFonts w:hint="eastAsia"/>
          <w:bCs/>
          <w:sz w:val="24"/>
          <w:szCs w:val="24"/>
        </w:rPr>
        <w:t>、当前一估值日基金资产净值</w:t>
      </w:r>
      <w:r>
        <w:rPr>
          <w:rFonts w:hint="eastAsia"/>
          <w:bCs/>
          <w:sz w:val="24"/>
          <w:szCs w:val="24"/>
        </w:rPr>
        <w:t>50%</w:t>
      </w:r>
      <w:r>
        <w:rPr>
          <w:rFonts w:hint="eastAsia"/>
          <w:bCs/>
          <w:sz w:val="24"/>
          <w:szCs w:val="24"/>
        </w:rPr>
        <w:t>以上的资产出现无可参考的活跃市场价格且采用估值技术仍导致公允价值存在重大不确定性时，经与基金托管人协商确认后，基金管理人应当采取延缓支付赎回款项或暂停接受基金申购赎回申请的措施。</w:t>
      </w:r>
    </w:p>
    <w:p w14:paraId="728E8CA0" w14:textId="77777777" w:rsidR="003568C2" w:rsidRDefault="00695B03">
      <w:pPr>
        <w:spacing w:line="360" w:lineRule="auto"/>
        <w:ind w:firstLineChars="200" w:firstLine="480"/>
        <w:rPr>
          <w:bCs/>
          <w:sz w:val="24"/>
          <w:szCs w:val="24"/>
        </w:rPr>
      </w:pPr>
      <w:r>
        <w:rPr>
          <w:rFonts w:hint="eastAsia"/>
          <w:bCs/>
          <w:sz w:val="24"/>
          <w:szCs w:val="24"/>
        </w:rPr>
        <w:t>9</w:t>
      </w:r>
      <w:r>
        <w:rPr>
          <w:rFonts w:hint="eastAsia"/>
          <w:bCs/>
          <w:sz w:val="24"/>
          <w:szCs w:val="24"/>
        </w:rPr>
        <w:t>、</w:t>
      </w:r>
      <w:r>
        <w:rPr>
          <w:bCs/>
          <w:sz w:val="24"/>
          <w:szCs w:val="24"/>
        </w:rPr>
        <w:t>法律法规规定或中国证监会认定的其他情形。</w:t>
      </w:r>
    </w:p>
    <w:p w14:paraId="61B5C338" w14:textId="77777777" w:rsidR="003568C2" w:rsidRDefault="00695B03">
      <w:pPr>
        <w:spacing w:line="360" w:lineRule="auto"/>
        <w:ind w:firstLineChars="200" w:firstLine="480"/>
        <w:rPr>
          <w:bCs/>
          <w:sz w:val="24"/>
          <w:szCs w:val="24"/>
        </w:rPr>
      </w:pPr>
      <w:r>
        <w:rPr>
          <w:bCs/>
          <w:sz w:val="24"/>
          <w:szCs w:val="24"/>
        </w:rPr>
        <w:t>发生上述第</w:t>
      </w:r>
      <w:r>
        <w:rPr>
          <w:bCs/>
          <w:sz w:val="24"/>
          <w:szCs w:val="24"/>
        </w:rPr>
        <w:t>1</w:t>
      </w:r>
      <w:r>
        <w:rPr>
          <w:bCs/>
          <w:sz w:val="24"/>
          <w:szCs w:val="24"/>
        </w:rPr>
        <w:t>、</w:t>
      </w:r>
      <w:r>
        <w:rPr>
          <w:bCs/>
          <w:sz w:val="24"/>
          <w:szCs w:val="24"/>
        </w:rPr>
        <w:t>2</w:t>
      </w:r>
      <w:r>
        <w:rPr>
          <w:bCs/>
          <w:sz w:val="24"/>
          <w:szCs w:val="24"/>
        </w:rPr>
        <w:t>、</w:t>
      </w:r>
      <w:r>
        <w:rPr>
          <w:rFonts w:hint="eastAsia"/>
          <w:bCs/>
          <w:sz w:val="24"/>
          <w:szCs w:val="24"/>
        </w:rPr>
        <w:t>3</w:t>
      </w:r>
      <w:r>
        <w:rPr>
          <w:bCs/>
          <w:sz w:val="24"/>
          <w:szCs w:val="24"/>
        </w:rPr>
        <w:t>、</w:t>
      </w:r>
      <w:r>
        <w:rPr>
          <w:bCs/>
          <w:sz w:val="24"/>
          <w:szCs w:val="24"/>
        </w:rPr>
        <w:t>5</w:t>
      </w:r>
      <w:r>
        <w:rPr>
          <w:rFonts w:hint="eastAsia"/>
          <w:bCs/>
          <w:sz w:val="24"/>
          <w:szCs w:val="24"/>
        </w:rPr>
        <w:t>、</w:t>
      </w:r>
      <w:r>
        <w:rPr>
          <w:rFonts w:hint="eastAsia"/>
          <w:bCs/>
          <w:sz w:val="24"/>
          <w:szCs w:val="24"/>
        </w:rPr>
        <w:t>6</w:t>
      </w:r>
      <w:r>
        <w:rPr>
          <w:rFonts w:hint="eastAsia"/>
          <w:bCs/>
          <w:sz w:val="24"/>
          <w:szCs w:val="24"/>
        </w:rPr>
        <w:t>、</w:t>
      </w:r>
      <w:r>
        <w:rPr>
          <w:rFonts w:hint="eastAsia"/>
          <w:bCs/>
          <w:sz w:val="24"/>
          <w:szCs w:val="24"/>
        </w:rPr>
        <w:t>8</w:t>
      </w:r>
      <w:r>
        <w:rPr>
          <w:rFonts w:hint="eastAsia"/>
          <w:bCs/>
          <w:sz w:val="24"/>
          <w:szCs w:val="24"/>
        </w:rPr>
        <w:t>、</w:t>
      </w:r>
      <w:r>
        <w:rPr>
          <w:rFonts w:hint="eastAsia"/>
          <w:bCs/>
          <w:sz w:val="24"/>
          <w:szCs w:val="24"/>
        </w:rPr>
        <w:t>9</w:t>
      </w:r>
      <w:r>
        <w:rPr>
          <w:bCs/>
          <w:sz w:val="24"/>
          <w:szCs w:val="24"/>
        </w:rPr>
        <w:t>项暂停申购情形</w:t>
      </w:r>
      <w:r>
        <w:rPr>
          <w:rFonts w:hint="eastAsia"/>
          <w:bCs/>
          <w:sz w:val="24"/>
          <w:szCs w:val="24"/>
        </w:rPr>
        <w:t>之一且基金管理人决定暂</w:t>
      </w:r>
      <w:r>
        <w:rPr>
          <w:rFonts w:hint="eastAsia"/>
          <w:bCs/>
          <w:sz w:val="24"/>
          <w:szCs w:val="24"/>
        </w:rPr>
        <w:lastRenderedPageBreak/>
        <w:t>停接受投资人的申购申请</w:t>
      </w:r>
      <w:r>
        <w:rPr>
          <w:bCs/>
          <w:sz w:val="24"/>
          <w:szCs w:val="24"/>
        </w:rPr>
        <w:t>时，基金管理人应当根据有关规定在指定媒介上刊登暂停申购公告。如果投资人的申购申请被拒绝，被拒绝的申购款项将退还给投资人。在暂停申购的情况消除时，基金管理人应及时恢复申购业务的办理。</w:t>
      </w:r>
    </w:p>
    <w:p w14:paraId="150F272B" w14:textId="77777777" w:rsidR="003568C2" w:rsidRDefault="00695B03">
      <w:pPr>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十、暂停赎回或延缓支付赎回款项的情形及处理</w:t>
      </w:r>
    </w:p>
    <w:p w14:paraId="015E5EB6"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发生下列情形时，基金管理人可暂停接受投资人的赎回申请或延缓支付赎回款项：</w:t>
      </w:r>
    </w:p>
    <w:p w14:paraId="1C64278A"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1、因不可抗力导致基金管理人不能支付赎回款项。</w:t>
      </w:r>
    </w:p>
    <w:p w14:paraId="494D8E2F"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2、发生基金合同规定的暂停基金资产估值情况时，基金管理人可暂停接受投资人的赎回申请或延缓支付赎回款项。</w:t>
      </w:r>
    </w:p>
    <w:p w14:paraId="3F547721"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3、证券、期货交易所交易时间非正常停市，导致基金管理人无法计算当日基金资产净值。</w:t>
      </w:r>
    </w:p>
    <w:p w14:paraId="266B0B40"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4、连续两个或两个以上开放日发生巨额赎回。</w:t>
      </w:r>
    </w:p>
    <w:p w14:paraId="739B5D0E"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5、继续接受赎回申请将损害现有基金份额持有人利益的情形时，基金管理人可暂停接受投资人的赎回申请。</w:t>
      </w:r>
    </w:p>
    <w:p w14:paraId="2A4DD4E1"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6、当前一估值日基金资产净值50%以上的资产出现无可参考的活跃市场价格且采用估值技术仍导致公允价值存在重大不确定性时，经与基金托管人协商确认后，基金管理人暂停基金估值并采取延缓支付赎回款项或暂停接受基金赎回申请的措施。</w:t>
      </w:r>
    </w:p>
    <w:p w14:paraId="06EC79B5"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7、法律法规规定或中国证监会认定的其他情形。</w:t>
      </w:r>
    </w:p>
    <w:p w14:paraId="3905D08C" w14:textId="77777777" w:rsidR="003568C2" w:rsidRDefault="00695B0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发生上述情形之一且基金管理人决定拒绝接受或暂停接受基金份额持有人的赎回申请时，基金管理人应在当日报中国证监会备案，已确认的赎回申请，基金管理人应足额支付；如暂时不能足额支付，应将可支付部分按单个账户申请量占申请总量的比例分配给赎回申请人，未支付部分可延期支付。若出现上述第4项所述情形，按基金合同的相关条款处理。基金份额持有人在申请赎回时可事先选择将当日可能未获受理部分予以撤销。在暂停赎回的情况消除时，基金管理人应及时恢复赎回业务的办理并公告。</w:t>
      </w:r>
      <w:bookmarkStart w:id="186" w:name="_Toc416264545"/>
      <w:bookmarkStart w:id="187" w:name="_Toc123102457"/>
      <w:bookmarkStart w:id="188" w:name="_Toc123112238"/>
      <w:bookmarkStart w:id="189" w:name="_Toc17920"/>
      <w:bookmarkStart w:id="190" w:name="_Toc48649708"/>
      <w:bookmarkStart w:id="191" w:name="_Toc17198"/>
      <w:bookmarkStart w:id="192" w:name="_Toc141703890"/>
      <w:bookmarkStart w:id="193" w:name="_Toc3329"/>
      <w:bookmarkStart w:id="194" w:name="_Toc32584"/>
      <w:bookmarkStart w:id="195" w:name="_Toc139991740"/>
      <w:bookmarkStart w:id="196" w:name="_Toc739"/>
      <w:bookmarkStart w:id="197" w:name="_Toc79392622"/>
      <w:bookmarkStart w:id="198" w:name="_Toc20976"/>
      <w:bookmarkStart w:id="199" w:name="_Toc32092"/>
      <w:bookmarkStart w:id="200" w:name="_Toc29408"/>
      <w:bookmarkStart w:id="201" w:name="_Toc5170"/>
      <w:bookmarkStart w:id="202" w:name="_Toc123051456"/>
      <w:bookmarkStart w:id="203" w:name="_Toc21237"/>
      <w:bookmarkStart w:id="204" w:name="_Toc352229756"/>
      <w:bookmarkStart w:id="205" w:name="_Toc8791"/>
      <w:bookmarkStart w:id="206" w:name="_Toc98560356"/>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p>
    <w:p w14:paraId="2F1E62C0" w14:textId="77777777" w:rsidR="003568C2" w:rsidRDefault="00695B0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十一、巨额赎回的情形及处理方式</w:t>
      </w:r>
    </w:p>
    <w:p w14:paraId="3BBF3C10" w14:textId="77777777" w:rsidR="003568C2" w:rsidRDefault="00695B0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1、巨额赎回的认定</w:t>
      </w:r>
    </w:p>
    <w:p w14:paraId="32700343" w14:textId="77777777" w:rsidR="003568C2" w:rsidRDefault="00695B0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lastRenderedPageBreak/>
        <w:t>若本基金单个开放日内的基金份额净赎回申请（赎回申请份额总数加上基金转换中转出申请份额总数后扣除申购申请份额总数及基金转换中转入申请份额总数后的余额）超过前一开放日的基金总份额的10%，即认为是发生了巨额赎回。</w:t>
      </w:r>
    </w:p>
    <w:p w14:paraId="0E39E5D4" w14:textId="77777777" w:rsidR="003568C2" w:rsidRDefault="00695B0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2、巨额赎回的处理方式</w:t>
      </w:r>
    </w:p>
    <w:p w14:paraId="5E32AA3D" w14:textId="77777777" w:rsidR="003568C2" w:rsidRDefault="00695B0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当基金出现巨额赎回时，基金管理人可以根据基金当时的资产组合状况决定全额赎回或部分延期赎回。</w:t>
      </w:r>
    </w:p>
    <w:p w14:paraId="58B9D727" w14:textId="77777777" w:rsidR="003568C2" w:rsidRDefault="00695B0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（1）全额赎回：当基金管理人认为有能力支付投资人的全部赎回申请时，按正常赎回程序执行。</w:t>
      </w:r>
    </w:p>
    <w:p w14:paraId="6C7FC9B5" w14:textId="77777777" w:rsidR="003568C2" w:rsidRDefault="00695B03">
      <w:pPr>
        <w:spacing w:line="360" w:lineRule="auto"/>
        <w:ind w:firstLineChars="200" w:firstLine="480"/>
        <w:rPr>
          <w:bCs/>
          <w:sz w:val="24"/>
          <w:szCs w:val="24"/>
        </w:rPr>
      </w:pPr>
      <w:r>
        <w:rPr>
          <w:bCs/>
          <w:sz w:val="24"/>
          <w:szCs w:val="24"/>
        </w:rPr>
        <w:t>（</w:t>
      </w:r>
      <w:r>
        <w:rPr>
          <w:rFonts w:hint="eastAsia"/>
          <w:bCs/>
          <w:sz w:val="24"/>
          <w:szCs w:val="24"/>
        </w:rPr>
        <w:t>2</w:t>
      </w:r>
      <w:r>
        <w:rPr>
          <w:bCs/>
          <w:sz w:val="24"/>
          <w:szCs w:val="24"/>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w:t>
      </w:r>
      <w:r>
        <w:rPr>
          <w:rFonts w:hint="eastAsia"/>
          <w:bCs/>
          <w:sz w:val="24"/>
          <w:szCs w:val="24"/>
        </w:rPr>
        <w:t>10%</w:t>
      </w:r>
      <w:r>
        <w:rPr>
          <w:bCs/>
          <w:sz w:val="24"/>
          <w:szCs w:val="24"/>
        </w:rPr>
        <w:t>的前提下，可对其余赎回申请延期办理。</w:t>
      </w:r>
      <w:r>
        <w:rPr>
          <w:rFonts w:hint="eastAsia"/>
          <w:bCs/>
          <w:sz w:val="24"/>
          <w:szCs w:val="24"/>
        </w:rPr>
        <w:t>对于当日</w:t>
      </w:r>
      <w:r>
        <w:rPr>
          <w:bCs/>
          <w:sz w:val="24"/>
          <w:szCs w:val="24"/>
        </w:rPr>
        <w:t>的赎回申请，</w:t>
      </w:r>
      <w:r>
        <w:rPr>
          <w:rFonts w:hint="eastAsia"/>
          <w:bCs/>
          <w:sz w:val="24"/>
          <w:szCs w:val="24"/>
        </w:rPr>
        <w:t>应当</w:t>
      </w:r>
      <w:r>
        <w:rPr>
          <w:bCs/>
          <w:sz w:val="24"/>
          <w:szCs w:val="24"/>
        </w:rPr>
        <w:t>按单个账户赎回申请量占赎回申请总量的比例，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并以下一开放日</w:t>
      </w:r>
      <w:r>
        <w:rPr>
          <w:rFonts w:hint="eastAsia"/>
          <w:bCs/>
          <w:sz w:val="24"/>
          <w:szCs w:val="24"/>
        </w:rPr>
        <w:t>某一类别</w:t>
      </w:r>
      <w:r>
        <w:rPr>
          <w:bCs/>
          <w:sz w:val="24"/>
          <w:szCs w:val="24"/>
        </w:rPr>
        <w:t>的基金份额净值为基础计算赎回金额，以此类推，直到全部赎回为止。如投资人在提交赎回申请时未作明确选择，投资人未能赎回部分作自动延期赎回处理。</w:t>
      </w:r>
    </w:p>
    <w:p w14:paraId="7D6A1D16" w14:textId="77777777" w:rsidR="003568C2" w:rsidRDefault="00695B03">
      <w:pPr>
        <w:spacing w:line="360" w:lineRule="auto"/>
        <w:ind w:firstLineChars="200" w:firstLine="480"/>
        <w:rPr>
          <w:bCs/>
          <w:sz w:val="24"/>
          <w:szCs w:val="24"/>
        </w:rPr>
      </w:pPr>
      <w:r>
        <w:rPr>
          <w:rFonts w:hint="eastAsia"/>
          <w:bCs/>
          <w:sz w:val="24"/>
          <w:szCs w:val="24"/>
        </w:rPr>
        <w:t>若进行上述延期办理，</w:t>
      </w:r>
      <w:r>
        <w:rPr>
          <w:bCs/>
          <w:sz w:val="24"/>
          <w:szCs w:val="24"/>
        </w:rPr>
        <w:t>对于</w:t>
      </w:r>
      <w:r>
        <w:rPr>
          <w:rFonts w:hint="eastAsia"/>
          <w:bCs/>
          <w:sz w:val="24"/>
          <w:szCs w:val="24"/>
        </w:rPr>
        <w:t>单个基金份额持有人</w:t>
      </w:r>
      <w:r>
        <w:rPr>
          <w:bCs/>
          <w:sz w:val="24"/>
          <w:szCs w:val="24"/>
        </w:rPr>
        <w:t>当日</w:t>
      </w:r>
      <w:r>
        <w:rPr>
          <w:rFonts w:hint="eastAsia"/>
          <w:bCs/>
          <w:sz w:val="24"/>
          <w:szCs w:val="24"/>
        </w:rPr>
        <w:t>赎回申请超过上一开放日基金总份额</w:t>
      </w:r>
      <w:r>
        <w:rPr>
          <w:rFonts w:hint="eastAsia"/>
          <w:bCs/>
          <w:sz w:val="24"/>
          <w:szCs w:val="24"/>
        </w:rPr>
        <w:t>3</w:t>
      </w:r>
      <w:r>
        <w:rPr>
          <w:bCs/>
          <w:sz w:val="24"/>
          <w:szCs w:val="24"/>
        </w:rPr>
        <w:t>0</w:t>
      </w:r>
      <w:r>
        <w:rPr>
          <w:rFonts w:hint="eastAsia"/>
          <w:bCs/>
          <w:sz w:val="24"/>
          <w:szCs w:val="24"/>
        </w:rPr>
        <w:t>%</w:t>
      </w:r>
      <w:r>
        <w:rPr>
          <w:rFonts w:hint="eastAsia"/>
          <w:bCs/>
          <w:sz w:val="24"/>
          <w:szCs w:val="24"/>
        </w:rPr>
        <w:t>以上的部分，基金管理人可以进行延期办理。对该单个基金份额持有人剩余赎回申请与其他账户赎回申请按前述条款处理。</w:t>
      </w:r>
    </w:p>
    <w:p w14:paraId="6AEACA67" w14:textId="77777777" w:rsidR="003568C2" w:rsidRDefault="00695B0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3）暂停赎回：连续2个开放日以上（含本数）发生巨额赎回，如基金管理人认为有必要，可暂停接受基金的赎回申请；已经接受的赎回申请可以延缓支付赎回款项，但不得超过20个工作日，并应当在指定媒介上进行公告。</w:t>
      </w:r>
    </w:p>
    <w:p w14:paraId="4C63C389" w14:textId="77777777" w:rsidR="003568C2" w:rsidRDefault="00695B0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3、巨额赎回的公告</w:t>
      </w:r>
    </w:p>
    <w:p w14:paraId="2A512AD3" w14:textId="77777777" w:rsidR="003568C2" w:rsidRDefault="00695B0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当发生上述巨额赎回并延期办理时，基金管理人应当通过邮寄、传真或者招募说明书规定的其他方式在3个交易日内通知基金份额持有人，说明有关处理方法，并在2日内在指定媒介上刊登公告。</w:t>
      </w:r>
    </w:p>
    <w:p w14:paraId="06E4A225" w14:textId="77777777" w:rsidR="003568C2" w:rsidRDefault="00695B0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lastRenderedPageBreak/>
        <w:t>十二、暂停申购或赎回的公告和重新开放申购或赎回的公告</w:t>
      </w:r>
    </w:p>
    <w:p w14:paraId="0C2D0F7B" w14:textId="77777777" w:rsidR="003568C2" w:rsidRDefault="00695B0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1、发生上述暂停申购或赎回情况的，基金管理人应在规定期限内在指定媒介上刊登暂停公告。</w:t>
      </w:r>
    </w:p>
    <w:p w14:paraId="37B79157" w14:textId="77777777" w:rsidR="003568C2" w:rsidRDefault="00695B0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2、基金管理人可以根据暂停申购或赎回的时间，依照《信息披露办法》的有关规定，最迟于重新开放日在指定媒介上刊登重新开放申购或赎回的公告；也可以根据实际情况在暂停公告中明确重新开放申购或赎回的时间，届时不再另行发布重新开放的公告。</w:t>
      </w:r>
    </w:p>
    <w:p w14:paraId="184F7E2A" w14:textId="77777777" w:rsidR="003568C2" w:rsidRDefault="00695B0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3、上述暂停申购或赎回情况消除的，基金管理人应于重新开放日公布最近1个工作日两类基金份额净值。</w:t>
      </w:r>
    </w:p>
    <w:p w14:paraId="3CA7D6A4" w14:textId="77777777" w:rsidR="003568C2" w:rsidRDefault="00695B0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十三、基金转换</w:t>
      </w:r>
    </w:p>
    <w:p w14:paraId="0DE23310" w14:textId="77777777" w:rsidR="003568C2" w:rsidRDefault="00695B0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并提前告知基金托管人与相关机构。</w:t>
      </w:r>
    </w:p>
    <w:p w14:paraId="39CDAC5A" w14:textId="77777777" w:rsidR="003568C2" w:rsidRDefault="00695B0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十四、基金份额的转让</w:t>
      </w:r>
    </w:p>
    <w:p w14:paraId="2259D3BC" w14:textId="77777777" w:rsidR="003568C2" w:rsidRDefault="00695B0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14:paraId="6B1CA15F" w14:textId="77777777" w:rsidR="003568C2" w:rsidRDefault="00695B0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十五、基金的非交易过户</w:t>
      </w:r>
    </w:p>
    <w:p w14:paraId="44679DB1" w14:textId="77777777" w:rsidR="003568C2" w:rsidRDefault="00695B0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的非交易过户是指基金登记机构受理继承、捐赠和司法强制执行等情形而产生的非交易过户以及登记机构认可、符合法律法规的其它非交易过户。无论在上述何种情况下，接受划转的主体必须是依法可以持有本基金基金份额的投资人。</w:t>
      </w:r>
    </w:p>
    <w:p w14:paraId="56196398" w14:textId="77777777" w:rsidR="003568C2" w:rsidRDefault="00695B0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继承是指基金份额持有人死亡，其持有的基金份额由其合法的继承人继承；捐赠指基金份额持有人将其合法持有的基金份额捐赠给福利性质的基金会或社会团体；司法强制执行是指司法机构依据生效司法文书将基金份额持有人持有的基金份额强制划转给其他自然人、法人或其他组织。办理非交易过户必须提供基</w:t>
      </w:r>
      <w:r>
        <w:rPr>
          <w:rFonts w:asciiTheme="minorEastAsia" w:hAnsiTheme="minorEastAsia" w:cs="Arial" w:hint="eastAsia"/>
          <w:sz w:val="24"/>
          <w:szCs w:val="24"/>
        </w:rPr>
        <w:lastRenderedPageBreak/>
        <w:t>金登记机构要求提供的相关资料，对于符合条件的非交易过户申请按基金登记机构的规定办理，并按基金登记机构规定的标准收费。</w:t>
      </w:r>
    </w:p>
    <w:p w14:paraId="270EA552" w14:textId="77777777" w:rsidR="003568C2" w:rsidRDefault="00695B0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十六、基金的转托管</w:t>
      </w:r>
    </w:p>
    <w:p w14:paraId="77E9123A" w14:textId="77777777" w:rsidR="003568C2" w:rsidRDefault="00695B0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基金份额持有人可办理已持有基金份额在不同销售机构之间的转托管，基金销售机构可以按照规定的标准收取转托管费。</w:t>
      </w:r>
    </w:p>
    <w:p w14:paraId="436D3A4C" w14:textId="77777777" w:rsidR="003568C2" w:rsidRDefault="00695B0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十七、定期定额投资计划</w:t>
      </w:r>
    </w:p>
    <w:p w14:paraId="50625FEF" w14:textId="77777777" w:rsidR="003568C2" w:rsidRDefault="00695B0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14:paraId="690723FF" w14:textId="77777777" w:rsidR="003568C2" w:rsidRDefault="00695B0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十八、基金份额的冻结、解冻与质押</w:t>
      </w:r>
    </w:p>
    <w:p w14:paraId="51FCD51D" w14:textId="77777777" w:rsidR="003568C2" w:rsidRDefault="00695B0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登记机构只受理国家有权机关依法要求的基金份额的冻结与解冻，以及登记机构认可、符合法律法规的其他情况下的冻结与解冻。基金份额被冻结的，被冻结部分产生的权益一并冻结，被冻结部分份额仍然参与收益分配。法律法规或监管机构另有规定的除外。</w:t>
      </w:r>
    </w:p>
    <w:p w14:paraId="6B888D74" w14:textId="77777777" w:rsidR="003568C2" w:rsidRDefault="00695B0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如相关法律法规允许基金管理人办理基金份额的质押业务或其他基金业务，在履行相关程序后，基金管理人将制定和实施相应的业务规则。</w:t>
      </w:r>
      <w:r>
        <w:rPr>
          <w:rFonts w:asciiTheme="minorEastAsia" w:hAnsiTheme="minorEastAsia" w:cs="Arial"/>
          <w:sz w:val="24"/>
          <w:szCs w:val="24"/>
        </w:rPr>
        <w:br w:type="page"/>
      </w:r>
    </w:p>
    <w:p w14:paraId="70A785C3" w14:textId="77777777" w:rsidR="003568C2" w:rsidRDefault="00695B03">
      <w:pPr>
        <w:pStyle w:val="1"/>
        <w:jc w:val="center"/>
        <w:rPr>
          <w:sz w:val="30"/>
          <w:szCs w:val="30"/>
        </w:rPr>
      </w:pPr>
      <w:bookmarkStart w:id="207" w:name="_Toc15892922"/>
      <w:r>
        <w:rPr>
          <w:rFonts w:hint="eastAsia"/>
          <w:sz w:val="30"/>
          <w:szCs w:val="30"/>
        </w:rPr>
        <w:lastRenderedPageBreak/>
        <w:t>第九部分</w:t>
      </w:r>
      <w:r>
        <w:rPr>
          <w:sz w:val="30"/>
          <w:szCs w:val="30"/>
        </w:rPr>
        <w:t xml:space="preserve">  </w:t>
      </w:r>
      <w:r>
        <w:rPr>
          <w:rFonts w:hint="eastAsia"/>
          <w:sz w:val="30"/>
          <w:szCs w:val="30"/>
        </w:rPr>
        <w:t>基金的投资</w:t>
      </w:r>
      <w:bookmarkEnd w:id="186"/>
      <w:bookmarkEnd w:id="207"/>
    </w:p>
    <w:p w14:paraId="65C375F6" w14:textId="77777777" w:rsidR="003568C2" w:rsidRDefault="00695B03">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一、投资目标</w:t>
      </w:r>
    </w:p>
    <w:p w14:paraId="16913C68" w14:textId="77777777" w:rsidR="003568C2" w:rsidRDefault="00695B03">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本基金为股票指数增强型基金，在力求对沪深300指数进行有效跟踪的基础上，通过数量化方法进行积极的指数组合管理与风险控制，力争实现超越业绩比较基准的投资收益，谋求基金资产的长期增值。</w:t>
      </w:r>
    </w:p>
    <w:p w14:paraId="5CC713AF" w14:textId="77777777" w:rsidR="003568C2" w:rsidRDefault="00695B03">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二、投资范围</w:t>
      </w:r>
    </w:p>
    <w:p w14:paraId="5C4AF95D" w14:textId="77777777" w:rsidR="003568C2" w:rsidRDefault="00695B03">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主要投资于沪深300指数成份股、备选成份股。为更好地实现投资目标,本基金可少量投资于非成份股(包括中小板、创业板及其他经中国证监会核准上市的股票)、存托凭证、债券(含国债、金融债、企业债、公司债、央行票据、中期票据、短期融资券、超短期融资券、政府支持机构债、地方政府债、公开发行的次级债、可转换债券、可交换债券、中小企业私募债及其他经中国证监会允许投资的债券)、货币市场工具(含同业存单等)、权证、资产支持证券、股指期货以及法律法规或中国证监会允许基金投资的其他金融工具(但须符合中国证监会相关规定)。</w:t>
      </w:r>
    </w:p>
    <w:p w14:paraId="434D47FE" w14:textId="77777777" w:rsidR="003568C2" w:rsidRDefault="00695B03">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如法律法规或监管机构以后允许基金投资其他品种，基金管理人在履行适当程序后，可以将其纳入投资范围。</w:t>
      </w:r>
    </w:p>
    <w:p w14:paraId="06CFA1A3" w14:textId="77777777" w:rsidR="003568C2" w:rsidRDefault="00695B03">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基金的投资组合比例为：股票资产占基金资产的比例不低于80%，投资标的指数成份股及其备选成份股的比例不低于非现金基金资产的80%；每个交易日日终在扣除股指期货合约需缴纳的交易保证金后，保持不低于基金资产净值5%的现金或到期日在一年以内的政府债券，其中现金不包括结算备付金、存出保证金、应收申购款等；权证、股指期货及其他金融工具的投资比例依照法律法规或监管机构的规定执行。</w:t>
      </w:r>
    </w:p>
    <w:p w14:paraId="66788CD4" w14:textId="77777777" w:rsidR="003568C2" w:rsidRDefault="00695B03">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如果法律法规或中国证监会变更投资品种的投资比例限制，基金管理人在履行适当程序后，可以调整上述投资品种的投资比例。</w:t>
      </w:r>
    </w:p>
    <w:p w14:paraId="39BF9E12" w14:textId="77777777" w:rsidR="003568C2" w:rsidRDefault="00695B0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三、投资策略</w:t>
      </w:r>
    </w:p>
    <w:p w14:paraId="071FF873" w14:textId="77777777" w:rsidR="003568C2" w:rsidRDefault="00695B03">
      <w:pPr>
        <w:autoSpaceDE w:val="0"/>
        <w:autoSpaceDN w:val="0"/>
        <w:spacing w:line="360" w:lineRule="auto"/>
        <w:ind w:firstLineChars="200" w:firstLine="480"/>
        <w:textAlignment w:val="bottom"/>
        <w:rPr>
          <w:bCs/>
          <w:sz w:val="24"/>
        </w:rPr>
      </w:pPr>
      <w:r>
        <w:rPr>
          <w:rFonts w:hint="eastAsia"/>
          <w:bCs/>
          <w:sz w:val="24"/>
        </w:rPr>
        <w:t>本基金在指数化投资的基础上通过数量化方法进行投资组合优化，在控制与沪深</w:t>
      </w:r>
      <w:r>
        <w:rPr>
          <w:rFonts w:hint="eastAsia"/>
          <w:bCs/>
          <w:sz w:val="24"/>
        </w:rPr>
        <w:t>300</w:t>
      </w:r>
      <w:r>
        <w:rPr>
          <w:rFonts w:hint="eastAsia"/>
          <w:bCs/>
          <w:sz w:val="24"/>
        </w:rPr>
        <w:t>指数偏离风险的前提下，力争实现超越业绩比较基准的投资收益。本基金力争控制净值增长率与业绩比较基准之间的日均跟踪偏离度的绝对值不超过</w:t>
      </w:r>
      <w:r>
        <w:rPr>
          <w:rFonts w:hint="eastAsia"/>
          <w:bCs/>
          <w:sz w:val="24"/>
        </w:rPr>
        <w:t>0.5%</w:t>
      </w:r>
      <w:r>
        <w:rPr>
          <w:rFonts w:hint="eastAsia"/>
          <w:bCs/>
          <w:sz w:val="24"/>
        </w:rPr>
        <w:t>，年跟踪误差不超过</w:t>
      </w:r>
      <w:r>
        <w:rPr>
          <w:rFonts w:hint="eastAsia"/>
          <w:bCs/>
          <w:sz w:val="24"/>
        </w:rPr>
        <w:t>8.0%</w:t>
      </w:r>
      <w:r>
        <w:rPr>
          <w:rFonts w:hint="eastAsia"/>
          <w:bCs/>
          <w:sz w:val="24"/>
        </w:rPr>
        <w:t>。</w:t>
      </w:r>
    </w:p>
    <w:p w14:paraId="708B1A6F" w14:textId="77777777" w:rsidR="003568C2" w:rsidRDefault="00695B03">
      <w:pPr>
        <w:autoSpaceDE w:val="0"/>
        <w:autoSpaceDN w:val="0"/>
        <w:spacing w:line="360" w:lineRule="auto"/>
        <w:ind w:firstLineChars="200" w:firstLine="480"/>
        <w:textAlignment w:val="bottom"/>
        <w:rPr>
          <w:bCs/>
          <w:sz w:val="24"/>
        </w:rPr>
      </w:pPr>
      <w:r>
        <w:rPr>
          <w:rFonts w:hint="eastAsia"/>
          <w:bCs/>
          <w:sz w:val="24"/>
        </w:rPr>
        <w:lastRenderedPageBreak/>
        <w:t>1</w:t>
      </w:r>
      <w:r>
        <w:rPr>
          <w:rFonts w:hint="eastAsia"/>
          <w:bCs/>
          <w:sz w:val="24"/>
        </w:rPr>
        <w:t>、股票投资策略</w:t>
      </w:r>
    </w:p>
    <w:p w14:paraId="2381F92E" w14:textId="77777777" w:rsidR="003568C2" w:rsidRDefault="00695B0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w:t>
      </w:r>
      <w:r>
        <w:rPr>
          <w:rFonts w:hint="eastAsia"/>
          <w:bCs/>
          <w:sz w:val="24"/>
        </w:rPr>
        <w:t>）指数化投资策略</w:t>
      </w:r>
    </w:p>
    <w:p w14:paraId="4C412011" w14:textId="77777777" w:rsidR="003568C2" w:rsidRDefault="00695B03">
      <w:pPr>
        <w:autoSpaceDE w:val="0"/>
        <w:autoSpaceDN w:val="0"/>
        <w:spacing w:line="360" w:lineRule="auto"/>
        <w:ind w:firstLineChars="200" w:firstLine="480"/>
        <w:textAlignment w:val="bottom"/>
        <w:rPr>
          <w:bCs/>
          <w:sz w:val="24"/>
        </w:rPr>
      </w:pPr>
      <w:r>
        <w:rPr>
          <w:rFonts w:hint="eastAsia"/>
          <w:bCs/>
          <w:sz w:val="24"/>
        </w:rPr>
        <w:t>本基金将运用指数化的投资方法，通过研究标的指数成份股的构成及其权重确定本基金投资组合的基本构成和大致占比，并通过控制投资组合中成份股对标的指数中权重的偏离，以控制跟踪误差，进而达成对标的指数的跟踪目标。</w:t>
      </w:r>
    </w:p>
    <w:p w14:paraId="79781B84" w14:textId="77777777" w:rsidR="003568C2" w:rsidRDefault="00695B0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w:t>
      </w:r>
      <w:r>
        <w:rPr>
          <w:rFonts w:hint="eastAsia"/>
          <w:bCs/>
          <w:sz w:val="24"/>
        </w:rPr>
        <w:t>）指数增强型策略</w:t>
      </w:r>
    </w:p>
    <w:p w14:paraId="0FC49403" w14:textId="77777777" w:rsidR="003568C2" w:rsidRDefault="00695B03">
      <w:pPr>
        <w:autoSpaceDE w:val="0"/>
        <w:autoSpaceDN w:val="0"/>
        <w:spacing w:line="360" w:lineRule="auto"/>
        <w:ind w:firstLine="480"/>
        <w:textAlignment w:val="bottom"/>
        <w:rPr>
          <w:sz w:val="24"/>
          <w:szCs w:val="24"/>
        </w:rPr>
      </w:pPr>
      <w:r>
        <w:rPr>
          <w:rFonts w:ascii="宋体" w:hAnsi="宋体" w:hint="eastAsia"/>
          <w:sz w:val="24"/>
          <w:szCs w:val="24"/>
        </w:rPr>
        <w:t>本基金数量化投资分析将基于标的指数的编制及调整方法，并参考标的指数行业构成和成份股的权重占比，结合成份股之间的相对价值、个股的短期市场机会以及流动性等指标进行分析。本基金使用数量化模型，对净利润、净利润同比增长率、市盈率、上年同期净利润同比增长、上年净利润同比增长率二阶增速、净资产收益率、个股收益率等因子进行建模，选取具有良好增长能力的股票构建股票组合。</w:t>
      </w:r>
    </w:p>
    <w:p w14:paraId="036EF0B7" w14:textId="77777777" w:rsidR="003568C2" w:rsidRDefault="00695B03">
      <w:pPr>
        <w:autoSpaceDE w:val="0"/>
        <w:autoSpaceDN w:val="0"/>
        <w:spacing w:line="360" w:lineRule="auto"/>
        <w:ind w:firstLine="480"/>
        <w:textAlignment w:val="bottom"/>
        <w:rPr>
          <w:sz w:val="24"/>
          <w:szCs w:val="24"/>
        </w:rPr>
      </w:pPr>
      <w:r>
        <w:rPr>
          <w:rFonts w:ascii="宋体" w:hAnsi="宋体" w:hint="eastAsia"/>
          <w:sz w:val="24"/>
          <w:szCs w:val="24"/>
        </w:rPr>
        <w:t>本基金使用均值方差模型，优化股票权重，达到指数增强效果。</w:t>
      </w:r>
    </w:p>
    <w:p w14:paraId="521543BE" w14:textId="77777777" w:rsidR="003568C2" w:rsidRDefault="00695B03">
      <w:pPr>
        <w:autoSpaceDE w:val="0"/>
        <w:autoSpaceDN w:val="0"/>
        <w:spacing w:line="360" w:lineRule="auto"/>
        <w:ind w:firstLine="480"/>
        <w:textAlignment w:val="bottom"/>
        <w:rPr>
          <w:sz w:val="24"/>
          <w:szCs w:val="24"/>
        </w:rPr>
      </w:pPr>
      <w:r>
        <w:rPr>
          <w:rFonts w:ascii="宋体" w:hAnsi="宋体" w:hint="eastAsia"/>
          <w:sz w:val="24"/>
          <w:szCs w:val="24"/>
        </w:rPr>
        <w:t>本基金还将分析标的指数成份股的基本面状况和竞争优势，定期跟踪成分股股票财务报表变化状况，对其盈利的可持续性和增长能力进行分析判断和预测，以此作为本基金调整股票组合和股票权重的参考。</w:t>
      </w:r>
    </w:p>
    <w:p w14:paraId="14D4B0C2" w14:textId="77777777" w:rsidR="003568C2" w:rsidRDefault="00695B03">
      <w:pPr>
        <w:autoSpaceDE w:val="0"/>
        <w:autoSpaceDN w:val="0"/>
        <w:spacing w:line="360" w:lineRule="auto"/>
        <w:ind w:firstLineChars="200" w:firstLine="480"/>
        <w:textAlignment w:val="bottom"/>
        <w:rPr>
          <w:bCs/>
          <w:sz w:val="24"/>
        </w:rPr>
      </w:pPr>
      <w:r>
        <w:rPr>
          <w:rFonts w:hint="eastAsia"/>
          <w:bCs/>
          <w:sz w:val="24"/>
        </w:rPr>
        <w:t>除标的指数成份股之外，本基金亦可适当投资于一些基本面较好、股价被较大低估、存在重大投资机会的非成分股提高收益水平。</w:t>
      </w:r>
    </w:p>
    <w:p w14:paraId="3E8DC90F" w14:textId="77777777" w:rsidR="003568C2" w:rsidRDefault="00695B03">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、债券投资策略</w:t>
      </w:r>
    </w:p>
    <w:p w14:paraId="60672255" w14:textId="77777777" w:rsidR="003568C2" w:rsidRDefault="00695B03">
      <w:pPr>
        <w:autoSpaceDE w:val="0"/>
        <w:autoSpaceDN w:val="0"/>
        <w:spacing w:line="360" w:lineRule="auto"/>
        <w:ind w:firstLineChars="200" w:firstLine="480"/>
        <w:textAlignment w:val="bottom"/>
        <w:rPr>
          <w:bCs/>
          <w:sz w:val="24"/>
        </w:rPr>
      </w:pPr>
      <w:r>
        <w:rPr>
          <w:rFonts w:hint="eastAsia"/>
          <w:bCs/>
          <w:sz w:val="24"/>
        </w:rPr>
        <w:t>本基金债券投资将采取久期策略、收益率曲线策略、骑乘策略、息差策略、个券选择策略、信用策略等积极投资策略，自上而下地管理组合的久期，灵活地调整组合的券种搭配，同时精选个券，以增强组合的持有期收益。</w:t>
      </w:r>
    </w:p>
    <w:p w14:paraId="6F9D0792" w14:textId="77777777" w:rsidR="003568C2" w:rsidRDefault="00695B03">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、权证投资策略</w:t>
      </w:r>
    </w:p>
    <w:p w14:paraId="76384D11" w14:textId="77777777" w:rsidR="003568C2" w:rsidRDefault="00695B03">
      <w:pPr>
        <w:autoSpaceDE w:val="0"/>
        <w:autoSpaceDN w:val="0"/>
        <w:spacing w:line="360" w:lineRule="auto"/>
        <w:ind w:firstLineChars="200" w:firstLine="480"/>
        <w:textAlignment w:val="bottom"/>
        <w:rPr>
          <w:bCs/>
          <w:sz w:val="24"/>
        </w:rPr>
      </w:pPr>
      <w:r>
        <w:rPr>
          <w:rFonts w:hint="eastAsia"/>
          <w:bCs/>
          <w:sz w:val="24"/>
        </w:rPr>
        <w:t>本基金通过对权证标的证券基本面的研究，并结合权证定价模型及价值挖掘策略、价差策略、双向权证策略等寻求权证的合理估值水平，追求稳定的当期收益。</w:t>
      </w:r>
    </w:p>
    <w:p w14:paraId="68F18E11" w14:textId="77777777" w:rsidR="003568C2" w:rsidRDefault="00695B03">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、股指期货投资策略</w:t>
      </w:r>
    </w:p>
    <w:p w14:paraId="15E41CFC" w14:textId="77777777" w:rsidR="003568C2" w:rsidRDefault="00695B03">
      <w:pPr>
        <w:autoSpaceDE w:val="0"/>
        <w:autoSpaceDN w:val="0"/>
        <w:spacing w:line="360" w:lineRule="auto"/>
        <w:ind w:firstLineChars="200" w:firstLine="480"/>
        <w:textAlignment w:val="bottom"/>
        <w:rPr>
          <w:bCs/>
          <w:sz w:val="24"/>
        </w:rPr>
      </w:pPr>
      <w:r>
        <w:rPr>
          <w:rFonts w:hint="eastAsia"/>
          <w:bCs/>
          <w:sz w:val="24"/>
        </w:rPr>
        <w:t>本基金将根据风险管理的原则，以套期保值为目标</w:t>
      </w:r>
      <w:r>
        <w:rPr>
          <w:rFonts w:hint="eastAsia"/>
          <w:bCs/>
          <w:sz w:val="24"/>
        </w:rPr>
        <w:t>,</w:t>
      </w:r>
      <w:r>
        <w:rPr>
          <w:rFonts w:hint="eastAsia"/>
          <w:bCs/>
          <w:sz w:val="24"/>
        </w:rPr>
        <w:t>选择流动性好、交易活跃的股指期货合约，充分考虑股指期货的风险收益特征，通过多头或空头的套期</w:t>
      </w:r>
      <w:r>
        <w:rPr>
          <w:rFonts w:hint="eastAsia"/>
          <w:bCs/>
          <w:sz w:val="24"/>
        </w:rPr>
        <w:lastRenderedPageBreak/>
        <w:t>保值策略，以改善投资组合的投资效果，实现股票组合的超额收益。</w:t>
      </w:r>
    </w:p>
    <w:p w14:paraId="6B38BE38" w14:textId="77777777" w:rsidR="003568C2" w:rsidRDefault="00695B03">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、资产支持证券的投资策略</w:t>
      </w:r>
    </w:p>
    <w:p w14:paraId="7AE65FE7" w14:textId="77777777" w:rsidR="003568C2" w:rsidRDefault="00695B03">
      <w:pPr>
        <w:autoSpaceDE w:val="0"/>
        <w:autoSpaceDN w:val="0"/>
        <w:spacing w:line="360" w:lineRule="auto"/>
        <w:ind w:firstLineChars="200" w:firstLine="480"/>
        <w:textAlignment w:val="bottom"/>
        <w:rPr>
          <w:bCs/>
          <w:sz w:val="24"/>
        </w:rPr>
      </w:pPr>
      <w:r>
        <w:rPr>
          <w:rFonts w:hint="eastAsia"/>
          <w:bCs/>
          <w:sz w:val="24"/>
        </w:rPr>
        <w:t>本基金将综合运用战略资产配置和战术资产配置进行资产支持证券的投资组合管理</w:t>
      </w:r>
      <w:r>
        <w:rPr>
          <w:rFonts w:hint="eastAsia"/>
          <w:bCs/>
          <w:sz w:val="24"/>
        </w:rPr>
        <w:t>,</w:t>
      </w:r>
      <w:r>
        <w:rPr>
          <w:rFonts w:hint="eastAsia"/>
          <w:bCs/>
          <w:sz w:val="24"/>
        </w:rPr>
        <w:t>并根据信用风险、利率风险和流动性风险变化积极调整投资策略，严格遵守法律法规和基金合同的约定，在保证本金安全和基金资产流动性的基础上获得稳定收益。</w:t>
      </w:r>
    </w:p>
    <w:p w14:paraId="72FA20F8" w14:textId="77777777" w:rsidR="003568C2" w:rsidRDefault="00695B03">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、存托凭证投资策略</w:t>
      </w:r>
    </w:p>
    <w:p w14:paraId="00CFB445" w14:textId="77777777" w:rsidR="003568C2" w:rsidRDefault="00695B03">
      <w:pPr>
        <w:autoSpaceDE w:val="0"/>
        <w:autoSpaceDN w:val="0"/>
        <w:spacing w:line="360" w:lineRule="auto"/>
        <w:ind w:firstLineChars="200" w:firstLine="480"/>
        <w:textAlignment w:val="bottom"/>
        <w:rPr>
          <w:bCs/>
          <w:sz w:val="24"/>
        </w:rPr>
      </w:pPr>
      <w:r>
        <w:rPr>
          <w:rFonts w:hint="eastAsia"/>
          <w:bCs/>
          <w:sz w:val="24"/>
        </w:rPr>
        <w:t>本基金在综合考虑预期收益、风险、流动性等因素的基础上，根据审慎原则合理参与存托凭证的投资，以更好地跟踪标的指数，追求跟踪偏离度和跟踪误差的最小化。</w:t>
      </w:r>
    </w:p>
    <w:p w14:paraId="3B437D61" w14:textId="77777777" w:rsidR="003568C2" w:rsidRDefault="00695B03">
      <w:pPr>
        <w:autoSpaceDE w:val="0"/>
        <w:autoSpaceDN w:val="0"/>
        <w:spacing w:line="360" w:lineRule="auto"/>
        <w:ind w:firstLineChars="200" w:firstLine="480"/>
        <w:textAlignment w:val="bottom"/>
        <w:rPr>
          <w:rFonts w:asciiTheme="minorEastAsia" w:hAnsiTheme="minorEastAsia" w:cs="Times New Roman"/>
          <w:bCs/>
          <w:sz w:val="24"/>
          <w:szCs w:val="24"/>
        </w:rPr>
      </w:pPr>
      <w:r>
        <w:rPr>
          <w:bCs/>
          <w:sz w:val="24"/>
        </w:rPr>
        <w:t>未来随着证券市场投资工具的发展和丰富，在符合有关法律法规规定的前提下，</w:t>
      </w:r>
      <w:r>
        <w:rPr>
          <w:rFonts w:hint="eastAsia"/>
          <w:bCs/>
          <w:sz w:val="24"/>
        </w:rPr>
        <w:t>本</w:t>
      </w:r>
      <w:r>
        <w:rPr>
          <w:bCs/>
          <w:sz w:val="24"/>
        </w:rPr>
        <w:t>基金可相应调整和更新相关投资策略。</w:t>
      </w:r>
    </w:p>
    <w:p w14:paraId="272DC290" w14:textId="77777777" w:rsidR="003568C2" w:rsidRDefault="00695B0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四、投资限制</w:t>
      </w:r>
    </w:p>
    <w:p w14:paraId="218DE8D4" w14:textId="77777777" w:rsidR="003568C2" w:rsidRDefault="00695B03">
      <w:pPr>
        <w:autoSpaceDE w:val="0"/>
        <w:autoSpaceDN w:val="0"/>
        <w:spacing w:line="360" w:lineRule="auto"/>
        <w:ind w:firstLineChars="200" w:firstLine="480"/>
        <w:textAlignment w:val="bottom"/>
        <w:rPr>
          <w:bCs/>
          <w:sz w:val="24"/>
        </w:rPr>
      </w:pPr>
      <w:r>
        <w:rPr>
          <w:bCs/>
          <w:sz w:val="24"/>
        </w:rPr>
        <w:t>1</w:t>
      </w:r>
      <w:r>
        <w:rPr>
          <w:bCs/>
          <w:sz w:val="24"/>
        </w:rPr>
        <w:t>、组合限制</w:t>
      </w:r>
    </w:p>
    <w:p w14:paraId="5C29D0AD"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基金的投资组合应遵循以下限制：</w:t>
      </w:r>
    </w:p>
    <w:p w14:paraId="4B375783" w14:textId="77777777" w:rsidR="003568C2" w:rsidRDefault="00695B03">
      <w:pPr>
        <w:spacing w:line="360" w:lineRule="auto"/>
        <w:ind w:firstLineChars="200" w:firstLine="480"/>
        <w:rPr>
          <w:bCs/>
          <w:sz w:val="24"/>
          <w:highlight w:val="yellow"/>
        </w:rPr>
      </w:pPr>
      <w:r>
        <w:rPr>
          <w:bCs/>
          <w:sz w:val="24"/>
        </w:rPr>
        <w:t>（</w:t>
      </w:r>
      <w:r>
        <w:rPr>
          <w:bCs/>
          <w:sz w:val="24"/>
        </w:rPr>
        <w:t>1</w:t>
      </w:r>
      <w:r>
        <w:rPr>
          <w:bCs/>
          <w:sz w:val="24"/>
        </w:rPr>
        <w:t>）</w:t>
      </w:r>
      <w:r>
        <w:rPr>
          <w:rFonts w:hint="eastAsia"/>
          <w:bCs/>
          <w:sz w:val="24"/>
        </w:rPr>
        <w:t>股票资产占基金资产的比例不低于</w:t>
      </w:r>
      <w:r>
        <w:rPr>
          <w:rFonts w:hint="eastAsia"/>
          <w:bCs/>
          <w:sz w:val="24"/>
        </w:rPr>
        <w:t>80%</w:t>
      </w:r>
      <w:r>
        <w:rPr>
          <w:rFonts w:hint="eastAsia"/>
          <w:bCs/>
          <w:sz w:val="24"/>
        </w:rPr>
        <w:t>，投资沪深</w:t>
      </w:r>
      <w:r>
        <w:rPr>
          <w:rFonts w:hint="eastAsia"/>
          <w:bCs/>
          <w:sz w:val="24"/>
        </w:rPr>
        <w:t>300</w:t>
      </w:r>
      <w:r>
        <w:rPr>
          <w:rFonts w:hint="eastAsia"/>
          <w:bCs/>
          <w:sz w:val="24"/>
        </w:rPr>
        <w:t>指数成份股及其备选成份股的比例不低于非现金基金资产的</w:t>
      </w:r>
      <w:r>
        <w:rPr>
          <w:rFonts w:hint="eastAsia"/>
          <w:bCs/>
          <w:sz w:val="24"/>
        </w:rPr>
        <w:t>80%</w:t>
      </w:r>
      <w:r>
        <w:rPr>
          <w:rFonts w:hint="eastAsia"/>
          <w:bCs/>
          <w:sz w:val="24"/>
        </w:rPr>
        <w:t>；</w:t>
      </w:r>
    </w:p>
    <w:p w14:paraId="25250E30" w14:textId="77777777" w:rsidR="003568C2" w:rsidRDefault="00695B03">
      <w:pPr>
        <w:spacing w:line="360" w:lineRule="auto"/>
        <w:ind w:firstLineChars="200" w:firstLine="480"/>
        <w:rPr>
          <w:bCs/>
          <w:sz w:val="24"/>
        </w:rPr>
      </w:pPr>
      <w:r>
        <w:rPr>
          <w:bCs/>
          <w:sz w:val="24"/>
        </w:rPr>
        <w:t>（</w:t>
      </w:r>
      <w:r>
        <w:rPr>
          <w:rFonts w:hint="eastAsia"/>
          <w:bCs/>
          <w:sz w:val="24"/>
        </w:rPr>
        <w:t>2</w:t>
      </w:r>
      <w:r>
        <w:rPr>
          <w:bCs/>
          <w:sz w:val="24"/>
        </w:rPr>
        <w:t>）</w:t>
      </w:r>
      <w:r>
        <w:rPr>
          <w:rFonts w:hint="eastAsia"/>
          <w:bCs/>
          <w:sz w:val="24"/>
        </w:rPr>
        <w:t>每个交易日日终在扣除股指期货合约需缴纳的交易保证金后，</w:t>
      </w:r>
      <w:r>
        <w:rPr>
          <w:bCs/>
          <w:sz w:val="24"/>
        </w:rPr>
        <w:t>保持不低于基金资产净值</w:t>
      </w:r>
      <w:r>
        <w:rPr>
          <w:bCs/>
          <w:sz w:val="24"/>
        </w:rPr>
        <w:t>5</w:t>
      </w:r>
      <w:r>
        <w:rPr>
          <w:bCs/>
          <w:sz w:val="24"/>
        </w:rPr>
        <w:t>％的现金或者到期日在一年以内的政府债券</w:t>
      </w:r>
      <w:r>
        <w:rPr>
          <w:rFonts w:hint="eastAsia"/>
          <w:bCs/>
          <w:sz w:val="24"/>
        </w:rPr>
        <w:t>，其中现金不包括结算备付金、存出保证金、应收申购款等</w:t>
      </w:r>
      <w:r>
        <w:rPr>
          <w:bCs/>
          <w:sz w:val="24"/>
        </w:rPr>
        <w:t>；</w:t>
      </w:r>
    </w:p>
    <w:p w14:paraId="199E19DC" w14:textId="77777777" w:rsidR="003568C2" w:rsidRDefault="00695B03">
      <w:pPr>
        <w:spacing w:line="360" w:lineRule="auto"/>
        <w:ind w:firstLineChars="200" w:firstLine="480"/>
        <w:rPr>
          <w:bCs/>
          <w:sz w:val="24"/>
        </w:rPr>
      </w:pPr>
      <w:r>
        <w:rPr>
          <w:bCs/>
          <w:sz w:val="24"/>
        </w:rPr>
        <w:t>（</w:t>
      </w:r>
      <w:r>
        <w:rPr>
          <w:rFonts w:hint="eastAsia"/>
          <w:bCs/>
          <w:sz w:val="24"/>
        </w:rPr>
        <w:t>3</w:t>
      </w:r>
      <w:r>
        <w:rPr>
          <w:bCs/>
          <w:sz w:val="24"/>
        </w:rPr>
        <w:t>）</w:t>
      </w:r>
      <w:r>
        <w:rPr>
          <w:rStyle w:val="fontstyle01"/>
          <w:rFonts w:hint="default"/>
        </w:rPr>
        <w:t>本基金持有一家公司发行的证券</w:t>
      </w:r>
      <w:r>
        <w:rPr>
          <w:bCs/>
          <w:sz w:val="24"/>
        </w:rPr>
        <w:t>，其市值不超过基金资产净值的</w:t>
      </w:r>
      <w:r>
        <w:rPr>
          <w:bCs/>
          <w:sz w:val="24"/>
        </w:rPr>
        <w:t>10</w:t>
      </w:r>
      <w:r>
        <w:rPr>
          <w:bCs/>
          <w:sz w:val="24"/>
        </w:rPr>
        <w:t>％；</w:t>
      </w:r>
      <w:r>
        <w:rPr>
          <w:rFonts w:hint="eastAsia"/>
          <w:bCs/>
          <w:sz w:val="24"/>
        </w:rPr>
        <w:t>但完全按照标的指数的构成比例进行投资的部分不受此限制；</w:t>
      </w:r>
    </w:p>
    <w:p w14:paraId="6152DF44" w14:textId="77777777" w:rsidR="003568C2" w:rsidRDefault="00695B03">
      <w:pPr>
        <w:spacing w:line="360" w:lineRule="auto"/>
        <w:ind w:firstLineChars="200" w:firstLine="480"/>
        <w:rPr>
          <w:bCs/>
          <w:sz w:val="24"/>
        </w:rPr>
      </w:pPr>
      <w:r>
        <w:rPr>
          <w:bCs/>
          <w:sz w:val="24"/>
        </w:rPr>
        <w:t>（</w:t>
      </w:r>
      <w:r>
        <w:rPr>
          <w:rFonts w:hint="eastAsia"/>
          <w:bCs/>
          <w:sz w:val="24"/>
        </w:rPr>
        <w:t>4</w:t>
      </w:r>
      <w:r>
        <w:rPr>
          <w:bCs/>
          <w:sz w:val="24"/>
        </w:rPr>
        <w:t>）本基金管理人管理的全部基金持有一家公司发行的证券，不超过该证券的</w:t>
      </w:r>
      <w:r>
        <w:rPr>
          <w:bCs/>
          <w:sz w:val="24"/>
        </w:rPr>
        <w:t>10</w:t>
      </w:r>
      <w:r>
        <w:rPr>
          <w:bCs/>
          <w:sz w:val="24"/>
        </w:rPr>
        <w:t>％；</w:t>
      </w:r>
      <w:r>
        <w:rPr>
          <w:rFonts w:hint="eastAsia"/>
          <w:bCs/>
          <w:sz w:val="24"/>
        </w:rPr>
        <w:t>但完全按照标的指数的构成比例进行投资的部分不受此限制；</w:t>
      </w:r>
    </w:p>
    <w:p w14:paraId="434C2572" w14:textId="77777777" w:rsidR="003568C2" w:rsidRDefault="00695B03">
      <w:pPr>
        <w:spacing w:line="360" w:lineRule="auto"/>
        <w:ind w:firstLineChars="200" w:firstLine="480"/>
        <w:rPr>
          <w:bCs/>
          <w:sz w:val="24"/>
        </w:rPr>
      </w:pPr>
      <w:r>
        <w:rPr>
          <w:bCs/>
          <w:sz w:val="24"/>
        </w:rPr>
        <w:t>（</w:t>
      </w:r>
      <w:r>
        <w:rPr>
          <w:rFonts w:hint="eastAsia"/>
          <w:bCs/>
          <w:sz w:val="24"/>
        </w:rPr>
        <w:t>5</w:t>
      </w:r>
      <w:r>
        <w:rPr>
          <w:bCs/>
          <w:sz w:val="24"/>
        </w:rPr>
        <w:t>）本基金持有的全部权证，其市值不得超过基金资产净值的</w:t>
      </w:r>
      <w:r>
        <w:rPr>
          <w:bCs/>
          <w:sz w:val="24"/>
        </w:rPr>
        <w:t>3</w:t>
      </w:r>
      <w:r>
        <w:rPr>
          <w:bCs/>
          <w:sz w:val="24"/>
        </w:rPr>
        <w:t>％；</w:t>
      </w:r>
    </w:p>
    <w:p w14:paraId="5B4555E9" w14:textId="77777777" w:rsidR="003568C2" w:rsidRDefault="00695B03">
      <w:pPr>
        <w:spacing w:line="360" w:lineRule="auto"/>
        <w:ind w:firstLineChars="200" w:firstLine="480"/>
        <w:rPr>
          <w:bCs/>
          <w:sz w:val="24"/>
        </w:rPr>
      </w:pPr>
      <w:r>
        <w:rPr>
          <w:bCs/>
          <w:sz w:val="24"/>
        </w:rPr>
        <w:t>（</w:t>
      </w:r>
      <w:r>
        <w:rPr>
          <w:rFonts w:hint="eastAsia"/>
          <w:bCs/>
          <w:sz w:val="24"/>
        </w:rPr>
        <w:t>6</w:t>
      </w:r>
      <w:r>
        <w:rPr>
          <w:bCs/>
          <w:sz w:val="24"/>
        </w:rPr>
        <w:t>）本基金管理人管理的全部基金持有的同一权证，不得超过该权证的</w:t>
      </w:r>
      <w:r>
        <w:rPr>
          <w:rFonts w:hint="eastAsia"/>
          <w:bCs/>
          <w:sz w:val="24"/>
        </w:rPr>
        <w:t xml:space="preserve">   </w:t>
      </w:r>
      <w:r>
        <w:rPr>
          <w:bCs/>
          <w:sz w:val="24"/>
        </w:rPr>
        <w:t>10</w:t>
      </w:r>
      <w:r>
        <w:rPr>
          <w:bCs/>
          <w:sz w:val="24"/>
        </w:rPr>
        <w:t>％；</w:t>
      </w:r>
    </w:p>
    <w:p w14:paraId="0DFDC123" w14:textId="77777777" w:rsidR="003568C2" w:rsidRDefault="00695B03">
      <w:pPr>
        <w:spacing w:line="360" w:lineRule="auto"/>
        <w:ind w:firstLineChars="200" w:firstLine="480"/>
        <w:rPr>
          <w:bCs/>
          <w:sz w:val="24"/>
        </w:rPr>
      </w:pPr>
      <w:r>
        <w:rPr>
          <w:bCs/>
          <w:sz w:val="24"/>
        </w:rPr>
        <w:t>（</w:t>
      </w:r>
      <w:r>
        <w:rPr>
          <w:rFonts w:hint="eastAsia"/>
          <w:bCs/>
          <w:sz w:val="24"/>
        </w:rPr>
        <w:t>7</w:t>
      </w:r>
      <w:r>
        <w:rPr>
          <w:bCs/>
          <w:sz w:val="24"/>
        </w:rPr>
        <w:t>）本基金在任何交易日买入权证的总金额，不得超过上一交易日基金资产净值的</w:t>
      </w:r>
      <w:r>
        <w:rPr>
          <w:bCs/>
          <w:sz w:val="24"/>
        </w:rPr>
        <w:t>0.5</w:t>
      </w:r>
      <w:r>
        <w:rPr>
          <w:bCs/>
          <w:sz w:val="24"/>
        </w:rPr>
        <w:t>％；</w:t>
      </w:r>
    </w:p>
    <w:p w14:paraId="5AE707FF" w14:textId="77777777" w:rsidR="003568C2" w:rsidRDefault="00695B03">
      <w:pPr>
        <w:spacing w:line="360" w:lineRule="auto"/>
        <w:ind w:firstLineChars="200" w:firstLine="480"/>
        <w:rPr>
          <w:bCs/>
          <w:sz w:val="24"/>
        </w:rPr>
      </w:pPr>
      <w:r>
        <w:rPr>
          <w:bCs/>
          <w:sz w:val="24"/>
        </w:rPr>
        <w:lastRenderedPageBreak/>
        <w:t>（</w:t>
      </w:r>
      <w:r>
        <w:rPr>
          <w:rFonts w:hint="eastAsia"/>
          <w:bCs/>
          <w:sz w:val="24"/>
        </w:rPr>
        <w:t>8</w:t>
      </w:r>
      <w:r>
        <w:rPr>
          <w:bCs/>
          <w:sz w:val="24"/>
        </w:rPr>
        <w:t>）本基金投资于同一原始权益人的各类资产支持证券的比例，不得超过基金资产净值的</w:t>
      </w:r>
      <w:r>
        <w:rPr>
          <w:bCs/>
          <w:sz w:val="24"/>
        </w:rPr>
        <w:t>10</w:t>
      </w:r>
      <w:r>
        <w:rPr>
          <w:bCs/>
          <w:sz w:val="24"/>
        </w:rPr>
        <w:t>％；</w:t>
      </w:r>
    </w:p>
    <w:p w14:paraId="6C2AA8E3" w14:textId="77777777" w:rsidR="003568C2" w:rsidRDefault="00695B03">
      <w:pPr>
        <w:spacing w:line="360" w:lineRule="auto"/>
        <w:ind w:firstLineChars="200" w:firstLine="480"/>
        <w:rPr>
          <w:bCs/>
          <w:sz w:val="24"/>
        </w:rPr>
      </w:pPr>
      <w:r>
        <w:rPr>
          <w:bCs/>
          <w:sz w:val="24"/>
        </w:rPr>
        <w:t>（</w:t>
      </w:r>
      <w:r>
        <w:rPr>
          <w:rFonts w:hint="eastAsia"/>
          <w:bCs/>
          <w:sz w:val="24"/>
        </w:rPr>
        <w:t>9</w:t>
      </w:r>
      <w:r>
        <w:rPr>
          <w:bCs/>
          <w:sz w:val="24"/>
        </w:rPr>
        <w:t>）本基金持有的全部资产支持证券，其市值不得超过基金资产净值的</w:t>
      </w:r>
      <w:r>
        <w:rPr>
          <w:bCs/>
          <w:sz w:val="24"/>
        </w:rPr>
        <w:t>20</w:t>
      </w:r>
      <w:r>
        <w:rPr>
          <w:bCs/>
          <w:sz w:val="24"/>
        </w:rPr>
        <w:t>％</w:t>
      </w:r>
      <w:r>
        <w:rPr>
          <w:rFonts w:hint="eastAsia"/>
          <w:bCs/>
          <w:sz w:val="24"/>
        </w:rPr>
        <w:t>，中国证监会规定的特殊品种除外</w:t>
      </w:r>
      <w:r>
        <w:rPr>
          <w:bCs/>
          <w:sz w:val="24"/>
        </w:rPr>
        <w:t>；</w:t>
      </w:r>
    </w:p>
    <w:p w14:paraId="3B9DF1D8" w14:textId="77777777" w:rsidR="003568C2" w:rsidRDefault="00695B03">
      <w:pPr>
        <w:spacing w:line="360" w:lineRule="auto"/>
        <w:ind w:firstLineChars="200" w:firstLine="480"/>
        <w:rPr>
          <w:bCs/>
          <w:sz w:val="24"/>
        </w:rPr>
      </w:pPr>
      <w:r>
        <w:rPr>
          <w:bCs/>
          <w:sz w:val="24"/>
        </w:rPr>
        <w:t>（</w:t>
      </w:r>
      <w:r>
        <w:rPr>
          <w:rFonts w:hint="eastAsia"/>
          <w:bCs/>
          <w:sz w:val="24"/>
        </w:rPr>
        <w:t>10</w:t>
      </w:r>
      <w:r>
        <w:rPr>
          <w:bCs/>
          <w:sz w:val="24"/>
        </w:rPr>
        <w:t>）本基金持有的同一</w:t>
      </w:r>
      <w:r>
        <w:rPr>
          <w:bCs/>
          <w:sz w:val="24"/>
        </w:rPr>
        <w:t>(</w:t>
      </w:r>
      <w:r>
        <w:rPr>
          <w:bCs/>
          <w:sz w:val="24"/>
        </w:rPr>
        <w:t>指同一信用级别</w:t>
      </w:r>
      <w:r>
        <w:rPr>
          <w:bCs/>
          <w:sz w:val="24"/>
        </w:rPr>
        <w:t>)</w:t>
      </w:r>
      <w:r>
        <w:rPr>
          <w:bCs/>
          <w:sz w:val="24"/>
        </w:rPr>
        <w:t>资产支持证券的比例，不得超过该资产支持证券规模的</w:t>
      </w:r>
      <w:r>
        <w:rPr>
          <w:bCs/>
          <w:sz w:val="24"/>
        </w:rPr>
        <w:t>10</w:t>
      </w:r>
      <w:r>
        <w:rPr>
          <w:bCs/>
          <w:sz w:val="24"/>
        </w:rPr>
        <w:t>％；</w:t>
      </w:r>
    </w:p>
    <w:p w14:paraId="3553BC2B" w14:textId="77777777" w:rsidR="003568C2" w:rsidRDefault="00695B03">
      <w:pPr>
        <w:spacing w:line="360" w:lineRule="auto"/>
        <w:ind w:firstLineChars="200" w:firstLine="480"/>
        <w:rPr>
          <w:bCs/>
          <w:sz w:val="24"/>
        </w:rPr>
      </w:pPr>
      <w:r>
        <w:rPr>
          <w:bCs/>
          <w:sz w:val="24"/>
        </w:rPr>
        <w:t>（</w:t>
      </w:r>
      <w:r>
        <w:rPr>
          <w:bCs/>
          <w:sz w:val="24"/>
        </w:rPr>
        <w:t>1</w:t>
      </w:r>
      <w:r>
        <w:rPr>
          <w:rFonts w:hint="eastAsia"/>
          <w:bCs/>
          <w:sz w:val="24"/>
        </w:rPr>
        <w:t>1</w:t>
      </w:r>
      <w:r>
        <w:rPr>
          <w:bCs/>
          <w:sz w:val="24"/>
        </w:rPr>
        <w:t>）本基金管理人管理的全部基金投资于同一原始权益人的各类资产支持证券，不得超过其各类资产支持证券合计规模的</w:t>
      </w:r>
      <w:r>
        <w:rPr>
          <w:bCs/>
          <w:sz w:val="24"/>
        </w:rPr>
        <w:t>10</w:t>
      </w:r>
      <w:r>
        <w:rPr>
          <w:bCs/>
          <w:sz w:val="24"/>
        </w:rPr>
        <w:t>％；</w:t>
      </w:r>
    </w:p>
    <w:p w14:paraId="68668926" w14:textId="77777777" w:rsidR="003568C2" w:rsidRDefault="00695B03">
      <w:pPr>
        <w:spacing w:line="360" w:lineRule="auto"/>
        <w:ind w:firstLineChars="200" w:firstLine="480"/>
        <w:rPr>
          <w:bCs/>
          <w:sz w:val="24"/>
        </w:rPr>
      </w:pPr>
      <w:r>
        <w:rPr>
          <w:bCs/>
          <w:sz w:val="24"/>
        </w:rPr>
        <w:t>（</w:t>
      </w:r>
      <w:r>
        <w:rPr>
          <w:bCs/>
          <w:sz w:val="24"/>
        </w:rPr>
        <w:t>1</w:t>
      </w:r>
      <w:r>
        <w:rPr>
          <w:rFonts w:hint="eastAsia"/>
          <w:bCs/>
          <w:sz w:val="24"/>
        </w:rPr>
        <w:t>2</w:t>
      </w:r>
      <w:r>
        <w:rPr>
          <w:bCs/>
          <w:sz w:val="24"/>
        </w:rPr>
        <w:t>）本基金应投资于信用级别评级为</w:t>
      </w:r>
      <w:r>
        <w:rPr>
          <w:bCs/>
          <w:sz w:val="24"/>
        </w:rPr>
        <w:t>BBB</w:t>
      </w:r>
      <w:r>
        <w:rPr>
          <w:bCs/>
          <w:sz w:val="24"/>
        </w:rPr>
        <w:t>以上</w:t>
      </w:r>
      <w:r>
        <w:rPr>
          <w:bCs/>
          <w:sz w:val="24"/>
        </w:rPr>
        <w:t>(</w:t>
      </w:r>
      <w:r>
        <w:rPr>
          <w:bCs/>
          <w:sz w:val="24"/>
        </w:rPr>
        <w:t>含</w:t>
      </w:r>
      <w:r>
        <w:rPr>
          <w:bCs/>
          <w:sz w:val="24"/>
        </w:rPr>
        <w:t>BBB)</w:t>
      </w:r>
      <w:r>
        <w:rPr>
          <w:bCs/>
          <w:sz w:val="24"/>
        </w:rPr>
        <w:t>的资产支持证券。基金持有资产支持证券期间，如果其信用等级下降、不再符合投资标准，应在评级报告发布之日起</w:t>
      </w:r>
      <w:r>
        <w:rPr>
          <w:bCs/>
          <w:sz w:val="24"/>
        </w:rPr>
        <w:t>3</w:t>
      </w:r>
      <w:r>
        <w:rPr>
          <w:bCs/>
          <w:sz w:val="24"/>
        </w:rPr>
        <w:t>个月内予以全部卖出；</w:t>
      </w:r>
    </w:p>
    <w:p w14:paraId="40A8543E" w14:textId="77777777" w:rsidR="003568C2" w:rsidRDefault="00695B03">
      <w:pPr>
        <w:spacing w:line="360" w:lineRule="auto"/>
        <w:ind w:firstLineChars="200" w:firstLine="480"/>
        <w:rPr>
          <w:bCs/>
          <w:sz w:val="24"/>
        </w:rPr>
      </w:pPr>
      <w:r>
        <w:rPr>
          <w:bCs/>
          <w:sz w:val="24"/>
        </w:rPr>
        <w:t>（</w:t>
      </w:r>
      <w:r>
        <w:rPr>
          <w:bCs/>
          <w:sz w:val="24"/>
        </w:rPr>
        <w:t>1</w:t>
      </w:r>
      <w:r>
        <w:rPr>
          <w:rFonts w:hint="eastAsia"/>
          <w:bCs/>
          <w:sz w:val="24"/>
        </w:rPr>
        <w:t>3</w:t>
      </w:r>
      <w:r>
        <w:rPr>
          <w:bCs/>
          <w:sz w:val="24"/>
        </w:rPr>
        <w:t>）基金财产参与股票发行申购，本基金所申报的金额不超过本基金的总资产，本基金所申报的股票数量不超过拟发行股票公司本次发行股票的总量；</w:t>
      </w:r>
    </w:p>
    <w:p w14:paraId="14B49569" w14:textId="77777777" w:rsidR="003568C2" w:rsidRDefault="00695B03">
      <w:pPr>
        <w:spacing w:line="360" w:lineRule="auto"/>
        <w:ind w:firstLineChars="200" w:firstLine="480"/>
        <w:rPr>
          <w:bCs/>
          <w:sz w:val="24"/>
        </w:rPr>
      </w:pPr>
      <w:r>
        <w:rPr>
          <w:bCs/>
          <w:sz w:val="24"/>
        </w:rPr>
        <w:t>（</w:t>
      </w:r>
      <w:r>
        <w:rPr>
          <w:bCs/>
          <w:sz w:val="24"/>
        </w:rPr>
        <w:t>1</w:t>
      </w:r>
      <w:r>
        <w:rPr>
          <w:rFonts w:hint="eastAsia"/>
          <w:bCs/>
          <w:sz w:val="24"/>
        </w:rPr>
        <w:t>4</w:t>
      </w:r>
      <w:r>
        <w:rPr>
          <w:bCs/>
          <w:sz w:val="24"/>
        </w:rPr>
        <w:t>）本基金进入全国银行间同业市场进行债券回购的资金余额不得超过基金资产净值的</w:t>
      </w:r>
      <w:r>
        <w:rPr>
          <w:bCs/>
          <w:sz w:val="24"/>
        </w:rPr>
        <w:t>40%</w:t>
      </w:r>
      <w:r>
        <w:rPr>
          <w:rFonts w:hint="eastAsia"/>
          <w:bCs/>
          <w:sz w:val="24"/>
        </w:rPr>
        <w:t>，在全国银行间同业市场的债券回购最长期限为</w:t>
      </w:r>
      <w:r>
        <w:rPr>
          <w:rFonts w:hint="eastAsia"/>
          <w:bCs/>
          <w:sz w:val="24"/>
        </w:rPr>
        <w:t>1</w:t>
      </w:r>
      <w:r>
        <w:rPr>
          <w:rFonts w:hint="eastAsia"/>
          <w:bCs/>
          <w:sz w:val="24"/>
        </w:rPr>
        <w:t>年，债券回购到期后不得展期</w:t>
      </w:r>
      <w:r>
        <w:rPr>
          <w:bCs/>
          <w:sz w:val="24"/>
        </w:rPr>
        <w:t>；</w:t>
      </w:r>
    </w:p>
    <w:p w14:paraId="6ED48A2D" w14:textId="77777777" w:rsidR="003568C2" w:rsidRDefault="00695B03">
      <w:pPr>
        <w:spacing w:line="360" w:lineRule="auto"/>
        <w:ind w:firstLineChars="200" w:firstLine="480"/>
        <w:rPr>
          <w:bCs/>
          <w:sz w:val="24"/>
        </w:rPr>
      </w:pPr>
      <w:r>
        <w:rPr>
          <w:rFonts w:hint="eastAsia"/>
          <w:bCs/>
          <w:sz w:val="24"/>
        </w:rPr>
        <w:t>（</w:t>
      </w:r>
      <w:r>
        <w:rPr>
          <w:rFonts w:hint="eastAsia"/>
          <w:bCs/>
          <w:sz w:val="24"/>
        </w:rPr>
        <w:t>15</w:t>
      </w:r>
      <w:r>
        <w:rPr>
          <w:rFonts w:hint="eastAsia"/>
          <w:bCs/>
          <w:sz w:val="24"/>
        </w:rPr>
        <w:t>）本基金总资产不得超过基金净资产的</w:t>
      </w:r>
      <w:r>
        <w:rPr>
          <w:rFonts w:hint="eastAsia"/>
          <w:bCs/>
          <w:sz w:val="24"/>
        </w:rPr>
        <w:t xml:space="preserve"> 140%</w:t>
      </w:r>
      <w:r>
        <w:rPr>
          <w:rFonts w:hint="eastAsia"/>
          <w:bCs/>
          <w:sz w:val="24"/>
        </w:rPr>
        <w:t>；</w:t>
      </w:r>
    </w:p>
    <w:p w14:paraId="6AC5C08E" w14:textId="77777777" w:rsidR="003568C2" w:rsidRDefault="00695B03">
      <w:pPr>
        <w:spacing w:line="360" w:lineRule="auto"/>
        <w:ind w:firstLineChars="200" w:firstLine="480"/>
        <w:rPr>
          <w:bCs/>
          <w:sz w:val="24"/>
        </w:rPr>
      </w:pPr>
      <w:r>
        <w:rPr>
          <w:rFonts w:hint="eastAsia"/>
          <w:bCs/>
          <w:sz w:val="24"/>
        </w:rPr>
        <w:t>（</w:t>
      </w:r>
      <w:r>
        <w:rPr>
          <w:rFonts w:hint="eastAsia"/>
          <w:bCs/>
          <w:sz w:val="24"/>
        </w:rPr>
        <w:t>16</w:t>
      </w:r>
      <w:r>
        <w:rPr>
          <w:rFonts w:hint="eastAsia"/>
          <w:bCs/>
          <w:sz w:val="24"/>
        </w:rPr>
        <w:t>）本基金持有单只中小企业私募债券，其市值不得超过本基金资产净值的</w:t>
      </w:r>
      <w:r>
        <w:rPr>
          <w:rFonts w:hint="eastAsia"/>
          <w:bCs/>
          <w:sz w:val="24"/>
        </w:rPr>
        <w:t>10%</w:t>
      </w:r>
      <w:r>
        <w:rPr>
          <w:rFonts w:hint="eastAsia"/>
          <w:bCs/>
          <w:sz w:val="24"/>
        </w:rPr>
        <w:t>；基金投资于中小企业私募债的比例不超过基金资产净值的</w:t>
      </w:r>
      <w:r>
        <w:rPr>
          <w:bCs/>
          <w:sz w:val="24"/>
        </w:rPr>
        <w:t>20%</w:t>
      </w:r>
      <w:r>
        <w:rPr>
          <w:rFonts w:hint="eastAsia"/>
          <w:bCs/>
          <w:sz w:val="24"/>
        </w:rPr>
        <w:t>；</w:t>
      </w:r>
    </w:p>
    <w:p w14:paraId="3F78EA1E" w14:textId="77777777" w:rsidR="003568C2" w:rsidRDefault="00695B0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17</w:t>
      </w:r>
      <w:r>
        <w:rPr>
          <w:rFonts w:hint="eastAsia"/>
          <w:bCs/>
          <w:sz w:val="24"/>
        </w:rPr>
        <w:t>）本基金参与股指期货交易，需遵守下列规定：</w:t>
      </w:r>
    </w:p>
    <w:p w14:paraId="1CBA5558" w14:textId="77777777" w:rsidR="003568C2" w:rsidRDefault="00695B03">
      <w:pPr>
        <w:spacing w:line="360" w:lineRule="auto"/>
        <w:ind w:firstLineChars="200" w:firstLine="480"/>
        <w:rPr>
          <w:bCs/>
          <w:sz w:val="24"/>
        </w:rPr>
      </w:pPr>
      <w:r>
        <w:rPr>
          <w:rFonts w:hint="eastAsia"/>
          <w:bCs/>
          <w:sz w:val="24"/>
        </w:rPr>
        <w:t>1</w:t>
      </w:r>
      <w:r>
        <w:rPr>
          <w:rFonts w:hint="eastAsia"/>
          <w:bCs/>
          <w:sz w:val="24"/>
        </w:rPr>
        <w:t>）本基金在任何交易日日终，持有的买入股指期货合约价值，不得超过基金资产净值的</w:t>
      </w:r>
      <w:r>
        <w:rPr>
          <w:rFonts w:hint="eastAsia"/>
          <w:bCs/>
          <w:sz w:val="24"/>
        </w:rPr>
        <w:t>10%</w:t>
      </w:r>
      <w:r>
        <w:rPr>
          <w:rFonts w:hint="eastAsia"/>
          <w:bCs/>
          <w:sz w:val="24"/>
        </w:rPr>
        <w:t>；</w:t>
      </w:r>
    </w:p>
    <w:p w14:paraId="3368DFA5" w14:textId="77777777" w:rsidR="003568C2" w:rsidRDefault="00695B03">
      <w:pPr>
        <w:spacing w:line="360" w:lineRule="auto"/>
        <w:ind w:firstLineChars="200" w:firstLine="480"/>
        <w:rPr>
          <w:bCs/>
          <w:sz w:val="24"/>
        </w:rPr>
      </w:pPr>
      <w:r>
        <w:rPr>
          <w:rFonts w:hint="eastAsia"/>
          <w:bCs/>
          <w:sz w:val="24"/>
        </w:rPr>
        <w:t>2</w:t>
      </w:r>
      <w:r>
        <w:rPr>
          <w:rFonts w:hint="eastAsia"/>
          <w:bCs/>
          <w:sz w:val="24"/>
        </w:rPr>
        <w:t>）本基金在任何交易日日终，持有的买入股指期货合约价值与有价证券市值之和，不得超过基金资产净值的</w:t>
      </w:r>
      <w:r>
        <w:rPr>
          <w:rFonts w:hint="eastAsia"/>
          <w:bCs/>
          <w:sz w:val="24"/>
        </w:rPr>
        <w:t>95%</w:t>
      </w:r>
      <w:r>
        <w:rPr>
          <w:rFonts w:hint="eastAsia"/>
          <w:bCs/>
          <w:sz w:val="24"/>
        </w:rPr>
        <w:t>，其中，有价证券指股票、债券（不含到期日在一年以内的政府债券）、权证、资产支持证券、买入返售金融资产（不含质押式回购）等；</w:t>
      </w:r>
    </w:p>
    <w:p w14:paraId="59588C24" w14:textId="77777777" w:rsidR="003568C2" w:rsidRDefault="00695B03">
      <w:pPr>
        <w:spacing w:line="360" w:lineRule="auto"/>
        <w:ind w:firstLineChars="200" w:firstLine="480"/>
        <w:rPr>
          <w:bCs/>
          <w:sz w:val="24"/>
        </w:rPr>
      </w:pPr>
      <w:r>
        <w:rPr>
          <w:rFonts w:hint="eastAsia"/>
          <w:bCs/>
          <w:sz w:val="24"/>
        </w:rPr>
        <w:t>3</w:t>
      </w:r>
      <w:r>
        <w:rPr>
          <w:rFonts w:hint="eastAsia"/>
          <w:bCs/>
          <w:sz w:val="24"/>
        </w:rPr>
        <w:t>）本基金在任何交易日日终，持有的卖出股指期货合约价值不得超过基金持有的股票总市值的</w:t>
      </w:r>
      <w:r>
        <w:rPr>
          <w:rFonts w:hint="eastAsia"/>
          <w:bCs/>
          <w:sz w:val="24"/>
        </w:rPr>
        <w:t>20%</w:t>
      </w:r>
      <w:r>
        <w:rPr>
          <w:rFonts w:hint="eastAsia"/>
          <w:bCs/>
          <w:sz w:val="24"/>
        </w:rPr>
        <w:t>；</w:t>
      </w:r>
    </w:p>
    <w:p w14:paraId="35051AB1" w14:textId="77777777" w:rsidR="003568C2" w:rsidRDefault="00695B03">
      <w:pPr>
        <w:spacing w:line="360" w:lineRule="auto"/>
        <w:ind w:firstLineChars="200" w:firstLine="480"/>
        <w:rPr>
          <w:bCs/>
          <w:sz w:val="24"/>
        </w:rPr>
      </w:pPr>
      <w:r>
        <w:rPr>
          <w:rFonts w:hint="eastAsia"/>
          <w:bCs/>
          <w:sz w:val="24"/>
        </w:rPr>
        <w:t>4</w:t>
      </w:r>
      <w:r>
        <w:rPr>
          <w:rFonts w:hint="eastAsia"/>
          <w:bCs/>
          <w:sz w:val="24"/>
        </w:rPr>
        <w:t>）本基金在任何交易日内交易（不包括平仓）的股指期货合约的成交金额</w:t>
      </w:r>
      <w:r>
        <w:rPr>
          <w:rFonts w:hint="eastAsia"/>
          <w:bCs/>
          <w:sz w:val="24"/>
        </w:rPr>
        <w:lastRenderedPageBreak/>
        <w:t>不得超过上一交易日基金资产净值的</w:t>
      </w:r>
      <w:r>
        <w:rPr>
          <w:rFonts w:hint="eastAsia"/>
          <w:bCs/>
          <w:sz w:val="24"/>
        </w:rPr>
        <w:t>20%</w:t>
      </w:r>
      <w:r>
        <w:rPr>
          <w:rFonts w:hint="eastAsia"/>
          <w:bCs/>
          <w:sz w:val="24"/>
        </w:rPr>
        <w:t>；</w:t>
      </w:r>
    </w:p>
    <w:p w14:paraId="1FDDDB6F" w14:textId="77777777" w:rsidR="003568C2" w:rsidRDefault="00695B03">
      <w:pPr>
        <w:spacing w:line="360" w:lineRule="auto"/>
        <w:ind w:firstLineChars="200" w:firstLine="480"/>
        <w:rPr>
          <w:bCs/>
          <w:sz w:val="24"/>
        </w:rPr>
      </w:pPr>
      <w:r>
        <w:rPr>
          <w:rFonts w:hint="eastAsia"/>
          <w:bCs/>
          <w:sz w:val="24"/>
        </w:rPr>
        <w:t>5</w:t>
      </w:r>
      <w:r>
        <w:rPr>
          <w:rFonts w:hint="eastAsia"/>
          <w:bCs/>
          <w:sz w:val="24"/>
        </w:rPr>
        <w:t>）本基金所持有的股票市值和买入、卖出股指期货合约价值，合计（轧差计算）应当符合基金合同关于股票投资比例的有关规定；</w:t>
      </w:r>
    </w:p>
    <w:p w14:paraId="1D37F0B7" w14:textId="77777777" w:rsidR="003568C2" w:rsidRDefault="00695B03">
      <w:pPr>
        <w:spacing w:line="360" w:lineRule="auto"/>
        <w:ind w:firstLineChars="200" w:firstLine="480"/>
        <w:rPr>
          <w:bCs/>
          <w:sz w:val="24"/>
        </w:rPr>
      </w:pPr>
      <w:r>
        <w:rPr>
          <w:rFonts w:hint="eastAsia"/>
          <w:bCs/>
          <w:sz w:val="24"/>
        </w:rPr>
        <w:t>（</w:t>
      </w:r>
      <w:r>
        <w:rPr>
          <w:rFonts w:hint="eastAsia"/>
          <w:bCs/>
          <w:sz w:val="24"/>
        </w:rPr>
        <w:t>18</w:t>
      </w:r>
      <w:r>
        <w:rPr>
          <w:rFonts w:hint="eastAsia"/>
          <w:bCs/>
          <w:sz w:val="24"/>
        </w:rPr>
        <w:t>）本基金管理人管理的全部开放式基金（包括开放式基金以及处于开放期的定期开放基金）持有一家上市公司发行的可流通股票，不得超过该上市公司可流通股票的</w:t>
      </w:r>
      <w:r>
        <w:rPr>
          <w:rFonts w:hint="eastAsia"/>
          <w:bCs/>
          <w:sz w:val="24"/>
        </w:rPr>
        <w:t>15%</w:t>
      </w:r>
      <w:r>
        <w:rPr>
          <w:rFonts w:hint="eastAsia"/>
          <w:bCs/>
          <w:sz w:val="24"/>
        </w:rPr>
        <w:t>；本基金管理人管理的全部投资组合持有一家上市公司发行的可流通股票，不得超过该上市公司可流通股票的</w:t>
      </w:r>
      <w:r>
        <w:rPr>
          <w:rFonts w:hint="eastAsia"/>
          <w:bCs/>
          <w:sz w:val="24"/>
        </w:rPr>
        <w:t>30%</w:t>
      </w:r>
      <w:r>
        <w:rPr>
          <w:rFonts w:hint="eastAsia"/>
          <w:bCs/>
          <w:sz w:val="24"/>
        </w:rPr>
        <w:t>；完全按照有关指数的构成比例进行证券投资的开放式基金以及中国证监会认定的特殊投资组合可不受前述比例限制；</w:t>
      </w:r>
    </w:p>
    <w:p w14:paraId="061A6996" w14:textId="77777777" w:rsidR="003568C2" w:rsidRDefault="00695B03">
      <w:pPr>
        <w:spacing w:line="360" w:lineRule="auto"/>
        <w:ind w:firstLineChars="200" w:firstLine="480"/>
        <w:rPr>
          <w:bCs/>
          <w:sz w:val="24"/>
        </w:rPr>
      </w:pPr>
      <w:r>
        <w:rPr>
          <w:rFonts w:hint="eastAsia"/>
          <w:bCs/>
          <w:sz w:val="24"/>
        </w:rPr>
        <w:t>（</w:t>
      </w:r>
      <w:r>
        <w:rPr>
          <w:rFonts w:hint="eastAsia"/>
          <w:bCs/>
          <w:sz w:val="24"/>
        </w:rPr>
        <w:t>19</w:t>
      </w:r>
      <w:r>
        <w:rPr>
          <w:rFonts w:hint="eastAsia"/>
          <w:bCs/>
          <w:sz w:val="24"/>
        </w:rPr>
        <w:t>）本基金主动投资于流动性受限资产的市值合计不得超过基金资产净值的</w:t>
      </w:r>
      <w:r>
        <w:rPr>
          <w:rFonts w:hint="eastAsia"/>
          <w:bCs/>
          <w:sz w:val="24"/>
        </w:rPr>
        <w:t>15%</w:t>
      </w:r>
      <w:r>
        <w:rPr>
          <w:rFonts w:hint="eastAsia"/>
          <w:bCs/>
          <w:sz w:val="24"/>
        </w:rPr>
        <w:t>；</w:t>
      </w:r>
    </w:p>
    <w:p w14:paraId="3E514F72" w14:textId="77777777" w:rsidR="003568C2" w:rsidRDefault="00695B03">
      <w:pPr>
        <w:spacing w:line="360" w:lineRule="auto"/>
        <w:ind w:firstLineChars="200" w:firstLine="480"/>
        <w:rPr>
          <w:bCs/>
          <w:sz w:val="24"/>
        </w:rPr>
      </w:pPr>
      <w:r>
        <w:rPr>
          <w:rFonts w:hint="eastAsia"/>
          <w:bCs/>
          <w:sz w:val="24"/>
        </w:rPr>
        <w:t>因证券市场波动、上市公司股票停牌、基金规模变动等基金管理人之外的因素致使基金不符合前款所规定比例限制的，基金管理人不得主动新增流动性受限资产的投资；</w:t>
      </w:r>
    </w:p>
    <w:p w14:paraId="5061ABD8" w14:textId="77777777" w:rsidR="003568C2" w:rsidRDefault="00695B03">
      <w:pPr>
        <w:spacing w:line="360" w:lineRule="auto"/>
        <w:ind w:firstLineChars="200" w:firstLine="480"/>
        <w:rPr>
          <w:bCs/>
          <w:sz w:val="24"/>
        </w:rPr>
      </w:pPr>
      <w:r>
        <w:rPr>
          <w:rFonts w:hint="eastAsia"/>
          <w:bCs/>
          <w:sz w:val="24"/>
        </w:rPr>
        <w:t>（</w:t>
      </w:r>
      <w:r>
        <w:rPr>
          <w:rFonts w:hint="eastAsia"/>
          <w:bCs/>
          <w:sz w:val="24"/>
        </w:rPr>
        <w:t>20</w:t>
      </w:r>
      <w:r>
        <w:rPr>
          <w:rFonts w:hint="eastAsia"/>
          <w:bCs/>
          <w:sz w:val="24"/>
        </w:rPr>
        <w:t>）本基金与私募类证券资管产品及中国证监会认定的其他主体为交易对手开展逆回购交易的，可接受质押品的资质要求应当与基金合同约定的投资范围保持一致；</w:t>
      </w:r>
    </w:p>
    <w:p w14:paraId="4E0A58BB" w14:textId="77777777" w:rsidR="003568C2" w:rsidRDefault="00695B0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21</w:t>
      </w:r>
      <w:r>
        <w:rPr>
          <w:rFonts w:hint="eastAsia"/>
          <w:bCs/>
          <w:sz w:val="24"/>
        </w:rPr>
        <w:t>）本基金投资存托凭证的比例限制依照境内上市交易的股票执行，与境内上市交易的股票合并计算；</w:t>
      </w:r>
    </w:p>
    <w:p w14:paraId="7DFAE0E9" w14:textId="77777777" w:rsidR="003568C2" w:rsidRDefault="00695B0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22</w:t>
      </w:r>
      <w:r>
        <w:rPr>
          <w:rFonts w:hint="eastAsia"/>
          <w:bCs/>
          <w:sz w:val="24"/>
        </w:rPr>
        <w:t>）法律法规及中国证监会规定的和《基金合同》约定的其他投资限制。</w:t>
      </w:r>
    </w:p>
    <w:p w14:paraId="1C9348D4" w14:textId="77777777" w:rsidR="003568C2" w:rsidRDefault="00695B03">
      <w:pPr>
        <w:autoSpaceDE w:val="0"/>
        <w:autoSpaceDN w:val="0"/>
        <w:spacing w:line="360" w:lineRule="auto"/>
        <w:ind w:firstLineChars="200" w:firstLine="480"/>
        <w:textAlignment w:val="bottom"/>
        <w:rPr>
          <w:bCs/>
          <w:sz w:val="24"/>
        </w:rPr>
      </w:pPr>
      <w:r>
        <w:rPr>
          <w:rFonts w:hint="eastAsia"/>
          <w:bCs/>
          <w:sz w:val="24"/>
        </w:rPr>
        <w:t>除上述第（</w:t>
      </w:r>
      <w:r>
        <w:rPr>
          <w:rFonts w:hint="eastAsia"/>
          <w:bCs/>
          <w:sz w:val="24"/>
        </w:rPr>
        <w:t>2</w:t>
      </w:r>
      <w:r>
        <w:rPr>
          <w:rFonts w:hint="eastAsia"/>
          <w:bCs/>
          <w:sz w:val="24"/>
        </w:rPr>
        <w:t>）、（</w:t>
      </w:r>
      <w:r>
        <w:rPr>
          <w:rFonts w:hint="eastAsia"/>
          <w:bCs/>
          <w:sz w:val="24"/>
        </w:rPr>
        <w:t>1</w:t>
      </w:r>
      <w:r>
        <w:rPr>
          <w:bCs/>
          <w:sz w:val="24"/>
        </w:rPr>
        <w:t>2</w:t>
      </w:r>
      <w:r>
        <w:rPr>
          <w:rFonts w:hint="eastAsia"/>
          <w:bCs/>
          <w:sz w:val="24"/>
        </w:rPr>
        <w:t>）、（</w:t>
      </w:r>
      <w:r>
        <w:rPr>
          <w:rFonts w:hint="eastAsia"/>
          <w:bCs/>
          <w:sz w:val="24"/>
        </w:rPr>
        <w:t>19</w:t>
      </w:r>
      <w:r>
        <w:rPr>
          <w:rFonts w:hint="eastAsia"/>
          <w:bCs/>
          <w:sz w:val="24"/>
        </w:rPr>
        <w:t>）、（</w:t>
      </w:r>
      <w:r>
        <w:rPr>
          <w:rFonts w:hint="eastAsia"/>
          <w:bCs/>
          <w:sz w:val="24"/>
        </w:rPr>
        <w:t>20</w:t>
      </w:r>
      <w:r>
        <w:rPr>
          <w:rFonts w:hint="eastAsia"/>
          <w:bCs/>
          <w:sz w:val="24"/>
        </w:rPr>
        <w:t>）项外，因证券、期货市场波动、上市公司合并、基金规模变动、股权分置改革中支付对价等基金管理人之外的因素致使基金投资比例不符合上述规定投资比例的，基金管理人应当在</w:t>
      </w:r>
      <w:r>
        <w:rPr>
          <w:rFonts w:hint="eastAsia"/>
          <w:bCs/>
          <w:sz w:val="24"/>
        </w:rPr>
        <w:t>10</w:t>
      </w:r>
      <w:r>
        <w:rPr>
          <w:rFonts w:hint="eastAsia"/>
          <w:bCs/>
          <w:sz w:val="24"/>
        </w:rPr>
        <w:t>个交易日内进行调整，但中国证监会规定的特殊情形除外。</w:t>
      </w:r>
    </w:p>
    <w:p w14:paraId="595D9BFF"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基金管理人应当自基金合同生效之日起</w:t>
      </w:r>
      <w:r>
        <w:rPr>
          <w:rFonts w:hint="eastAsia"/>
          <w:bCs/>
          <w:sz w:val="24"/>
        </w:rPr>
        <w:t>6</w:t>
      </w:r>
      <w:r>
        <w:rPr>
          <w:rFonts w:hint="eastAsia"/>
          <w:bCs/>
          <w:sz w:val="24"/>
        </w:rPr>
        <w:t>个月内使基金的投资组合比例符合基金合同的有关约定。在上述期间内，本基金的投资范围、投资策略应当符合基金合同的约定。基金托管人对基金的投资的监督与检查自本基金合同生效之日起开始。</w:t>
      </w:r>
    </w:p>
    <w:p w14:paraId="77365B34" w14:textId="77777777" w:rsidR="003568C2" w:rsidRDefault="00695B03">
      <w:pPr>
        <w:autoSpaceDE w:val="0"/>
        <w:autoSpaceDN w:val="0"/>
        <w:spacing w:line="360" w:lineRule="auto"/>
        <w:ind w:firstLineChars="200" w:firstLine="480"/>
        <w:textAlignment w:val="bottom"/>
        <w:rPr>
          <w:bCs/>
          <w:sz w:val="24"/>
        </w:rPr>
      </w:pPr>
      <w:r>
        <w:rPr>
          <w:rFonts w:hint="eastAsia"/>
          <w:bCs/>
          <w:sz w:val="24"/>
        </w:rPr>
        <w:t>法律法规或监管部门取消或调整上述限制，如适用于本基金，基金管理人在</w:t>
      </w:r>
      <w:r>
        <w:rPr>
          <w:rFonts w:hint="eastAsia"/>
          <w:bCs/>
          <w:sz w:val="24"/>
        </w:rPr>
        <w:lastRenderedPageBreak/>
        <w:t>履行适当程序后，则本基金投资不再受相关限制或按调整后的规定执行。</w:t>
      </w:r>
    </w:p>
    <w:p w14:paraId="7B55C45C" w14:textId="77777777" w:rsidR="003568C2" w:rsidRDefault="00695B03">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、禁止行为</w:t>
      </w:r>
    </w:p>
    <w:p w14:paraId="245B01F9" w14:textId="77777777" w:rsidR="003568C2" w:rsidRDefault="00695B03">
      <w:pPr>
        <w:autoSpaceDE w:val="0"/>
        <w:autoSpaceDN w:val="0"/>
        <w:spacing w:line="360" w:lineRule="auto"/>
        <w:ind w:firstLineChars="200" w:firstLine="480"/>
        <w:textAlignment w:val="bottom"/>
        <w:rPr>
          <w:bCs/>
          <w:sz w:val="24"/>
        </w:rPr>
      </w:pPr>
      <w:r>
        <w:rPr>
          <w:rFonts w:hint="eastAsia"/>
          <w:bCs/>
          <w:sz w:val="24"/>
        </w:rPr>
        <w:t>为维护基金份额持有人的合法权益，基金财产不得用于下列投资或者活动：</w:t>
      </w:r>
    </w:p>
    <w:p w14:paraId="52676D5F" w14:textId="77777777" w:rsidR="003568C2" w:rsidRDefault="00695B0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w:t>
      </w:r>
      <w:r>
        <w:rPr>
          <w:rFonts w:hint="eastAsia"/>
          <w:bCs/>
          <w:sz w:val="24"/>
        </w:rPr>
        <w:t>）承销证券；</w:t>
      </w:r>
    </w:p>
    <w:p w14:paraId="64DBAD07" w14:textId="77777777" w:rsidR="003568C2" w:rsidRDefault="00695B0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w:t>
      </w:r>
      <w:r>
        <w:rPr>
          <w:rFonts w:hint="eastAsia"/>
          <w:bCs/>
          <w:sz w:val="24"/>
        </w:rPr>
        <w:t>）违反规定向他人贷款或者提供担保；</w:t>
      </w:r>
    </w:p>
    <w:p w14:paraId="5A89C560" w14:textId="77777777" w:rsidR="003568C2" w:rsidRDefault="00695B0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3</w:t>
      </w:r>
      <w:r>
        <w:rPr>
          <w:rFonts w:hint="eastAsia"/>
          <w:bCs/>
          <w:sz w:val="24"/>
        </w:rPr>
        <w:t>）从事承担无限责任的投资；</w:t>
      </w:r>
    </w:p>
    <w:p w14:paraId="7265D9ED" w14:textId="77777777" w:rsidR="003568C2" w:rsidRDefault="00695B0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4</w:t>
      </w:r>
      <w:r>
        <w:rPr>
          <w:rFonts w:hint="eastAsia"/>
          <w:bCs/>
          <w:sz w:val="24"/>
        </w:rPr>
        <w:t>）买卖其他基金份额，但是中国证监会另有规定的除外；</w:t>
      </w:r>
    </w:p>
    <w:p w14:paraId="48664212" w14:textId="77777777" w:rsidR="003568C2" w:rsidRDefault="00695B0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5</w:t>
      </w:r>
      <w:r>
        <w:rPr>
          <w:rFonts w:hint="eastAsia"/>
          <w:bCs/>
          <w:sz w:val="24"/>
        </w:rPr>
        <w:t>）向其基金管理人、基金托管人出资；</w:t>
      </w:r>
    </w:p>
    <w:p w14:paraId="160198D0" w14:textId="77777777" w:rsidR="003568C2" w:rsidRDefault="00695B0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6</w:t>
      </w:r>
      <w:r>
        <w:rPr>
          <w:rFonts w:hint="eastAsia"/>
          <w:bCs/>
          <w:sz w:val="24"/>
        </w:rPr>
        <w:t>）从事内幕交易、操纵证券交易价格及其他不正当的证券交易活动；</w:t>
      </w:r>
    </w:p>
    <w:p w14:paraId="56502918" w14:textId="77777777" w:rsidR="003568C2" w:rsidRDefault="00695B0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7</w:t>
      </w:r>
      <w:r>
        <w:rPr>
          <w:rFonts w:hint="eastAsia"/>
          <w:bCs/>
          <w:sz w:val="24"/>
        </w:rPr>
        <w:t>）法律、行政法规和中国证监会规定禁止的其他活动。</w:t>
      </w:r>
    </w:p>
    <w:p w14:paraId="5C456D23"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6E78B55F" w14:textId="77777777" w:rsidR="003568C2" w:rsidRDefault="00695B03">
      <w:pPr>
        <w:autoSpaceDE w:val="0"/>
        <w:autoSpaceDN w:val="0"/>
        <w:spacing w:line="360" w:lineRule="auto"/>
        <w:ind w:firstLineChars="200" w:firstLine="480"/>
        <w:textAlignment w:val="bottom"/>
        <w:rPr>
          <w:rFonts w:asciiTheme="minorEastAsia" w:hAnsiTheme="minorEastAsia" w:cs="Times New Roman"/>
          <w:bCs/>
          <w:sz w:val="24"/>
          <w:szCs w:val="24"/>
        </w:rPr>
      </w:pPr>
      <w:r>
        <w:rPr>
          <w:rFonts w:hint="eastAsia"/>
          <w:bCs/>
          <w:sz w:val="24"/>
        </w:rPr>
        <w:t>法律、行政法规或监管部门取消上述禁止性规定，如适用于本基金，则本基金投资不再受相关限制。</w:t>
      </w:r>
    </w:p>
    <w:p w14:paraId="27D2FFAA" w14:textId="77777777" w:rsidR="003568C2" w:rsidRDefault="00695B0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五、业绩比较基准</w:t>
      </w:r>
    </w:p>
    <w:p w14:paraId="64A6E3DD" w14:textId="77777777" w:rsidR="003568C2" w:rsidRDefault="00695B03">
      <w:pPr>
        <w:autoSpaceDE w:val="0"/>
        <w:autoSpaceDN w:val="0"/>
        <w:spacing w:line="360" w:lineRule="auto"/>
        <w:ind w:firstLineChars="200" w:firstLine="480"/>
        <w:textAlignment w:val="bottom"/>
        <w:rPr>
          <w:bCs/>
          <w:sz w:val="24"/>
        </w:rPr>
      </w:pPr>
      <w:r>
        <w:rPr>
          <w:rFonts w:hint="eastAsia"/>
          <w:bCs/>
          <w:sz w:val="24"/>
        </w:rPr>
        <w:t>本基金的业绩比较基准为：沪深</w:t>
      </w:r>
      <w:r>
        <w:rPr>
          <w:rFonts w:hint="eastAsia"/>
          <w:bCs/>
          <w:sz w:val="24"/>
        </w:rPr>
        <w:t>300</w:t>
      </w:r>
      <w:r>
        <w:rPr>
          <w:rFonts w:hint="eastAsia"/>
          <w:bCs/>
          <w:sz w:val="24"/>
        </w:rPr>
        <w:t>指数收益率×</w:t>
      </w:r>
      <w:r>
        <w:rPr>
          <w:rFonts w:hint="eastAsia"/>
          <w:bCs/>
          <w:sz w:val="24"/>
        </w:rPr>
        <w:t>95%+</w:t>
      </w:r>
      <w:r>
        <w:rPr>
          <w:rFonts w:hint="eastAsia"/>
          <w:bCs/>
          <w:sz w:val="24"/>
        </w:rPr>
        <w:t>银行活期存款利率</w:t>
      </w:r>
      <w:r>
        <w:rPr>
          <w:rFonts w:hint="eastAsia"/>
          <w:bCs/>
          <w:sz w:val="24"/>
        </w:rPr>
        <w:t>(</w:t>
      </w:r>
      <w:r>
        <w:rPr>
          <w:rFonts w:hint="eastAsia"/>
          <w:bCs/>
          <w:sz w:val="24"/>
        </w:rPr>
        <w:t>税后</w:t>
      </w:r>
      <w:r>
        <w:rPr>
          <w:rFonts w:hint="eastAsia"/>
          <w:bCs/>
          <w:sz w:val="24"/>
        </w:rPr>
        <w:t>)</w:t>
      </w:r>
      <w:r>
        <w:rPr>
          <w:rFonts w:hint="eastAsia"/>
          <w:bCs/>
          <w:sz w:val="24"/>
        </w:rPr>
        <w:t>×</w:t>
      </w:r>
      <w:r>
        <w:rPr>
          <w:rFonts w:hint="eastAsia"/>
          <w:bCs/>
          <w:sz w:val="24"/>
        </w:rPr>
        <w:t>5%</w:t>
      </w:r>
    </w:p>
    <w:p w14:paraId="71807D95" w14:textId="77777777" w:rsidR="003568C2" w:rsidRDefault="00695B03">
      <w:pPr>
        <w:autoSpaceDE w:val="0"/>
        <w:autoSpaceDN w:val="0"/>
        <w:spacing w:line="360" w:lineRule="auto"/>
        <w:ind w:firstLineChars="200" w:firstLine="480"/>
        <w:textAlignment w:val="bottom"/>
        <w:rPr>
          <w:bCs/>
          <w:sz w:val="24"/>
        </w:rPr>
      </w:pPr>
      <w:r>
        <w:rPr>
          <w:rFonts w:hint="eastAsia"/>
          <w:bCs/>
          <w:sz w:val="24"/>
        </w:rPr>
        <w:t>由于本基金为跟踪沪深</w:t>
      </w:r>
      <w:r>
        <w:rPr>
          <w:rFonts w:hint="eastAsia"/>
          <w:bCs/>
          <w:sz w:val="24"/>
        </w:rPr>
        <w:t>300</w:t>
      </w:r>
      <w:r>
        <w:rPr>
          <w:rFonts w:hint="eastAsia"/>
          <w:bCs/>
          <w:sz w:val="24"/>
        </w:rPr>
        <w:t>指数的指数型基金，选用上述业绩比较基准能够忠实反映本基金的风险收益特征。沪深</w:t>
      </w:r>
      <w:r>
        <w:rPr>
          <w:rFonts w:hint="eastAsia"/>
          <w:bCs/>
          <w:sz w:val="24"/>
        </w:rPr>
        <w:t>300</w:t>
      </w:r>
      <w:r>
        <w:rPr>
          <w:rFonts w:hint="eastAsia"/>
          <w:bCs/>
          <w:sz w:val="24"/>
        </w:rPr>
        <w:t>指数是由中证指数有限公司开发的中国</w:t>
      </w:r>
      <w:r>
        <w:rPr>
          <w:rFonts w:hint="eastAsia"/>
          <w:bCs/>
          <w:sz w:val="24"/>
        </w:rPr>
        <w:t xml:space="preserve"> A </w:t>
      </w:r>
      <w:r>
        <w:rPr>
          <w:rFonts w:hint="eastAsia"/>
          <w:bCs/>
          <w:sz w:val="24"/>
        </w:rPr>
        <w:t>股市场指数，由上海和深圳证券市场中市值大、流动性好的</w:t>
      </w:r>
      <w:r>
        <w:rPr>
          <w:rFonts w:hint="eastAsia"/>
          <w:bCs/>
          <w:sz w:val="24"/>
        </w:rPr>
        <w:t>300</w:t>
      </w:r>
      <w:r>
        <w:rPr>
          <w:rFonts w:hint="eastAsia"/>
          <w:bCs/>
          <w:sz w:val="24"/>
        </w:rPr>
        <w:t>只股票组成，综合反映中国</w:t>
      </w:r>
      <w:r>
        <w:rPr>
          <w:rFonts w:hint="eastAsia"/>
          <w:bCs/>
          <w:sz w:val="24"/>
        </w:rPr>
        <w:t>A</w:t>
      </w:r>
      <w:r>
        <w:rPr>
          <w:rFonts w:hint="eastAsia"/>
          <w:bCs/>
          <w:sz w:val="24"/>
        </w:rPr>
        <w:t>股市场上市股票价格的整体表现。</w:t>
      </w:r>
    </w:p>
    <w:p w14:paraId="695EB756" w14:textId="77777777" w:rsidR="003568C2" w:rsidRDefault="00695B0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未来若出现标的指数不符合要求（因成份股价格波动等指数编制方法变动之外的因素致使标的指数不符合要求的情形除外）、指数编制机构退出等情形，基金管理人应当自该情形发生之日起十个工作日向中国证监会报告并提出解决方</w:t>
      </w:r>
      <w:r>
        <w:rPr>
          <w:rFonts w:asciiTheme="minorEastAsia" w:hAnsiTheme="minorEastAsia" w:cs="Times New Roman" w:hint="eastAsia"/>
          <w:bCs/>
          <w:sz w:val="24"/>
          <w:szCs w:val="24"/>
        </w:rPr>
        <w:lastRenderedPageBreak/>
        <w:t>案，如更换基金标的指数、转换运作方式，与其他基金合并、或者终止基金合同等，并在6个月内召集基金份额持有人大会进行表决。</w:t>
      </w:r>
    </w:p>
    <w:p w14:paraId="71AC41F8" w14:textId="77777777" w:rsidR="003568C2" w:rsidRDefault="00695B0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自指数编制机构停止标的指数的编制及发布至解决方案确定期间，基金管理人应按照指数编制机构提供的最近一个交易日的指数信息遵循基金份额持有人利益优先原则维持基金投资运作。本基金运作过程中，当指数成份券发生明显负面事件面临退市或违约风险，且指数编制机构暂未作出调整的，基金管理人将按照持有人利益优先的原则，履行内部决策程序后及时对相关成份券进行调整。</w:t>
      </w:r>
    </w:p>
    <w:p w14:paraId="786BBE3A" w14:textId="77777777" w:rsidR="003568C2" w:rsidRDefault="00695B0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六、风险收益特征</w:t>
      </w:r>
    </w:p>
    <w:p w14:paraId="586DB014"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为股票型基金，其预期风险收益水平高于混合型基金、债券型基金及货币市场基金，属于证券投资基金中中高等风险、中高等预期收益的品种。本基金为指数基金，主要采用指数复制法跟踪标的指数的表现，具有与标的指数、以及标的指数所代表的股票市场相似的风险收益特征。</w:t>
      </w:r>
    </w:p>
    <w:p w14:paraId="0308D699" w14:textId="77777777" w:rsidR="003568C2" w:rsidRDefault="00695B03">
      <w:pPr>
        <w:autoSpaceDE w:val="0"/>
        <w:autoSpaceDN w:val="0"/>
        <w:spacing w:line="360" w:lineRule="auto"/>
        <w:ind w:firstLineChars="200" w:firstLine="480"/>
        <w:textAlignment w:val="bottom"/>
        <w:rPr>
          <w:bCs/>
          <w:sz w:val="24"/>
        </w:rPr>
      </w:pPr>
      <w:r>
        <w:rPr>
          <w:rFonts w:hint="eastAsia"/>
          <w:bCs/>
          <w:sz w:val="24"/>
        </w:rPr>
        <w:t>七、基金管理人代表基金行使股东和债权人权利的处理原则及方法</w:t>
      </w:r>
    </w:p>
    <w:p w14:paraId="051D4B35" w14:textId="77777777" w:rsidR="003568C2" w:rsidRDefault="00695B03">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、基金管理人按照国家有关规定代表基金独立行使股东和债权人权利，保护基金份额持有人的利益；</w:t>
      </w:r>
    </w:p>
    <w:p w14:paraId="4FDAD665" w14:textId="77777777" w:rsidR="003568C2" w:rsidRDefault="00695B03">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、不谋求对上市公司的控股，不参与所投资上市公司的经营管理；</w:t>
      </w:r>
    </w:p>
    <w:p w14:paraId="195FBC9F" w14:textId="77777777" w:rsidR="003568C2" w:rsidRDefault="00695B03">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、有利于基金财产的安全与增值；</w:t>
      </w:r>
    </w:p>
    <w:p w14:paraId="08D3E573" w14:textId="77777777" w:rsidR="003568C2" w:rsidRDefault="00695B03">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、不通过关联交易为自身、雇员、授权代理人或任何存在利害关系的第三人牟取任何不当利益。</w:t>
      </w:r>
      <w:bookmarkStart w:id="208" w:name="_Toc416264546"/>
      <w:bookmarkStart w:id="209" w:name="_Toc98560357"/>
      <w:bookmarkStart w:id="210" w:name="_Toc31469"/>
      <w:bookmarkStart w:id="211" w:name="_Toc26084"/>
      <w:bookmarkStart w:id="212" w:name="_Toc352229757"/>
      <w:bookmarkStart w:id="213" w:name="_Toc26383"/>
      <w:bookmarkStart w:id="214" w:name="_Toc19520"/>
      <w:bookmarkStart w:id="215" w:name="_Toc3244"/>
      <w:bookmarkStart w:id="216" w:name="_Toc79392624"/>
      <w:bookmarkStart w:id="217" w:name="_Toc141703891"/>
      <w:bookmarkStart w:id="218" w:name="_Toc123112239"/>
      <w:bookmarkStart w:id="219" w:name="_Toc123051457"/>
      <w:bookmarkStart w:id="220" w:name="_Toc123102458"/>
      <w:bookmarkStart w:id="221" w:name="_Toc22674"/>
      <w:bookmarkStart w:id="222" w:name="_Toc14725"/>
      <w:bookmarkStart w:id="223" w:name="_Toc16789"/>
      <w:bookmarkStart w:id="224" w:name="_Toc26152"/>
      <w:bookmarkStart w:id="225" w:name="_Toc2255"/>
      <w:bookmarkStart w:id="226" w:name="_Toc139991741"/>
      <w:bookmarkStart w:id="227" w:name="_Toc48649710"/>
      <w:bookmarkStart w:id="228" w:name="_Toc218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p>
    <w:p w14:paraId="44161D68" w14:textId="77777777" w:rsidR="003568C2" w:rsidRDefault="003568C2">
      <w:pPr>
        <w:autoSpaceDE w:val="0"/>
        <w:autoSpaceDN w:val="0"/>
        <w:spacing w:line="360" w:lineRule="auto"/>
        <w:ind w:firstLineChars="200" w:firstLine="480"/>
        <w:textAlignment w:val="bottom"/>
        <w:rPr>
          <w:bCs/>
          <w:sz w:val="24"/>
        </w:rPr>
      </w:pPr>
    </w:p>
    <w:p w14:paraId="1F72F434" w14:textId="77777777" w:rsidR="003568C2" w:rsidRDefault="00695B03">
      <w:pPr>
        <w:adjustRightInd w:val="0"/>
        <w:snapToGrid w:val="0"/>
        <w:spacing w:line="360" w:lineRule="auto"/>
        <w:ind w:firstLineChars="200" w:firstLine="482"/>
        <w:rPr>
          <w:b/>
          <w:bCs/>
          <w:sz w:val="24"/>
        </w:rPr>
      </w:pPr>
      <w:r>
        <w:rPr>
          <w:rFonts w:hint="eastAsia"/>
          <w:b/>
          <w:bCs/>
          <w:sz w:val="24"/>
        </w:rPr>
        <w:t>八、基金投资组合报告</w:t>
      </w:r>
    </w:p>
    <w:p w14:paraId="180F2511" w14:textId="77777777" w:rsidR="003568C2" w:rsidRDefault="00695B03">
      <w:pPr>
        <w:adjustRightInd w:val="0"/>
        <w:snapToGrid w:val="0"/>
        <w:spacing w:line="360" w:lineRule="auto"/>
        <w:ind w:firstLineChars="200" w:firstLine="480"/>
        <w:rPr>
          <w:bCs/>
          <w:sz w:val="24"/>
        </w:rPr>
      </w:pPr>
      <w:r>
        <w:rPr>
          <w:rFonts w:hint="eastAsia"/>
          <w:bCs/>
          <w:sz w:val="24"/>
        </w:rPr>
        <w:t>基金管理人的董事会、董事保证本报告所载资料不存在虚假记载、误导性陈述或重大遗漏，并对其内容的真实性、准确性和完整性承担个别及连带的法律责任。</w:t>
      </w:r>
    </w:p>
    <w:p w14:paraId="180DBD2B" w14:textId="484F1AD5" w:rsidR="003568C2" w:rsidRDefault="00695B03">
      <w:pPr>
        <w:adjustRightInd w:val="0"/>
        <w:snapToGrid w:val="0"/>
        <w:spacing w:line="360" w:lineRule="auto"/>
        <w:ind w:firstLineChars="200" w:firstLine="480"/>
        <w:rPr>
          <w:bCs/>
          <w:sz w:val="24"/>
        </w:rPr>
      </w:pPr>
      <w:r>
        <w:rPr>
          <w:rFonts w:hint="eastAsia"/>
          <w:bCs/>
          <w:sz w:val="24"/>
        </w:rPr>
        <w:t>基金托管人招商银行股份有限公司根据本基金合同规定，</w:t>
      </w:r>
      <w:r w:rsidR="004C2EFE">
        <w:rPr>
          <w:rFonts w:hint="eastAsia"/>
          <w:bCs/>
          <w:sz w:val="24"/>
        </w:rPr>
        <w:t>已</w:t>
      </w:r>
      <w:r>
        <w:rPr>
          <w:rFonts w:hint="eastAsia"/>
          <w:bCs/>
          <w:sz w:val="24"/>
        </w:rPr>
        <w:t>复核了本报告中的财务指标、净值表现和投资组合报告等内容，保证复核内容不存在虚假记载、误导性陈述或者重大遗漏。</w:t>
      </w:r>
    </w:p>
    <w:p w14:paraId="621ED2BE" w14:textId="758D9114" w:rsidR="003568C2" w:rsidRDefault="00695B03">
      <w:pPr>
        <w:autoSpaceDE w:val="0"/>
        <w:autoSpaceDN w:val="0"/>
        <w:spacing w:line="360" w:lineRule="auto"/>
        <w:ind w:firstLineChars="200" w:firstLine="480"/>
        <w:textAlignment w:val="bottom"/>
        <w:rPr>
          <w:bCs/>
          <w:sz w:val="24"/>
        </w:rPr>
      </w:pPr>
      <w:r>
        <w:rPr>
          <w:rFonts w:hint="eastAsia"/>
          <w:bCs/>
          <w:sz w:val="24"/>
        </w:rPr>
        <w:t>本投资组合报告所载数据截至</w:t>
      </w:r>
      <w:r w:rsidR="009F421E">
        <w:rPr>
          <w:rFonts w:hint="eastAsia"/>
          <w:bCs/>
          <w:sz w:val="24"/>
        </w:rPr>
        <w:t>202</w:t>
      </w:r>
      <w:r w:rsidR="009F421E">
        <w:rPr>
          <w:bCs/>
          <w:sz w:val="24"/>
        </w:rPr>
        <w:t>1</w:t>
      </w:r>
      <w:r>
        <w:rPr>
          <w:rFonts w:hint="eastAsia"/>
          <w:bCs/>
          <w:sz w:val="24"/>
        </w:rPr>
        <w:t>年</w:t>
      </w:r>
      <w:r>
        <w:rPr>
          <w:rFonts w:hint="eastAsia"/>
          <w:bCs/>
          <w:sz w:val="24"/>
        </w:rPr>
        <w:t>6</w:t>
      </w:r>
      <w:r>
        <w:rPr>
          <w:rFonts w:hint="eastAsia"/>
          <w:bCs/>
          <w:sz w:val="24"/>
        </w:rPr>
        <w:t>月</w:t>
      </w:r>
      <w:r>
        <w:rPr>
          <w:rFonts w:hint="eastAsia"/>
          <w:bCs/>
          <w:sz w:val="24"/>
        </w:rPr>
        <w:t>30</w:t>
      </w:r>
      <w:r>
        <w:rPr>
          <w:rFonts w:hint="eastAsia"/>
          <w:bCs/>
          <w:sz w:val="24"/>
        </w:rPr>
        <w:t>日，本报告中所列财务数据未经审计。</w:t>
      </w:r>
    </w:p>
    <w:p w14:paraId="53879EBC" w14:textId="77777777" w:rsidR="003568C2" w:rsidRDefault="00695B03">
      <w:pPr>
        <w:pStyle w:val="zhangjiep"/>
      </w:pPr>
      <w:r>
        <w:rPr>
          <w:bCs/>
        </w:rPr>
        <w:lastRenderedPageBreak/>
        <w:t>1</w:t>
      </w:r>
      <w:r>
        <w:rPr>
          <w:rFonts w:hint="eastAsia"/>
          <w:bCs/>
        </w:rPr>
        <w:t>、报告期末基金资产组合情况</w:t>
      </w:r>
    </w:p>
    <w:tbl>
      <w:tblPr>
        <w:tblW w:w="8789" w:type="dxa"/>
        <w:tblInd w:w="108" w:type="dxa"/>
        <w:tblLook w:val="04A0" w:firstRow="1" w:lastRow="0" w:firstColumn="1" w:lastColumn="0" w:noHBand="0" w:noVBand="1"/>
      </w:tblPr>
      <w:tblGrid>
        <w:gridCol w:w="807"/>
        <w:gridCol w:w="2595"/>
        <w:gridCol w:w="2694"/>
        <w:gridCol w:w="2693"/>
      </w:tblGrid>
      <w:tr w:rsidR="003568C2" w14:paraId="164D0244" w14:textId="77777777">
        <w:tc>
          <w:tcPr>
            <w:tcW w:w="807" w:type="dxa"/>
            <w:tcBorders>
              <w:top w:val="single" w:sz="8" w:space="0" w:color="000000"/>
              <w:left w:val="single" w:sz="8" w:space="0" w:color="000000"/>
              <w:bottom w:val="single" w:sz="6" w:space="0" w:color="000000"/>
              <w:right w:val="single" w:sz="8" w:space="0" w:color="000000"/>
            </w:tcBorders>
            <w:vAlign w:val="center"/>
          </w:tcPr>
          <w:p w14:paraId="14E178BA" w14:textId="77777777" w:rsidR="003568C2" w:rsidRDefault="00695B03">
            <w:pPr>
              <w:pStyle w:val="biaogecenter"/>
              <w:wordWrap w:val="0"/>
              <w:rPr>
                <w:rFonts w:asciiTheme="minorEastAsia" w:eastAsiaTheme="minorEastAsia" w:hAnsiTheme="minorEastAsia"/>
                <w:b/>
              </w:rPr>
            </w:pPr>
            <w:r>
              <w:rPr>
                <w:rFonts w:asciiTheme="minorEastAsia" w:eastAsiaTheme="minorEastAsia" w:hAnsiTheme="minorEastAsia" w:hint="eastAsia"/>
                <w:b/>
                <w:color w:val="000000"/>
              </w:rPr>
              <w:t>序号</w:t>
            </w:r>
          </w:p>
        </w:tc>
        <w:tc>
          <w:tcPr>
            <w:tcW w:w="2595" w:type="dxa"/>
            <w:tcBorders>
              <w:top w:val="single" w:sz="8" w:space="0" w:color="000000"/>
              <w:left w:val="single" w:sz="8" w:space="0" w:color="000000"/>
              <w:bottom w:val="single" w:sz="6" w:space="0" w:color="000000"/>
              <w:right w:val="single" w:sz="8" w:space="0" w:color="000000"/>
            </w:tcBorders>
            <w:vAlign w:val="center"/>
          </w:tcPr>
          <w:p w14:paraId="28E136A9" w14:textId="77777777" w:rsidR="003568C2" w:rsidRDefault="00695B03">
            <w:pPr>
              <w:pStyle w:val="biaogecenter"/>
              <w:wordWrap w:val="0"/>
              <w:rPr>
                <w:rFonts w:asciiTheme="minorEastAsia" w:eastAsiaTheme="minorEastAsia" w:hAnsiTheme="minorEastAsia"/>
                <w:b/>
              </w:rPr>
            </w:pPr>
            <w:r>
              <w:rPr>
                <w:rFonts w:asciiTheme="minorEastAsia" w:eastAsiaTheme="minorEastAsia" w:hAnsiTheme="minorEastAsia" w:hint="eastAsia"/>
                <w:b/>
                <w:color w:val="000000"/>
              </w:rPr>
              <w:t>项目</w:t>
            </w:r>
          </w:p>
        </w:tc>
        <w:tc>
          <w:tcPr>
            <w:tcW w:w="2694" w:type="dxa"/>
            <w:tcBorders>
              <w:top w:val="single" w:sz="8" w:space="0" w:color="000000"/>
              <w:left w:val="single" w:sz="8" w:space="0" w:color="000000"/>
              <w:bottom w:val="single" w:sz="6" w:space="0" w:color="000000"/>
              <w:right w:val="single" w:sz="8" w:space="0" w:color="000000"/>
            </w:tcBorders>
            <w:vAlign w:val="center"/>
          </w:tcPr>
          <w:p w14:paraId="62FAC8FC" w14:textId="77777777" w:rsidR="003568C2" w:rsidRDefault="00695B03">
            <w:pPr>
              <w:pStyle w:val="biaogecenter"/>
              <w:wordWrap w:val="0"/>
              <w:rPr>
                <w:rFonts w:asciiTheme="minorEastAsia" w:eastAsiaTheme="minorEastAsia" w:hAnsiTheme="minorEastAsia"/>
                <w:b/>
              </w:rPr>
            </w:pPr>
            <w:r>
              <w:rPr>
                <w:rFonts w:asciiTheme="minorEastAsia" w:eastAsiaTheme="minorEastAsia" w:hAnsiTheme="minorEastAsia" w:hint="eastAsia"/>
                <w:b/>
                <w:color w:val="000000"/>
              </w:rPr>
              <w:t>金额(元)</w:t>
            </w:r>
          </w:p>
        </w:tc>
        <w:tc>
          <w:tcPr>
            <w:tcW w:w="2693" w:type="dxa"/>
            <w:tcBorders>
              <w:top w:val="single" w:sz="8" w:space="0" w:color="000000"/>
              <w:left w:val="single" w:sz="8" w:space="0" w:color="000000"/>
              <w:bottom w:val="single" w:sz="6" w:space="0" w:color="000000"/>
              <w:right w:val="single" w:sz="8" w:space="0" w:color="000000"/>
            </w:tcBorders>
            <w:vAlign w:val="center"/>
          </w:tcPr>
          <w:p w14:paraId="49FD5259" w14:textId="77777777" w:rsidR="003568C2" w:rsidRDefault="00695B03">
            <w:pPr>
              <w:pStyle w:val="biaogecenter"/>
              <w:wordWrap w:val="0"/>
              <w:rPr>
                <w:rFonts w:asciiTheme="minorEastAsia" w:eastAsiaTheme="minorEastAsia" w:hAnsiTheme="minorEastAsia"/>
                <w:b/>
              </w:rPr>
            </w:pPr>
            <w:r>
              <w:rPr>
                <w:rFonts w:asciiTheme="minorEastAsia" w:eastAsiaTheme="minorEastAsia" w:hAnsiTheme="minorEastAsia" w:hint="eastAsia"/>
                <w:b/>
                <w:color w:val="000000"/>
              </w:rPr>
              <w:t>占基金总资产的比例（%）</w:t>
            </w:r>
          </w:p>
        </w:tc>
      </w:tr>
      <w:tr w:rsidR="00885489" w:rsidRPr="00CA09AF" w14:paraId="20DC7900" w14:textId="77777777" w:rsidTr="00AF7038">
        <w:tc>
          <w:tcPr>
            <w:tcW w:w="0" w:type="auto"/>
            <w:tcBorders>
              <w:top w:val="single" w:sz="8" w:space="0" w:color="000000"/>
              <w:left w:val="single" w:sz="8" w:space="0" w:color="000000"/>
              <w:bottom w:val="single" w:sz="6" w:space="0" w:color="000000"/>
              <w:right w:val="single" w:sz="8" w:space="0" w:color="000000"/>
            </w:tcBorders>
            <w:vAlign w:val="center"/>
          </w:tcPr>
          <w:p w14:paraId="1419A4C3" w14:textId="77777777" w:rsidR="00885489" w:rsidRPr="00CA09AF" w:rsidRDefault="00885489" w:rsidP="00AF7038">
            <w:pPr>
              <w:pStyle w:val="biaogecenter"/>
              <w:wordWrap w:val="0"/>
              <w:rPr>
                <w:rFonts w:asciiTheme="minorEastAsia" w:eastAsiaTheme="minorEastAsia" w:hAnsiTheme="minorEastAsia"/>
              </w:rPr>
            </w:pPr>
            <w:r w:rsidRPr="00CA09AF">
              <w:rPr>
                <w:rFonts w:asciiTheme="minorEastAsia" w:eastAsiaTheme="minorEastAsia" w:hAnsiTheme="minorEastAsia" w:hint="eastAsia"/>
              </w:rPr>
              <w:t>1</w:t>
            </w:r>
          </w:p>
        </w:tc>
        <w:tc>
          <w:tcPr>
            <w:tcW w:w="2595" w:type="dxa"/>
            <w:tcBorders>
              <w:top w:val="single" w:sz="8" w:space="0" w:color="000000"/>
              <w:left w:val="single" w:sz="8" w:space="0" w:color="000000"/>
              <w:bottom w:val="single" w:sz="6" w:space="0" w:color="000000"/>
              <w:right w:val="single" w:sz="8" w:space="0" w:color="000000"/>
            </w:tcBorders>
            <w:vAlign w:val="center"/>
          </w:tcPr>
          <w:p w14:paraId="36D275E7" w14:textId="77777777" w:rsidR="00885489" w:rsidRPr="00CA09AF" w:rsidRDefault="00885489" w:rsidP="00AF7038">
            <w:pPr>
              <w:pStyle w:val="biaogeleft"/>
              <w:wordWrap w:val="0"/>
              <w:rPr>
                <w:rFonts w:asciiTheme="minorEastAsia" w:eastAsiaTheme="minorEastAsia" w:hAnsiTheme="minorEastAsia"/>
              </w:rPr>
            </w:pPr>
            <w:r w:rsidRPr="00CA09AF">
              <w:rPr>
                <w:rFonts w:asciiTheme="minorEastAsia" w:eastAsiaTheme="minorEastAsia" w:hAnsiTheme="minorEastAsia" w:hint="eastAsia"/>
              </w:rPr>
              <w:t>权益投资</w:t>
            </w:r>
          </w:p>
        </w:tc>
        <w:tc>
          <w:tcPr>
            <w:tcW w:w="2694" w:type="dxa"/>
            <w:tcBorders>
              <w:top w:val="single" w:sz="8" w:space="0" w:color="000000"/>
              <w:left w:val="single" w:sz="8" w:space="0" w:color="000000"/>
              <w:bottom w:val="single" w:sz="6" w:space="0" w:color="000000"/>
              <w:right w:val="single" w:sz="8" w:space="0" w:color="000000"/>
            </w:tcBorders>
            <w:vAlign w:val="center"/>
          </w:tcPr>
          <w:p w14:paraId="4301E713" w14:textId="77777777" w:rsidR="00885489" w:rsidRPr="00CA09AF" w:rsidRDefault="00885489" w:rsidP="00AF7038">
            <w:pPr>
              <w:pStyle w:val="biaogeright"/>
              <w:wordWrap w:val="0"/>
              <w:rPr>
                <w:rFonts w:asciiTheme="minorEastAsia" w:eastAsiaTheme="minorEastAsia" w:hAnsiTheme="minorEastAsia"/>
              </w:rPr>
            </w:pPr>
            <w:r w:rsidRPr="00CA09AF">
              <w:rPr>
                <w:rFonts w:asciiTheme="minorEastAsia" w:eastAsiaTheme="minorEastAsia" w:hAnsiTheme="minorEastAsia" w:hint="eastAsia"/>
              </w:rPr>
              <w:t>1,426,351,352.34</w:t>
            </w:r>
          </w:p>
        </w:tc>
        <w:tc>
          <w:tcPr>
            <w:tcW w:w="2693" w:type="dxa"/>
            <w:tcBorders>
              <w:top w:val="single" w:sz="8" w:space="0" w:color="000000"/>
              <w:left w:val="single" w:sz="8" w:space="0" w:color="000000"/>
              <w:bottom w:val="single" w:sz="6" w:space="0" w:color="000000"/>
              <w:right w:val="single" w:sz="8" w:space="0" w:color="000000"/>
            </w:tcBorders>
            <w:vAlign w:val="center"/>
          </w:tcPr>
          <w:p w14:paraId="3B0A9AAC" w14:textId="77777777" w:rsidR="00885489" w:rsidRPr="00CA09AF" w:rsidRDefault="00885489" w:rsidP="00AF7038">
            <w:pPr>
              <w:pStyle w:val="biaogeright"/>
              <w:wordWrap w:val="0"/>
              <w:rPr>
                <w:rFonts w:asciiTheme="minorEastAsia" w:eastAsiaTheme="minorEastAsia" w:hAnsiTheme="minorEastAsia"/>
              </w:rPr>
            </w:pPr>
            <w:r w:rsidRPr="00CA09AF">
              <w:rPr>
                <w:rFonts w:asciiTheme="minorEastAsia" w:eastAsiaTheme="minorEastAsia" w:hAnsiTheme="minorEastAsia" w:hint="eastAsia"/>
              </w:rPr>
              <w:t>85.16</w:t>
            </w:r>
          </w:p>
        </w:tc>
      </w:tr>
      <w:tr w:rsidR="00885489" w:rsidRPr="00CA09AF" w14:paraId="356A098B" w14:textId="77777777" w:rsidTr="00AF7038">
        <w:tc>
          <w:tcPr>
            <w:tcW w:w="0" w:type="auto"/>
            <w:tcBorders>
              <w:top w:val="single" w:sz="8" w:space="0" w:color="000000"/>
              <w:left w:val="single" w:sz="8" w:space="0" w:color="000000"/>
              <w:bottom w:val="single" w:sz="6" w:space="0" w:color="000000"/>
              <w:right w:val="single" w:sz="8" w:space="0" w:color="000000"/>
            </w:tcBorders>
            <w:vAlign w:val="center"/>
          </w:tcPr>
          <w:p w14:paraId="451AB789" w14:textId="77777777" w:rsidR="00885489" w:rsidRPr="00CA09AF" w:rsidRDefault="00885489" w:rsidP="00AF7038">
            <w:pPr>
              <w:pStyle w:val="biaogecenter"/>
              <w:wordWrap w:val="0"/>
              <w:rPr>
                <w:rFonts w:asciiTheme="minorEastAsia" w:eastAsiaTheme="minorEastAsia" w:hAnsiTheme="minorEastAsia"/>
              </w:rPr>
            </w:pPr>
          </w:p>
        </w:tc>
        <w:tc>
          <w:tcPr>
            <w:tcW w:w="2595" w:type="dxa"/>
            <w:tcBorders>
              <w:top w:val="single" w:sz="8" w:space="0" w:color="000000"/>
              <w:left w:val="single" w:sz="8" w:space="0" w:color="000000"/>
              <w:bottom w:val="single" w:sz="6" w:space="0" w:color="000000"/>
              <w:right w:val="single" w:sz="8" w:space="0" w:color="000000"/>
            </w:tcBorders>
            <w:vAlign w:val="center"/>
          </w:tcPr>
          <w:p w14:paraId="2CFFE800" w14:textId="77777777" w:rsidR="00885489" w:rsidRPr="00CA09AF" w:rsidRDefault="00885489" w:rsidP="00AF7038">
            <w:pPr>
              <w:pStyle w:val="biaogeleft"/>
              <w:wordWrap w:val="0"/>
              <w:rPr>
                <w:rFonts w:asciiTheme="minorEastAsia" w:eastAsiaTheme="minorEastAsia" w:hAnsiTheme="minorEastAsia"/>
              </w:rPr>
            </w:pPr>
            <w:r w:rsidRPr="00CA09AF">
              <w:rPr>
                <w:rFonts w:asciiTheme="minorEastAsia" w:eastAsiaTheme="minorEastAsia" w:hAnsiTheme="minorEastAsia" w:hint="eastAsia"/>
              </w:rPr>
              <w:t>其中：股票</w:t>
            </w:r>
          </w:p>
        </w:tc>
        <w:tc>
          <w:tcPr>
            <w:tcW w:w="2694" w:type="dxa"/>
            <w:tcBorders>
              <w:top w:val="single" w:sz="8" w:space="0" w:color="000000"/>
              <w:left w:val="single" w:sz="8" w:space="0" w:color="000000"/>
              <w:bottom w:val="single" w:sz="6" w:space="0" w:color="000000"/>
              <w:right w:val="single" w:sz="8" w:space="0" w:color="000000"/>
            </w:tcBorders>
            <w:vAlign w:val="center"/>
          </w:tcPr>
          <w:p w14:paraId="70740AAF" w14:textId="77777777" w:rsidR="00885489" w:rsidRPr="00CA09AF" w:rsidRDefault="00885489" w:rsidP="00AF7038">
            <w:pPr>
              <w:pStyle w:val="biaogeright"/>
              <w:wordWrap w:val="0"/>
              <w:rPr>
                <w:rFonts w:asciiTheme="minorEastAsia" w:eastAsiaTheme="minorEastAsia" w:hAnsiTheme="minorEastAsia"/>
              </w:rPr>
            </w:pPr>
            <w:r w:rsidRPr="00CA09AF">
              <w:rPr>
                <w:rFonts w:asciiTheme="minorEastAsia" w:eastAsiaTheme="minorEastAsia" w:hAnsiTheme="minorEastAsia" w:hint="eastAsia"/>
              </w:rPr>
              <w:t>1,426,351,352.34</w:t>
            </w:r>
          </w:p>
        </w:tc>
        <w:tc>
          <w:tcPr>
            <w:tcW w:w="2693" w:type="dxa"/>
            <w:tcBorders>
              <w:top w:val="single" w:sz="8" w:space="0" w:color="000000"/>
              <w:left w:val="single" w:sz="8" w:space="0" w:color="000000"/>
              <w:bottom w:val="single" w:sz="6" w:space="0" w:color="000000"/>
              <w:right w:val="single" w:sz="8" w:space="0" w:color="000000"/>
            </w:tcBorders>
            <w:vAlign w:val="center"/>
          </w:tcPr>
          <w:p w14:paraId="2ECACEBE" w14:textId="77777777" w:rsidR="00885489" w:rsidRPr="00CA09AF" w:rsidRDefault="00885489" w:rsidP="00AF7038">
            <w:pPr>
              <w:pStyle w:val="biaogeright"/>
              <w:wordWrap w:val="0"/>
              <w:rPr>
                <w:rFonts w:asciiTheme="minorEastAsia" w:eastAsiaTheme="minorEastAsia" w:hAnsiTheme="minorEastAsia"/>
              </w:rPr>
            </w:pPr>
            <w:r w:rsidRPr="00CA09AF">
              <w:rPr>
                <w:rFonts w:asciiTheme="minorEastAsia" w:eastAsiaTheme="minorEastAsia" w:hAnsiTheme="minorEastAsia" w:hint="eastAsia"/>
              </w:rPr>
              <w:t>85.16</w:t>
            </w:r>
          </w:p>
        </w:tc>
      </w:tr>
      <w:tr w:rsidR="00885489" w:rsidRPr="00CA09AF" w14:paraId="72E2D6C8" w14:textId="77777777" w:rsidTr="00AF7038">
        <w:tc>
          <w:tcPr>
            <w:tcW w:w="0" w:type="auto"/>
            <w:tcBorders>
              <w:top w:val="single" w:sz="8" w:space="0" w:color="000000"/>
              <w:left w:val="single" w:sz="8" w:space="0" w:color="000000"/>
              <w:bottom w:val="single" w:sz="6" w:space="0" w:color="000000"/>
              <w:right w:val="single" w:sz="8" w:space="0" w:color="000000"/>
            </w:tcBorders>
            <w:vAlign w:val="center"/>
          </w:tcPr>
          <w:p w14:paraId="3FFCEE04" w14:textId="77777777" w:rsidR="00885489" w:rsidRPr="00CA09AF" w:rsidRDefault="00885489" w:rsidP="00AF7038">
            <w:pPr>
              <w:pStyle w:val="biaogecenter"/>
              <w:wordWrap w:val="0"/>
              <w:rPr>
                <w:rFonts w:asciiTheme="minorEastAsia" w:eastAsiaTheme="minorEastAsia" w:hAnsiTheme="minorEastAsia"/>
              </w:rPr>
            </w:pPr>
            <w:r w:rsidRPr="00CA09AF">
              <w:rPr>
                <w:rFonts w:asciiTheme="minorEastAsia" w:eastAsiaTheme="minorEastAsia" w:hAnsiTheme="minorEastAsia" w:hint="eastAsia"/>
              </w:rPr>
              <w:t>2</w:t>
            </w:r>
          </w:p>
        </w:tc>
        <w:tc>
          <w:tcPr>
            <w:tcW w:w="2595" w:type="dxa"/>
            <w:tcBorders>
              <w:top w:val="single" w:sz="8" w:space="0" w:color="000000"/>
              <w:left w:val="single" w:sz="8" w:space="0" w:color="000000"/>
              <w:bottom w:val="single" w:sz="6" w:space="0" w:color="000000"/>
              <w:right w:val="single" w:sz="8" w:space="0" w:color="000000"/>
            </w:tcBorders>
            <w:vAlign w:val="center"/>
          </w:tcPr>
          <w:p w14:paraId="6543E518" w14:textId="77777777" w:rsidR="00885489" w:rsidRPr="00CA09AF" w:rsidRDefault="00885489" w:rsidP="00AF7038">
            <w:pPr>
              <w:pStyle w:val="biaogeleft"/>
              <w:wordWrap w:val="0"/>
              <w:rPr>
                <w:rFonts w:asciiTheme="minorEastAsia" w:eastAsiaTheme="minorEastAsia" w:hAnsiTheme="minorEastAsia"/>
              </w:rPr>
            </w:pPr>
            <w:r w:rsidRPr="00CA09AF">
              <w:rPr>
                <w:rFonts w:asciiTheme="minorEastAsia" w:eastAsiaTheme="minorEastAsia" w:hAnsiTheme="minorEastAsia" w:hint="eastAsia"/>
              </w:rPr>
              <w:t>基金投资</w:t>
            </w:r>
          </w:p>
        </w:tc>
        <w:tc>
          <w:tcPr>
            <w:tcW w:w="2694" w:type="dxa"/>
            <w:tcBorders>
              <w:top w:val="single" w:sz="8" w:space="0" w:color="000000"/>
              <w:left w:val="single" w:sz="8" w:space="0" w:color="000000"/>
              <w:bottom w:val="single" w:sz="6" w:space="0" w:color="000000"/>
              <w:right w:val="single" w:sz="8" w:space="0" w:color="000000"/>
            </w:tcBorders>
            <w:vAlign w:val="center"/>
          </w:tcPr>
          <w:p w14:paraId="78B8BB28" w14:textId="77777777" w:rsidR="00885489" w:rsidRPr="00CA09AF" w:rsidRDefault="00885489" w:rsidP="00AF7038">
            <w:pPr>
              <w:pStyle w:val="biaogeright"/>
              <w:wordWrap w:val="0"/>
              <w:rPr>
                <w:rFonts w:asciiTheme="minorEastAsia" w:eastAsiaTheme="minorEastAsia" w:hAnsiTheme="minorEastAsia"/>
              </w:rPr>
            </w:pPr>
            <w:r w:rsidRPr="00CA09AF">
              <w:rPr>
                <w:rFonts w:asciiTheme="minorEastAsia" w:eastAsiaTheme="minorEastAsia" w:hAnsiTheme="minorEastAsia" w:hint="eastAsia"/>
              </w:rP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61F0EDE2" w14:textId="77777777" w:rsidR="00885489" w:rsidRPr="00CA09AF" w:rsidRDefault="00885489" w:rsidP="00AF7038">
            <w:pPr>
              <w:pStyle w:val="biaogeright"/>
              <w:wordWrap w:val="0"/>
              <w:rPr>
                <w:rFonts w:asciiTheme="minorEastAsia" w:eastAsiaTheme="minorEastAsia" w:hAnsiTheme="minorEastAsia"/>
              </w:rPr>
            </w:pPr>
            <w:r w:rsidRPr="00CA09AF">
              <w:rPr>
                <w:rFonts w:asciiTheme="minorEastAsia" w:eastAsiaTheme="minorEastAsia" w:hAnsiTheme="minorEastAsia" w:hint="eastAsia"/>
              </w:rPr>
              <w:t>-</w:t>
            </w:r>
          </w:p>
        </w:tc>
      </w:tr>
      <w:tr w:rsidR="00885489" w:rsidRPr="00CA09AF" w14:paraId="0EBEC2D3" w14:textId="77777777" w:rsidTr="00AF7038">
        <w:tc>
          <w:tcPr>
            <w:tcW w:w="0" w:type="auto"/>
            <w:tcBorders>
              <w:top w:val="single" w:sz="8" w:space="0" w:color="000000"/>
              <w:left w:val="single" w:sz="8" w:space="0" w:color="000000"/>
              <w:bottom w:val="single" w:sz="6" w:space="0" w:color="000000"/>
              <w:right w:val="single" w:sz="8" w:space="0" w:color="000000"/>
            </w:tcBorders>
            <w:vAlign w:val="center"/>
          </w:tcPr>
          <w:p w14:paraId="0356B524" w14:textId="77777777" w:rsidR="00885489" w:rsidRPr="00CA09AF" w:rsidRDefault="00885489" w:rsidP="00AF7038">
            <w:pPr>
              <w:pStyle w:val="biaogecenter"/>
              <w:wordWrap w:val="0"/>
              <w:rPr>
                <w:rFonts w:asciiTheme="minorEastAsia" w:eastAsiaTheme="minorEastAsia" w:hAnsiTheme="minorEastAsia"/>
              </w:rPr>
            </w:pPr>
            <w:r w:rsidRPr="00CA09AF">
              <w:rPr>
                <w:rFonts w:asciiTheme="minorEastAsia" w:eastAsiaTheme="minorEastAsia" w:hAnsiTheme="minorEastAsia" w:hint="eastAsia"/>
              </w:rPr>
              <w:t>3</w:t>
            </w:r>
          </w:p>
        </w:tc>
        <w:tc>
          <w:tcPr>
            <w:tcW w:w="2595" w:type="dxa"/>
            <w:tcBorders>
              <w:top w:val="single" w:sz="8" w:space="0" w:color="000000"/>
              <w:left w:val="single" w:sz="8" w:space="0" w:color="000000"/>
              <w:bottom w:val="single" w:sz="6" w:space="0" w:color="000000"/>
              <w:right w:val="single" w:sz="8" w:space="0" w:color="000000"/>
            </w:tcBorders>
            <w:vAlign w:val="center"/>
          </w:tcPr>
          <w:p w14:paraId="306FCA92" w14:textId="77777777" w:rsidR="00885489" w:rsidRPr="00CA09AF" w:rsidRDefault="00885489" w:rsidP="00AF7038">
            <w:pPr>
              <w:pStyle w:val="biaogeleft"/>
              <w:wordWrap w:val="0"/>
              <w:rPr>
                <w:rFonts w:asciiTheme="minorEastAsia" w:eastAsiaTheme="minorEastAsia" w:hAnsiTheme="minorEastAsia"/>
              </w:rPr>
            </w:pPr>
            <w:r w:rsidRPr="00CA09AF">
              <w:rPr>
                <w:rFonts w:asciiTheme="minorEastAsia" w:eastAsiaTheme="minorEastAsia" w:hAnsiTheme="minorEastAsia" w:hint="eastAsia"/>
              </w:rPr>
              <w:t>固定收益投资</w:t>
            </w:r>
          </w:p>
        </w:tc>
        <w:tc>
          <w:tcPr>
            <w:tcW w:w="2694" w:type="dxa"/>
            <w:tcBorders>
              <w:top w:val="single" w:sz="8" w:space="0" w:color="000000"/>
              <w:left w:val="single" w:sz="8" w:space="0" w:color="000000"/>
              <w:bottom w:val="single" w:sz="6" w:space="0" w:color="000000"/>
              <w:right w:val="single" w:sz="8" w:space="0" w:color="000000"/>
            </w:tcBorders>
            <w:vAlign w:val="center"/>
          </w:tcPr>
          <w:p w14:paraId="4BBB081F" w14:textId="77777777" w:rsidR="00885489" w:rsidRPr="00CA09AF" w:rsidRDefault="00885489" w:rsidP="00AF7038">
            <w:pPr>
              <w:pStyle w:val="biaogeright"/>
              <w:wordWrap w:val="0"/>
              <w:rPr>
                <w:rFonts w:asciiTheme="minorEastAsia" w:eastAsiaTheme="minorEastAsia" w:hAnsiTheme="minorEastAsia"/>
              </w:rPr>
            </w:pPr>
            <w:r w:rsidRPr="00CA09AF">
              <w:rPr>
                <w:rFonts w:asciiTheme="minorEastAsia" w:eastAsiaTheme="minorEastAsia" w:hAnsiTheme="minorEastAsia" w:hint="eastAsia"/>
              </w:rPr>
              <w:t>276,100.00</w:t>
            </w:r>
          </w:p>
        </w:tc>
        <w:tc>
          <w:tcPr>
            <w:tcW w:w="2693" w:type="dxa"/>
            <w:tcBorders>
              <w:top w:val="single" w:sz="8" w:space="0" w:color="000000"/>
              <w:left w:val="single" w:sz="8" w:space="0" w:color="000000"/>
              <w:bottom w:val="single" w:sz="6" w:space="0" w:color="000000"/>
              <w:right w:val="single" w:sz="8" w:space="0" w:color="000000"/>
            </w:tcBorders>
            <w:vAlign w:val="center"/>
          </w:tcPr>
          <w:p w14:paraId="6133793B" w14:textId="77777777" w:rsidR="00885489" w:rsidRPr="00CA09AF" w:rsidRDefault="00885489" w:rsidP="00AF7038">
            <w:pPr>
              <w:pStyle w:val="biaogeright"/>
              <w:wordWrap w:val="0"/>
              <w:rPr>
                <w:rFonts w:asciiTheme="minorEastAsia" w:eastAsiaTheme="minorEastAsia" w:hAnsiTheme="minorEastAsia"/>
              </w:rPr>
            </w:pPr>
            <w:r w:rsidRPr="00CA09AF">
              <w:rPr>
                <w:rFonts w:asciiTheme="minorEastAsia" w:eastAsiaTheme="minorEastAsia" w:hAnsiTheme="minorEastAsia" w:hint="eastAsia"/>
              </w:rPr>
              <w:t>0.02</w:t>
            </w:r>
          </w:p>
        </w:tc>
      </w:tr>
      <w:tr w:rsidR="00885489" w:rsidRPr="00CA09AF" w14:paraId="0FBCDF2B" w14:textId="77777777" w:rsidTr="00AF7038">
        <w:tc>
          <w:tcPr>
            <w:tcW w:w="0" w:type="auto"/>
            <w:tcBorders>
              <w:top w:val="single" w:sz="8" w:space="0" w:color="000000"/>
              <w:left w:val="single" w:sz="8" w:space="0" w:color="000000"/>
              <w:bottom w:val="single" w:sz="6" w:space="0" w:color="000000"/>
              <w:right w:val="single" w:sz="8" w:space="0" w:color="000000"/>
            </w:tcBorders>
            <w:vAlign w:val="center"/>
          </w:tcPr>
          <w:p w14:paraId="4744CBD4" w14:textId="77777777" w:rsidR="00885489" w:rsidRPr="00CA09AF" w:rsidRDefault="00885489" w:rsidP="00AF7038">
            <w:pPr>
              <w:pStyle w:val="biaogecenter"/>
              <w:wordWrap w:val="0"/>
              <w:rPr>
                <w:rFonts w:asciiTheme="minorEastAsia" w:eastAsiaTheme="minorEastAsia" w:hAnsiTheme="minorEastAsia"/>
              </w:rPr>
            </w:pPr>
          </w:p>
        </w:tc>
        <w:tc>
          <w:tcPr>
            <w:tcW w:w="2595" w:type="dxa"/>
            <w:tcBorders>
              <w:top w:val="single" w:sz="8" w:space="0" w:color="000000"/>
              <w:left w:val="single" w:sz="8" w:space="0" w:color="000000"/>
              <w:bottom w:val="single" w:sz="6" w:space="0" w:color="000000"/>
              <w:right w:val="single" w:sz="8" w:space="0" w:color="000000"/>
            </w:tcBorders>
            <w:vAlign w:val="center"/>
          </w:tcPr>
          <w:p w14:paraId="354C602E" w14:textId="77777777" w:rsidR="00885489" w:rsidRPr="00CA09AF" w:rsidRDefault="00885489" w:rsidP="00AF7038">
            <w:pPr>
              <w:pStyle w:val="biaogeleft"/>
              <w:wordWrap w:val="0"/>
              <w:rPr>
                <w:rFonts w:asciiTheme="minorEastAsia" w:eastAsiaTheme="minorEastAsia" w:hAnsiTheme="minorEastAsia"/>
              </w:rPr>
            </w:pPr>
            <w:r w:rsidRPr="00CA09AF">
              <w:rPr>
                <w:rFonts w:asciiTheme="minorEastAsia" w:eastAsiaTheme="minorEastAsia" w:hAnsiTheme="minorEastAsia" w:hint="eastAsia"/>
              </w:rPr>
              <w:t>其中：债券</w:t>
            </w:r>
          </w:p>
        </w:tc>
        <w:tc>
          <w:tcPr>
            <w:tcW w:w="2694" w:type="dxa"/>
            <w:tcBorders>
              <w:top w:val="single" w:sz="8" w:space="0" w:color="000000"/>
              <w:left w:val="single" w:sz="8" w:space="0" w:color="000000"/>
              <w:bottom w:val="single" w:sz="6" w:space="0" w:color="000000"/>
              <w:right w:val="single" w:sz="8" w:space="0" w:color="000000"/>
            </w:tcBorders>
            <w:vAlign w:val="center"/>
          </w:tcPr>
          <w:p w14:paraId="4E128839" w14:textId="77777777" w:rsidR="00885489" w:rsidRPr="00CA09AF" w:rsidRDefault="00885489" w:rsidP="00AF7038">
            <w:pPr>
              <w:pStyle w:val="biaogeright"/>
              <w:wordWrap w:val="0"/>
              <w:rPr>
                <w:rFonts w:asciiTheme="minorEastAsia" w:eastAsiaTheme="minorEastAsia" w:hAnsiTheme="minorEastAsia"/>
              </w:rPr>
            </w:pPr>
            <w:r w:rsidRPr="00CA09AF">
              <w:rPr>
                <w:rFonts w:asciiTheme="minorEastAsia" w:eastAsiaTheme="minorEastAsia" w:hAnsiTheme="minorEastAsia" w:hint="eastAsia"/>
              </w:rPr>
              <w:t>276,100.00</w:t>
            </w:r>
          </w:p>
        </w:tc>
        <w:tc>
          <w:tcPr>
            <w:tcW w:w="2693" w:type="dxa"/>
            <w:tcBorders>
              <w:top w:val="single" w:sz="8" w:space="0" w:color="000000"/>
              <w:left w:val="single" w:sz="8" w:space="0" w:color="000000"/>
              <w:bottom w:val="single" w:sz="6" w:space="0" w:color="000000"/>
              <w:right w:val="single" w:sz="8" w:space="0" w:color="000000"/>
            </w:tcBorders>
            <w:vAlign w:val="center"/>
          </w:tcPr>
          <w:p w14:paraId="3800BF6F" w14:textId="77777777" w:rsidR="00885489" w:rsidRPr="00CA09AF" w:rsidRDefault="00885489" w:rsidP="00AF7038">
            <w:pPr>
              <w:pStyle w:val="biaogeright"/>
              <w:wordWrap w:val="0"/>
              <w:rPr>
                <w:rFonts w:asciiTheme="minorEastAsia" w:eastAsiaTheme="minorEastAsia" w:hAnsiTheme="minorEastAsia"/>
              </w:rPr>
            </w:pPr>
            <w:r w:rsidRPr="00CA09AF">
              <w:rPr>
                <w:rFonts w:asciiTheme="minorEastAsia" w:eastAsiaTheme="minorEastAsia" w:hAnsiTheme="minorEastAsia" w:hint="eastAsia"/>
              </w:rPr>
              <w:t>0.02</w:t>
            </w:r>
          </w:p>
        </w:tc>
      </w:tr>
      <w:tr w:rsidR="00885489" w:rsidRPr="00CA09AF" w14:paraId="7BA566E2" w14:textId="77777777" w:rsidTr="00AF7038">
        <w:tc>
          <w:tcPr>
            <w:tcW w:w="0" w:type="auto"/>
            <w:tcBorders>
              <w:top w:val="single" w:sz="8" w:space="0" w:color="000000"/>
              <w:left w:val="single" w:sz="8" w:space="0" w:color="000000"/>
              <w:bottom w:val="single" w:sz="6" w:space="0" w:color="000000"/>
              <w:right w:val="single" w:sz="8" w:space="0" w:color="000000"/>
            </w:tcBorders>
            <w:vAlign w:val="center"/>
          </w:tcPr>
          <w:p w14:paraId="5BCA1FEE" w14:textId="77777777" w:rsidR="00885489" w:rsidRPr="00CA09AF" w:rsidRDefault="00885489" w:rsidP="00AF7038">
            <w:pPr>
              <w:pStyle w:val="biaogecenter"/>
              <w:wordWrap w:val="0"/>
              <w:rPr>
                <w:rFonts w:asciiTheme="minorEastAsia" w:eastAsiaTheme="minorEastAsia" w:hAnsiTheme="minorEastAsia"/>
              </w:rPr>
            </w:pPr>
          </w:p>
        </w:tc>
        <w:tc>
          <w:tcPr>
            <w:tcW w:w="2595" w:type="dxa"/>
            <w:tcBorders>
              <w:top w:val="single" w:sz="8" w:space="0" w:color="000000"/>
              <w:left w:val="single" w:sz="8" w:space="0" w:color="000000"/>
              <w:bottom w:val="single" w:sz="6" w:space="0" w:color="000000"/>
              <w:right w:val="single" w:sz="8" w:space="0" w:color="000000"/>
            </w:tcBorders>
            <w:vAlign w:val="center"/>
          </w:tcPr>
          <w:p w14:paraId="7437C6D9" w14:textId="77777777" w:rsidR="00885489" w:rsidRPr="00CA09AF" w:rsidRDefault="00885489" w:rsidP="00AF7038">
            <w:pPr>
              <w:pStyle w:val="biaogeleft"/>
              <w:wordWrap w:val="0"/>
              <w:rPr>
                <w:rFonts w:asciiTheme="minorEastAsia" w:eastAsiaTheme="minorEastAsia" w:hAnsiTheme="minorEastAsia"/>
              </w:rPr>
            </w:pPr>
            <w:r w:rsidRPr="00CA09AF">
              <w:rPr>
                <w:rFonts w:asciiTheme="minorEastAsia" w:eastAsiaTheme="minorEastAsia" w:hAnsiTheme="minorEastAsia" w:hint="eastAsia"/>
              </w:rPr>
              <w:t>资产支持证券</w:t>
            </w:r>
          </w:p>
        </w:tc>
        <w:tc>
          <w:tcPr>
            <w:tcW w:w="2694" w:type="dxa"/>
            <w:tcBorders>
              <w:top w:val="single" w:sz="8" w:space="0" w:color="000000"/>
              <w:left w:val="single" w:sz="8" w:space="0" w:color="000000"/>
              <w:bottom w:val="single" w:sz="6" w:space="0" w:color="000000"/>
              <w:right w:val="single" w:sz="8" w:space="0" w:color="000000"/>
            </w:tcBorders>
            <w:vAlign w:val="center"/>
          </w:tcPr>
          <w:p w14:paraId="1AD4676C" w14:textId="77777777" w:rsidR="00885489" w:rsidRPr="00CA09AF" w:rsidRDefault="00885489" w:rsidP="00AF7038">
            <w:pPr>
              <w:pStyle w:val="biaogeright"/>
              <w:wordWrap w:val="0"/>
              <w:rPr>
                <w:rFonts w:asciiTheme="minorEastAsia" w:eastAsiaTheme="minorEastAsia" w:hAnsiTheme="minorEastAsia"/>
              </w:rPr>
            </w:pPr>
            <w:r w:rsidRPr="00CA09AF">
              <w:rPr>
                <w:rFonts w:asciiTheme="minorEastAsia" w:eastAsiaTheme="minorEastAsia" w:hAnsiTheme="minorEastAsia" w:hint="eastAsia"/>
              </w:rP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619065FC" w14:textId="77777777" w:rsidR="00885489" w:rsidRPr="00CA09AF" w:rsidRDefault="00885489" w:rsidP="00AF7038">
            <w:pPr>
              <w:pStyle w:val="biaogeright"/>
              <w:wordWrap w:val="0"/>
              <w:rPr>
                <w:rFonts w:asciiTheme="minorEastAsia" w:eastAsiaTheme="minorEastAsia" w:hAnsiTheme="minorEastAsia"/>
              </w:rPr>
            </w:pPr>
            <w:r w:rsidRPr="00CA09AF">
              <w:rPr>
                <w:rFonts w:asciiTheme="minorEastAsia" w:eastAsiaTheme="minorEastAsia" w:hAnsiTheme="minorEastAsia" w:hint="eastAsia"/>
              </w:rPr>
              <w:t>-</w:t>
            </w:r>
          </w:p>
        </w:tc>
      </w:tr>
      <w:tr w:rsidR="00885489" w:rsidRPr="00CA09AF" w14:paraId="232C0145" w14:textId="77777777" w:rsidTr="00AF7038">
        <w:tc>
          <w:tcPr>
            <w:tcW w:w="0" w:type="auto"/>
            <w:tcBorders>
              <w:top w:val="single" w:sz="8" w:space="0" w:color="000000"/>
              <w:left w:val="single" w:sz="8" w:space="0" w:color="000000"/>
              <w:bottom w:val="single" w:sz="6" w:space="0" w:color="000000"/>
              <w:right w:val="single" w:sz="8" w:space="0" w:color="000000"/>
            </w:tcBorders>
            <w:vAlign w:val="center"/>
          </w:tcPr>
          <w:p w14:paraId="1368F35A" w14:textId="77777777" w:rsidR="00885489" w:rsidRPr="00CA09AF" w:rsidRDefault="00885489" w:rsidP="00AF7038">
            <w:pPr>
              <w:pStyle w:val="biaogecenter"/>
              <w:wordWrap w:val="0"/>
              <w:rPr>
                <w:rFonts w:asciiTheme="minorEastAsia" w:eastAsiaTheme="minorEastAsia" w:hAnsiTheme="minorEastAsia"/>
              </w:rPr>
            </w:pPr>
            <w:r w:rsidRPr="00CA09AF">
              <w:rPr>
                <w:rFonts w:asciiTheme="minorEastAsia" w:eastAsiaTheme="minorEastAsia" w:hAnsiTheme="minorEastAsia" w:hint="eastAsia"/>
              </w:rPr>
              <w:t>4</w:t>
            </w:r>
          </w:p>
        </w:tc>
        <w:tc>
          <w:tcPr>
            <w:tcW w:w="2595" w:type="dxa"/>
            <w:tcBorders>
              <w:top w:val="single" w:sz="8" w:space="0" w:color="000000"/>
              <w:left w:val="single" w:sz="8" w:space="0" w:color="000000"/>
              <w:bottom w:val="single" w:sz="6" w:space="0" w:color="000000"/>
              <w:right w:val="single" w:sz="8" w:space="0" w:color="000000"/>
            </w:tcBorders>
            <w:vAlign w:val="center"/>
          </w:tcPr>
          <w:p w14:paraId="3C4C71ED" w14:textId="77777777" w:rsidR="00885489" w:rsidRPr="00CA09AF" w:rsidRDefault="00885489" w:rsidP="00AF7038">
            <w:pPr>
              <w:pStyle w:val="biaogeleft"/>
              <w:wordWrap w:val="0"/>
              <w:rPr>
                <w:rFonts w:asciiTheme="minorEastAsia" w:eastAsiaTheme="minorEastAsia" w:hAnsiTheme="minorEastAsia"/>
              </w:rPr>
            </w:pPr>
            <w:r w:rsidRPr="00CA09AF">
              <w:rPr>
                <w:rFonts w:asciiTheme="minorEastAsia" w:eastAsiaTheme="minorEastAsia" w:hAnsiTheme="minorEastAsia" w:hint="eastAsia"/>
              </w:rPr>
              <w:t>贵金属投资</w:t>
            </w:r>
          </w:p>
        </w:tc>
        <w:tc>
          <w:tcPr>
            <w:tcW w:w="2694" w:type="dxa"/>
            <w:tcBorders>
              <w:top w:val="single" w:sz="8" w:space="0" w:color="000000"/>
              <w:left w:val="single" w:sz="8" w:space="0" w:color="000000"/>
              <w:bottom w:val="single" w:sz="6" w:space="0" w:color="000000"/>
              <w:right w:val="single" w:sz="8" w:space="0" w:color="000000"/>
            </w:tcBorders>
            <w:vAlign w:val="center"/>
          </w:tcPr>
          <w:p w14:paraId="5BBB6DB5" w14:textId="77777777" w:rsidR="00885489" w:rsidRPr="00CA09AF" w:rsidRDefault="00885489" w:rsidP="00AF7038">
            <w:pPr>
              <w:pStyle w:val="biaogeright"/>
              <w:wordWrap w:val="0"/>
              <w:rPr>
                <w:rFonts w:asciiTheme="minorEastAsia" w:eastAsiaTheme="minorEastAsia" w:hAnsiTheme="minorEastAsia"/>
              </w:rPr>
            </w:pPr>
            <w:r w:rsidRPr="00CA09AF">
              <w:rPr>
                <w:rFonts w:asciiTheme="minorEastAsia" w:eastAsiaTheme="minorEastAsia" w:hAnsiTheme="minorEastAsia" w:hint="eastAsia"/>
              </w:rP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406CA613" w14:textId="77777777" w:rsidR="00885489" w:rsidRPr="00CA09AF" w:rsidRDefault="00885489" w:rsidP="00AF7038">
            <w:pPr>
              <w:pStyle w:val="biaogeright"/>
              <w:wordWrap w:val="0"/>
              <w:rPr>
                <w:rFonts w:asciiTheme="minorEastAsia" w:eastAsiaTheme="minorEastAsia" w:hAnsiTheme="minorEastAsia"/>
              </w:rPr>
            </w:pPr>
            <w:r w:rsidRPr="00CA09AF">
              <w:rPr>
                <w:rFonts w:asciiTheme="minorEastAsia" w:eastAsiaTheme="minorEastAsia" w:hAnsiTheme="minorEastAsia" w:hint="eastAsia"/>
              </w:rPr>
              <w:t>-</w:t>
            </w:r>
          </w:p>
        </w:tc>
      </w:tr>
      <w:tr w:rsidR="00885489" w:rsidRPr="00CA09AF" w14:paraId="7794013F" w14:textId="77777777" w:rsidTr="00AF7038">
        <w:tc>
          <w:tcPr>
            <w:tcW w:w="0" w:type="auto"/>
            <w:tcBorders>
              <w:top w:val="single" w:sz="8" w:space="0" w:color="000000"/>
              <w:left w:val="single" w:sz="8" w:space="0" w:color="000000"/>
              <w:bottom w:val="single" w:sz="6" w:space="0" w:color="000000"/>
              <w:right w:val="single" w:sz="8" w:space="0" w:color="000000"/>
            </w:tcBorders>
            <w:vAlign w:val="center"/>
          </w:tcPr>
          <w:p w14:paraId="6A3969CA" w14:textId="77777777" w:rsidR="00885489" w:rsidRPr="00CA09AF" w:rsidRDefault="00885489" w:rsidP="00AF7038">
            <w:pPr>
              <w:pStyle w:val="biaogecenter"/>
              <w:wordWrap w:val="0"/>
              <w:rPr>
                <w:rFonts w:asciiTheme="minorEastAsia" w:eastAsiaTheme="minorEastAsia" w:hAnsiTheme="minorEastAsia"/>
              </w:rPr>
            </w:pPr>
            <w:r w:rsidRPr="00CA09AF">
              <w:rPr>
                <w:rFonts w:asciiTheme="minorEastAsia" w:eastAsiaTheme="minorEastAsia" w:hAnsiTheme="minorEastAsia" w:hint="eastAsia"/>
              </w:rPr>
              <w:t>5</w:t>
            </w:r>
          </w:p>
        </w:tc>
        <w:tc>
          <w:tcPr>
            <w:tcW w:w="2595" w:type="dxa"/>
            <w:tcBorders>
              <w:top w:val="single" w:sz="8" w:space="0" w:color="000000"/>
              <w:left w:val="single" w:sz="8" w:space="0" w:color="000000"/>
              <w:bottom w:val="single" w:sz="6" w:space="0" w:color="000000"/>
              <w:right w:val="single" w:sz="8" w:space="0" w:color="000000"/>
            </w:tcBorders>
            <w:vAlign w:val="center"/>
          </w:tcPr>
          <w:p w14:paraId="379C4D4A" w14:textId="77777777" w:rsidR="00885489" w:rsidRPr="00CA09AF" w:rsidRDefault="00885489" w:rsidP="00AF7038">
            <w:pPr>
              <w:pStyle w:val="biaogeleft"/>
              <w:wordWrap w:val="0"/>
              <w:rPr>
                <w:rFonts w:asciiTheme="minorEastAsia" w:eastAsiaTheme="minorEastAsia" w:hAnsiTheme="minorEastAsia"/>
              </w:rPr>
            </w:pPr>
            <w:r w:rsidRPr="00CA09AF">
              <w:rPr>
                <w:rFonts w:asciiTheme="minorEastAsia" w:eastAsiaTheme="minorEastAsia" w:hAnsiTheme="minorEastAsia" w:hint="eastAsia"/>
              </w:rPr>
              <w:t>金融衍生品投资</w:t>
            </w:r>
          </w:p>
        </w:tc>
        <w:tc>
          <w:tcPr>
            <w:tcW w:w="2694" w:type="dxa"/>
            <w:tcBorders>
              <w:top w:val="single" w:sz="8" w:space="0" w:color="000000"/>
              <w:left w:val="single" w:sz="8" w:space="0" w:color="000000"/>
              <w:bottom w:val="single" w:sz="6" w:space="0" w:color="000000"/>
              <w:right w:val="single" w:sz="8" w:space="0" w:color="000000"/>
            </w:tcBorders>
            <w:vAlign w:val="center"/>
          </w:tcPr>
          <w:p w14:paraId="024DE0BC" w14:textId="77777777" w:rsidR="00885489" w:rsidRPr="00CA09AF" w:rsidRDefault="00885489" w:rsidP="00AF7038">
            <w:pPr>
              <w:pStyle w:val="biaogeright"/>
              <w:wordWrap w:val="0"/>
              <w:rPr>
                <w:rFonts w:asciiTheme="minorEastAsia" w:eastAsiaTheme="minorEastAsia" w:hAnsiTheme="minorEastAsia"/>
              </w:rPr>
            </w:pPr>
            <w:r w:rsidRPr="00CA09AF">
              <w:rPr>
                <w:rFonts w:asciiTheme="minorEastAsia" w:eastAsiaTheme="minorEastAsia" w:hAnsiTheme="minorEastAsia" w:hint="eastAsia"/>
              </w:rP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00B33F67" w14:textId="77777777" w:rsidR="00885489" w:rsidRPr="00CA09AF" w:rsidRDefault="00885489" w:rsidP="00AF7038">
            <w:pPr>
              <w:pStyle w:val="biaogeright"/>
              <w:wordWrap w:val="0"/>
              <w:rPr>
                <w:rFonts w:asciiTheme="minorEastAsia" w:eastAsiaTheme="minorEastAsia" w:hAnsiTheme="minorEastAsia"/>
              </w:rPr>
            </w:pPr>
            <w:r w:rsidRPr="00CA09AF">
              <w:rPr>
                <w:rFonts w:asciiTheme="minorEastAsia" w:eastAsiaTheme="minorEastAsia" w:hAnsiTheme="minorEastAsia" w:hint="eastAsia"/>
              </w:rPr>
              <w:t>-</w:t>
            </w:r>
          </w:p>
        </w:tc>
      </w:tr>
      <w:tr w:rsidR="00885489" w:rsidRPr="00CA09AF" w14:paraId="74D95C91" w14:textId="77777777" w:rsidTr="00AF7038">
        <w:tc>
          <w:tcPr>
            <w:tcW w:w="0" w:type="auto"/>
            <w:tcBorders>
              <w:top w:val="single" w:sz="8" w:space="0" w:color="000000"/>
              <w:left w:val="single" w:sz="8" w:space="0" w:color="000000"/>
              <w:bottom w:val="single" w:sz="6" w:space="0" w:color="000000"/>
              <w:right w:val="single" w:sz="8" w:space="0" w:color="000000"/>
            </w:tcBorders>
            <w:vAlign w:val="center"/>
          </w:tcPr>
          <w:p w14:paraId="0400D2E2" w14:textId="77777777" w:rsidR="00885489" w:rsidRPr="00CA09AF" w:rsidRDefault="00885489" w:rsidP="00AF7038">
            <w:pPr>
              <w:pStyle w:val="biaogecenter"/>
              <w:wordWrap w:val="0"/>
              <w:rPr>
                <w:rFonts w:asciiTheme="minorEastAsia" w:eastAsiaTheme="minorEastAsia" w:hAnsiTheme="minorEastAsia"/>
              </w:rPr>
            </w:pPr>
            <w:r w:rsidRPr="00CA09AF">
              <w:rPr>
                <w:rFonts w:asciiTheme="minorEastAsia" w:eastAsiaTheme="minorEastAsia" w:hAnsiTheme="minorEastAsia" w:hint="eastAsia"/>
              </w:rPr>
              <w:t>6</w:t>
            </w:r>
          </w:p>
        </w:tc>
        <w:tc>
          <w:tcPr>
            <w:tcW w:w="2595" w:type="dxa"/>
            <w:tcBorders>
              <w:top w:val="single" w:sz="8" w:space="0" w:color="000000"/>
              <w:left w:val="single" w:sz="8" w:space="0" w:color="000000"/>
              <w:bottom w:val="single" w:sz="6" w:space="0" w:color="000000"/>
              <w:right w:val="single" w:sz="8" w:space="0" w:color="000000"/>
            </w:tcBorders>
            <w:vAlign w:val="center"/>
          </w:tcPr>
          <w:p w14:paraId="2EA6D848" w14:textId="77777777" w:rsidR="00885489" w:rsidRPr="00CA09AF" w:rsidRDefault="00885489" w:rsidP="00AF7038">
            <w:pPr>
              <w:pStyle w:val="biaogeleft"/>
              <w:wordWrap w:val="0"/>
              <w:rPr>
                <w:rFonts w:asciiTheme="minorEastAsia" w:eastAsiaTheme="minorEastAsia" w:hAnsiTheme="minorEastAsia"/>
              </w:rPr>
            </w:pPr>
            <w:r w:rsidRPr="00CA09AF">
              <w:rPr>
                <w:rFonts w:asciiTheme="minorEastAsia" w:eastAsiaTheme="minorEastAsia" w:hAnsiTheme="minorEastAsia" w:hint="eastAsia"/>
              </w:rPr>
              <w:t>买入返售金融资产</w:t>
            </w:r>
          </w:p>
        </w:tc>
        <w:tc>
          <w:tcPr>
            <w:tcW w:w="2694" w:type="dxa"/>
            <w:tcBorders>
              <w:top w:val="single" w:sz="8" w:space="0" w:color="000000"/>
              <w:left w:val="single" w:sz="8" w:space="0" w:color="000000"/>
              <w:bottom w:val="single" w:sz="6" w:space="0" w:color="000000"/>
              <w:right w:val="single" w:sz="8" w:space="0" w:color="000000"/>
            </w:tcBorders>
            <w:vAlign w:val="center"/>
          </w:tcPr>
          <w:p w14:paraId="51C41421" w14:textId="77777777" w:rsidR="00885489" w:rsidRPr="00CA09AF" w:rsidRDefault="00885489" w:rsidP="00AF7038">
            <w:pPr>
              <w:pStyle w:val="biaogeright"/>
              <w:wordWrap w:val="0"/>
              <w:rPr>
                <w:rFonts w:asciiTheme="minorEastAsia" w:eastAsiaTheme="minorEastAsia" w:hAnsiTheme="minorEastAsia"/>
              </w:rPr>
            </w:pPr>
            <w:r w:rsidRPr="00CA09AF">
              <w:rPr>
                <w:rFonts w:asciiTheme="minorEastAsia" w:eastAsiaTheme="minorEastAsia" w:hAnsiTheme="minorEastAsia" w:hint="eastAsia"/>
              </w:rPr>
              <w:t>98,100,000.00</w:t>
            </w:r>
          </w:p>
        </w:tc>
        <w:tc>
          <w:tcPr>
            <w:tcW w:w="2693" w:type="dxa"/>
            <w:tcBorders>
              <w:top w:val="single" w:sz="8" w:space="0" w:color="000000"/>
              <w:left w:val="single" w:sz="8" w:space="0" w:color="000000"/>
              <w:bottom w:val="single" w:sz="6" w:space="0" w:color="000000"/>
              <w:right w:val="single" w:sz="8" w:space="0" w:color="000000"/>
            </w:tcBorders>
            <w:vAlign w:val="center"/>
          </w:tcPr>
          <w:p w14:paraId="6A4504E3" w14:textId="77777777" w:rsidR="00885489" w:rsidRPr="00CA09AF" w:rsidRDefault="00885489" w:rsidP="00AF7038">
            <w:pPr>
              <w:pStyle w:val="biaogeright"/>
              <w:wordWrap w:val="0"/>
              <w:rPr>
                <w:rFonts w:asciiTheme="minorEastAsia" w:eastAsiaTheme="minorEastAsia" w:hAnsiTheme="minorEastAsia"/>
              </w:rPr>
            </w:pPr>
            <w:r w:rsidRPr="00CA09AF">
              <w:rPr>
                <w:rFonts w:asciiTheme="minorEastAsia" w:eastAsiaTheme="minorEastAsia" w:hAnsiTheme="minorEastAsia" w:hint="eastAsia"/>
              </w:rPr>
              <w:t>5.86</w:t>
            </w:r>
          </w:p>
        </w:tc>
      </w:tr>
      <w:tr w:rsidR="00885489" w:rsidRPr="00CA09AF" w14:paraId="240E4D58" w14:textId="77777777" w:rsidTr="00AF7038">
        <w:tc>
          <w:tcPr>
            <w:tcW w:w="0" w:type="auto"/>
            <w:tcBorders>
              <w:top w:val="single" w:sz="8" w:space="0" w:color="000000"/>
              <w:left w:val="single" w:sz="8" w:space="0" w:color="000000"/>
              <w:bottom w:val="single" w:sz="6" w:space="0" w:color="000000"/>
              <w:right w:val="single" w:sz="8" w:space="0" w:color="000000"/>
            </w:tcBorders>
            <w:vAlign w:val="center"/>
          </w:tcPr>
          <w:p w14:paraId="51C11A4A" w14:textId="77777777" w:rsidR="00885489" w:rsidRPr="00CA09AF" w:rsidRDefault="00885489" w:rsidP="00AF7038">
            <w:pPr>
              <w:pStyle w:val="biaogecenter"/>
              <w:wordWrap w:val="0"/>
              <w:rPr>
                <w:rFonts w:asciiTheme="minorEastAsia" w:eastAsiaTheme="minorEastAsia" w:hAnsiTheme="minorEastAsia"/>
              </w:rPr>
            </w:pPr>
          </w:p>
        </w:tc>
        <w:tc>
          <w:tcPr>
            <w:tcW w:w="2595" w:type="dxa"/>
            <w:tcBorders>
              <w:top w:val="single" w:sz="8" w:space="0" w:color="000000"/>
              <w:left w:val="single" w:sz="8" w:space="0" w:color="000000"/>
              <w:bottom w:val="single" w:sz="6" w:space="0" w:color="000000"/>
              <w:right w:val="single" w:sz="8" w:space="0" w:color="000000"/>
            </w:tcBorders>
            <w:vAlign w:val="center"/>
          </w:tcPr>
          <w:p w14:paraId="781A6D35" w14:textId="77777777" w:rsidR="00885489" w:rsidRPr="00CA09AF" w:rsidRDefault="00885489" w:rsidP="00AF7038">
            <w:pPr>
              <w:pStyle w:val="biaogeleft"/>
              <w:wordWrap w:val="0"/>
              <w:rPr>
                <w:rFonts w:asciiTheme="minorEastAsia" w:eastAsiaTheme="minorEastAsia" w:hAnsiTheme="minorEastAsia"/>
              </w:rPr>
            </w:pPr>
            <w:r w:rsidRPr="00CA09AF">
              <w:rPr>
                <w:rFonts w:asciiTheme="minorEastAsia" w:eastAsiaTheme="minorEastAsia" w:hAnsiTheme="minorEastAsia" w:hint="eastAsia"/>
              </w:rPr>
              <w:t>其中：买断式回购的买入返售金融资产</w:t>
            </w:r>
          </w:p>
        </w:tc>
        <w:tc>
          <w:tcPr>
            <w:tcW w:w="2694" w:type="dxa"/>
            <w:tcBorders>
              <w:top w:val="single" w:sz="8" w:space="0" w:color="000000"/>
              <w:left w:val="single" w:sz="8" w:space="0" w:color="000000"/>
              <w:bottom w:val="single" w:sz="6" w:space="0" w:color="000000"/>
              <w:right w:val="single" w:sz="8" w:space="0" w:color="000000"/>
            </w:tcBorders>
            <w:vAlign w:val="center"/>
          </w:tcPr>
          <w:p w14:paraId="28DC92C6" w14:textId="77777777" w:rsidR="00885489" w:rsidRPr="00CA09AF" w:rsidRDefault="00885489" w:rsidP="00AF7038">
            <w:pPr>
              <w:pStyle w:val="biaogeright"/>
              <w:wordWrap w:val="0"/>
              <w:rPr>
                <w:rFonts w:asciiTheme="minorEastAsia" w:eastAsiaTheme="minorEastAsia" w:hAnsiTheme="minorEastAsia"/>
              </w:rPr>
            </w:pPr>
            <w:r w:rsidRPr="00CA09AF">
              <w:rPr>
                <w:rFonts w:asciiTheme="minorEastAsia" w:eastAsiaTheme="minorEastAsia" w:hAnsiTheme="minorEastAsia" w:hint="eastAsia"/>
              </w:rP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30F78DF9" w14:textId="77777777" w:rsidR="00885489" w:rsidRPr="00CA09AF" w:rsidRDefault="00885489" w:rsidP="00AF7038">
            <w:pPr>
              <w:pStyle w:val="biaogeright"/>
              <w:wordWrap w:val="0"/>
              <w:rPr>
                <w:rFonts w:asciiTheme="minorEastAsia" w:eastAsiaTheme="minorEastAsia" w:hAnsiTheme="minorEastAsia"/>
              </w:rPr>
            </w:pPr>
            <w:r w:rsidRPr="00CA09AF">
              <w:rPr>
                <w:rFonts w:asciiTheme="minorEastAsia" w:eastAsiaTheme="minorEastAsia" w:hAnsiTheme="minorEastAsia" w:hint="eastAsia"/>
              </w:rPr>
              <w:t>-</w:t>
            </w:r>
          </w:p>
        </w:tc>
      </w:tr>
      <w:tr w:rsidR="00885489" w:rsidRPr="00CA09AF" w14:paraId="3C371EC7" w14:textId="77777777" w:rsidTr="00AF7038">
        <w:tc>
          <w:tcPr>
            <w:tcW w:w="0" w:type="auto"/>
            <w:tcBorders>
              <w:top w:val="single" w:sz="8" w:space="0" w:color="000000"/>
              <w:left w:val="single" w:sz="8" w:space="0" w:color="000000"/>
              <w:bottom w:val="single" w:sz="6" w:space="0" w:color="000000"/>
              <w:right w:val="single" w:sz="8" w:space="0" w:color="000000"/>
            </w:tcBorders>
            <w:vAlign w:val="center"/>
          </w:tcPr>
          <w:p w14:paraId="53B9F22C" w14:textId="77777777" w:rsidR="00885489" w:rsidRPr="00CA09AF" w:rsidRDefault="00885489" w:rsidP="00AF7038">
            <w:pPr>
              <w:pStyle w:val="biaogecenter"/>
              <w:wordWrap w:val="0"/>
              <w:rPr>
                <w:rFonts w:asciiTheme="minorEastAsia" w:eastAsiaTheme="minorEastAsia" w:hAnsiTheme="minorEastAsia"/>
              </w:rPr>
            </w:pPr>
            <w:r w:rsidRPr="00CA09AF">
              <w:rPr>
                <w:rFonts w:asciiTheme="minorEastAsia" w:eastAsiaTheme="minorEastAsia" w:hAnsiTheme="minorEastAsia" w:hint="eastAsia"/>
              </w:rPr>
              <w:t>7</w:t>
            </w:r>
          </w:p>
        </w:tc>
        <w:tc>
          <w:tcPr>
            <w:tcW w:w="2595" w:type="dxa"/>
            <w:tcBorders>
              <w:top w:val="single" w:sz="8" w:space="0" w:color="000000"/>
              <w:left w:val="single" w:sz="8" w:space="0" w:color="000000"/>
              <w:bottom w:val="single" w:sz="6" w:space="0" w:color="000000"/>
              <w:right w:val="single" w:sz="8" w:space="0" w:color="000000"/>
            </w:tcBorders>
            <w:vAlign w:val="center"/>
          </w:tcPr>
          <w:p w14:paraId="1F8C6D95" w14:textId="77777777" w:rsidR="00885489" w:rsidRPr="00CA09AF" w:rsidRDefault="00885489" w:rsidP="00AF7038">
            <w:pPr>
              <w:pStyle w:val="biaogeleft"/>
              <w:wordWrap w:val="0"/>
              <w:rPr>
                <w:rFonts w:asciiTheme="minorEastAsia" w:eastAsiaTheme="minorEastAsia" w:hAnsiTheme="minorEastAsia"/>
              </w:rPr>
            </w:pPr>
            <w:r w:rsidRPr="00CA09AF">
              <w:rPr>
                <w:rFonts w:asciiTheme="minorEastAsia" w:eastAsiaTheme="minorEastAsia" w:hAnsiTheme="minorEastAsia" w:hint="eastAsia"/>
              </w:rPr>
              <w:t>银行存款和结算备付金合计</w:t>
            </w:r>
          </w:p>
        </w:tc>
        <w:tc>
          <w:tcPr>
            <w:tcW w:w="2694" w:type="dxa"/>
            <w:tcBorders>
              <w:top w:val="single" w:sz="8" w:space="0" w:color="000000"/>
              <w:left w:val="single" w:sz="8" w:space="0" w:color="000000"/>
              <w:bottom w:val="single" w:sz="6" w:space="0" w:color="000000"/>
              <w:right w:val="single" w:sz="8" w:space="0" w:color="000000"/>
            </w:tcBorders>
            <w:vAlign w:val="center"/>
          </w:tcPr>
          <w:p w14:paraId="6954C0AC" w14:textId="77777777" w:rsidR="00885489" w:rsidRPr="00CA09AF" w:rsidRDefault="00885489" w:rsidP="00AF7038">
            <w:pPr>
              <w:pStyle w:val="biaogeright"/>
              <w:wordWrap w:val="0"/>
              <w:rPr>
                <w:rFonts w:asciiTheme="minorEastAsia" w:eastAsiaTheme="minorEastAsia" w:hAnsiTheme="minorEastAsia"/>
              </w:rPr>
            </w:pPr>
            <w:r w:rsidRPr="00CA09AF">
              <w:rPr>
                <w:rFonts w:asciiTheme="minorEastAsia" w:eastAsiaTheme="minorEastAsia" w:hAnsiTheme="minorEastAsia" w:hint="eastAsia"/>
              </w:rPr>
              <w:t>54,956,109.87</w:t>
            </w:r>
          </w:p>
        </w:tc>
        <w:tc>
          <w:tcPr>
            <w:tcW w:w="2693" w:type="dxa"/>
            <w:tcBorders>
              <w:top w:val="single" w:sz="8" w:space="0" w:color="000000"/>
              <w:left w:val="single" w:sz="8" w:space="0" w:color="000000"/>
              <w:bottom w:val="single" w:sz="6" w:space="0" w:color="000000"/>
              <w:right w:val="single" w:sz="8" w:space="0" w:color="000000"/>
            </w:tcBorders>
            <w:vAlign w:val="center"/>
          </w:tcPr>
          <w:p w14:paraId="737074A0" w14:textId="77777777" w:rsidR="00885489" w:rsidRPr="00CA09AF" w:rsidRDefault="00885489" w:rsidP="00AF7038">
            <w:pPr>
              <w:pStyle w:val="biaogeright"/>
              <w:wordWrap w:val="0"/>
              <w:rPr>
                <w:rFonts w:asciiTheme="minorEastAsia" w:eastAsiaTheme="minorEastAsia" w:hAnsiTheme="minorEastAsia"/>
              </w:rPr>
            </w:pPr>
            <w:r w:rsidRPr="00CA09AF">
              <w:rPr>
                <w:rFonts w:asciiTheme="minorEastAsia" w:eastAsiaTheme="minorEastAsia" w:hAnsiTheme="minorEastAsia" w:hint="eastAsia"/>
              </w:rPr>
              <w:t>3.28</w:t>
            </w:r>
          </w:p>
        </w:tc>
      </w:tr>
      <w:tr w:rsidR="00885489" w:rsidRPr="00CA09AF" w14:paraId="40C72194" w14:textId="77777777" w:rsidTr="00AF7038">
        <w:tc>
          <w:tcPr>
            <w:tcW w:w="0" w:type="auto"/>
            <w:tcBorders>
              <w:top w:val="single" w:sz="8" w:space="0" w:color="000000"/>
              <w:left w:val="single" w:sz="8" w:space="0" w:color="000000"/>
              <w:bottom w:val="single" w:sz="6" w:space="0" w:color="000000"/>
              <w:right w:val="single" w:sz="8" w:space="0" w:color="000000"/>
            </w:tcBorders>
            <w:vAlign w:val="center"/>
          </w:tcPr>
          <w:p w14:paraId="29A48D7D" w14:textId="77777777" w:rsidR="00885489" w:rsidRPr="00CA09AF" w:rsidRDefault="00885489" w:rsidP="00AF7038">
            <w:pPr>
              <w:pStyle w:val="biaogecenter"/>
              <w:wordWrap w:val="0"/>
              <w:rPr>
                <w:rFonts w:asciiTheme="minorEastAsia" w:eastAsiaTheme="minorEastAsia" w:hAnsiTheme="minorEastAsia"/>
              </w:rPr>
            </w:pPr>
            <w:r w:rsidRPr="00CA09AF">
              <w:rPr>
                <w:rFonts w:asciiTheme="minorEastAsia" w:eastAsiaTheme="minorEastAsia" w:hAnsiTheme="minorEastAsia" w:hint="eastAsia"/>
              </w:rPr>
              <w:t>8</w:t>
            </w:r>
          </w:p>
        </w:tc>
        <w:tc>
          <w:tcPr>
            <w:tcW w:w="2595" w:type="dxa"/>
            <w:tcBorders>
              <w:top w:val="single" w:sz="8" w:space="0" w:color="000000"/>
              <w:left w:val="single" w:sz="8" w:space="0" w:color="000000"/>
              <w:bottom w:val="single" w:sz="6" w:space="0" w:color="000000"/>
              <w:right w:val="single" w:sz="8" w:space="0" w:color="000000"/>
            </w:tcBorders>
            <w:vAlign w:val="center"/>
          </w:tcPr>
          <w:p w14:paraId="28D4BC0B" w14:textId="77777777" w:rsidR="00885489" w:rsidRPr="00CA09AF" w:rsidRDefault="00885489" w:rsidP="00AF7038">
            <w:pPr>
              <w:pStyle w:val="biaogeleft"/>
              <w:wordWrap w:val="0"/>
              <w:rPr>
                <w:rFonts w:asciiTheme="minorEastAsia" w:eastAsiaTheme="minorEastAsia" w:hAnsiTheme="minorEastAsia"/>
              </w:rPr>
            </w:pPr>
            <w:r w:rsidRPr="00CA09AF">
              <w:rPr>
                <w:rFonts w:asciiTheme="minorEastAsia" w:eastAsiaTheme="minorEastAsia" w:hAnsiTheme="minorEastAsia" w:hint="eastAsia"/>
              </w:rPr>
              <w:t>其他资产</w:t>
            </w:r>
          </w:p>
        </w:tc>
        <w:tc>
          <w:tcPr>
            <w:tcW w:w="2694" w:type="dxa"/>
            <w:tcBorders>
              <w:top w:val="single" w:sz="8" w:space="0" w:color="000000"/>
              <w:left w:val="single" w:sz="8" w:space="0" w:color="000000"/>
              <w:bottom w:val="single" w:sz="6" w:space="0" w:color="000000"/>
              <w:right w:val="single" w:sz="8" w:space="0" w:color="000000"/>
            </w:tcBorders>
            <w:vAlign w:val="center"/>
          </w:tcPr>
          <w:p w14:paraId="043EBE5A" w14:textId="77777777" w:rsidR="00885489" w:rsidRPr="00CA09AF" w:rsidRDefault="00885489" w:rsidP="00AF7038">
            <w:pPr>
              <w:pStyle w:val="biaogeright"/>
              <w:wordWrap w:val="0"/>
              <w:rPr>
                <w:rFonts w:asciiTheme="minorEastAsia" w:eastAsiaTheme="minorEastAsia" w:hAnsiTheme="minorEastAsia"/>
              </w:rPr>
            </w:pPr>
            <w:r w:rsidRPr="00CA09AF">
              <w:rPr>
                <w:rFonts w:asciiTheme="minorEastAsia" w:eastAsiaTheme="minorEastAsia" w:hAnsiTheme="minorEastAsia" w:hint="eastAsia"/>
              </w:rPr>
              <w:t>95,240,967.61</w:t>
            </w:r>
          </w:p>
        </w:tc>
        <w:tc>
          <w:tcPr>
            <w:tcW w:w="2693" w:type="dxa"/>
            <w:tcBorders>
              <w:top w:val="single" w:sz="8" w:space="0" w:color="000000"/>
              <w:left w:val="single" w:sz="8" w:space="0" w:color="000000"/>
              <w:bottom w:val="single" w:sz="6" w:space="0" w:color="000000"/>
              <w:right w:val="single" w:sz="8" w:space="0" w:color="000000"/>
            </w:tcBorders>
            <w:vAlign w:val="center"/>
          </w:tcPr>
          <w:p w14:paraId="761939B1" w14:textId="77777777" w:rsidR="00885489" w:rsidRPr="00CA09AF" w:rsidRDefault="00885489" w:rsidP="00AF7038">
            <w:pPr>
              <w:pStyle w:val="biaogeright"/>
              <w:wordWrap w:val="0"/>
              <w:rPr>
                <w:rFonts w:asciiTheme="minorEastAsia" w:eastAsiaTheme="minorEastAsia" w:hAnsiTheme="minorEastAsia"/>
              </w:rPr>
            </w:pPr>
            <w:r w:rsidRPr="00CA09AF">
              <w:rPr>
                <w:rFonts w:asciiTheme="minorEastAsia" w:eastAsiaTheme="minorEastAsia" w:hAnsiTheme="minorEastAsia" w:hint="eastAsia"/>
              </w:rPr>
              <w:t>5.69</w:t>
            </w:r>
          </w:p>
        </w:tc>
      </w:tr>
      <w:tr w:rsidR="00885489" w:rsidRPr="00CA09AF" w14:paraId="0499312D" w14:textId="77777777" w:rsidTr="00AF7038">
        <w:tc>
          <w:tcPr>
            <w:tcW w:w="0" w:type="auto"/>
            <w:tcBorders>
              <w:top w:val="single" w:sz="8" w:space="0" w:color="000000"/>
              <w:left w:val="single" w:sz="8" w:space="0" w:color="000000"/>
              <w:bottom w:val="single" w:sz="6" w:space="0" w:color="000000"/>
              <w:right w:val="single" w:sz="8" w:space="0" w:color="000000"/>
            </w:tcBorders>
            <w:vAlign w:val="center"/>
          </w:tcPr>
          <w:p w14:paraId="3260025C" w14:textId="77777777" w:rsidR="00885489" w:rsidRPr="00CA09AF" w:rsidRDefault="00885489" w:rsidP="00AF7038">
            <w:pPr>
              <w:pStyle w:val="biaogecenter"/>
              <w:wordWrap w:val="0"/>
              <w:rPr>
                <w:rFonts w:asciiTheme="minorEastAsia" w:eastAsiaTheme="minorEastAsia" w:hAnsiTheme="minorEastAsia"/>
              </w:rPr>
            </w:pPr>
            <w:r w:rsidRPr="00CA09AF">
              <w:rPr>
                <w:rFonts w:asciiTheme="minorEastAsia" w:eastAsiaTheme="minorEastAsia" w:hAnsiTheme="minorEastAsia" w:hint="eastAsia"/>
              </w:rPr>
              <w:t>9</w:t>
            </w:r>
          </w:p>
        </w:tc>
        <w:tc>
          <w:tcPr>
            <w:tcW w:w="2595" w:type="dxa"/>
            <w:tcBorders>
              <w:top w:val="single" w:sz="8" w:space="0" w:color="000000"/>
              <w:left w:val="single" w:sz="8" w:space="0" w:color="000000"/>
              <w:bottom w:val="single" w:sz="6" w:space="0" w:color="000000"/>
              <w:right w:val="single" w:sz="8" w:space="0" w:color="000000"/>
            </w:tcBorders>
            <w:vAlign w:val="center"/>
          </w:tcPr>
          <w:p w14:paraId="284743DD" w14:textId="77777777" w:rsidR="00885489" w:rsidRPr="00CA09AF" w:rsidRDefault="00885489" w:rsidP="00AF7038">
            <w:pPr>
              <w:pStyle w:val="biaogeleft"/>
              <w:wordWrap w:val="0"/>
              <w:rPr>
                <w:rFonts w:asciiTheme="minorEastAsia" w:eastAsiaTheme="minorEastAsia" w:hAnsiTheme="minorEastAsia"/>
              </w:rPr>
            </w:pPr>
            <w:r w:rsidRPr="00CA09AF">
              <w:rPr>
                <w:rFonts w:asciiTheme="minorEastAsia" w:eastAsiaTheme="minorEastAsia" w:hAnsiTheme="minorEastAsia" w:hint="eastAsia"/>
              </w:rPr>
              <w:t>合计</w:t>
            </w:r>
          </w:p>
        </w:tc>
        <w:tc>
          <w:tcPr>
            <w:tcW w:w="2694" w:type="dxa"/>
            <w:tcBorders>
              <w:top w:val="single" w:sz="8" w:space="0" w:color="000000"/>
              <w:left w:val="single" w:sz="8" w:space="0" w:color="000000"/>
              <w:bottom w:val="single" w:sz="6" w:space="0" w:color="000000"/>
              <w:right w:val="single" w:sz="8" w:space="0" w:color="000000"/>
            </w:tcBorders>
            <w:vAlign w:val="center"/>
          </w:tcPr>
          <w:p w14:paraId="510330DA" w14:textId="77777777" w:rsidR="00885489" w:rsidRPr="00CA09AF" w:rsidRDefault="00885489" w:rsidP="00AF7038">
            <w:pPr>
              <w:pStyle w:val="biaogeright"/>
              <w:wordWrap w:val="0"/>
              <w:rPr>
                <w:rFonts w:asciiTheme="minorEastAsia" w:eastAsiaTheme="minorEastAsia" w:hAnsiTheme="minorEastAsia"/>
              </w:rPr>
            </w:pPr>
            <w:r w:rsidRPr="00CA09AF">
              <w:rPr>
                <w:rFonts w:asciiTheme="minorEastAsia" w:eastAsiaTheme="minorEastAsia" w:hAnsiTheme="minorEastAsia" w:hint="eastAsia"/>
              </w:rPr>
              <w:t>1,674,924,529.82</w:t>
            </w:r>
          </w:p>
        </w:tc>
        <w:tc>
          <w:tcPr>
            <w:tcW w:w="2693" w:type="dxa"/>
            <w:tcBorders>
              <w:top w:val="single" w:sz="8" w:space="0" w:color="000000"/>
              <w:left w:val="single" w:sz="8" w:space="0" w:color="000000"/>
              <w:bottom w:val="single" w:sz="6" w:space="0" w:color="000000"/>
              <w:right w:val="single" w:sz="8" w:space="0" w:color="000000"/>
            </w:tcBorders>
            <w:vAlign w:val="center"/>
          </w:tcPr>
          <w:p w14:paraId="0276048C" w14:textId="77777777" w:rsidR="00885489" w:rsidRPr="00CA09AF" w:rsidRDefault="00885489" w:rsidP="00AF7038">
            <w:pPr>
              <w:pStyle w:val="biaogeright"/>
              <w:wordWrap w:val="0"/>
              <w:rPr>
                <w:rFonts w:asciiTheme="minorEastAsia" w:eastAsiaTheme="minorEastAsia" w:hAnsiTheme="minorEastAsia"/>
              </w:rPr>
            </w:pPr>
            <w:r w:rsidRPr="00CA09AF">
              <w:rPr>
                <w:rFonts w:asciiTheme="minorEastAsia" w:eastAsiaTheme="minorEastAsia" w:hAnsiTheme="minorEastAsia" w:hint="eastAsia"/>
              </w:rPr>
              <w:t>100.00</w:t>
            </w:r>
          </w:p>
        </w:tc>
      </w:tr>
    </w:tbl>
    <w:p w14:paraId="5C5FE46B" w14:textId="77777777" w:rsidR="003568C2" w:rsidRDefault="003568C2">
      <w:pPr>
        <w:widowControl/>
        <w:jc w:val="left"/>
        <w:rPr>
          <w:rFonts w:asciiTheme="minorEastAsia" w:hAnsiTheme="minorEastAsia" w:cs="宋体"/>
          <w:kern w:val="0"/>
          <w:sz w:val="24"/>
          <w:szCs w:val="24"/>
        </w:rPr>
      </w:pPr>
    </w:p>
    <w:p w14:paraId="65CACCE3" w14:textId="77777777" w:rsidR="003568C2" w:rsidRDefault="00695B03">
      <w:pPr>
        <w:pStyle w:val="zhangjiep"/>
        <w:rPr>
          <w:rFonts w:asciiTheme="minorEastAsia" w:eastAsiaTheme="minorEastAsia" w:hAnsiTheme="minorEastAsia"/>
        </w:rPr>
      </w:pPr>
      <w:r>
        <w:rPr>
          <w:rFonts w:asciiTheme="minorEastAsia" w:eastAsiaTheme="minorEastAsia" w:hAnsiTheme="minorEastAsia"/>
          <w:bCs/>
        </w:rPr>
        <w:t>2</w:t>
      </w:r>
      <w:r>
        <w:rPr>
          <w:rFonts w:asciiTheme="minorEastAsia" w:eastAsiaTheme="minorEastAsia" w:hAnsiTheme="minorEastAsia" w:hint="eastAsia"/>
          <w:bCs/>
        </w:rPr>
        <w:t>、报告期末按行业分类的股票投资组合</w:t>
      </w:r>
    </w:p>
    <w:p w14:paraId="30230F83" w14:textId="77777777" w:rsidR="003568C2" w:rsidRDefault="00695B03">
      <w:pPr>
        <w:pStyle w:val="zhangjiep2"/>
        <w:rPr>
          <w:rFonts w:asciiTheme="minorEastAsia" w:eastAsiaTheme="minorEastAsia" w:hAnsiTheme="minorEastAsia"/>
        </w:rPr>
      </w:pPr>
      <w:r>
        <w:rPr>
          <w:rFonts w:asciiTheme="minorEastAsia" w:eastAsiaTheme="minorEastAsia" w:hAnsiTheme="minorEastAsia" w:hint="eastAsia"/>
          <w:bCs/>
        </w:rPr>
        <w:t>（</w:t>
      </w:r>
      <w:r>
        <w:rPr>
          <w:rFonts w:asciiTheme="minorEastAsia" w:eastAsiaTheme="minorEastAsia" w:hAnsiTheme="minorEastAsia"/>
          <w:bCs/>
        </w:rPr>
        <w:t>1）</w:t>
      </w:r>
      <w:r>
        <w:rPr>
          <w:rFonts w:asciiTheme="minorEastAsia" w:eastAsiaTheme="minorEastAsia" w:hAnsiTheme="minorEastAsia" w:hint="eastAsia"/>
          <w:bCs/>
        </w:rPr>
        <w:t>报告期末（指数投资）按行业分类的境内股票投资组合</w:t>
      </w:r>
    </w:p>
    <w:tbl>
      <w:tblPr>
        <w:tblW w:w="8789" w:type="dxa"/>
        <w:tblInd w:w="108" w:type="dxa"/>
        <w:tblLook w:val="04A0" w:firstRow="1" w:lastRow="0" w:firstColumn="1" w:lastColumn="0" w:noHBand="0" w:noVBand="1"/>
      </w:tblPr>
      <w:tblGrid>
        <w:gridCol w:w="823"/>
        <w:gridCol w:w="2579"/>
        <w:gridCol w:w="2694"/>
        <w:gridCol w:w="2693"/>
      </w:tblGrid>
      <w:tr w:rsidR="003568C2" w14:paraId="159EEDBE" w14:textId="77777777">
        <w:tc>
          <w:tcPr>
            <w:tcW w:w="823" w:type="dxa"/>
            <w:tcBorders>
              <w:top w:val="single" w:sz="8" w:space="0" w:color="000000"/>
              <w:left w:val="single" w:sz="8" w:space="0" w:color="000000"/>
              <w:bottom w:val="single" w:sz="6" w:space="0" w:color="000000"/>
              <w:right w:val="single" w:sz="8" w:space="0" w:color="000000"/>
            </w:tcBorders>
            <w:vAlign w:val="center"/>
          </w:tcPr>
          <w:p w14:paraId="4C16CF68" w14:textId="77777777" w:rsidR="003568C2" w:rsidRDefault="00695B03">
            <w:pPr>
              <w:pStyle w:val="biaogecenter"/>
              <w:wordWrap w:val="0"/>
              <w:rPr>
                <w:rFonts w:asciiTheme="minorEastAsia" w:eastAsiaTheme="minorEastAsia" w:hAnsiTheme="minorEastAsia"/>
                <w:b/>
              </w:rPr>
            </w:pPr>
            <w:r>
              <w:rPr>
                <w:rFonts w:asciiTheme="minorEastAsia" w:eastAsiaTheme="minorEastAsia" w:hAnsiTheme="minorEastAsia" w:hint="eastAsia"/>
                <w:b/>
                <w:color w:val="000000"/>
              </w:rPr>
              <w:t>代码</w:t>
            </w:r>
          </w:p>
        </w:tc>
        <w:tc>
          <w:tcPr>
            <w:tcW w:w="2579" w:type="dxa"/>
            <w:tcBorders>
              <w:top w:val="single" w:sz="8" w:space="0" w:color="000000"/>
              <w:left w:val="single" w:sz="8" w:space="0" w:color="000000"/>
              <w:bottom w:val="single" w:sz="6" w:space="0" w:color="000000"/>
              <w:right w:val="single" w:sz="8" w:space="0" w:color="000000"/>
            </w:tcBorders>
            <w:vAlign w:val="center"/>
          </w:tcPr>
          <w:p w14:paraId="221FB92D" w14:textId="77777777" w:rsidR="003568C2" w:rsidRDefault="00695B03">
            <w:pPr>
              <w:pStyle w:val="biaogecenter"/>
              <w:wordWrap w:val="0"/>
              <w:rPr>
                <w:rFonts w:asciiTheme="minorEastAsia" w:eastAsiaTheme="minorEastAsia" w:hAnsiTheme="minorEastAsia"/>
                <w:b/>
              </w:rPr>
            </w:pPr>
            <w:r>
              <w:rPr>
                <w:rFonts w:asciiTheme="minorEastAsia" w:eastAsiaTheme="minorEastAsia" w:hAnsiTheme="minorEastAsia" w:hint="eastAsia"/>
                <w:b/>
                <w:color w:val="000000"/>
              </w:rPr>
              <w:t>行业类别</w:t>
            </w:r>
          </w:p>
        </w:tc>
        <w:tc>
          <w:tcPr>
            <w:tcW w:w="2694" w:type="dxa"/>
            <w:tcBorders>
              <w:top w:val="single" w:sz="8" w:space="0" w:color="000000"/>
              <w:left w:val="single" w:sz="8" w:space="0" w:color="000000"/>
              <w:bottom w:val="single" w:sz="6" w:space="0" w:color="000000"/>
              <w:right w:val="single" w:sz="8" w:space="0" w:color="000000"/>
            </w:tcBorders>
            <w:vAlign w:val="center"/>
          </w:tcPr>
          <w:p w14:paraId="360FB882" w14:textId="77777777" w:rsidR="003568C2" w:rsidRDefault="00695B03">
            <w:pPr>
              <w:pStyle w:val="biaogecenter"/>
              <w:wordWrap w:val="0"/>
              <w:rPr>
                <w:rFonts w:asciiTheme="minorEastAsia" w:eastAsiaTheme="minorEastAsia" w:hAnsiTheme="minorEastAsia"/>
                <w:b/>
              </w:rPr>
            </w:pPr>
            <w:r>
              <w:rPr>
                <w:rFonts w:asciiTheme="minorEastAsia" w:eastAsiaTheme="minorEastAsia" w:hAnsiTheme="minorEastAsia" w:hint="eastAsia"/>
                <w:b/>
                <w:color w:val="000000"/>
              </w:rPr>
              <w:t>公允价值(元)</w:t>
            </w:r>
          </w:p>
        </w:tc>
        <w:tc>
          <w:tcPr>
            <w:tcW w:w="2693" w:type="dxa"/>
            <w:tcBorders>
              <w:top w:val="single" w:sz="8" w:space="0" w:color="000000"/>
              <w:left w:val="single" w:sz="8" w:space="0" w:color="000000"/>
              <w:bottom w:val="single" w:sz="6" w:space="0" w:color="000000"/>
              <w:right w:val="single" w:sz="8" w:space="0" w:color="000000"/>
            </w:tcBorders>
            <w:vAlign w:val="center"/>
          </w:tcPr>
          <w:p w14:paraId="14261FCE" w14:textId="77777777" w:rsidR="003568C2" w:rsidRDefault="00695B03">
            <w:pPr>
              <w:pStyle w:val="biaogecenter"/>
              <w:wordWrap w:val="0"/>
              <w:rPr>
                <w:rFonts w:asciiTheme="minorEastAsia" w:eastAsiaTheme="minorEastAsia" w:hAnsiTheme="minorEastAsia"/>
                <w:b/>
              </w:rPr>
            </w:pPr>
            <w:r>
              <w:rPr>
                <w:rFonts w:asciiTheme="minorEastAsia" w:eastAsiaTheme="minorEastAsia" w:hAnsiTheme="minorEastAsia" w:hint="eastAsia"/>
                <w:b/>
                <w:color w:val="000000"/>
              </w:rPr>
              <w:t>占基金资产净值比例（%）</w:t>
            </w:r>
          </w:p>
        </w:tc>
      </w:tr>
      <w:tr w:rsidR="00885489" w:rsidRPr="00CA09AF" w14:paraId="32D2E97A" w14:textId="77777777" w:rsidTr="00AF7038">
        <w:tc>
          <w:tcPr>
            <w:tcW w:w="0" w:type="auto"/>
            <w:tcBorders>
              <w:top w:val="single" w:sz="8" w:space="0" w:color="000000"/>
              <w:left w:val="single" w:sz="8" w:space="0" w:color="000000"/>
              <w:bottom w:val="single" w:sz="6" w:space="0" w:color="000000"/>
              <w:right w:val="single" w:sz="8" w:space="0" w:color="000000"/>
            </w:tcBorders>
            <w:vAlign w:val="center"/>
          </w:tcPr>
          <w:p w14:paraId="429EB921" w14:textId="77777777" w:rsidR="00885489" w:rsidRPr="00CA09AF" w:rsidRDefault="00885489" w:rsidP="00AF7038">
            <w:pPr>
              <w:rPr>
                <w:rFonts w:asciiTheme="minorEastAsia" w:hAnsiTheme="minorEastAsia" w:cs="宋体"/>
                <w:kern w:val="0"/>
                <w:sz w:val="24"/>
                <w:szCs w:val="24"/>
              </w:rPr>
            </w:pPr>
            <w:r w:rsidRPr="00CA09AF">
              <w:rPr>
                <w:rFonts w:asciiTheme="minorEastAsia" w:hAnsiTheme="minorEastAsia" w:cs="宋体" w:hint="eastAsia"/>
                <w:kern w:val="0"/>
                <w:sz w:val="24"/>
                <w:szCs w:val="24"/>
              </w:rPr>
              <w:t>A</w:t>
            </w:r>
          </w:p>
        </w:tc>
        <w:tc>
          <w:tcPr>
            <w:tcW w:w="2579" w:type="dxa"/>
            <w:tcBorders>
              <w:top w:val="single" w:sz="8" w:space="0" w:color="000000"/>
              <w:left w:val="single" w:sz="8" w:space="0" w:color="000000"/>
              <w:bottom w:val="single" w:sz="6" w:space="0" w:color="000000"/>
              <w:right w:val="single" w:sz="8" w:space="0" w:color="000000"/>
            </w:tcBorders>
            <w:vAlign w:val="center"/>
          </w:tcPr>
          <w:p w14:paraId="5E31046C" w14:textId="77777777" w:rsidR="00885489" w:rsidRPr="00CA09AF" w:rsidRDefault="00885489" w:rsidP="00AF7038">
            <w:pPr>
              <w:pStyle w:val="biaogeleft"/>
              <w:wordWrap w:val="0"/>
              <w:rPr>
                <w:rFonts w:asciiTheme="minorEastAsia" w:eastAsiaTheme="minorEastAsia" w:hAnsiTheme="minorEastAsia"/>
              </w:rPr>
            </w:pPr>
            <w:r w:rsidRPr="00CA09AF">
              <w:rPr>
                <w:rFonts w:asciiTheme="minorEastAsia" w:eastAsiaTheme="minorEastAsia" w:hAnsiTheme="minorEastAsia" w:hint="eastAsia"/>
              </w:rPr>
              <w:t>农、林、牧、渔业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1983907C" w14:textId="77777777" w:rsidR="00885489" w:rsidRPr="00CA09AF" w:rsidRDefault="00885489" w:rsidP="00AF7038">
            <w:pPr>
              <w:pStyle w:val="biaogeright"/>
              <w:wordWrap w:val="0"/>
              <w:rPr>
                <w:rFonts w:asciiTheme="minorEastAsia" w:eastAsiaTheme="minorEastAsia" w:hAnsiTheme="minorEastAsia"/>
              </w:rPr>
            </w:pPr>
            <w:r w:rsidRPr="00CA09AF">
              <w:rPr>
                <w:rFonts w:asciiTheme="minorEastAsia" w:eastAsiaTheme="minorEastAsia" w:hAnsiTheme="minorEastAsia" w:hint="eastAsia"/>
              </w:rP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674A9214" w14:textId="77777777" w:rsidR="00885489" w:rsidRPr="00CA09AF" w:rsidRDefault="00885489" w:rsidP="00AF7038">
            <w:pPr>
              <w:pStyle w:val="biaogeright"/>
              <w:wordWrap w:val="0"/>
              <w:rPr>
                <w:rFonts w:asciiTheme="minorEastAsia" w:eastAsiaTheme="minorEastAsia" w:hAnsiTheme="minorEastAsia"/>
              </w:rPr>
            </w:pPr>
            <w:r w:rsidRPr="00CA09AF">
              <w:rPr>
                <w:rFonts w:asciiTheme="minorEastAsia" w:eastAsiaTheme="minorEastAsia" w:hAnsiTheme="minorEastAsia" w:hint="eastAsia"/>
              </w:rPr>
              <w:t>-</w:t>
            </w:r>
          </w:p>
        </w:tc>
      </w:tr>
      <w:tr w:rsidR="00885489" w:rsidRPr="00CA09AF" w14:paraId="0AAE400D" w14:textId="77777777" w:rsidTr="00AF7038">
        <w:tc>
          <w:tcPr>
            <w:tcW w:w="0" w:type="auto"/>
            <w:tcBorders>
              <w:top w:val="single" w:sz="8" w:space="0" w:color="000000"/>
              <w:left w:val="single" w:sz="8" w:space="0" w:color="000000"/>
              <w:bottom w:val="single" w:sz="6" w:space="0" w:color="000000"/>
              <w:right w:val="single" w:sz="8" w:space="0" w:color="000000"/>
            </w:tcBorders>
            <w:vAlign w:val="center"/>
          </w:tcPr>
          <w:p w14:paraId="6053A97C" w14:textId="77777777" w:rsidR="00885489" w:rsidRPr="00CA09AF" w:rsidRDefault="00885489" w:rsidP="00AF7038">
            <w:pPr>
              <w:rPr>
                <w:rFonts w:asciiTheme="minorEastAsia" w:hAnsiTheme="minorEastAsia" w:cs="宋体"/>
                <w:kern w:val="0"/>
                <w:sz w:val="24"/>
                <w:szCs w:val="24"/>
              </w:rPr>
            </w:pPr>
            <w:r w:rsidRPr="00CA09AF">
              <w:rPr>
                <w:rFonts w:asciiTheme="minorEastAsia" w:hAnsiTheme="minorEastAsia" w:cs="宋体" w:hint="eastAsia"/>
                <w:kern w:val="0"/>
                <w:sz w:val="24"/>
                <w:szCs w:val="24"/>
              </w:rPr>
              <w:t>B</w:t>
            </w:r>
          </w:p>
        </w:tc>
        <w:tc>
          <w:tcPr>
            <w:tcW w:w="2579" w:type="dxa"/>
            <w:tcBorders>
              <w:top w:val="single" w:sz="8" w:space="0" w:color="000000"/>
              <w:left w:val="single" w:sz="8" w:space="0" w:color="000000"/>
              <w:bottom w:val="single" w:sz="6" w:space="0" w:color="000000"/>
              <w:right w:val="single" w:sz="8" w:space="0" w:color="000000"/>
            </w:tcBorders>
            <w:vAlign w:val="center"/>
          </w:tcPr>
          <w:p w14:paraId="0499F4C9" w14:textId="77777777" w:rsidR="00885489" w:rsidRPr="00CA09AF" w:rsidRDefault="00885489" w:rsidP="00AF7038">
            <w:pPr>
              <w:pStyle w:val="biaogeleft"/>
              <w:wordWrap w:val="0"/>
              <w:rPr>
                <w:rFonts w:asciiTheme="minorEastAsia" w:eastAsiaTheme="minorEastAsia" w:hAnsiTheme="minorEastAsia"/>
              </w:rPr>
            </w:pPr>
            <w:r w:rsidRPr="00CA09AF">
              <w:rPr>
                <w:rFonts w:asciiTheme="minorEastAsia" w:eastAsiaTheme="minorEastAsia" w:hAnsiTheme="minorEastAsia" w:hint="eastAsia"/>
              </w:rPr>
              <w:t>采矿业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2150645D" w14:textId="77777777" w:rsidR="00885489" w:rsidRPr="00CA09AF" w:rsidRDefault="00885489" w:rsidP="00AF7038">
            <w:pPr>
              <w:pStyle w:val="biaogeright"/>
              <w:wordWrap w:val="0"/>
              <w:rPr>
                <w:rFonts w:asciiTheme="minorEastAsia" w:eastAsiaTheme="minorEastAsia" w:hAnsiTheme="minorEastAsia"/>
              </w:rPr>
            </w:pPr>
            <w:r w:rsidRPr="00CA09AF">
              <w:rPr>
                <w:rFonts w:asciiTheme="minorEastAsia" w:eastAsiaTheme="minorEastAsia" w:hAnsiTheme="minorEastAsia" w:hint="eastAsia"/>
              </w:rP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2427171C" w14:textId="77777777" w:rsidR="00885489" w:rsidRPr="00CA09AF" w:rsidRDefault="00885489" w:rsidP="00AF7038">
            <w:pPr>
              <w:pStyle w:val="biaogeright"/>
              <w:wordWrap w:val="0"/>
              <w:rPr>
                <w:rFonts w:asciiTheme="minorEastAsia" w:eastAsiaTheme="minorEastAsia" w:hAnsiTheme="minorEastAsia"/>
              </w:rPr>
            </w:pPr>
            <w:r w:rsidRPr="00CA09AF">
              <w:rPr>
                <w:rFonts w:asciiTheme="minorEastAsia" w:eastAsiaTheme="minorEastAsia" w:hAnsiTheme="minorEastAsia" w:hint="eastAsia"/>
              </w:rPr>
              <w:t>-</w:t>
            </w:r>
          </w:p>
        </w:tc>
      </w:tr>
      <w:tr w:rsidR="00885489" w:rsidRPr="00CA09AF" w14:paraId="0BC99F70" w14:textId="77777777" w:rsidTr="00AF7038">
        <w:tc>
          <w:tcPr>
            <w:tcW w:w="0" w:type="auto"/>
            <w:tcBorders>
              <w:top w:val="single" w:sz="8" w:space="0" w:color="000000"/>
              <w:left w:val="single" w:sz="8" w:space="0" w:color="000000"/>
              <w:bottom w:val="single" w:sz="6" w:space="0" w:color="000000"/>
              <w:right w:val="single" w:sz="8" w:space="0" w:color="000000"/>
            </w:tcBorders>
            <w:vAlign w:val="center"/>
          </w:tcPr>
          <w:p w14:paraId="59DBF303" w14:textId="77777777" w:rsidR="00885489" w:rsidRPr="00CA09AF" w:rsidRDefault="00885489" w:rsidP="00AF7038">
            <w:pPr>
              <w:rPr>
                <w:rFonts w:asciiTheme="minorEastAsia" w:hAnsiTheme="minorEastAsia" w:cs="宋体"/>
                <w:kern w:val="0"/>
                <w:sz w:val="24"/>
                <w:szCs w:val="24"/>
              </w:rPr>
            </w:pPr>
            <w:r w:rsidRPr="00CA09AF">
              <w:rPr>
                <w:rFonts w:asciiTheme="minorEastAsia" w:hAnsiTheme="minorEastAsia" w:cs="宋体" w:hint="eastAsia"/>
                <w:kern w:val="0"/>
                <w:sz w:val="24"/>
                <w:szCs w:val="24"/>
              </w:rPr>
              <w:t>C</w:t>
            </w:r>
          </w:p>
        </w:tc>
        <w:tc>
          <w:tcPr>
            <w:tcW w:w="2579" w:type="dxa"/>
            <w:tcBorders>
              <w:top w:val="single" w:sz="8" w:space="0" w:color="000000"/>
              <w:left w:val="single" w:sz="8" w:space="0" w:color="000000"/>
              <w:bottom w:val="single" w:sz="6" w:space="0" w:color="000000"/>
              <w:right w:val="single" w:sz="8" w:space="0" w:color="000000"/>
            </w:tcBorders>
            <w:vAlign w:val="center"/>
          </w:tcPr>
          <w:p w14:paraId="66068E15" w14:textId="77777777" w:rsidR="00885489" w:rsidRPr="00CA09AF" w:rsidRDefault="00885489" w:rsidP="00AF7038">
            <w:pPr>
              <w:pStyle w:val="biaogeleft"/>
              <w:wordWrap w:val="0"/>
              <w:rPr>
                <w:rFonts w:asciiTheme="minorEastAsia" w:eastAsiaTheme="minorEastAsia" w:hAnsiTheme="minorEastAsia"/>
              </w:rPr>
            </w:pPr>
            <w:r w:rsidRPr="00CA09AF">
              <w:rPr>
                <w:rFonts w:asciiTheme="minorEastAsia" w:eastAsiaTheme="minorEastAsia" w:hAnsiTheme="minorEastAsia" w:hint="eastAsia"/>
              </w:rPr>
              <w:t>制造业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2485AD39" w14:textId="77777777" w:rsidR="00885489" w:rsidRPr="00CA09AF" w:rsidRDefault="00885489" w:rsidP="00AF7038">
            <w:pPr>
              <w:pStyle w:val="biaogeright"/>
              <w:wordWrap w:val="0"/>
              <w:rPr>
                <w:rFonts w:asciiTheme="minorEastAsia" w:eastAsiaTheme="minorEastAsia" w:hAnsiTheme="minorEastAsia"/>
              </w:rPr>
            </w:pPr>
            <w:r w:rsidRPr="00CA09AF">
              <w:rPr>
                <w:rFonts w:asciiTheme="minorEastAsia" w:eastAsiaTheme="minorEastAsia" w:hAnsiTheme="minorEastAsia" w:hint="eastAsia"/>
              </w:rPr>
              <w:t>745,994,379.70</w:t>
            </w:r>
          </w:p>
        </w:tc>
        <w:tc>
          <w:tcPr>
            <w:tcW w:w="2693" w:type="dxa"/>
            <w:tcBorders>
              <w:top w:val="single" w:sz="8" w:space="0" w:color="000000"/>
              <w:left w:val="single" w:sz="8" w:space="0" w:color="000000"/>
              <w:bottom w:val="single" w:sz="6" w:space="0" w:color="000000"/>
              <w:right w:val="single" w:sz="8" w:space="0" w:color="000000"/>
            </w:tcBorders>
            <w:vAlign w:val="center"/>
          </w:tcPr>
          <w:p w14:paraId="37532545" w14:textId="77777777" w:rsidR="00885489" w:rsidRPr="00CA09AF" w:rsidRDefault="00885489" w:rsidP="00AF7038">
            <w:pPr>
              <w:pStyle w:val="biaogeright"/>
              <w:wordWrap w:val="0"/>
              <w:rPr>
                <w:rFonts w:asciiTheme="minorEastAsia" w:eastAsiaTheme="minorEastAsia" w:hAnsiTheme="minorEastAsia"/>
              </w:rPr>
            </w:pPr>
            <w:r w:rsidRPr="00CA09AF">
              <w:rPr>
                <w:rFonts w:asciiTheme="minorEastAsia" w:eastAsiaTheme="minorEastAsia" w:hAnsiTheme="minorEastAsia" w:hint="eastAsia"/>
              </w:rPr>
              <w:t>45.47</w:t>
            </w:r>
          </w:p>
        </w:tc>
      </w:tr>
      <w:tr w:rsidR="00885489" w:rsidRPr="00CA09AF" w14:paraId="786E9905" w14:textId="77777777" w:rsidTr="00AF7038">
        <w:tc>
          <w:tcPr>
            <w:tcW w:w="0" w:type="auto"/>
            <w:tcBorders>
              <w:top w:val="single" w:sz="8" w:space="0" w:color="000000"/>
              <w:left w:val="single" w:sz="8" w:space="0" w:color="000000"/>
              <w:bottom w:val="single" w:sz="6" w:space="0" w:color="000000"/>
              <w:right w:val="single" w:sz="8" w:space="0" w:color="000000"/>
            </w:tcBorders>
            <w:vAlign w:val="center"/>
          </w:tcPr>
          <w:p w14:paraId="50F63738" w14:textId="77777777" w:rsidR="00885489" w:rsidRPr="00CA09AF" w:rsidRDefault="00885489" w:rsidP="00AF7038">
            <w:pPr>
              <w:rPr>
                <w:rFonts w:asciiTheme="minorEastAsia" w:hAnsiTheme="minorEastAsia" w:cs="宋体"/>
                <w:kern w:val="0"/>
                <w:sz w:val="24"/>
                <w:szCs w:val="24"/>
              </w:rPr>
            </w:pPr>
            <w:r w:rsidRPr="00CA09AF">
              <w:rPr>
                <w:rFonts w:asciiTheme="minorEastAsia" w:hAnsiTheme="minorEastAsia" w:cs="宋体" w:hint="eastAsia"/>
                <w:kern w:val="0"/>
                <w:sz w:val="24"/>
                <w:szCs w:val="24"/>
              </w:rPr>
              <w:t>D</w:t>
            </w:r>
          </w:p>
        </w:tc>
        <w:tc>
          <w:tcPr>
            <w:tcW w:w="2579" w:type="dxa"/>
            <w:tcBorders>
              <w:top w:val="single" w:sz="8" w:space="0" w:color="000000"/>
              <w:left w:val="single" w:sz="8" w:space="0" w:color="000000"/>
              <w:bottom w:val="single" w:sz="6" w:space="0" w:color="000000"/>
              <w:right w:val="single" w:sz="8" w:space="0" w:color="000000"/>
            </w:tcBorders>
            <w:vAlign w:val="center"/>
          </w:tcPr>
          <w:p w14:paraId="10B14DA4" w14:textId="77777777" w:rsidR="00885489" w:rsidRPr="00CA09AF" w:rsidRDefault="00885489" w:rsidP="00AF7038">
            <w:pPr>
              <w:pStyle w:val="biaogeleft"/>
              <w:wordWrap w:val="0"/>
              <w:rPr>
                <w:rFonts w:asciiTheme="minorEastAsia" w:eastAsiaTheme="minorEastAsia" w:hAnsiTheme="minorEastAsia"/>
              </w:rPr>
            </w:pPr>
            <w:r w:rsidRPr="00CA09AF">
              <w:rPr>
                <w:rFonts w:asciiTheme="minorEastAsia" w:eastAsiaTheme="minorEastAsia" w:hAnsiTheme="minorEastAsia" w:hint="eastAsia"/>
              </w:rPr>
              <w:t>电力、热力、燃气及水生产和供应业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7CFC4E70" w14:textId="77777777" w:rsidR="00885489" w:rsidRPr="00CA09AF" w:rsidRDefault="00885489" w:rsidP="00AF7038">
            <w:pPr>
              <w:pStyle w:val="biaogeright"/>
              <w:wordWrap w:val="0"/>
              <w:rPr>
                <w:rFonts w:asciiTheme="minorEastAsia" w:eastAsiaTheme="minorEastAsia" w:hAnsiTheme="minorEastAsia"/>
              </w:rPr>
            </w:pPr>
            <w:r w:rsidRPr="00CA09AF">
              <w:rPr>
                <w:rFonts w:asciiTheme="minorEastAsia" w:eastAsiaTheme="minorEastAsia" w:hAnsiTheme="minorEastAsia" w:hint="eastAsia"/>
              </w:rP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765A11ED" w14:textId="77777777" w:rsidR="00885489" w:rsidRPr="00CA09AF" w:rsidRDefault="00885489" w:rsidP="00AF7038">
            <w:pPr>
              <w:pStyle w:val="biaogeright"/>
              <w:wordWrap w:val="0"/>
              <w:rPr>
                <w:rFonts w:asciiTheme="minorEastAsia" w:eastAsiaTheme="minorEastAsia" w:hAnsiTheme="minorEastAsia"/>
              </w:rPr>
            </w:pPr>
            <w:r w:rsidRPr="00CA09AF">
              <w:rPr>
                <w:rFonts w:asciiTheme="minorEastAsia" w:eastAsiaTheme="minorEastAsia" w:hAnsiTheme="minorEastAsia" w:hint="eastAsia"/>
              </w:rPr>
              <w:t>-</w:t>
            </w:r>
          </w:p>
        </w:tc>
      </w:tr>
      <w:tr w:rsidR="00885489" w:rsidRPr="00CA09AF" w14:paraId="1DE11F2D" w14:textId="77777777" w:rsidTr="00AF7038">
        <w:tc>
          <w:tcPr>
            <w:tcW w:w="0" w:type="auto"/>
            <w:tcBorders>
              <w:top w:val="single" w:sz="8" w:space="0" w:color="000000"/>
              <w:left w:val="single" w:sz="8" w:space="0" w:color="000000"/>
              <w:bottom w:val="single" w:sz="6" w:space="0" w:color="000000"/>
              <w:right w:val="single" w:sz="8" w:space="0" w:color="000000"/>
            </w:tcBorders>
            <w:vAlign w:val="center"/>
          </w:tcPr>
          <w:p w14:paraId="45F1529F" w14:textId="77777777" w:rsidR="00885489" w:rsidRPr="00CA09AF" w:rsidRDefault="00885489" w:rsidP="00AF7038">
            <w:pPr>
              <w:rPr>
                <w:rFonts w:asciiTheme="minorEastAsia" w:hAnsiTheme="minorEastAsia" w:cs="宋体"/>
                <w:kern w:val="0"/>
                <w:sz w:val="24"/>
                <w:szCs w:val="24"/>
              </w:rPr>
            </w:pPr>
            <w:r w:rsidRPr="00CA09AF">
              <w:rPr>
                <w:rFonts w:asciiTheme="minorEastAsia" w:hAnsiTheme="minorEastAsia" w:cs="宋体" w:hint="eastAsia"/>
                <w:kern w:val="0"/>
                <w:sz w:val="24"/>
                <w:szCs w:val="24"/>
              </w:rPr>
              <w:t>E</w:t>
            </w:r>
          </w:p>
        </w:tc>
        <w:tc>
          <w:tcPr>
            <w:tcW w:w="2579" w:type="dxa"/>
            <w:tcBorders>
              <w:top w:val="single" w:sz="8" w:space="0" w:color="000000"/>
              <w:left w:val="single" w:sz="8" w:space="0" w:color="000000"/>
              <w:bottom w:val="single" w:sz="6" w:space="0" w:color="000000"/>
              <w:right w:val="single" w:sz="8" w:space="0" w:color="000000"/>
            </w:tcBorders>
            <w:vAlign w:val="center"/>
          </w:tcPr>
          <w:p w14:paraId="55FB76B3" w14:textId="77777777" w:rsidR="00885489" w:rsidRPr="00CA09AF" w:rsidRDefault="00885489" w:rsidP="00AF7038">
            <w:pPr>
              <w:pStyle w:val="biaogeleft"/>
              <w:wordWrap w:val="0"/>
              <w:rPr>
                <w:rFonts w:asciiTheme="minorEastAsia" w:eastAsiaTheme="minorEastAsia" w:hAnsiTheme="minorEastAsia"/>
              </w:rPr>
            </w:pPr>
            <w:r w:rsidRPr="00CA09AF">
              <w:rPr>
                <w:rFonts w:asciiTheme="minorEastAsia" w:eastAsiaTheme="minorEastAsia" w:hAnsiTheme="minorEastAsia" w:hint="eastAsia"/>
              </w:rPr>
              <w:t>建筑业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2B05A22C" w14:textId="77777777" w:rsidR="00885489" w:rsidRPr="00CA09AF" w:rsidRDefault="00885489" w:rsidP="00AF7038">
            <w:pPr>
              <w:pStyle w:val="biaogeright"/>
              <w:wordWrap w:val="0"/>
              <w:rPr>
                <w:rFonts w:asciiTheme="minorEastAsia" w:eastAsiaTheme="minorEastAsia" w:hAnsiTheme="minorEastAsia"/>
              </w:rPr>
            </w:pPr>
            <w:r w:rsidRPr="00CA09AF">
              <w:rPr>
                <w:rFonts w:asciiTheme="minorEastAsia" w:eastAsiaTheme="minorEastAsia" w:hAnsiTheme="minorEastAsia" w:hint="eastAsia"/>
              </w:rP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122B301A" w14:textId="77777777" w:rsidR="00885489" w:rsidRPr="00CA09AF" w:rsidRDefault="00885489" w:rsidP="00AF7038">
            <w:pPr>
              <w:pStyle w:val="biaogeright"/>
              <w:wordWrap w:val="0"/>
              <w:rPr>
                <w:rFonts w:asciiTheme="minorEastAsia" w:eastAsiaTheme="minorEastAsia" w:hAnsiTheme="minorEastAsia"/>
              </w:rPr>
            </w:pPr>
            <w:r w:rsidRPr="00CA09AF">
              <w:rPr>
                <w:rFonts w:asciiTheme="minorEastAsia" w:eastAsiaTheme="minorEastAsia" w:hAnsiTheme="minorEastAsia" w:hint="eastAsia"/>
              </w:rPr>
              <w:t>-</w:t>
            </w:r>
          </w:p>
        </w:tc>
      </w:tr>
      <w:tr w:rsidR="00885489" w:rsidRPr="00CA09AF" w14:paraId="444A26B4" w14:textId="77777777" w:rsidTr="00AF7038">
        <w:tc>
          <w:tcPr>
            <w:tcW w:w="0" w:type="auto"/>
            <w:tcBorders>
              <w:top w:val="single" w:sz="8" w:space="0" w:color="000000"/>
              <w:left w:val="single" w:sz="8" w:space="0" w:color="000000"/>
              <w:bottom w:val="single" w:sz="6" w:space="0" w:color="000000"/>
              <w:right w:val="single" w:sz="8" w:space="0" w:color="000000"/>
            </w:tcBorders>
            <w:vAlign w:val="center"/>
          </w:tcPr>
          <w:p w14:paraId="6075D0FF" w14:textId="77777777" w:rsidR="00885489" w:rsidRPr="00CA09AF" w:rsidRDefault="00885489" w:rsidP="00AF7038">
            <w:pPr>
              <w:rPr>
                <w:rFonts w:asciiTheme="minorEastAsia" w:hAnsiTheme="minorEastAsia" w:cs="宋体"/>
                <w:kern w:val="0"/>
                <w:sz w:val="24"/>
                <w:szCs w:val="24"/>
              </w:rPr>
            </w:pPr>
            <w:r w:rsidRPr="00CA09AF">
              <w:rPr>
                <w:rFonts w:asciiTheme="minorEastAsia" w:hAnsiTheme="minorEastAsia" w:cs="宋体" w:hint="eastAsia"/>
                <w:kern w:val="0"/>
                <w:sz w:val="24"/>
                <w:szCs w:val="24"/>
              </w:rPr>
              <w:t>F</w:t>
            </w:r>
          </w:p>
        </w:tc>
        <w:tc>
          <w:tcPr>
            <w:tcW w:w="2579" w:type="dxa"/>
            <w:tcBorders>
              <w:top w:val="single" w:sz="8" w:space="0" w:color="000000"/>
              <w:left w:val="single" w:sz="8" w:space="0" w:color="000000"/>
              <w:bottom w:val="single" w:sz="6" w:space="0" w:color="000000"/>
              <w:right w:val="single" w:sz="8" w:space="0" w:color="000000"/>
            </w:tcBorders>
            <w:vAlign w:val="center"/>
          </w:tcPr>
          <w:p w14:paraId="22DFA3B3" w14:textId="77777777" w:rsidR="00885489" w:rsidRPr="00CA09AF" w:rsidRDefault="00885489" w:rsidP="00AF7038">
            <w:pPr>
              <w:pStyle w:val="biaogeleft"/>
              <w:wordWrap w:val="0"/>
              <w:rPr>
                <w:rFonts w:asciiTheme="minorEastAsia" w:eastAsiaTheme="minorEastAsia" w:hAnsiTheme="minorEastAsia"/>
              </w:rPr>
            </w:pPr>
            <w:r w:rsidRPr="00CA09AF">
              <w:rPr>
                <w:rFonts w:asciiTheme="minorEastAsia" w:eastAsiaTheme="minorEastAsia" w:hAnsiTheme="minorEastAsia" w:hint="eastAsia"/>
              </w:rPr>
              <w:t>批发和零售业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7897D46E" w14:textId="77777777" w:rsidR="00885489" w:rsidRPr="00CA09AF" w:rsidRDefault="00885489" w:rsidP="00AF7038">
            <w:pPr>
              <w:pStyle w:val="biaogeright"/>
              <w:wordWrap w:val="0"/>
              <w:rPr>
                <w:rFonts w:asciiTheme="minorEastAsia" w:eastAsiaTheme="minorEastAsia" w:hAnsiTheme="minorEastAsia"/>
              </w:rPr>
            </w:pPr>
            <w:r w:rsidRPr="00CA09AF">
              <w:rPr>
                <w:rFonts w:asciiTheme="minorEastAsia" w:eastAsiaTheme="minorEastAsia" w:hAnsiTheme="minorEastAsia" w:hint="eastAsia"/>
              </w:rPr>
              <w:t>45,644,787.80</w:t>
            </w:r>
          </w:p>
        </w:tc>
        <w:tc>
          <w:tcPr>
            <w:tcW w:w="2693" w:type="dxa"/>
            <w:tcBorders>
              <w:top w:val="single" w:sz="8" w:space="0" w:color="000000"/>
              <w:left w:val="single" w:sz="8" w:space="0" w:color="000000"/>
              <w:bottom w:val="single" w:sz="6" w:space="0" w:color="000000"/>
              <w:right w:val="single" w:sz="8" w:space="0" w:color="000000"/>
            </w:tcBorders>
            <w:vAlign w:val="center"/>
          </w:tcPr>
          <w:p w14:paraId="73BD67F5" w14:textId="77777777" w:rsidR="00885489" w:rsidRPr="00CA09AF" w:rsidRDefault="00885489" w:rsidP="00AF7038">
            <w:pPr>
              <w:pStyle w:val="biaogeright"/>
              <w:wordWrap w:val="0"/>
              <w:rPr>
                <w:rFonts w:asciiTheme="minorEastAsia" w:eastAsiaTheme="minorEastAsia" w:hAnsiTheme="minorEastAsia"/>
              </w:rPr>
            </w:pPr>
            <w:r w:rsidRPr="00CA09AF">
              <w:rPr>
                <w:rFonts w:asciiTheme="minorEastAsia" w:eastAsiaTheme="minorEastAsia" w:hAnsiTheme="minorEastAsia" w:hint="eastAsia"/>
              </w:rPr>
              <w:t>2.78</w:t>
            </w:r>
          </w:p>
        </w:tc>
      </w:tr>
      <w:tr w:rsidR="00885489" w:rsidRPr="00CA09AF" w14:paraId="1747E5C3" w14:textId="77777777" w:rsidTr="00AF7038">
        <w:tc>
          <w:tcPr>
            <w:tcW w:w="0" w:type="auto"/>
            <w:tcBorders>
              <w:top w:val="single" w:sz="8" w:space="0" w:color="000000"/>
              <w:left w:val="single" w:sz="8" w:space="0" w:color="000000"/>
              <w:bottom w:val="single" w:sz="6" w:space="0" w:color="000000"/>
              <w:right w:val="single" w:sz="8" w:space="0" w:color="000000"/>
            </w:tcBorders>
            <w:vAlign w:val="center"/>
          </w:tcPr>
          <w:p w14:paraId="6BBB953D" w14:textId="77777777" w:rsidR="00885489" w:rsidRPr="00CA09AF" w:rsidRDefault="00885489" w:rsidP="00AF7038">
            <w:pPr>
              <w:rPr>
                <w:rFonts w:asciiTheme="minorEastAsia" w:hAnsiTheme="minorEastAsia" w:cs="宋体"/>
                <w:kern w:val="0"/>
                <w:sz w:val="24"/>
                <w:szCs w:val="24"/>
              </w:rPr>
            </w:pPr>
            <w:r w:rsidRPr="00CA09AF">
              <w:rPr>
                <w:rFonts w:asciiTheme="minorEastAsia" w:hAnsiTheme="minorEastAsia" w:cs="宋体" w:hint="eastAsia"/>
                <w:kern w:val="0"/>
                <w:sz w:val="24"/>
                <w:szCs w:val="24"/>
              </w:rPr>
              <w:t>G</w:t>
            </w:r>
          </w:p>
        </w:tc>
        <w:tc>
          <w:tcPr>
            <w:tcW w:w="2579" w:type="dxa"/>
            <w:tcBorders>
              <w:top w:val="single" w:sz="8" w:space="0" w:color="000000"/>
              <w:left w:val="single" w:sz="8" w:space="0" w:color="000000"/>
              <w:bottom w:val="single" w:sz="6" w:space="0" w:color="000000"/>
              <w:right w:val="single" w:sz="8" w:space="0" w:color="000000"/>
            </w:tcBorders>
            <w:vAlign w:val="center"/>
          </w:tcPr>
          <w:p w14:paraId="16593ACD" w14:textId="77777777" w:rsidR="00885489" w:rsidRPr="00CA09AF" w:rsidRDefault="00885489" w:rsidP="00AF7038">
            <w:pPr>
              <w:pStyle w:val="biaogeleft"/>
              <w:wordWrap w:val="0"/>
              <w:rPr>
                <w:rFonts w:asciiTheme="minorEastAsia" w:eastAsiaTheme="minorEastAsia" w:hAnsiTheme="minorEastAsia"/>
              </w:rPr>
            </w:pPr>
            <w:r w:rsidRPr="00CA09AF">
              <w:rPr>
                <w:rFonts w:asciiTheme="minorEastAsia" w:eastAsiaTheme="minorEastAsia" w:hAnsiTheme="minorEastAsia" w:hint="eastAsia"/>
              </w:rPr>
              <w:t>交通运输、仓储和邮政业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783184D7" w14:textId="77777777" w:rsidR="00885489" w:rsidRPr="00CA09AF" w:rsidRDefault="00885489" w:rsidP="00AF7038">
            <w:pPr>
              <w:pStyle w:val="biaogeright"/>
              <w:wordWrap w:val="0"/>
              <w:rPr>
                <w:rFonts w:asciiTheme="minorEastAsia" w:eastAsiaTheme="minorEastAsia" w:hAnsiTheme="minorEastAsia"/>
              </w:rPr>
            </w:pPr>
            <w:r w:rsidRPr="00CA09AF">
              <w:rPr>
                <w:rFonts w:asciiTheme="minorEastAsia" w:eastAsiaTheme="minorEastAsia" w:hAnsiTheme="minorEastAsia" w:hint="eastAsia"/>
              </w:rPr>
              <w:t>4,759,310.00</w:t>
            </w:r>
          </w:p>
        </w:tc>
        <w:tc>
          <w:tcPr>
            <w:tcW w:w="2693" w:type="dxa"/>
            <w:tcBorders>
              <w:top w:val="single" w:sz="8" w:space="0" w:color="000000"/>
              <w:left w:val="single" w:sz="8" w:space="0" w:color="000000"/>
              <w:bottom w:val="single" w:sz="6" w:space="0" w:color="000000"/>
              <w:right w:val="single" w:sz="8" w:space="0" w:color="000000"/>
            </w:tcBorders>
            <w:vAlign w:val="center"/>
          </w:tcPr>
          <w:p w14:paraId="1EC2190E" w14:textId="77777777" w:rsidR="00885489" w:rsidRPr="00CA09AF" w:rsidRDefault="00885489" w:rsidP="00AF7038">
            <w:pPr>
              <w:pStyle w:val="biaogeright"/>
              <w:wordWrap w:val="0"/>
              <w:rPr>
                <w:rFonts w:asciiTheme="minorEastAsia" w:eastAsiaTheme="minorEastAsia" w:hAnsiTheme="minorEastAsia"/>
              </w:rPr>
            </w:pPr>
            <w:r w:rsidRPr="00CA09AF">
              <w:rPr>
                <w:rFonts w:asciiTheme="minorEastAsia" w:eastAsiaTheme="minorEastAsia" w:hAnsiTheme="minorEastAsia" w:hint="eastAsia"/>
              </w:rPr>
              <w:t>0.29</w:t>
            </w:r>
          </w:p>
        </w:tc>
      </w:tr>
      <w:tr w:rsidR="00885489" w:rsidRPr="00CA09AF" w14:paraId="6ACC2A13" w14:textId="77777777" w:rsidTr="00AF7038">
        <w:tc>
          <w:tcPr>
            <w:tcW w:w="0" w:type="auto"/>
            <w:tcBorders>
              <w:top w:val="single" w:sz="8" w:space="0" w:color="000000"/>
              <w:left w:val="single" w:sz="8" w:space="0" w:color="000000"/>
              <w:bottom w:val="single" w:sz="6" w:space="0" w:color="000000"/>
              <w:right w:val="single" w:sz="8" w:space="0" w:color="000000"/>
            </w:tcBorders>
            <w:vAlign w:val="center"/>
          </w:tcPr>
          <w:p w14:paraId="3C461BBE" w14:textId="77777777" w:rsidR="00885489" w:rsidRPr="00CA09AF" w:rsidRDefault="00885489" w:rsidP="00AF7038">
            <w:pPr>
              <w:rPr>
                <w:rFonts w:asciiTheme="minorEastAsia" w:hAnsiTheme="minorEastAsia" w:cs="宋体"/>
                <w:kern w:val="0"/>
                <w:sz w:val="24"/>
                <w:szCs w:val="24"/>
              </w:rPr>
            </w:pPr>
            <w:r w:rsidRPr="00CA09AF">
              <w:rPr>
                <w:rFonts w:asciiTheme="minorEastAsia" w:hAnsiTheme="minorEastAsia" w:cs="宋体" w:hint="eastAsia"/>
                <w:kern w:val="0"/>
                <w:sz w:val="24"/>
                <w:szCs w:val="24"/>
              </w:rPr>
              <w:t>H</w:t>
            </w:r>
          </w:p>
        </w:tc>
        <w:tc>
          <w:tcPr>
            <w:tcW w:w="2579" w:type="dxa"/>
            <w:tcBorders>
              <w:top w:val="single" w:sz="8" w:space="0" w:color="000000"/>
              <w:left w:val="single" w:sz="8" w:space="0" w:color="000000"/>
              <w:bottom w:val="single" w:sz="6" w:space="0" w:color="000000"/>
              <w:right w:val="single" w:sz="8" w:space="0" w:color="000000"/>
            </w:tcBorders>
            <w:vAlign w:val="center"/>
          </w:tcPr>
          <w:p w14:paraId="68A320D0" w14:textId="77777777" w:rsidR="00885489" w:rsidRPr="00CA09AF" w:rsidRDefault="00885489" w:rsidP="00AF7038">
            <w:pPr>
              <w:pStyle w:val="biaogeleft"/>
              <w:wordWrap w:val="0"/>
              <w:rPr>
                <w:rFonts w:asciiTheme="minorEastAsia" w:eastAsiaTheme="minorEastAsia" w:hAnsiTheme="minorEastAsia"/>
              </w:rPr>
            </w:pPr>
            <w:r w:rsidRPr="00CA09AF">
              <w:rPr>
                <w:rFonts w:asciiTheme="minorEastAsia" w:eastAsiaTheme="minorEastAsia" w:hAnsiTheme="minorEastAsia" w:hint="eastAsia"/>
              </w:rPr>
              <w:t>住宿和餐饮业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552EAEC4" w14:textId="77777777" w:rsidR="00885489" w:rsidRPr="00CA09AF" w:rsidRDefault="00885489" w:rsidP="00AF7038">
            <w:pPr>
              <w:pStyle w:val="biaogeright"/>
              <w:wordWrap w:val="0"/>
              <w:rPr>
                <w:rFonts w:asciiTheme="minorEastAsia" w:eastAsiaTheme="minorEastAsia" w:hAnsiTheme="minorEastAsia"/>
              </w:rPr>
            </w:pPr>
            <w:r w:rsidRPr="00CA09AF">
              <w:rPr>
                <w:rFonts w:asciiTheme="minorEastAsia" w:eastAsiaTheme="minorEastAsia" w:hAnsiTheme="minorEastAsia" w:hint="eastAsia"/>
              </w:rP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7AF381EC" w14:textId="77777777" w:rsidR="00885489" w:rsidRPr="00CA09AF" w:rsidRDefault="00885489" w:rsidP="00AF7038">
            <w:pPr>
              <w:pStyle w:val="biaogeright"/>
              <w:wordWrap w:val="0"/>
              <w:rPr>
                <w:rFonts w:asciiTheme="minorEastAsia" w:eastAsiaTheme="minorEastAsia" w:hAnsiTheme="minorEastAsia"/>
              </w:rPr>
            </w:pPr>
            <w:r w:rsidRPr="00CA09AF">
              <w:rPr>
                <w:rFonts w:asciiTheme="minorEastAsia" w:eastAsiaTheme="minorEastAsia" w:hAnsiTheme="minorEastAsia" w:hint="eastAsia"/>
              </w:rPr>
              <w:t>-</w:t>
            </w:r>
          </w:p>
        </w:tc>
      </w:tr>
      <w:tr w:rsidR="00885489" w:rsidRPr="00CA09AF" w14:paraId="2583F630" w14:textId="77777777" w:rsidTr="00AF7038">
        <w:tc>
          <w:tcPr>
            <w:tcW w:w="0" w:type="auto"/>
            <w:tcBorders>
              <w:top w:val="single" w:sz="8" w:space="0" w:color="000000"/>
              <w:left w:val="single" w:sz="8" w:space="0" w:color="000000"/>
              <w:bottom w:val="single" w:sz="6" w:space="0" w:color="000000"/>
              <w:right w:val="single" w:sz="8" w:space="0" w:color="000000"/>
            </w:tcBorders>
            <w:vAlign w:val="center"/>
          </w:tcPr>
          <w:p w14:paraId="3577181C" w14:textId="77777777" w:rsidR="00885489" w:rsidRPr="00CA09AF" w:rsidRDefault="00885489" w:rsidP="00AF7038">
            <w:pPr>
              <w:rPr>
                <w:rFonts w:asciiTheme="minorEastAsia" w:hAnsiTheme="minorEastAsia" w:cs="宋体"/>
                <w:kern w:val="0"/>
                <w:sz w:val="24"/>
                <w:szCs w:val="24"/>
              </w:rPr>
            </w:pPr>
            <w:r w:rsidRPr="00CA09AF">
              <w:rPr>
                <w:rFonts w:asciiTheme="minorEastAsia" w:hAnsiTheme="minorEastAsia" w:cs="宋体" w:hint="eastAsia"/>
                <w:kern w:val="0"/>
                <w:sz w:val="24"/>
                <w:szCs w:val="24"/>
              </w:rPr>
              <w:lastRenderedPageBreak/>
              <w:t>I</w:t>
            </w:r>
          </w:p>
        </w:tc>
        <w:tc>
          <w:tcPr>
            <w:tcW w:w="2579" w:type="dxa"/>
            <w:tcBorders>
              <w:top w:val="single" w:sz="8" w:space="0" w:color="000000"/>
              <w:left w:val="single" w:sz="8" w:space="0" w:color="000000"/>
              <w:bottom w:val="single" w:sz="6" w:space="0" w:color="000000"/>
              <w:right w:val="single" w:sz="8" w:space="0" w:color="000000"/>
            </w:tcBorders>
            <w:vAlign w:val="center"/>
          </w:tcPr>
          <w:p w14:paraId="34E4B1BB" w14:textId="77777777" w:rsidR="00885489" w:rsidRPr="00CA09AF" w:rsidRDefault="00885489" w:rsidP="00AF7038">
            <w:pPr>
              <w:pStyle w:val="biaogeleft"/>
              <w:wordWrap w:val="0"/>
              <w:rPr>
                <w:rFonts w:asciiTheme="minorEastAsia" w:eastAsiaTheme="minorEastAsia" w:hAnsiTheme="minorEastAsia"/>
              </w:rPr>
            </w:pPr>
            <w:r w:rsidRPr="00CA09AF">
              <w:rPr>
                <w:rFonts w:asciiTheme="minorEastAsia" w:eastAsiaTheme="minorEastAsia" w:hAnsiTheme="minorEastAsia" w:hint="eastAsia"/>
              </w:rPr>
              <w:t>信息传输、软件和信息技术服务业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44831851" w14:textId="77777777" w:rsidR="00885489" w:rsidRPr="00CA09AF" w:rsidRDefault="00885489" w:rsidP="00AF7038">
            <w:pPr>
              <w:pStyle w:val="biaogeright"/>
              <w:wordWrap w:val="0"/>
              <w:rPr>
                <w:rFonts w:asciiTheme="minorEastAsia" w:eastAsiaTheme="minorEastAsia" w:hAnsiTheme="minorEastAsia"/>
              </w:rPr>
            </w:pPr>
            <w:r w:rsidRPr="00CA09AF">
              <w:rPr>
                <w:rFonts w:asciiTheme="minorEastAsia" w:eastAsiaTheme="minorEastAsia" w:hAnsiTheme="minorEastAsia" w:hint="eastAsia"/>
              </w:rPr>
              <w:t>55,487,366.60</w:t>
            </w:r>
          </w:p>
        </w:tc>
        <w:tc>
          <w:tcPr>
            <w:tcW w:w="2693" w:type="dxa"/>
            <w:tcBorders>
              <w:top w:val="single" w:sz="8" w:space="0" w:color="000000"/>
              <w:left w:val="single" w:sz="8" w:space="0" w:color="000000"/>
              <w:bottom w:val="single" w:sz="6" w:space="0" w:color="000000"/>
              <w:right w:val="single" w:sz="8" w:space="0" w:color="000000"/>
            </w:tcBorders>
            <w:vAlign w:val="center"/>
          </w:tcPr>
          <w:p w14:paraId="7448BCE8" w14:textId="77777777" w:rsidR="00885489" w:rsidRPr="00CA09AF" w:rsidRDefault="00885489" w:rsidP="00AF7038">
            <w:pPr>
              <w:pStyle w:val="biaogeright"/>
              <w:wordWrap w:val="0"/>
              <w:rPr>
                <w:rFonts w:asciiTheme="minorEastAsia" w:eastAsiaTheme="minorEastAsia" w:hAnsiTheme="minorEastAsia"/>
              </w:rPr>
            </w:pPr>
            <w:r w:rsidRPr="00CA09AF">
              <w:rPr>
                <w:rFonts w:asciiTheme="minorEastAsia" w:eastAsiaTheme="minorEastAsia" w:hAnsiTheme="minorEastAsia" w:hint="eastAsia"/>
              </w:rPr>
              <w:t>3.38</w:t>
            </w:r>
          </w:p>
        </w:tc>
      </w:tr>
      <w:tr w:rsidR="00885489" w:rsidRPr="00CA09AF" w14:paraId="00CC8BA5" w14:textId="77777777" w:rsidTr="00AF7038">
        <w:tc>
          <w:tcPr>
            <w:tcW w:w="0" w:type="auto"/>
            <w:tcBorders>
              <w:top w:val="single" w:sz="8" w:space="0" w:color="000000"/>
              <w:left w:val="single" w:sz="8" w:space="0" w:color="000000"/>
              <w:bottom w:val="single" w:sz="6" w:space="0" w:color="000000"/>
              <w:right w:val="single" w:sz="8" w:space="0" w:color="000000"/>
            </w:tcBorders>
            <w:vAlign w:val="center"/>
          </w:tcPr>
          <w:p w14:paraId="5288441C" w14:textId="77777777" w:rsidR="00885489" w:rsidRPr="00CA09AF" w:rsidRDefault="00885489" w:rsidP="00AF7038">
            <w:pPr>
              <w:rPr>
                <w:rFonts w:asciiTheme="minorEastAsia" w:hAnsiTheme="minorEastAsia" w:cs="宋体"/>
                <w:kern w:val="0"/>
                <w:sz w:val="24"/>
                <w:szCs w:val="24"/>
              </w:rPr>
            </w:pPr>
            <w:r w:rsidRPr="00CA09AF">
              <w:rPr>
                <w:rFonts w:asciiTheme="minorEastAsia" w:hAnsiTheme="minorEastAsia" w:cs="宋体" w:hint="eastAsia"/>
                <w:kern w:val="0"/>
                <w:sz w:val="24"/>
                <w:szCs w:val="24"/>
              </w:rPr>
              <w:t>J</w:t>
            </w:r>
          </w:p>
        </w:tc>
        <w:tc>
          <w:tcPr>
            <w:tcW w:w="2579" w:type="dxa"/>
            <w:tcBorders>
              <w:top w:val="single" w:sz="8" w:space="0" w:color="000000"/>
              <w:left w:val="single" w:sz="8" w:space="0" w:color="000000"/>
              <w:bottom w:val="single" w:sz="6" w:space="0" w:color="000000"/>
              <w:right w:val="single" w:sz="8" w:space="0" w:color="000000"/>
            </w:tcBorders>
            <w:vAlign w:val="center"/>
          </w:tcPr>
          <w:p w14:paraId="50A9DA9C" w14:textId="77777777" w:rsidR="00885489" w:rsidRPr="00CA09AF" w:rsidRDefault="00885489" w:rsidP="00AF7038">
            <w:pPr>
              <w:pStyle w:val="biaogeleft"/>
              <w:wordWrap w:val="0"/>
              <w:rPr>
                <w:rFonts w:asciiTheme="minorEastAsia" w:eastAsiaTheme="minorEastAsia" w:hAnsiTheme="minorEastAsia"/>
              </w:rPr>
            </w:pPr>
            <w:r w:rsidRPr="00CA09AF">
              <w:rPr>
                <w:rFonts w:asciiTheme="minorEastAsia" w:eastAsiaTheme="minorEastAsia" w:hAnsiTheme="minorEastAsia" w:hint="eastAsia"/>
              </w:rPr>
              <w:t>金融业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1F3476DA" w14:textId="77777777" w:rsidR="00885489" w:rsidRPr="00CA09AF" w:rsidRDefault="00885489" w:rsidP="00AF7038">
            <w:pPr>
              <w:pStyle w:val="biaogeright"/>
              <w:wordWrap w:val="0"/>
              <w:rPr>
                <w:rFonts w:asciiTheme="minorEastAsia" w:eastAsiaTheme="minorEastAsia" w:hAnsiTheme="minorEastAsia"/>
              </w:rPr>
            </w:pPr>
            <w:r w:rsidRPr="00CA09AF">
              <w:rPr>
                <w:rFonts w:asciiTheme="minorEastAsia" w:eastAsiaTheme="minorEastAsia" w:hAnsiTheme="minorEastAsia" w:hint="eastAsia"/>
              </w:rPr>
              <w:t>315,961,289.20</w:t>
            </w:r>
          </w:p>
        </w:tc>
        <w:tc>
          <w:tcPr>
            <w:tcW w:w="2693" w:type="dxa"/>
            <w:tcBorders>
              <w:top w:val="single" w:sz="8" w:space="0" w:color="000000"/>
              <w:left w:val="single" w:sz="8" w:space="0" w:color="000000"/>
              <w:bottom w:val="single" w:sz="6" w:space="0" w:color="000000"/>
              <w:right w:val="single" w:sz="8" w:space="0" w:color="000000"/>
            </w:tcBorders>
            <w:vAlign w:val="center"/>
          </w:tcPr>
          <w:p w14:paraId="3AC05D6A" w14:textId="77777777" w:rsidR="00885489" w:rsidRPr="00CA09AF" w:rsidRDefault="00885489" w:rsidP="00AF7038">
            <w:pPr>
              <w:pStyle w:val="biaogeright"/>
              <w:wordWrap w:val="0"/>
              <w:rPr>
                <w:rFonts w:asciiTheme="minorEastAsia" w:eastAsiaTheme="minorEastAsia" w:hAnsiTheme="minorEastAsia"/>
              </w:rPr>
            </w:pPr>
            <w:r w:rsidRPr="00CA09AF">
              <w:rPr>
                <w:rFonts w:asciiTheme="minorEastAsia" w:eastAsiaTheme="minorEastAsia" w:hAnsiTheme="minorEastAsia" w:hint="eastAsia"/>
              </w:rPr>
              <w:t>19.26</w:t>
            </w:r>
          </w:p>
        </w:tc>
      </w:tr>
      <w:tr w:rsidR="00885489" w:rsidRPr="00CA09AF" w14:paraId="31C201D0" w14:textId="77777777" w:rsidTr="00AF7038">
        <w:tc>
          <w:tcPr>
            <w:tcW w:w="0" w:type="auto"/>
            <w:tcBorders>
              <w:top w:val="single" w:sz="8" w:space="0" w:color="000000"/>
              <w:left w:val="single" w:sz="8" w:space="0" w:color="000000"/>
              <w:bottom w:val="single" w:sz="6" w:space="0" w:color="000000"/>
              <w:right w:val="single" w:sz="8" w:space="0" w:color="000000"/>
            </w:tcBorders>
            <w:vAlign w:val="center"/>
          </w:tcPr>
          <w:p w14:paraId="4215EE24" w14:textId="77777777" w:rsidR="00885489" w:rsidRPr="00CA09AF" w:rsidRDefault="00885489" w:rsidP="00AF7038">
            <w:pPr>
              <w:rPr>
                <w:rFonts w:asciiTheme="minorEastAsia" w:hAnsiTheme="minorEastAsia" w:cs="宋体"/>
                <w:kern w:val="0"/>
                <w:sz w:val="24"/>
                <w:szCs w:val="24"/>
              </w:rPr>
            </w:pPr>
            <w:r w:rsidRPr="00CA09AF">
              <w:rPr>
                <w:rFonts w:asciiTheme="minorEastAsia" w:hAnsiTheme="minorEastAsia" w:cs="宋体" w:hint="eastAsia"/>
                <w:kern w:val="0"/>
                <w:sz w:val="24"/>
                <w:szCs w:val="24"/>
              </w:rPr>
              <w:t>K</w:t>
            </w:r>
          </w:p>
        </w:tc>
        <w:tc>
          <w:tcPr>
            <w:tcW w:w="2579" w:type="dxa"/>
            <w:tcBorders>
              <w:top w:val="single" w:sz="8" w:space="0" w:color="000000"/>
              <w:left w:val="single" w:sz="8" w:space="0" w:color="000000"/>
              <w:bottom w:val="single" w:sz="6" w:space="0" w:color="000000"/>
              <w:right w:val="single" w:sz="8" w:space="0" w:color="000000"/>
            </w:tcBorders>
            <w:vAlign w:val="center"/>
          </w:tcPr>
          <w:p w14:paraId="5E5DB391" w14:textId="77777777" w:rsidR="00885489" w:rsidRPr="00CA09AF" w:rsidRDefault="00885489" w:rsidP="00AF7038">
            <w:pPr>
              <w:pStyle w:val="biaogeleft"/>
              <w:wordWrap w:val="0"/>
              <w:rPr>
                <w:rFonts w:asciiTheme="minorEastAsia" w:eastAsiaTheme="minorEastAsia" w:hAnsiTheme="minorEastAsia"/>
              </w:rPr>
            </w:pPr>
            <w:r w:rsidRPr="00CA09AF">
              <w:rPr>
                <w:rFonts w:asciiTheme="minorEastAsia" w:eastAsiaTheme="minorEastAsia" w:hAnsiTheme="minorEastAsia" w:hint="eastAsia"/>
              </w:rPr>
              <w:t>房地产业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4BBEBAD6" w14:textId="77777777" w:rsidR="00885489" w:rsidRPr="00CA09AF" w:rsidRDefault="00885489" w:rsidP="00AF7038">
            <w:pPr>
              <w:pStyle w:val="biaogeright"/>
              <w:wordWrap w:val="0"/>
              <w:rPr>
                <w:rFonts w:asciiTheme="minorEastAsia" w:eastAsiaTheme="minorEastAsia" w:hAnsiTheme="minorEastAsia"/>
              </w:rPr>
            </w:pPr>
            <w:r w:rsidRPr="00CA09AF">
              <w:rPr>
                <w:rFonts w:asciiTheme="minorEastAsia" w:eastAsiaTheme="minorEastAsia" w:hAnsiTheme="minorEastAsia" w:hint="eastAsia"/>
              </w:rP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6F127290" w14:textId="77777777" w:rsidR="00885489" w:rsidRPr="00CA09AF" w:rsidRDefault="00885489" w:rsidP="00AF7038">
            <w:pPr>
              <w:pStyle w:val="biaogeright"/>
              <w:wordWrap w:val="0"/>
              <w:rPr>
                <w:rFonts w:asciiTheme="minorEastAsia" w:eastAsiaTheme="minorEastAsia" w:hAnsiTheme="minorEastAsia"/>
              </w:rPr>
            </w:pPr>
            <w:r w:rsidRPr="00CA09AF">
              <w:rPr>
                <w:rFonts w:asciiTheme="minorEastAsia" w:eastAsiaTheme="minorEastAsia" w:hAnsiTheme="minorEastAsia" w:hint="eastAsia"/>
              </w:rPr>
              <w:t>-</w:t>
            </w:r>
          </w:p>
        </w:tc>
      </w:tr>
      <w:tr w:rsidR="00885489" w:rsidRPr="00CA09AF" w14:paraId="3B56B03E" w14:textId="77777777" w:rsidTr="00AF7038">
        <w:tc>
          <w:tcPr>
            <w:tcW w:w="0" w:type="auto"/>
            <w:tcBorders>
              <w:top w:val="single" w:sz="8" w:space="0" w:color="000000"/>
              <w:left w:val="single" w:sz="8" w:space="0" w:color="000000"/>
              <w:bottom w:val="single" w:sz="6" w:space="0" w:color="000000"/>
              <w:right w:val="single" w:sz="8" w:space="0" w:color="000000"/>
            </w:tcBorders>
            <w:vAlign w:val="center"/>
          </w:tcPr>
          <w:p w14:paraId="7ACC5A02" w14:textId="77777777" w:rsidR="00885489" w:rsidRPr="00CA09AF" w:rsidRDefault="00885489" w:rsidP="00AF7038">
            <w:pPr>
              <w:rPr>
                <w:rFonts w:asciiTheme="minorEastAsia" w:hAnsiTheme="minorEastAsia" w:cs="宋体"/>
                <w:kern w:val="0"/>
                <w:sz w:val="24"/>
                <w:szCs w:val="24"/>
              </w:rPr>
            </w:pPr>
            <w:r w:rsidRPr="00CA09AF">
              <w:rPr>
                <w:rFonts w:asciiTheme="minorEastAsia" w:hAnsiTheme="minorEastAsia" w:cs="宋体" w:hint="eastAsia"/>
                <w:kern w:val="0"/>
                <w:sz w:val="24"/>
                <w:szCs w:val="24"/>
              </w:rPr>
              <w:t>L</w:t>
            </w:r>
          </w:p>
        </w:tc>
        <w:tc>
          <w:tcPr>
            <w:tcW w:w="2579" w:type="dxa"/>
            <w:tcBorders>
              <w:top w:val="single" w:sz="8" w:space="0" w:color="000000"/>
              <w:left w:val="single" w:sz="8" w:space="0" w:color="000000"/>
              <w:bottom w:val="single" w:sz="6" w:space="0" w:color="000000"/>
              <w:right w:val="single" w:sz="8" w:space="0" w:color="000000"/>
            </w:tcBorders>
            <w:vAlign w:val="center"/>
          </w:tcPr>
          <w:p w14:paraId="0CA5E994" w14:textId="77777777" w:rsidR="00885489" w:rsidRPr="00CA09AF" w:rsidRDefault="00885489" w:rsidP="00AF7038">
            <w:pPr>
              <w:pStyle w:val="biaogeleft"/>
              <w:wordWrap w:val="0"/>
              <w:rPr>
                <w:rFonts w:asciiTheme="minorEastAsia" w:eastAsiaTheme="minorEastAsia" w:hAnsiTheme="minorEastAsia"/>
              </w:rPr>
            </w:pPr>
            <w:r w:rsidRPr="00CA09AF">
              <w:rPr>
                <w:rFonts w:asciiTheme="minorEastAsia" w:eastAsiaTheme="minorEastAsia" w:hAnsiTheme="minorEastAsia" w:hint="eastAsia"/>
              </w:rPr>
              <w:t>租赁和商务服务业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53FE8724" w14:textId="77777777" w:rsidR="00885489" w:rsidRPr="00CA09AF" w:rsidRDefault="00885489" w:rsidP="00AF7038">
            <w:pPr>
              <w:pStyle w:val="biaogeright"/>
              <w:wordWrap w:val="0"/>
              <w:rPr>
                <w:rFonts w:asciiTheme="minorEastAsia" w:eastAsiaTheme="minorEastAsia" w:hAnsiTheme="minorEastAsia"/>
              </w:rPr>
            </w:pPr>
            <w:r w:rsidRPr="00CA09AF">
              <w:rPr>
                <w:rFonts w:asciiTheme="minorEastAsia" w:eastAsiaTheme="minorEastAsia" w:hAnsiTheme="minorEastAsia" w:hint="eastAsia"/>
              </w:rPr>
              <w:t>76,494,380.00</w:t>
            </w:r>
          </w:p>
        </w:tc>
        <w:tc>
          <w:tcPr>
            <w:tcW w:w="2693" w:type="dxa"/>
            <w:tcBorders>
              <w:top w:val="single" w:sz="8" w:space="0" w:color="000000"/>
              <w:left w:val="single" w:sz="8" w:space="0" w:color="000000"/>
              <w:bottom w:val="single" w:sz="6" w:space="0" w:color="000000"/>
              <w:right w:val="single" w:sz="8" w:space="0" w:color="000000"/>
            </w:tcBorders>
            <w:vAlign w:val="center"/>
          </w:tcPr>
          <w:p w14:paraId="669348A4" w14:textId="77777777" w:rsidR="00885489" w:rsidRPr="00CA09AF" w:rsidRDefault="00885489" w:rsidP="00AF7038">
            <w:pPr>
              <w:pStyle w:val="biaogeright"/>
              <w:wordWrap w:val="0"/>
              <w:rPr>
                <w:rFonts w:asciiTheme="minorEastAsia" w:eastAsiaTheme="minorEastAsia" w:hAnsiTheme="minorEastAsia"/>
              </w:rPr>
            </w:pPr>
            <w:r w:rsidRPr="00CA09AF">
              <w:rPr>
                <w:rFonts w:asciiTheme="minorEastAsia" w:eastAsiaTheme="minorEastAsia" w:hAnsiTheme="minorEastAsia" w:hint="eastAsia"/>
              </w:rPr>
              <w:t>4.66</w:t>
            </w:r>
          </w:p>
        </w:tc>
      </w:tr>
      <w:tr w:rsidR="00885489" w:rsidRPr="00CA09AF" w14:paraId="5AFA6DA5" w14:textId="77777777" w:rsidTr="00AF7038">
        <w:tc>
          <w:tcPr>
            <w:tcW w:w="0" w:type="auto"/>
            <w:tcBorders>
              <w:top w:val="single" w:sz="8" w:space="0" w:color="000000"/>
              <w:left w:val="single" w:sz="8" w:space="0" w:color="000000"/>
              <w:bottom w:val="single" w:sz="6" w:space="0" w:color="000000"/>
              <w:right w:val="single" w:sz="8" w:space="0" w:color="000000"/>
            </w:tcBorders>
            <w:vAlign w:val="center"/>
          </w:tcPr>
          <w:p w14:paraId="07B40D3F" w14:textId="77777777" w:rsidR="00885489" w:rsidRPr="00CA09AF" w:rsidRDefault="00885489" w:rsidP="00AF7038">
            <w:pPr>
              <w:rPr>
                <w:rFonts w:asciiTheme="minorEastAsia" w:hAnsiTheme="minorEastAsia" w:cs="宋体"/>
                <w:kern w:val="0"/>
                <w:sz w:val="24"/>
                <w:szCs w:val="24"/>
              </w:rPr>
            </w:pPr>
            <w:r w:rsidRPr="00CA09AF">
              <w:rPr>
                <w:rFonts w:asciiTheme="minorEastAsia" w:hAnsiTheme="minorEastAsia" w:cs="宋体" w:hint="eastAsia"/>
                <w:kern w:val="0"/>
                <w:sz w:val="24"/>
                <w:szCs w:val="24"/>
              </w:rPr>
              <w:t>M</w:t>
            </w:r>
          </w:p>
        </w:tc>
        <w:tc>
          <w:tcPr>
            <w:tcW w:w="2579" w:type="dxa"/>
            <w:tcBorders>
              <w:top w:val="single" w:sz="8" w:space="0" w:color="000000"/>
              <w:left w:val="single" w:sz="8" w:space="0" w:color="000000"/>
              <w:bottom w:val="single" w:sz="6" w:space="0" w:color="000000"/>
              <w:right w:val="single" w:sz="8" w:space="0" w:color="000000"/>
            </w:tcBorders>
            <w:vAlign w:val="center"/>
          </w:tcPr>
          <w:p w14:paraId="216CF1BF" w14:textId="77777777" w:rsidR="00885489" w:rsidRPr="00CA09AF" w:rsidRDefault="00885489" w:rsidP="00AF7038">
            <w:pPr>
              <w:pStyle w:val="biaogeleft"/>
              <w:wordWrap w:val="0"/>
              <w:rPr>
                <w:rFonts w:asciiTheme="minorEastAsia" w:eastAsiaTheme="minorEastAsia" w:hAnsiTheme="minorEastAsia"/>
              </w:rPr>
            </w:pPr>
            <w:r w:rsidRPr="00CA09AF">
              <w:rPr>
                <w:rFonts w:asciiTheme="minorEastAsia" w:eastAsiaTheme="minorEastAsia" w:hAnsiTheme="minorEastAsia" w:hint="eastAsia"/>
              </w:rPr>
              <w:t>科学研究和技术服务业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6B82E747" w14:textId="77777777" w:rsidR="00885489" w:rsidRPr="00CA09AF" w:rsidRDefault="00885489" w:rsidP="00AF7038">
            <w:pPr>
              <w:pStyle w:val="biaogeright"/>
              <w:wordWrap w:val="0"/>
              <w:rPr>
                <w:rFonts w:asciiTheme="minorEastAsia" w:eastAsiaTheme="minorEastAsia" w:hAnsiTheme="minorEastAsia"/>
              </w:rPr>
            </w:pPr>
            <w:r w:rsidRPr="00CA09AF">
              <w:rPr>
                <w:rFonts w:asciiTheme="minorEastAsia" w:eastAsiaTheme="minorEastAsia" w:hAnsiTheme="minorEastAsia" w:hint="eastAsia"/>
              </w:rPr>
              <w:t>34,959,030.68</w:t>
            </w:r>
          </w:p>
        </w:tc>
        <w:tc>
          <w:tcPr>
            <w:tcW w:w="2693" w:type="dxa"/>
            <w:tcBorders>
              <w:top w:val="single" w:sz="8" w:space="0" w:color="000000"/>
              <w:left w:val="single" w:sz="8" w:space="0" w:color="000000"/>
              <w:bottom w:val="single" w:sz="6" w:space="0" w:color="000000"/>
              <w:right w:val="single" w:sz="8" w:space="0" w:color="000000"/>
            </w:tcBorders>
            <w:vAlign w:val="center"/>
          </w:tcPr>
          <w:p w14:paraId="17EF8628" w14:textId="77777777" w:rsidR="00885489" w:rsidRPr="00CA09AF" w:rsidRDefault="00885489" w:rsidP="00AF7038">
            <w:pPr>
              <w:pStyle w:val="biaogeright"/>
              <w:wordWrap w:val="0"/>
              <w:rPr>
                <w:rFonts w:asciiTheme="minorEastAsia" w:eastAsiaTheme="minorEastAsia" w:hAnsiTheme="minorEastAsia"/>
              </w:rPr>
            </w:pPr>
            <w:r w:rsidRPr="00CA09AF">
              <w:rPr>
                <w:rFonts w:asciiTheme="minorEastAsia" w:eastAsiaTheme="minorEastAsia" w:hAnsiTheme="minorEastAsia" w:hint="eastAsia"/>
              </w:rPr>
              <w:t>2.13</w:t>
            </w:r>
          </w:p>
        </w:tc>
      </w:tr>
      <w:tr w:rsidR="00885489" w:rsidRPr="00CA09AF" w14:paraId="31B7DFD4" w14:textId="77777777" w:rsidTr="00AF7038">
        <w:tc>
          <w:tcPr>
            <w:tcW w:w="0" w:type="auto"/>
            <w:tcBorders>
              <w:top w:val="single" w:sz="8" w:space="0" w:color="000000"/>
              <w:left w:val="single" w:sz="8" w:space="0" w:color="000000"/>
              <w:bottom w:val="single" w:sz="6" w:space="0" w:color="000000"/>
              <w:right w:val="single" w:sz="8" w:space="0" w:color="000000"/>
            </w:tcBorders>
            <w:vAlign w:val="center"/>
          </w:tcPr>
          <w:p w14:paraId="544D26DC" w14:textId="77777777" w:rsidR="00885489" w:rsidRPr="00CA09AF" w:rsidRDefault="00885489" w:rsidP="00AF7038">
            <w:pPr>
              <w:rPr>
                <w:rFonts w:asciiTheme="minorEastAsia" w:hAnsiTheme="minorEastAsia" w:cs="宋体"/>
                <w:kern w:val="0"/>
                <w:sz w:val="24"/>
                <w:szCs w:val="24"/>
              </w:rPr>
            </w:pPr>
            <w:r w:rsidRPr="00CA09AF">
              <w:rPr>
                <w:rFonts w:asciiTheme="minorEastAsia" w:hAnsiTheme="minorEastAsia" w:cs="宋体" w:hint="eastAsia"/>
                <w:kern w:val="0"/>
                <w:sz w:val="24"/>
                <w:szCs w:val="24"/>
              </w:rPr>
              <w:t>N</w:t>
            </w:r>
          </w:p>
        </w:tc>
        <w:tc>
          <w:tcPr>
            <w:tcW w:w="2579" w:type="dxa"/>
            <w:tcBorders>
              <w:top w:val="single" w:sz="8" w:space="0" w:color="000000"/>
              <w:left w:val="single" w:sz="8" w:space="0" w:color="000000"/>
              <w:bottom w:val="single" w:sz="6" w:space="0" w:color="000000"/>
              <w:right w:val="single" w:sz="8" w:space="0" w:color="000000"/>
            </w:tcBorders>
            <w:vAlign w:val="center"/>
          </w:tcPr>
          <w:p w14:paraId="2ED8B08C" w14:textId="77777777" w:rsidR="00885489" w:rsidRPr="00CA09AF" w:rsidRDefault="00885489" w:rsidP="00AF7038">
            <w:pPr>
              <w:pStyle w:val="biaogeleft"/>
              <w:wordWrap w:val="0"/>
              <w:rPr>
                <w:rFonts w:asciiTheme="minorEastAsia" w:eastAsiaTheme="minorEastAsia" w:hAnsiTheme="minorEastAsia"/>
              </w:rPr>
            </w:pPr>
            <w:r w:rsidRPr="00CA09AF">
              <w:rPr>
                <w:rFonts w:asciiTheme="minorEastAsia" w:eastAsiaTheme="minorEastAsia" w:hAnsiTheme="minorEastAsia" w:hint="eastAsia"/>
              </w:rPr>
              <w:t>水利、环境和公共设施管理业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49F9B08B" w14:textId="77777777" w:rsidR="00885489" w:rsidRPr="00CA09AF" w:rsidRDefault="00885489" w:rsidP="00AF7038">
            <w:pPr>
              <w:pStyle w:val="biaogeright"/>
              <w:wordWrap w:val="0"/>
              <w:rPr>
                <w:rFonts w:asciiTheme="minorEastAsia" w:eastAsiaTheme="minorEastAsia" w:hAnsiTheme="minorEastAsia"/>
              </w:rPr>
            </w:pPr>
            <w:r w:rsidRPr="00CA09AF">
              <w:rPr>
                <w:rFonts w:asciiTheme="minorEastAsia" w:eastAsiaTheme="minorEastAsia" w:hAnsiTheme="minorEastAsia" w:hint="eastAsia"/>
              </w:rP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0AF69B7E" w14:textId="77777777" w:rsidR="00885489" w:rsidRPr="00CA09AF" w:rsidRDefault="00885489" w:rsidP="00AF7038">
            <w:pPr>
              <w:pStyle w:val="biaogeright"/>
              <w:wordWrap w:val="0"/>
              <w:rPr>
                <w:rFonts w:asciiTheme="minorEastAsia" w:eastAsiaTheme="minorEastAsia" w:hAnsiTheme="minorEastAsia"/>
              </w:rPr>
            </w:pPr>
            <w:r w:rsidRPr="00CA09AF">
              <w:rPr>
                <w:rFonts w:asciiTheme="minorEastAsia" w:eastAsiaTheme="minorEastAsia" w:hAnsiTheme="minorEastAsia" w:hint="eastAsia"/>
              </w:rPr>
              <w:t>-</w:t>
            </w:r>
          </w:p>
        </w:tc>
      </w:tr>
      <w:tr w:rsidR="00885489" w:rsidRPr="00CA09AF" w14:paraId="00B4AC8F" w14:textId="77777777" w:rsidTr="00AF7038">
        <w:tc>
          <w:tcPr>
            <w:tcW w:w="0" w:type="auto"/>
            <w:tcBorders>
              <w:top w:val="single" w:sz="8" w:space="0" w:color="000000"/>
              <w:left w:val="single" w:sz="8" w:space="0" w:color="000000"/>
              <w:bottom w:val="single" w:sz="6" w:space="0" w:color="000000"/>
              <w:right w:val="single" w:sz="8" w:space="0" w:color="000000"/>
            </w:tcBorders>
            <w:vAlign w:val="center"/>
          </w:tcPr>
          <w:p w14:paraId="7612A48D" w14:textId="77777777" w:rsidR="00885489" w:rsidRPr="00CA09AF" w:rsidRDefault="00885489" w:rsidP="00AF7038">
            <w:pPr>
              <w:rPr>
                <w:rFonts w:asciiTheme="minorEastAsia" w:hAnsiTheme="minorEastAsia" w:cs="宋体"/>
                <w:kern w:val="0"/>
                <w:sz w:val="24"/>
                <w:szCs w:val="24"/>
              </w:rPr>
            </w:pPr>
            <w:r w:rsidRPr="00CA09AF">
              <w:rPr>
                <w:rFonts w:asciiTheme="minorEastAsia" w:hAnsiTheme="minorEastAsia" w:cs="宋体" w:hint="eastAsia"/>
                <w:kern w:val="0"/>
                <w:sz w:val="24"/>
                <w:szCs w:val="24"/>
              </w:rPr>
              <w:t>O</w:t>
            </w:r>
          </w:p>
        </w:tc>
        <w:tc>
          <w:tcPr>
            <w:tcW w:w="2579" w:type="dxa"/>
            <w:tcBorders>
              <w:top w:val="single" w:sz="8" w:space="0" w:color="000000"/>
              <w:left w:val="single" w:sz="8" w:space="0" w:color="000000"/>
              <w:bottom w:val="single" w:sz="6" w:space="0" w:color="000000"/>
              <w:right w:val="single" w:sz="8" w:space="0" w:color="000000"/>
            </w:tcBorders>
            <w:vAlign w:val="center"/>
          </w:tcPr>
          <w:p w14:paraId="443F9B93" w14:textId="77777777" w:rsidR="00885489" w:rsidRPr="00CA09AF" w:rsidRDefault="00885489" w:rsidP="00AF7038">
            <w:pPr>
              <w:pStyle w:val="biaogeleft"/>
              <w:wordWrap w:val="0"/>
              <w:rPr>
                <w:rFonts w:asciiTheme="minorEastAsia" w:eastAsiaTheme="minorEastAsia" w:hAnsiTheme="minorEastAsia"/>
              </w:rPr>
            </w:pPr>
            <w:r w:rsidRPr="00CA09AF">
              <w:rPr>
                <w:rFonts w:asciiTheme="minorEastAsia" w:eastAsiaTheme="minorEastAsia" w:hAnsiTheme="minorEastAsia" w:hint="eastAsia"/>
              </w:rPr>
              <w:t>居民服务、修理和其他服务业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57403509" w14:textId="77777777" w:rsidR="00885489" w:rsidRPr="00CA09AF" w:rsidRDefault="00885489" w:rsidP="00AF7038">
            <w:pPr>
              <w:pStyle w:val="biaogeright"/>
              <w:wordWrap w:val="0"/>
              <w:rPr>
                <w:rFonts w:asciiTheme="minorEastAsia" w:eastAsiaTheme="minorEastAsia" w:hAnsiTheme="minorEastAsia"/>
              </w:rPr>
            </w:pPr>
            <w:r w:rsidRPr="00CA09AF">
              <w:rPr>
                <w:rFonts w:asciiTheme="minorEastAsia" w:eastAsiaTheme="minorEastAsia" w:hAnsiTheme="minorEastAsia" w:hint="eastAsia"/>
              </w:rP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553F83EB" w14:textId="77777777" w:rsidR="00885489" w:rsidRPr="00CA09AF" w:rsidRDefault="00885489" w:rsidP="00AF7038">
            <w:pPr>
              <w:pStyle w:val="biaogeright"/>
              <w:wordWrap w:val="0"/>
              <w:rPr>
                <w:rFonts w:asciiTheme="minorEastAsia" w:eastAsiaTheme="minorEastAsia" w:hAnsiTheme="minorEastAsia"/>
              </w:rPr>
            </w:pPr>
            <w:r w:rsidRPr="00CA09AF">
              <w:rPr>
                <w:rFonts w:asciiTheme="minorEastAsia" w:eastAsiaTheme="minorEastAsia" w:hAnsiTheme="minorEastAsia" w:hint="eastAsia"/>
              </w:rPr>
              <w:t>-</w:t>
            </w:r>
          </w:p>
        </w:tc>
      </w:tr>
      <w:tr w:rsidR="00885489" w:rsidRPr="00CA09AF" w14:paraId="41398DDA" w14:textId="77777777" w:rsidTr="00AF7038">
        <w:tc>
          <w:tcPr>
            <w:tcW w:w="0" w:type="auto"/>
            <w:tcBorders>
              <w:top w:val="single" w:sz="8" w:space="0" w:color="000000"/>
              <w:left w:val="single" w:sz="8" w:space="0" w:color="000000"/>
              <w:bottom w:val="single" w:sz="6" w:space="0" w:color="000000"/>
              <w:right w:val="single" w:sz="8" w:space="0" w:color="000000"/>
            </w:tcBorders>
            <w:vAlign w:val="center"/>
          </w:tcPr>
          <w:p w14:paraId="2E4CA9CA" w14:textId="77777777" w:rsidR="00885489" w:rsidRPr="00CA09AF" w:rsidRDefault="00885489" w:rsidP="00AF7038">
            <w:pPr>
              <w:rPr>
                <w:rFonts w:asciiTheme="minorEastAsia" w:hAnsiTheme="minorEastAsia" w:cs="宋体"/>
                <w:kern w:val="0"/>
                <w:sz w:val="24"/>
                <w:szCs w:val="24"/>
              </w:rPr>
            </w:pPr>
            <w:r w:rsidRPr="00CA09AF">
              <w:rPr>
                <w:rFonts w:asciiTheme="minorEastAsia" w:hAnsiTheme="minorEastAsia" w:cs="宋体" w:hint="eastAsia"/>
                <w:kern w:val="0"/>
                <w:sz w:val="24"/>
                <w:szCs w:val="24"/>
              </w:rPr>
              <w:t>P</w:t>
            </w:r>
          </w:p>
        </w:tc>
        <w:tc>
          <w:tcPr>
            <w:tcW w:w="2579" w:type="dxa"/>
            <w:tcBorders>
              <w:top w:val="single" w:sz="8" w:space="0" w:color="000000"/>
              <w:left w:val="single" w:sz="8" w:space="0" w:color="000000"/>
              <w:bottom w:val="single" w:sz="6" w:space="0" w:color="000000"/>
              <w:right w:val="single" w:sz="8" w:space="0" w:color="000000"/>
            </w:tcBorders>
            <w:vAlign w:val="center"/>
          </w:tcPr>
          <w:p w14:paraId="4E1A7AEE" w14:textId="77777777" w:rsidR="00885489" w:rsidRPr="00CA09AF" w:rsidRDefault="00885489" w:rsidP="00AF7038">
            <w:pPr>
              <w:pStyle w:val="biaogeleft"/>
              <w:wordWrap w:val="0"/>
              <w:rPr>
                <w:rFonts w:asciiTheme="minorEastAsia" w:eastAsiaTheme="minorEastAsia" w:hAnsiTheme="minorEastAsia"/>
              </w:rPr>
            </w:pPr>
            <w:r w:rsidRPr="00CA09AF">
              <w:rPr>
                <w:rFonts w:asciiTheme="minorEastAsia" w:eastAsiaTheme="minorEastAsia" w:hAnsiTheme="minorEastAsia" w:hint="eastAsia"/>
              </w:rPr>
              <w:t>教育</w:t>
            </w:r>
          </w:p>
        </w:tc>
        <w:tc>
          <w:tcPr>
            <w:tcW w:w="2694" w:type="dxa"/>
            <w:tcBorders>
              <w:top w:val="single" w:sz="8" w:space="0" w:color="000000"/>
              <w:left w:val="single" w:sz="8" w:space="0" w:color="000000"/>
              <w:bottom w:val="single" w:sz="6" w:space="0" w:color="000000"/>
              <w:right w:val="single" w:sz="8" w:space="0" w:color="000000"/>
            </w:tcBorders>
            <w:vAlign w:val="center"/>
          </w:tcPr>
          <w:p w14:paraId="68EAEBEA" w14:textId="77777777" w:rsidR="00885489" w:rsidRPr="00CA09AF" w:rsidRDefault="00885489" w:rsidP="00AF7038">
            <w:pPr>
              <w:pStyle w:val="biaogeright"/>
              <w:wordWrap w:val="0"/>
              <w:rPr>
                <w:rFonts w:asciiTheme="minorEastAsia" w:eastAsiaTheme="minorEastAsia" w:hAnsiTheme="minorEastAsia"/>
              </w:rPr>
            </w:pPr>
            <w:r w:rsidRPr="00CA09AF">
              <w:rPr>
                <w:rFonts w:asciiTheme="minorEastAsia" w:eastAsiaTheme="minorEastAsia" w:hAnsiTheme="minorEastAsia" w:hint="eastAsia"/>
              </w:rP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1769644D" w14:textId="77777777" w:rsidR="00885489" w:rsidRPr="00CA09AF" w:rsidRDefault="00885489" w:rsidP="00AF7038">
            <w:pPr>
              <w:pStyle w:val="biaogeright"/>
              <w:wordWrap w:val="0"/>
              <w:rPr>
                <w:rFonts w:asciiTheme="minorEastAsia" w:eastAsiaTheme="minorEastAsia" w:hAnsiTheme="minorEastAsia"/>
              </w:rPr>
            </w:pPr>
            <w:r w:rsidRPr="00CA09AF">
              <w:rPr>
                <w:rFonts w:asciiTheme="minorEastAsia" w:eastAsiaTheme="minorEastAsia" w:hAnsiTheme="minorEastAsia" w:hint="eastAsia"/>
              </w:rPr>
              <w:t>-</w:t>
            </w:r>
          </w:p>
        </w:tc>
      </w:tr>
      <w:tr w:rsidR="00885489" w:rsidRPr="00CA09AF" w14:paraId="027584F7" w14:textId="77777777" w:rsidTr="00AF7038">
        <w:tc>
          <w:tcPr>
            <w:tcW w:w="0" w:type="auto"/>
            <w:tcBorders>
              <w:top w:val="single" w:sz="8" w:space="0" w:color="000000"/>
              <w:left w:val="single" w:sz="8" w:space="0" w:color="000000"/>
              <w:bottom w:val="single" w:sz="6" w:space="0" w:color="000000"/>
              <w:right w:val="single" w:sz="8" w:space="0" w:color="000000"/>
            </w:tcBorders>
            <w:vAlign w:val="center"/>
          </w:tcPr>
          <w:p w14:paraId="5803C0A8" w14:textId="77777777" w:rsidR="00885489" w:rsidRPr="00CA09AF" w:rsidRDefault="00885489" w:rsidP="00AF7038">
            <w:pPr>
              <w:rPr>
                <w:rFonts w:asciiTheme="minorEastAsia" w:hAnsiTheme="minorEastAsia" w:cs="宋体"/>
                <w:kern w:val="0"/>
                <w:sz w:val="24"/>
                <w:szCs w:val="24"/>
              </w:rPr>
            </w:pPr>
            <w:r w:rsidRPr="00CA09AF">
              <w:rPr>
                <w:rFonts w:asciiTheme="minorEastAsia" w:hAnsiTheme="minorEastAsia" w:cs="宋体" w:hint="eastAsia"/>
                <w:kern w:val="0"/>
                <w:sz w:val="24"/>
                <w:szCs w:val="24"/>
              </w:rPr>
              <w:t>Q</w:t>
            </w:r>
          </w:p>
        </w:tc>
        <w:tc>
          <w:tcPr>
            <w:tcW w:w="2579" w:type="dxa"/>
            <w:tcBorders>
              <w:top w:val="single" w:sz="8" w:space="0" w:color="000000"/>
              <w:left w:val="single" w:sz="8" w:space="0" w:color="000000"/>
              <w:bottom w:val="single" w:sz="6" w:space="0" w:color="000000"/>
              <w:right w:val="single" w:sz="8" w:space="0" w:color="000000"/>
            </w:tcBorders>
            <w:vAlign w:val="center"/>
          </w:tcPr>
          <w:p w14:paraId="2302CC6B" w14:textId="77777777" w:rsidR="00885489" w:rsidRPr="00CA09AF" w:rsidRDefault="00885489" w:rsidP="00AF7038">
            <w:pPr>
              <w:pStyle w:val="biaogeleft"/>
              <w:wordWrap w:val="0"/>
              <w:rPr>
                <w:rFonts w:asciiTheme="minorEastAsia" w:eastAsiaTheme="minorEastAsia" w:hAnsiTheme="minorEastAsia"/>
              </w:rPr>
            </w:pPr>
            <w:r w:rsidRPr="00CA09AF">
              <w:rPr>
                <w:rFonts w:asciiTheme="minorEastAsia" w:eastAsiaTheme="minorEastAsia" w:hAnsiTheme="minorEastAsia" w:hint="eastAsia"/>
              </w:rPr>
              <w:t>卫生和社会工作</w:t>
            </w:r>
          </w:p>
        </w:tc>
        <w:tc>
          <w:tcPr>
            <w:tcW w:w="2694" w:type="dxa"/>
            <w:tcBorders>
              <w:top w:val="single" w:sz="8" w:space="0" w:color="000000"/>
              <w:left w:val="single" w:sz="8" w:space="0" w:color="000000"/>
              <w:bottom w:val="single" w:sz="6" w:space="0" w:color="000000"/>
              <w:right w:val="single" w:sz="8" w:space="0" w:color="000000"/>
            </w:tcBorders>
            <w:vAlign w:val="center"/>
          </w:tcPr>
          <w:p w14:paraId="3D68E11D" w14:textId="77777777" w:rsidR="00885489" w:rsidRPr="00CA09AF" w:rsidRDefault="00885489" w:rsidP="00AF7038">
            <w:pPr>
              <w:pStyle w:val="biaogeright"/>
              <w:wordWrap w:val="0"/>
              <w:rPr>
                <w:rFonts w:asciiTheme="minorEastAsia" w:eastAsiaTheme="minorEastAsia" w:hAnsiTheme="minorEastAsia"/>
              </w:rPr>
            </w:pPr>
            <w:r w:rsidRPr="00CA09AF">
              <w:rPr>
                <w:rFonts w:asciiTheme="minorEastAsia" w:eastAsiaTheme="minorEastAsia" w:hAnsiTheme="minorEastAsia" w:hint="eastAsia"/>
              </w:rP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7B90F0DF" w14:textId="77777777" w:rsidR="00885489" w:rsidRPr="00CA09AF" w:rsidRDefault="00885489" w:rsidP="00AF7038">
            <w:pPr>
              <w:pStyle w:val="biaogeright"/>
              <w:wordWrap w:val="0"/>
              <w:rPr>
                <w:rFonts w:asciiTheme="minorEastAsia" w:eastAsiaTheme="minorEastAsia" w:hAnsiTheme="minorEastAsia"/>
              </w:rPr>
            </w:pPr>
            <w:r w:rsidRPr="00CA09AF">
              <w:rPr>
                <w:rFonts w:asciiTheme="minorEastAsia" w:eastAsiaTheme="minorEastAsia" w:hAnsiTheme="minorEastAsia" w:hint="eastAsia"/>
              </w:rPr>
              <w:t>-</w:t>
            </w:r>
          </w:p>
        </w:tc>
      </w:tr>
      <w:tr w:rsidR="00885489" w:rsidRPr="00CA09AF" w14:paraId="33F080C6" w14:textId="77777777" w:rsidTr="00AF7038">
        <w:tc>
          <w:tcPr>
            <w:tcW w:w="0" w:type="auto"/>
            <w:tcBorders>
              <w:top w:val="single" w:sz="8" w:space="0" w:color="000000"/>
              <w:left w:val="single" w:sz="8" w:space="0" w:color="000000"/>
              <w:bottom w:val="single" w:sz="6" w:space="0" w:color="000000"/>
              <w:right w:val="single" w:sz="8" w:space="0" w:color="000000"/>
            </w:tcBorders>
            <w:vAlign w:val="center"/>
          </w:tcPr>
          <w:p w14:paraId="717AA536" w14:textId="77777777" w:rsidR="00885489" w:rsidRPr="00CA09AF" w:rsidRDefault="00885489" w:rsidP="00AF7038">
            <w:pPr>
              <w:rPr>
                <w:rFonts w:asciiTheme="minorEastAsia" w:hAnsiTheme="minorEastAsia" w:cs="宋体"/>
                <w:kern w:val="0"/>
                <w:sz w:val="24"/>
                <w:szCs w:val="24"/>
              </w:rPr>
            </w:pPr>
            <w:r w:rsidRPr="00CA09AF">
              <w:rPr>
                <w:rFonts w:asciiTheme="minorEastAsia" w:hAnsiTheme="minorEastAsia" w:cs="宋体" w:hint="eastAsia"/>
                <w:kern w:val="0"/>
                <w:sz w:val="24"/>
                <w:szCs w:val="24"/>
              </w:rPr>
              <w:t>R</w:t>
            </w:r>
          </w:p>
        </w:tc>
        <w:tc>
          <w:tcPr>
            <w:tcW w:w="2579" w:type="dxa"/>
            <w:tcBorders>
              <w:top w:val="single" w:sz="8" w:space="0" w:color="000000"/>
              <w:left w:val="single" w:sz="8" w:space="0" w:color="000000"/>
              <w:bottom w:val="single" w:sz="6" w:space="0" w:color="000000"/>
              <w:right w:val="single" w:sz="8" w:space="0" w:color="000000"/>
            </w:tcBorders>
            <w:vAlign w:val="center"/>
          </w:tcPr>
          <w:p w14:paraId="0920EC47" w14:textId="77777777" w:rsidR="00885489" w:rsidRPr="00CA09AF" w:rsidRDefault="00885489" w:rsidP="00AF7038">
            <w:pPr>
              <w:pStyle w:val="biaogeleft"/>
              <w:wordWrap w:val="0"/>
              <w:rPr>
                <w:rFonts w:asciiTheme="minorEastAsia" w:eastAsiaTheme="minorEastAsia" w:hAnsiTheme="minorEastAsia"/>
              </w:rPr>
            </w:pPr>
            <w:r w:rsidRPr="00CA09AF">
              <w:rPr>
                <w:rFonts w:asciiTheme="minorEastAsia" w:eastAsiaTheme="minorEastAsia" w:hAnsiTheme="minorEastAsia" w:hint="eastAsia"/>
              </w:rPr>
              <w:t>文化、体育和娱乐业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4F151A50" w14:textId="77777777" w:rsidR="00885489" w:rsidRPr="00CA09AF" w:rsidRDefault="00885489" w:rsidP="00AF7038">
            <w:pPr>
              <w:pStyle w:val="biaogeright"/>
              <w:wordWrap w:val="0"/>
              <w:rPr>
                <w:rFonts w:asciiTheme="minorEastAsia" w:eastAsiaTheme="minorEastAsia" w:hAnsiTheme="minorEastAsia"/>
              </w:rPr>
            </w:pPr>
            <w:r w:rsidRPr="00CA09AF">
              <w:rPr>
                <w:rFonts w:asciiTheme="minorEastAsia" w:eastAsiaTheme="minorEastAsia" w:hAnsiTheme="minorEastAsia" w:hint="eastAsia"/>
              </w:rP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779F4394" w14:textId="77777777" w:rsidR="00885489" w:rsidRPr="00CA09AF" w:rsidRDefault="00885489" w:rsidP="00AF7038">
            <w:pPr>
              <w:pStyle w:val="biaogeright"/>
              <w:wordWrap w:val="0"/>
              <w:rPr>
                <w:rFonts w:asciiTheme="minorEastAsia" w:eastAsiaTheme="minorEastAsia" w:hAnsiTheme="minorEastAsia"/>
              </w:rPr>
            </w:pPr>
            <w:r w:rsidRPr="00CA09AF">
              <w:rPr>
                <w:rFonts w:asciiTheme="minorEastAsia" w:eastAsiaTheme="minorEastAsia" w:hAnsiTheme="minorEastAsia" w:hint="eastAsia"/>
              </w:rPr>
              <w:t>-</w:t>
            </w:r>
          </w:p>
        </w:tc>
      </w:tr>
      <w:tr w:rsidR="00885489" w:rsidRPr="00CA09AF" w14:paraId="1D7F6336" w14:textId="77777777" w:rsidTr="00AF7038">
        <w:tc>
          <w:tcPr>
            <w:tcW w:w="0" w:type="auto"/>
            <w:tcBorders>
              <w:top w:val="single" w:sz="8" w:space="0" w:color="000000"/>
              <w:left w:val="single" w:sz="8" w:space="0" w:color="000000"/>
              <w:bottom w:val="single" w:sz="6" w:space="0" w:color="000000"/>
              <w:right w:val="single" w:sz="8" w:space="0" w:color="000000"/>
            </w:tcBorders>
            <w:vAlign w:val="center"/>
          </w:tcPr>
          <w:p w14:paraId="2C88F716" w14:textId="77777777" w:rsidR="00885489" w:rsidRPr="00CA09AF" w:rsidRDefault="00885489" w:rsidP="00AF7038">
            <w:pPr>
              <w:rPr>
                <w:rFonts w:asciiTheme="minorEastAsia" w:hAnsiTheme="minorEastAsia" w:cs="宋体"/>
                <w:kern w:val="0"/>
                <w:sz w:val="24"/>
                <w:szCs w:val="24"/>
              </w:rPr>
            </w:pPr>
            <w:r w:rsidRPr="00CA09AF">
              <w:rPr>
                <w:rFonts w:asciiTheme="minorEastAsia" w:hAnsiTheme="minorEastAsia" w:cs="宋体" w:hint="eastAsia"/>
                <w:kern w:val="0"/>
                <w:sz w:val="24"/>
                <w:szCs w:val="24"/>
              </w:rPr>
              <w:t>S</w:t>
            </w:r>
          </w:p>
        </w:tc>
        <w:tc>
          <w:tcPr>
            <w:tcW w:w="2579" w:type="dxa"/>
            <w:tcBorders>
              <w:top w:val="single" w:sz="8" w:space="0" w:color="000000"/>
              <w:left w:val="single" w:sz="8" w:space="0" w:color="000000"/>
              <w:bottom w:val="single" w:sz="6" w:space="0" w:color="000000"/>
              <w:right w:val="single" w:sz="8" w:space="0" w:color="000000"/>
            </w:tcBorders>
            <w:vAlign w:val="center"/>
          </w:tcPr>
          <w:p w14:paraId="1D7BC197" w14:textId="77777777" w:rsidR="00885489" w:rsidRPr="00CA09AF" w:rsidRDefault="00885489" w:rsidP="00AF7038">
            <w:pPr>
              <w:pStyle w:val="biaogeleft"/>
              <w:wordWrap w:val="0"/>
              <w:rPr>
                <w:rFonts w:asciiTheme="minorEastAsia" w:eastAsiaTheme="minorEastAsia" w:hAnsiTheme="minorEastAsia"/>
              </w:rPr>
            </w:pPr>
            <w:r w:rsidRPr="00CA09AF">
              <w:rPr>
                <w:rFonts w:asciiTheme="minorEastAsia" w:eastAsiaTheme="minorEastAsia" w:hAnsiTheme="minorEastAsia" w:hint="eastAsia"/>
              </w:rPr>
              <w:t>综合</w:t>
            </w:r>
          </w:p>
        </w:tc>
        <w:tc>
          <w:tcPr>
            <w:tcW w:w="2694" w:type="dxa"/>
            <w:tcBorders>
              <w:top w:val="single" w:sz="8" w:space="0" w:color="000000"/>
              <w:left w:val="single" w:sz="8" w:space="0" w:color="000000"/>
              <w:bottom w:val="single" w:sz="6" w:space="0" w:color="000000"/>
              <w:right w:val="single" w:sz="8" w:space="0" w:color="000000"/>
            </w:tcBorders>
            <w:vAlign w:val="center"/>
          </w:tcPr>
          <w:p w14:paraId="2FBE72FB" w14:textId="77777777" w:rsidR="00885489" w:rsidRPr="00CA09AF" w:rsidRDefault="00885489" w:rsidP="00AF7038">
            <w:pPr>
              <w:pStyle w:val="biaogeright"/>
              <w:wordWrap w:val="0"/>
              <w:rPr>
                <w:rFonts w:asciiTheme="minorEastAsia" w:eastAsiaTheme="minorEastAsia" w:hAnsiTheme="minorEastAsia"/>
              </w:rPr>
            </w:pPr>
            <w:r w:rsidRPr="00CA09AF">
              <w:rPr>
                <w:rFonts w:asciiTheme="minorEastAsia" w:eastAsiaTheme="minorEastAsia" w:hAnsiTheme="minorEastAsia" w:hint="eastAsia"/>
              </w:rP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384DD8B5" w14:textId="77777777" w:rsidR="00885489" w:rsidRPr="00CA09AF" w:rsidRDefault="00885489" w:rsidP="00AF7038">
            <w:pPr>
              <w:pStyle w:val="biaogeright"/>
              <w:wordWrap w:val="0"/>
              <w:rPr>
                <w:rFonts w:asciiTheme="minorEastAsia" w:eastAsiaTheme="minorEastAsia" w:hAnsiTheme="minorEastAsia"/>
              </w:rPr>
            </w:pPr>
            <w:r w:rsidRPr="00CA09AF">
              <w:rPr>
                <w:rFonts w:asciiTheme="minorEastAsia" w:eastAsiaTheme="minorEastAsia" w:hAnsiTheme="minorEastAsia" w:hint="eastAsia"/>
              </w:rPr>
              <w:t>-</w:t>
            </w:r>
          </w:p>
        </w:tc>
      </w:tr>
      <w:tr w:rsidR="00885489" w:rsidRPr="00CA09AF" w14:paraId="446190B0" w14:textId="77777777" w:rsidTr="00AF7038">
        <w:tc>
          <w:tcPr>
            <w:tcW w:w="0" w:type="auto"/>
            <w:tcBorders>
              <w:top w:val="single" w:sz="8" w:space="0" w:color="000000"/>
              <w:left w:val="single" w:sz="8" w:space="0" w:color="000000"/>
              <w:bottom w:val="single" w:sz="6" w:space="0" w:color="000000"/>
              <w:right w:val="single" w:sz="8" w:space="0" w:color="000000"/>
            </w:tcBorders>
            <w:vAlign w:val="center"/>
          </w:tcPr>
          <w:p w14:paraId="3B0DBEB9" w14:textId="77777777" w:rsidR="00885489" w:rsidRPr="00CA09AF" w:rsidRDefault="00885489" w:rsidP="00AF7038">
            <w:pPr>
              <w:rPr>
                <w:rFonts w:asciiTheme="minorEastAsia" w:hAnsiTheme="minorEastAsia" w:cs="宋体"/>
                <w:kern w:val="0"/>
                <w:sz w:val="24"/>
                <w:szCs w:val="24"/>
              </w:rPr>
            </w:pPr>
          </w:p>
        </w:tc>
        <w:tc>
          <w:tcPr>
            <w:tcW w:w="2579" w:type="dxa"/>
            <w:tcBorders>
              <w:top w:val="single" w:sz="8" w:space="0" w:color="000000"/>
              <w:left w:val="single" w:sz="8" w:space="0" w:color="000000"/>
              <w:bottom w:val="single" w:sz="6" w:space="0" w:color="000000"/>
              <w:right w:val="single" w:sz="8" w:space="0" w:color="000000"/>
            </w:tcBorders>
            <w:vAlign w:val="center"/>
          </w:tcPr>
          <w:p w14:paraId="195A8A37" w14:textId="77777777" w:rsidR="00885489" w:rsidRPr="00CA09AF" w:rsidRDefault="00885489" w:rsidP="00AF7038">
            <w:pPr>
              <w:pStyle w:val="biaogeleft"/>
              <w:wordWrap w:val="0"/>
              <w:rPr>
                <w:rFonts w:asciiTheme="minorEastAsia" w:eastAsiaTheme="minorEastAsia" w:hAnsiTheme="minorEastAsia"/>
              </w:rPr>
            </w:pPr>
            <w:r w:rsidRPr="00CA09AF">
              <w:rPr>
                <w:rFonts w:asciiTheme="minorEastAsia" w:eastAsiaTheme="minorEastAsia" w:hAnsiTheme="minorEastAsia" w:hint="eastAsia"/>
              </w:rPr>
              <w:t>合计</w:t>
            </w:r>
          </w:p>
        </w:tc>
        <w:tc>
          <w:tcPr>
            <w:tcW w:w="2694" w:type="dxa"/>
            <w:tcBorders>
              <w:top w:val="single" w:sz="8" w:space="0" w:color="000000"/>
              <w:left w:val="single" w:sz="8" w:space="0" w:color="000000"/>
              <w:bottom w:val="single" w:sz="6" w:space="0" w:color="000000"/>
              <w:right w:val="single" w:sz="8" w:space="0" w:color="000000"/>
            </w:tcBorders>
            <w:vAlign w:val="center"/>
          </w:tcPr>
          <w:p w14:paraId="41750CA3" w14:textId="77777777" w:rsidR="00885489" w:rsidRPr="00CA09AF" w:rsidRDefault="00885489" w:rsidP="00AF7038">
            <w:pPr>
              <w:pStyle w:val="biaogeright"/>
              <w:wordWrap w:val="0"/>
              <w:rPr>
                <w:rFonts w:asciiTheme="minorEastAsia" w:eastAsiaTheme="minorEastAsia" w:hAnsiTheme="minorEastAsia"/>
              </w:rPr>
            </w:pPr>
            <w:r w:rsidRPr="00CA09AF">
              <w:rPr>
                <w:rFonts w:asciiTheme="minorEastAsia" w:eastAsiaTheme="minorEastAsia" w:hAnsiTheme="minorEastAsia" w:hint="eastAsia"/>
              </w:rPr>
              <w:t>1,279,300,543.98</w:t>
            </w:r>
          </w:p>
        </w:tc>
        <w:tc>
          <w:tcPr>
            <w:tcW w:w="2693" w:type="dxa"/>
            <w:tcBorders>
              <w:top w:val="single" w:sz="8" w:space="0" w:color="000000"/>
              <w:left w:val="single" w:sz="8" w:space="0" w:color="000000"/>
              <w:bottom w:val="single" w:sz="6" w:space="0" w:color="000000"/>
              <w:right w:val="single" w:sz="8" w:space="0" w:color="000000"/>
            </w:tcBorders>
            <w:vAlign w:val="center"/>
          </w:tcPr>
          <w:p w14:paraId="4272ACF2" w14:textId="77777777" w:rsidR="00885489" w:rsidRPr="00CA09AF" w:rsidRDefault="00885489" w:rsidP="00AF7038">
            <w:pPr>
              <w:pStyle w:val="biaogeright"/>
              <w:wordWrap w:val="0"/>
              <w:rPr>
                <w:rFonts w:asciiTheme="minorEastAsia" w:eastAsiaTheme="minorEastAsia" w:hAnsiTheme="minorEastAsia"/>
              </w:rPr>
            </w:pPr>
            <w:r w:rsidRPr="00CA09AF">
              <w:rPr>
                <w:rFonts w:asciiTheme="minorEastAsia" w:eastAsiaTheme="minorEastAsia" w:hAnsiTheme="minorEastAsia" w:hint="eastAsia"/>
              </w:rPr>
              <w:t>77.98</w:t>
            </w:r>
          </w:p>
        </w:tc>
      </w:tr>
    </w:tbl>
    <w:p w14:paraId="33EE8F3C" w14:textId="77777777" w:rsidR="003568C2" w:rsidRDefault="003568C2">
      <w:pPr>
        <w:widowControl/>
        <w:jc w:val="left"/>
        <w:rPr>
          <w:rFonts w:asciiTheme="minorEastAsia" w:hAnsiTheme="minorEastAsia" w:cs="宋体"/>
          <w:kern w:val="0"/>
          <w:sz w:val="24"/>
          <w:szCs w:val="24"/>
        </w:rPr>
      </w:pPr>
    </w:p>
    <w:p w14:paraId="61F9AE29" w14:textId="77777777" w:rsidR="003568C2" w:rsidRDefault="00695B03">
      <w:pPr>
        <w:pStyle w:val="zhangjiep2"/>
        <w:rPr>
          <w:rFonts w:asciiTheme="minorEastAsia" w:eastAsiaTheme="minorEastAsia" w:hAnsiTheme="minorEastAsia"/>
        </w:rPr>
      </w:pPr>
      <w:r>
        <w:rPr>
          <w:rFonts w:asciiTheme="minorEastAsia" w:eastAsiaTheme="minorEastAsia" w:hAnsiTheme="minorEastAsia" w:hint="eastAsia"/>
          <w:bCs/>
        </w:rPr>
        <w:t>（</w:t>
      </w:r>
      <w:r>
        <w:rPr>
          <w:rFonts w:asciiTheme="minorEastAsia" w:eastAsiaTheme="minorEastAsia" w:hAnsiTheme="minorEastAsia"/>
          <w:bCs/>
        </w:rPr>
        <w:t>2） 报告期末（积极投资）按行业分类的境内股票投资组合</w:t>
      </w:r>
    </w:p>
    <w:tbl>
      <w:tblPr>
        <w:tblW w:w="8789" w:type="dxa"/>
        <w:tblInd w:w="108" w:type="dxa"/>
        <w:tblLook w:val="04A0" w:firstRow="1" w:lastRow="0" w:firstColumn="1" w:lastColumn="0" w:noHBand="0" w:noVBand="1"/>
      </w:tblPr>
      <w:tblGrid>
        <w:gridCol w:w="823"/>
        <w:gridCol w:w="2579"/>
        <w:gridCol w:w="2694"/>
        <w:gridCol w:w="2693"/>
      </w:tblGrid>
      <w:tr w:rsidR="003568C2" w14:paraId="286AF176" w14:textId="77777777">
        <w:tc>
          <w:tcPr>
            <w:tcW w:w="823" w:type="dxa"/>
            <w:tcBorders>
              <w:top w:val="single" w:sz="8" w:space="0" w:color="000000"/>
              <w:left w:val="single" w:sz="8" w:space="0" w:color="000000"/>
              <w:bottom w:val="single" w:sz="6" w:space="0" w:color="000000"/>
              <w:right w:val="single" w:sz="8" w:space="0" w:color="000000"/>
            </w:tcBorders>
            <w:vAlign w:val="center"/>
          </w:tcPr>
          <w:p w14:paraId="429B5208" w14:textId="77777777" w:rsidR="003568C2" w:rsidRDefault="00695B03">
            <w:pPr>
              <w:pStyle w:val="biaogecenter"/>
              <w:wordWrap w:val="0"/>
              <w:rPr>
                <w:rFonts w:asciiTheme="minorEastAsia" w:eastAsiaTheme="minorEastAsia" w:hAnsiTheme="minorEastAsia"/>
                <w:b/>
              </w:rPr>
            </w:pPr>
            <w:r>
              <w:rPr>
                <w:rFonts w:asciiTheme="minorEastAsia" w:eastAsiaTheme="minorEastAsia" w:hAnsiTheme="minorEastAsia" w:hint="eastAsia"/>
                <w:b/>
                <w:color w:val="000000"/>
              </w:rPr>
              <w:t>代码</w:t>
            </w:r>
          </w:p>
        </w:tc>
        <w:tc>
          <w:tcPr>
            <w:tcW w:w="2579" w:type="dxa"/>
            <w:tcBorders>
              <w:top w:val="single" w:sz="8" w:space="0" w:color="000000"/>
              <w:left w:val="single" w:sz="8" w:space="0" w:color="000000"/>
              <w:bottom w:val="single" w:sz="6" w:space="0" w:color="000000"/>
              <w:right w:val="single" w:sz="8" w:space="0" w:color="000000"/>
            </w:tcBorders>
            <w:vAlign w:val="center"/>
          </w:tcPr>
          <w:p w14:paraId="5BA6CF67" w14:textId="77777777" w:rsidR="003568C2" w:rsidRDefault="00695B03">
            <w:pPr>
              <w:pStyle w:val="biaogecenter"/>
              <w:wordWrap w:val="0"/>
              <w:rPr>
                <w:rFonts w:asciiTheme="minorEastAsia" w:eastAsiaTheme="minorEastAsia" w:hAnsiTheme="minorEastAsia"/>
                <w:b/>
              </w:rPr>
            </w:pPr>
            <w:r>
              <w:rPr>
                <w:rFonts w:asciiTheme="minorEastAsia" w:eastAsiaTheme="minorEastAsia" w:hAnsiTheme="minorEastAsia" w:hint="eastAsia"/>
                <w:b/>
                <w:color w:val="000000"/>
              </w:rPr>
              <w:t>行业类别</w:t>
            </w:r>
          </w:p>
        </w:tc>
        <w:tc>
          <w:tcPr>
            <w:tcW w:w="2694" w:type="dxa"/>
            <w:tcBorders>
              <w:top w:val="single" w:sz="8" w:space="0" w:color="000000"/>
              <w:left w:val="single" w:sz="8" w:space="0" w:color="000000"/>
              <w:bottom w:val="single" w:sz="6" w:space="0" w:color="000000"/>
              <w:right w:val="single" w:sz="8" w:space="0" w:color="000000"/>
            </w:tcBorders>
            <w:vAlign w:val="center"/>
          </w:tcPr>
          <w:p w14:paraId="296F7BBC" w14:textId="77777777" w:rsidR="003568C2" w:rsidRDefault="00695B03">
            <w:pPr>
              <w:pStyle w:val="biaogecenter"/>
              <w:wordWrap w:val="0"/>
              <w:rPr>
                <w:rFonts w:asciiTheme="minorEastAsia" w:eastAsiaTheme="minorEastAsia" w:hAnsiTheme="minorEastAsia"/>
                <w:b/>
              </w:rPr>
            </w:pPr>
            <w:r>
              <w:rPr>
                <w:rFonts w:asciiTheme="minorEastAsia" w:eastAsiaTheme="minorEastAsia" w:hAnsiTheme="minorEastAsia" w:hint="eastAsia"/>
                <w:b/>
                <w:color w:val="000000"/>
              </w:rPr>
              <w:t>公允价值(元)</w:t>
            </w:r>
          </w:p>
        </w:tc>
        <w:tc>
          <w:tcPr>
            <w:tcW w:w="2693" w:type="dxa"/>
            <w:tcBorders>
              <w:top w:val="single" w:sz="8" w:space="0" w:color="000000"/>
              <w:left w:val="single" w:sz="8" w:space="0" w:color="000000"/>
              <w:bottom w:val="single" w:sz="6" w:space="0" w:color="000000"/>
              <w:right w:val="single" w:sz="8" w:space="0" w:color="000000"/>
            </w:tcBorders>
            <w:vAlign w:val="center"/>
          </w:tcPr>
          <w:p w14:paraId="34EAA28E" w14:textId="77777777" w:rsidR="003568C2" w:rsidRDefault="00695B03">
            <w:pPr>
              <w:pStyle w:val="biaogecenter"/>
              <w:wordWrap w:val="0"/>
              <w:rPr>
                <w:rFonts w:asciiTheme="minorEastAsia" w:eastAsiaTheme="minorEastAsia" w:hAnsiTheme="minorEastAsia"/>
                <w:b/>
              </w:rPr>
            </w:pPr>
            <w:r>
              <w:rPr>
                <w:rFonts w:asciiTheme="minorEastAsia" w:eastAsiaTheme="minorEastAsia" w:hAnsiTheme="minorEastAsia" w:hint="eastAsia"/>
                <w:b/>
                <w:color w:val="000000"/>
              </w:rPr>
              <w:t>占基金资产净值比例（%）</w:t>
            </w:r>
          </w:p>
        </w:tc>
      </w:tr>
      <w:tr w:rsidR="00885489" w:rsidRPr="00CA09AF" w14:paraId="35A5DE03" w14:textId="77777777" w:rsidTr="00AF7038">
        <w:tc>
          <w:tcPr>
            <w:tcW w:w="0" w:type="auto"/>
            <w:tcBorders>
              <w:top w:val="single" w:sz="8" w:space="0" w:color="000000"/>
              <w:left w:val="single" w:sz="8" w:space="0" w:color="000000"/>
              <w:bottom w:val="single" w:sz="6" w:space="0" w:color="000000"/>
              <w:right w:val="single" w:sz="8" w:space="0" w:color="000000"/>
            </w:tcBorders>
            <w:vAlign w:val="center"/>
          </w:tcPr>
          <w:p w14:paraId="0068174A" w14:textId="77777777" w:rsidR="00885489" w:rsidRPr="00CA09AF" w:rsidRDefault="00885489" w:rsidP="00AF7038">
            <w:pPr>
              <w:rPr>
                <w:rFonts w:asciiTheme="minorEastAsia" w:hAnsiTheme="minorEastAsia" w:cs="宋体"/>
                <w:kern w:val="0"/>
                <w:sz w:val="24"/>
                <w:szCs w:val="24"/>
              </w:rPr>
            </w:pPr>
            <w:r w:rsidRPr="00CA09AF">
              <w:rPr>
                <w:rFonts w:asciiTheme="minorEastAsia" w:hAnsiTheme="minorEastAsia" w:cs="宋体" w:hint="eastAsia"/>
                <w:kern w:val="0"/>
                <w:sz w:val="24"/>
                <w:szCs w:val="24"/>
              </w:rPr>
              <w:t>A</w:t>
            </w:r>
          </w:p>
        </w:tc>
        <w:tc>
          <w:tcPr>
            <w:tcW w:w="2579" w:type="dxa"/>
            <w:tcBorders>
              <w:top w:val="single" w:sz="8" w:space="0" w:color="000000"/>
              <w:left w:val="single" w:sz="8" w:space="0" w:color="000000"/>
              <w:bottom w:val="single" w:sz="6" w:space="0" w:color="000000"/>
              <w:right w:val="single" w:sz="8" w:space="0" w:color="000000"/>
            </w:tcBorders>
            <w:vAlign w:val="center"/>
          </w:tcPr>
          <w:p w14:paraId="34523159" w14:textId="77777777" w:rsidR="00885489" w:rsidRPr="00CA09AF" w:rsidRDefault="00885489" w:rsidP="00AF7038">
            <w:pPr>
              <w:pStyle w:val="biaogeleft"/>
              <w:wordWrap w:val="0"/>
              <w:rPr>
                <w:rFonts w:asciiTheme="minorEastAsia" w:eastAsiaTheme="minorEastAsia" w:hAnsiTheme="minorEastAsia"/>
              </w:rPr>
            </w:pPr>
            <w:r w:rsidRPr="00CA09AF">
              <w:rPr>
                <w:rFonts w:asciiTheme="minorEastAsia" w:eastAsiaTheme="minorEastAsia" w:hAnsiTheme="minorEastAsia" w:hint="eastAsia"/>
              </w:rPr>
              <w:t>农、林、牧、渔业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503BF767" w14:textId="77777777" w:rsidR="00885489" w:rsidRPr="00CA09AF" w:rsidRDefault="00885489" w:rsidP="00AF7038">
            <w:pPr>
              <w:pStyle w:val="biaogeright"/>
              <w:wordWrap w:val="0"/>
              <w:rPr>
                <w:rFonts w:asciiTheme="minorEastAsia" w:eastAsiaTheme="minorEastAsia" w:hAnsiTheme="minorEastAsia"/>
              </w:rPr>
            </w:pPr>
            <w:r w:rsidRPr="00CA09AF">
              <w:rPr>
                <w:rFonts w:asciiTheme="minorEastAsia" w:eastAsiaTheme="minorEastAsia" w:hAnsiTheme="minorEastAsia" w:hint="eastAsia"/>
              </w:rPr>
              <w:t>11,290.28</w:t>
            </w:r>
          </w:p>
        </w:tc>
        <w:tc>
          <w:tcPr>
            <w:tcW w:w="2693" w:type="dxa"/>
            <w:tcBorders>
              <w:top w:val="single" w:sz="8" w:space="0" w:color="000000"/>
              <w:left w:val="single" w:sz="8" w:space="0" w:color="000000"/>
              <w:bottom w:val="single" w:sz="6" w:space="0" w:color="000000"/>
              <w:right w:val="single" w:sz="8" w:space="0" w:color="000000"/>
            </w:tcBorders>
            <w:vAlign w:val="center"/>
          </w:tcPr>
          <w:p w14:paraId="278F0B01" w14:textId="77777777" w:rsidR="00885489" w:rsidRPr="00CA09AF" w:rsidRDefault="00885489" w:rsidP="00AF7038">
            <w:pPr>
              <w:pStyle w:val="biaogeright"/>
              <w:wordWrap w:val="0"/>
              <w:rPr>
                <w:rFonts w:asciiTheme="minorEastAsia" w:eastAsiaTheme="minorEastAsia" w:hAnsiTheme="minorEastAsia"/>
              </w:rPr>
            </w:pPr>
            <w:r w:rsidRPr="00CA09AF">
              <w:rPr>
                <w:rFonts w:asciiTheme="minorEastAsia" w:eastAsiaTheme="minorEastAsia" w:hAnsiTheme="minorEastAsia" w:hint="eastAsia"/>
              </w:rPr>
              <w:t>0.00</w:t>
            </w:r>
          </w:p>
        </w:tc>
      </w:tr>
      <w:tr w:rsidR="00885489" w:rsidRPr="00CA09AF" w14:paraId="4FD5A097" w14:textId="77777777" w:rsidTr="00AF7038">
        <w:tc>
          <w:tcPr>
            <w:tcW w:w="0" w:type="auto"/>
            <w:tcBorders>
              <w:top w:val="single" w:sz="8" w:space="0" w:color="000000"/>
              <w:left w:val="single" w:sz="8" w:space="0" w:color="000000"/>
              <w:bottom w:val="single" w:sz="6" w:space="0" w:color="000000"/>
              <w:right w:val="single" w:sz="8" w:space="0" w:color="000000"/>
            </w:tcBorders>
            <w:vAlign w:val="center"/>
          </w:tcPr>
          <w:p w14:paraId="3742D8DB" w14:textId="77777777" w:rsidR="00885489" w:rsidRPr="00CA09AF" w:rsidRDefault="00885489" w:rsidP="00AF7038">
            <w:pPr>
              <w:rPr>
                <w:rFonts w:asciiTheme="minorEastAsia" w:hAnsiTheme="minorEastAsia" w:cs="宋体"/>
                <w:kern w:val="0"/>
                <w:sz w:val="24"/>
                <w:szCs w:val="24"/>
              </w:rPr>
            </w:pPr>
            <w:r w:rsidRPr="00CA09AF">
              <w:rPr>
                <w:rFonts w:asciiTheme="minorEastAsia" w:hAnsiTheme="minorEastAsia" w:cs="宋体" w:hint="eastAsia"/>
                <w:kern w:val="0"/>
                <w:sz w:val="24"/>
                <w:szCs w:val="24"/>
              </w:rPr>
              <w:t>B</w:t>
            </w:r>
          </w:p>
        </w:tc>
        <w:tc>
          <w:tcPr>
            <w:tcW w:w="2579" w:type="dxa"/>
            <w:tcBorders>
              <w:top w:val="single" w:sz="8" w:space="0" w:color="000000"/>
              <w:left w:val="single" w:sz="8" w:space="0" w:color="000000"/>
              <w:bottom w:val="single" w:sz="6" w:space="0" w:color="000000"/>
              <w:right w:val="single" w:sz="8" w:space="0" w:color="000000"/>
            </w:tcBorders>
            <w:vAlign w:val="center"/>
          </w:tcPr>
          <w:p w14:paraId="1A861324" w14:textId="77777777" w:rsidR="00885489" w:rsidRPr="00CA09AF" w:rsidRDefault="00885489" w:rsidP="00AF7038">
            <w:pPr>
              <w:pStyle w:val="biaogeleft"/>
              <w:wordWrap w:val="0"/>
              <w:rPr>
                <w:rFonts w:asciiTheme="minorEastAsia" w:eastAsiaTheme="minorEastAsia" w:hAnsiTheme="minorEastAsia"/>
              </w:rPr>
            </w:pPr>
            <w:r w:rsidRPr="00CA09AF">
              <w:rPr>
                <w:rFonts w:asciiTheme="minorEastAsia" w:eastAsiaTheme="minorEastAsia" w:hAnsiTheme="minorEastAsia" w:hint="eastAsia"/>
              </w:rPr>
              <w:t>采矿业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24990DCB" w14:textId="77777777" w:rsidR="00885489" w:rsidRPr="00CA09AF" w:rsidRDefault="00885489" w:rsidP="00AF7038">
            <w:pPr>
              <w:pStyle w:val="biaogeright"/>
              <w:wordWrap w:val="0"/>
              <w:rPr>
                <w:rFonts w:asciiTheme="minorEastAsia" w:eastAsiaTheme="minorEastAsia" w:hAnsiTheme="minorEastAsia"/>
              </w:rPr>
            </w:pPr>
            <w:r w:rsidRPr="00CA09AF">
              <w:rPr>
                <w:rFonts w:asciiTheme="minorEastAsia" w:eastAsiaTheme="minorEastAsia" w:hAnsiTheme="minorEastAsia" w:hint="eastAsia"/>
              </w:rP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1EB2E3B0" w14:textId="77777777" w:rsidR="00885489" w:rsidRPr="00CA09AF" w:rsidRDefault="00885489" w:rsidP="00AF7038">
            <w:pPr>
              <w:pStyle w:val="biaogeright"/>
              <w:wordWrap w:val="0"/>
              <w:rPr>
                <w:rFonts w:asciiTheme="minorEastAsia" w:eastAsiaTheme="minorEastAsia" w:hAnsiTheme="minorEastAsia"/>
              </w:rPr>
            </w:pPr>
            <w:r w:rsidRPr="00CA09AF">
              <w:rPr>
                <w:rFonts w:asciiTheme="minorEastAsia" w:eastAsiaTheme="minorEastAsia" w:hAnsiTheme="minorEastAsia" w:hint="eastAsia"/>
              </w:rPr>
              <w:t>-</w:t>
            </w:r>
          </w:p>
        </w:tc>
      </w:tr>
      <w:tr w:rsidR="00885489" w:rsidRPr="00CA09AF" w14:paraId="4BFC4D72" w14:textId="77777777" w:rsidTr="00AF7038">
        <w:tc>
          <w:tcPr>
            <w:tcW w:w="0" w:type="auto"/>
            <w:tcBorders>
              <w:top w:val="single" w:sz="8" w:space="0" w:color="000000"/>
              <w:left w:val="single" w:sz="8" w:space="0" w:color="000000"/>
              <w:bottom w:val="single" w:sz="6" w:space="0" w:color="000000"/>
              <w:right w:val="single" w:sz="8" w:space="0" w:color="000000"/>
            </w:tcBorders>
            <w:vAlign w:val="center"/>
          </w:tcPr>
          <w:p w14:paraId="517EAFE6" w14:textId="77777777" w:rsidR="00885489" w:rsidRPr="00CA09AF" w:rsidRDefault="00885489" w:rsidP="00AF7038">
            <w:pPr>
              <w:rPr>
                <w:rFonts w:asciiTheme="minorEastAsia" w:hAnsiTheme="minorEastAsia" w:cs="宋体"/>
                <w:kern w:val="0"/>
                <w:sz w:val="24"/>
                <w:szCs w:val="24"/>
              </w:rPr>
            </w:pPr>
            <w:r w:rsidRPr="00CA09AF">
              <w:rPr>
                <w:rFonts w:asciiTheme="minorEastAsia" w:hAnsiTheme="minorEastAsia" w:cs="宋体" w:hint="eastAsia"/>
                <w:kern w:val="0"/>
                <w:sz w:val="24"/>
                <w:szCs w:val="24"/>
              </w:rPr>
              <w:t>C</w:t>
            </w:r>
          </w:p>
        </w:tc>
        <w:tc>
          <w:tcPr>
            <w:tcW w:w="2579" w:type="dxa"/>
            <w:tcBorders>
              <w:top w:val="single" w:sz="8" w:space="0" w:color="000000"/>
              <w:left w:val="single" w:sz="8" w:space="0" w:color="000000"/>
              <w:bottom w:val="single" w:sz="6" w:space="0" w:color="000000"/>
              <w:right w:val="single" w:sz="8" w:space="0" w:color="000000"/>
            </w:tcBorders>
            <w:vAlign w:val="center"/>
          </w:tcPr>
          <w:p w14:paraId="042EEBBE" w14:textId="77777777" w:rsidR="00885489" w:rsidRPr="00CA09AF" w:rsidRDefault="00885489" w:rsidP="00AF7038">
            <w:pPr>
              <w:pStyle w:val="biaogeleft"/>
              <w:wordWrap w:val="0"/>
              <w:rPr>
                <w:rFonts w:asciiTheme="minorEastAsia" w:eastAsiaTheme="minorEastAsia" w:hAnsiTheme="minorEastAsia"/>
              </w:rPr>
            </w:pPr>
            <w:r w:rsidRPr="00CA09AF">
              <w:rPr>
                <w:rFonts w:asciiTheme="minorEastAsia" w:eastAsiaTheme="minorEastAsia" w:hAnsiTheme="minorEastAsia" w:hint="eastAsia"/>
              </w:rPr>
              <w:t>制造业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17167BB1" w14:textId="77777777" w:rsidR="00885489" w:rsidRPr="00CA09AF" w:rsidRDefault="00885489" w:rsidP="00AF7038">
            <w:pPr>
              <w:pStyle w:val="biaogeright"/>
              <w:wordWrap w:val="0"/>
              <w:rPr>
                <w:rFonts w:asciiTheme="minorEastAsia" w:eastAsiaTheme="minorEastAsia" w:hAnsiTheme="minorEastAsia"/>
              </w:rPr>
            </w:pPr>
            <w:r w:rsidRPr="00CA09AF">
              <w:rPr>
                <w:rFonts w:asciiTheme="minorEastAsia" w:eastAsiaTheme="minorEastAsia" w:hAnsiTheme="minorEastAsia" w:hint="eastAsia"/>
              </w:rPr>
              <w:t>141,647,216.64</w:t>
            </w:r>
          </w:p>
        </w:tc>
        <w:tc>
          <w:tcPr>
            <w:tcW w:w="2693" w:type="dxa"/>
            <w:tcBorders>
              <w:top w:val="single" w:sz="8" w:space="0" w:color="000000"/>
              <w:left w:val="single" w:sz="8" w:space="0" w:color="000000"/>
              <w:bottom w:val="single" w:sz="6" w:space="0" w:color="000000"/>
              <w:right w:val="single" w:sz="8" w:space="0" w:color="000000"/>
            </w:tcBorders>
            <w:vAlign w:val="center"/>
          </w:tcPr>
          <w:p w14:paraId="5493FA75" w14:textId="77777777" w:rsidR="00885489" w:rsidRPr="00CA09AF" w:rsidRDefault="00885489" w:rsidP="00AF7038">
            <w:pPr>
              <w:pStyle w:val="biaogeright"/>
              <w:wordWrap w:val="0"/>
              <w:rPr>
                <w:rFonts w:asciiTheme="minorEastAsia" w:eastAsiaTheme="minorEastAsia" w:hAnsiTheme="minorEastAsia"/>
              </w:rPr>
            </w:pPr>
            <w:r w:rsidRPr="00CA09AF">
              <w:rPr>
                <w:rFonts w:asciiTheme="minorEastAsia" w:eastAsiaTheme="minorEastAsia" w:hAnsiTheme="minorEastAsia" w:hint="eastAsia"/>
              </w:rPr>
              <w:t>8.63</w:t>
            </w:r>
          </w:p>
        </w:tc>
      </w:tr>
      <w:tr w:rsidR="00885489" w:rsidRPr="00CA09AF" w14:paraId="15EA9849" w14:textId="77777777" w:rsidTr="00AF7038">
        <w:tc>
          <w:tcPr>
            <w:tcW w:w="0" w:type="auto"/>
            <w:tcBorders>
              <w:top w:val="single" w:sz="8" w:space="0" w:color="000000"/>
              <w:left w:val="single" w:sz="8" w:space="0" w:color="000000"/>
              <w:bottom w:val="single" w:sz="6" w:space="0" w:color="000000"/>
              <w:right w:val="single" w:sz="8" w:space="0" w:color="000000"/>
            </w:tcBorders>
            <w:vAlign w:val="center"/>
          </w:tcPr>
          <w:p w14:paraId="2933DA51" w14:textId="77777777" w:rsidR="00885489" w:rsidRPr="00CA09AF" w:rsidRDefault="00885489" w:rsidP="00AF7038">
            <w:pPr>
              <w:rPr>
                <w:rFonts w:asciiTheme="minorEastAsia" w:hAnsiTheme="minorEastAsia" w:cs="宋体"/>
                <w:kern w:val="0"/>
                <w:sz w:val="24"/>
                <w:szCs w:val="24"/>
              </w:rPr>
            </w:pPr>
            <w:r w:rsidRPr="00CA09AF">
              <w:rPr>
                <w:rFonts w:asciiTheme="minorEastAsia" w:hAnsiTheme="minorEastAsia" w:cs="宋体" w:hint="eastAsia"/>
                <w:kern w:val="0"/>
                <w:sz w:val="24"/>
                <w:szCs w:val="24"/>
              </w:rPr>
              <w:t>D</w:t>
            </w:r>
          </w:p>
        </w:tc>
        <w:tc>
          <w:tcPr>
            <w:tcW w:w="2579" w:type="dxa"/>
            <w:tcBorders>
              <w:top w:val="single" w:sz="8" w:space="0" w:color="000000"/>
              <w:left w:val="single" w:sz="8" w:space="0" w:color="000000"/>
              <w:bottom w:val="single" w:sz="6" w:space="0" w:color="000000"/>
              <w:right w:val="single" w:sz="8" w:space="0" w:color="000000"/>
            </w:tcBorders>
            <w:vAlign w:val="center"/>
          </w:tcPr>
          <w:p w14:paraId="454B2F57" w14:textId="77777777" w:rsidR="00885489" w:rsidRPr="00CA09AF" w:rsidRDefault="00885489" w:rsidP="00AF7038">
            <w:pPr>
              <w:pStyle w:val="biaogeleft"/>
              <w:wordWrap w:val="0"/>
              <w:rPr>
                <w:rFonts w:asciiTheme="minorEastAsia" w:eastAsiaTheme="minorEastAsia" w:hAnsiTheme="minorEastAsia"/>
              </w:rPr>
            </w:pPr>
            <w:r w:rsidRPr="00CA09AF">
              <w:rPr>
                <w:rFonts w:asciiTheme="minorEastAsia" w:eastAsiaTheme="minorEastAsia" w:hAnsiTheme="minorEastAsia" w:hint="eastAsia"/>
              </w:rPr>
              <w:t>电力、热力、燃气及水生产和供应业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7063F53E" w14:textId="77777777" w:rsidR="00885489" w:rsidRPr="00CA09AF" w:rsidRDefault="00885489" w:rsidP="00AF7038">
            <w:pPr>
              <w:pStyle w:val="biaogeright"/>
              <w:wordWrap w:val="0"/>
              <w:rPr>
                <w:rFonts w:asciiTheme="minorEastAsia" w:eastAsiaTheme="minorEastAsia" w:hAnsiTheme="minorEastAsia"/>
              </w:rPr>
            </w:pPr>
            <w:r w:rsidRPr="00CA09AF">
              <w:rPr>
                <w:rFonts w:asciiTheme="minorEastAsia" w:eastAsiaTheme="minorEastAsia" w:hAnsiTheme="minorEastAsia" w:hint="eastAsia"/>
              </w:rPr>
              <w:t>5,160,036.60</w:t>
            </w:r>
          </w:p>
        </w:tc>
        <w:tc>
          <w:tcPr>
            <w:tcW w:w="2693" w:type="dxa"/>
            <w:tcBorders>
              <w:top w:val="single" w:sz="8" w:space="0" w:color="000000"/>
              <w:left w:val="single" w:sz="8" w:space="0" w:color="000000"/>
              <w:bottom w:val="single" w:sz="6" w:space="0" w:color="000000"/>
              <w:right w:val="single" w:sz="8" w:space="0" w:color="000000"/>
            </w:tcBorders>
            <w:vAlign w:val="center"/>
          </w:tcPr>
          <w:p w14:paraId="45C44728" w14:textId="77777777" w:rsidR="00885489" w:rsidRPr="00CA09AF" w:rsidRDefault="00885489" w:rsidP="00AF7038">
            <w:pPr>
              <w:pStyle w:val="biaogeright"/>
              <w:wordWrap w:val="0"/>
              <w:rPr>
                <w:rFonts w:asciiTheme="minorEastAsia" w:eastAsiaTheme="minorEastAsia" w:hAnsiTheme="minorEastAsia"/>
              </w:rPr>
            </w:pPr>
            <w:r w:rsidRPr="00CA09AF">
              <w:rPr>
                <w:rFonts w:asciiTheme="minorEastAsia" w:eastAsiaTheme="minorEastAsia" w:hAnsiTheme="minorEastAsia" w:hint="eastAsia"/>
              </w:rPr>
              <w:t>0.31</w:t>
            </w:r>
          </w:p>
        </w:tc>
      </w:tr>
      <w:tr w:rsidR="00885489" w:rsidRPr="00CA09AF" w14:paraId="460249CD" w14:textId="77777777" w:rsidTr="00AF7038">
        <w:tc>
          <w:tcPr>
            <w:tcW w:w="0" w:type="auto"/>
            <w:tcBorders>
              <w:top w:val="single" w:sz="8" w:space="0" w:color="000000"/>
              <w:left w:val="single" w:sz="8" w:space="0" w:color="000000"/>
              <w:bottom w:val="single" w:sz="6" w:space="0" w:color="000000"/>
              <w:right w:val="single" w:sz="8" w:space="0" w:color="000000"/>
            </w:tcBorders>
            <w:vAlign w:val="center"/>
          </w:tcPr>
          <w:p w14:paraId="63E0D852" w14:textId="77777777" w:rsidR="00885489" w:rsidRPr="00CA09AF" w:rsidRDefault="00885489" w:rsidP="00AF7038">
            <w:pPr>
              <w:rPr>
                <w:rFonts w:asciiTheme="minorEastAsia" w:hAnsiTheme="minorEastAsia" w:cs="宋体"/>
                <w:kern w:val="0"/>
                <w:sz w:val="24"/>
                <w:szCs w:val="24"/>
              </w:rPr>
            </w:pPr>
            <w:r w:rsidRPr="00CA09AF">
              <w:rPr>
                <w:rFonts w:asciiTheme="minorEastAsia" w:hAnsiTheme="minorEastAsia" w:cs="宋体" w:hint="eastAsia"/>
                <w:kern w:val="0"/>
                <w:sz w:val="24"/>
                <w:szCs w:val="24"/>
              </w:rPr>
              <w:t>E</w:t>
            </w:r>
          </w:p>
        </w:tc>
        <w:tc>
          <w:tcPr>
            <w:tcW w:w="2579" w:type="dxa"/>
            <w:tcBorders>
              <w:top w:val="single" w:sz="8" w:space="0" w:color="000000"/>
              <w:left w:val="single" w:sz="8" w:space="0" w:color="000000"/>
              <w:bottom w:val="single" w:sz="6" w:space="0" w:color="000000"/>
              <w:right w:val="single" w:sz="8" w:space="0" w:color="000000"/>
            </w:tcBorders>
            <w:vAlign w:val="center"/>
          </w:tcPr>
          <w:p w14:paraId="43D7BDA5" w14:textId="77777777" w:rsidR="00885489" w:rsidRPr="00CA09AF" w:rsidRDefault="00885489" w:rsidP="00AF7038">
            <w:pPr>
              <w:pStyle w:val="biaogeleft"/>
              <w:wordWrap w:val="0"/>
              <w:rPr>
                <w:rFonts w:asciiTheme="minorEastAsia" w:eastAsiaTheme="minorEastAsia" w:hAnsiTheme="minorEastAsia"/>
              </w:rPr>
            </w:pPr>
            <w:r w:rsidRPr="00CA09AF">
              <w:rPr>
                <w:rFonts w:asciiTheme="minorEastAsia" w:eastAsiaTheme="minorEastAsia" w:hAnsiTheme="minorEastAsia" w:hint="eastAsia"/>
              </w:rPr>
              <w:t>建筑业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46934672" w14:textId="77777777" w:rsidR="00885489" w:rsidRPr="00CA09AF" w:rsidRDefault="00885489" w:rsidP="00AF7038">
            <w:pPr>
              <w:pStyle w:val="biaogeright"/>
              <w:wordWrap w:val="0"/>
              <w:rPr>
                <w:rFonts w:asciiTheme="minorEastAsia" w:eastAsiaTheme="minorEastAsia" w:hAnsiTheme="minorEastAsia"/>
              </w:rPr>
            </w:pPr>
            <w:r w:rsidRPr="00CA09AF">
              <w:rPr>
                <w:rFonts w:asciiTheme="minorEastAsia" w:eastAsiaTheme="minorEastAsia" w:hAnsiTheme="minorEastAsia" w:hint="eastAsia"/>
              </w:rPr>
              <w:t>25,371.37</w:t>
            </w:r>
          </w:p>
        </w:tc>
        <w:tc>
          <w:tcPr>
            <w:tcW w:w="2693" w:type="dxa"/>
            <w:tcBorders>
              <w:top w:val="single" w:sz="8" w:space="0" w:color="000000"/>
              <w:left w:val="single" w:sz="8" w:space="0" w:color="000000"/>
              <w:bottom w:val="single" w:sz="6" w:space="0" w:color="000000"/>
              <w:right w:val="single" w:sz="8" w:space="0" w:color="000000"/>
            </w:tcBorders>
            <w:vAlign w:val="center"/>
          </w:tcPr>
          <w:p w14:paraId="1B0265A6" w14:textId="77777777" w:rsidR="00885489" w:rsidRPr="00CA09AF" w:rsidRDefault="00885489" w:rsidP="00AF7038">
            <w:pPr>
              <w:pStyle w:val="biaogeright"/>
              <w:wordWrap w:val="0"/>
              <w:rPr>
                <w:rFonts w:asciiTheme="minorEastAsia" w:eastAsiaTheme="minorEastAsia" w:hAnsiTheme="minorEastAsia"/>
              </w:rPr>
            </w:pPr>
            <w:r w:rsidRPr="00CA09AF">
              <w:rPr>
                <w:rFonts w:asciiTheme="minorEastAsia" w:eastAsiaTheme="minorEastAsia" w:hAnsiTheme="minorEastAsia" w:hint="eastAsia"/>
              </w:rPr>
              <w:t>0.00</w:t>
            </w:r>
          </w:p>
        </w:tc>
      </w:tr>
      <w:tr w:rsidR="00885489" w:rsidRPr="00CA09AF" w14:paraId="52AC04E4" w14:textId="77777777" w:rsidTr="00AF7038">
        <w:tc>
          <w:tcPr>
            <w:tcW w:w="0" w:type="auto"/>
            <w:tcBorders>
              <w:top w:val="single" w:sz="8" w:space="0" w:color="000000"/>
              <w:left w:val="single" w:sz="8" w:space="0" w:color="000000"/>
              <w:bottom w:val="single" w:sz="6" w:space="0" w:color="000000"/>
              <w:right w:val="single" w:sz="8" w:space="0" w:color="000000"/>
            </w:tcBorders>
            <w:vAlign w:val="center"/>
          </w:tcPr>
          <w:p w14:paraId="60D615A9" w14:textId="77777777" w:rsidR="00885489" w:rsidRPr="00CA09AF" w:rsidRDefault="00885489" w:rsidP="00AF7038">
            <w:pPr>
              <w:rPr>
                <w:rFonts w:asciiTheme="minorEastAsia" w:hAnsiTheme="minorEastAsia" w:cs="宋体"/>
                <w:kern w:val="0"/>
                <w:sz w:val="24"/>
                <w:szCs w:val="24"/>
              </w:rPr>
            </w:pPr>
            <w:r w:rsidRPr="00CA09AF">
              <w:rPr>
                <w:rFonts w:asciiTheme="minorEastAsia" w:hAnsiTheme="minorEastAsia" w:cs="宋体" w:hint="eastAsia"/>
                <w:kern w:val="0"/>
                <w:sz w:val="24"/>
                <w:szCs w:val="24"/>
              </w:rPr>
              <w:t>F</w:t>
            </w:r>
          </w:p>
        </w:tc>
        <w:tc>
          <w:tcPr>
            <w:tcW w:w="2579" w:type="dxa"/>
            <w:tcBorders>
              <w:top w:val="single" w:sz="8" w:space="0" w:color="000000"/>
              <w:left w:val="single" w:sz="8" w:space="0" w:color="000000"/>
              <w:bottom w:val="single" w:sz="6" w:space="0" w:color="000000"/>
              <w:right w:val="single" w:sz="8" w:space="0" w:color="000000"/>
            </w:tcBorders>
            <w:vAlign w:val="center"/>
          </w:tcPr>
          <w:p w14:paraId="1009EC95" w14:textId="77777777" w:rsidR="00885489" w:rsidRPr="00CA09AF" w:rsidRDefault="00885489" w:rsidP="00AF7038">
            <w:pPr>
              <w:pStyle w:val="biaogeleft"/>
              <w:wordWrap w:val="0"/>
              <w:rPr>
                <w:rFonts w:asciiTheme="minorEastAsia" w:eastAsiaTheme="minorEastAsia" w:hAnsiTheme="minorEastAsia"/>
              </w:rPr>
            </w:pPr>
            <w:r w:rsidRPr="00CA09AF">
              <w:rPr>
                <w:rFonts w:asciiTheme="minorEastAsia" w:eastAsiaTheme="minorEastAsia" w:hAnsiTheme="minorEastAsia" w:hint="eastAsia"/>
              </w:rPr>
              <w:t>批发和零售业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67C5D117" w14:textId="77777777" w:rsidR="00885489" w:rsidRPr="00CA09AF" w:rsidRDefault="00885489" w:rsidP="00AF7038">
            <w:pPr>
              <w:pStyle w:val="biaogeright"/>
              <w:wordWrap w:val="0"/>
              <w:rPr>
                <w:rFonts w:asciiTheme="minorEastAsia" w:eastAsiaTheme="minorEastAsia" w:hAnsiTheme="minorEastAsia"/>
              </w:rPr>
            </w:pPr>
            <w:r w:rsidRPr="00CA09AF">
              <w:rPr>
                <w:rFonts w:asciiTheme="minorEastAsia" w:eastAsiaTheme="minorEastAsia" w:hAnsiTheme="minorEastAsia" w:hint="eastAsia"/>
              </w:rPr>
              <w:t>95,577.58</w:t>
            </w:r>
          </w:p>
        </w:tc>
        <w:tc>
          <w:tcPr>
            <w:tcW w:w="2693" w:type="dxa"/>
            <w:tcBorders>
              <w:top w:val="single" w:sz="8" w:space="0" w:color="000000"/>
              <w:left w:val="single" w:sz="8" w:space="0" w:color="000000"/>
              <w:bottom w:val="single" w:sz="6" w:space="0" w:color="000000"/>
              <w:right w:val="single" w:sz="8" w:space="0" w:color="000000"/>
            </w:tcBorders>
            <w:vAlign w:val="center"/>
          </w:tcPr>
          <w:p w14:paraId="2AF34BB4" w14:textId="77777777" w:rsidR="00885489" w:rsidRPr="00CA09AF" w:rsidRDefault="00885489" w:rsidP="00AF7038">
            <w:pPr>
              <w:pStyle w:val="biaogeright"/>
              <w:wordWrap w:val="0"/>
              <w:rPr>
                <w:rFonts w:asciiTheme="minorEastAsia" w:eastAsiaTheme="minorEastAsia" w:hAnsiTheme="minorEastAsia"/>
              </w:rPr>
            </w:pPr>
            <w:r w:rsidRPr="00CA09AF">
              <w:rPr>
                <w:rFonts w:asciiTheme="minorEastAsia" w:eastAsiaTheme="minorEastAsia" w:hAnsiTheme="minorEastAsia" w:hint="eastAsia"/>
              </w:rPr>
              <w:t>0.01</w:t>
            </w:r>
          </w:p>
        </w:tc>
      </w:tr>
      <w:tr w:rsidR="00885489" w:rsidRPr="00CA09AF" w14:paraId="4C0BA447" w14:textId="77777777" w:rsidTr="00AF7038">
        <w:tc>
          <w:tcPr>
            <w:tcW w:w="0" w:type="auto"/>
            <w:tcBorders>
              <w:top w:val="single" w:sz="8" w:space="0" w:color="000000"/>
              <w:left w:val="single" w:sz="8" w:space="0" w:color="000000"/>
              <w:bottom w:val="single" w:sz="6" w:space="0" w:color="000000"/>
              <w:right w:val="single" w:sz="8" w:space="0" w:color="000000"/>
            </w:tcBorders>
            <w:vAlign w:val="center"/>
          </w:tcPr>
          <w:p w14:paraId="2C448A21" w14:textId="77777777" w:rsidR="00885489" w:rsidRPr="00CA09AF" w:rsidRDefault="00885489" w:rsidP="00AF7038">
            <w:pPr>
              <w:rPr>
                <w:rFonts w:asciiTheme="minorEastAsia" w:hAnsiTheme="minorEastAsia" w:cs="宋体"/>
                <w:kern w:val="0"/>
                <w:sz w:val="24"/>
                <w:szCs w:val="24"/>
              </w:rPr>
            </w:pPr>
            <w:r w:rsidRPr="00CA09AF">
              <w:rPr>
                <w:rFonts w:asciiTheme="minorEastAsia" w:hAnsiTheme="minorEastAsia" w:cs="宋体" w:hint="eastAsia"/>
                <w:kern w:val="0"/>
                <w:sz w:val="24"/>
                <w:szCs w:val="24"/>
              </w:rPr>
              <w:t>G</w:t>
            </w:r>
          </w:p>
        </w:tc>
        <w:tc>
          <w:tcPr>
            <w:tcW w:w="2579" w:type="dxa"/>
            <w:tcBorders>
              <w:top w:val="single" w:sz="8" w:space="0" w:color="000000"/>
              <w:left w:val="single" w:sz="8" w:space="0" w:color="000000"/>
              <w:bottom w:val="single" w:sz="6" w:space="0" w:color="000000"/>
              <w:right w:val="single" w:sz="8" w:space="0" w:color="000000"/>
            </w:tcBorders>
            <w:vAlign w:val="center"/>
          </w:tcPr>
          <w:p w14:paraId="5C73CBA9" w14:textId="77777777" w:rsidR="00885489" w:rsidRPr="00CA09AF" w:rsidRDefault="00885489" w:rsidP="00AF7038">
            <w:pPr>
              <w:pStyle w:val="biaogeleft"/>
              <w:wordWrap w:val="0"/>
              <w:rPr>
                <w:rFonts w:asciiTheme="minorEastAsia" w:eastAsiaTheme="minorEastAsia" w:hAnsiTheme="minorEastAsia"/>
              </w:rPr>
            </w:pPr>
            <w:r w:rsidRPr="00CA09AF">
              <w:rPr>
                <w:rFonts w:asciiTheme="minorEastAsia" w:eastAsiaTheme="minorEastAsia" w:hAnsiTheme="minorEastAsia" w:hint="eastAsia"/>
              </w:rPr>
              <w:t>交通运输、仓储和邮政业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6158EAA9" w14:textId="77777777" w:rsidR="00885489" w:rsidRPr="00CA09AF" w:rsidRDefault="00885489" w:rsidP="00AF7038">
            <w:pPr>
              <w:pStyle w:val="biaogeright"/>
              <w:wordWrap w:val="0"/>
              <w:rPr>
                <w:rFonts w:asciiTheme="minorEastAsia" w:eastAsiaTheme="minorEastAsia" w:hAnsiTheme="minorEastAsia"/>
              </w:rPr>
            </w:pPr>
            <w:r w:rsidRPr="00CA09AF">
              <w:rPr>
                <w:rFonts w:asciiTheme="minorEastAsia" w:eastAsiaTheme="minorEastAsia" w:hAnsiTheme="minorEastAsia" w:hint="eastAsia"/>
              </w:rP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2B2F2E30" w14:textId="77777777" w:rsidR="00885489" w:rsidRPr="00CA09AF" w:rsidRDefault="00885489" w:rsidP="00AF7038">
            <w:pPr>
              <w:pStyle w:val="biaogeright"/>
              <w:wordWrap w:val="0"/>
              <w:rPr>
                <w:rFonts w:asciiTheme="minorEastAsia" w:eastAsiaTheme="minorEastAsia" w:hAnsiTheme="minorEastAsia"/>
              </w:rPr>
            </w:pPr>
            <w:r w:rsidRPr="00CA09AF">
              <w:rPr>
                <w:rFonts w:asciiTheme="minorEastAsia" w:eastAsiaTheme="minorEastAsia" w:hAnsiTheme="minorEastAsia" w:hint="eastAsia"/>
              </w:rPr>
              <w:t>-</w:t>
            </w:r>
          </w:p>
        </w:tc>
      </w:tr>
      <w:tr w:rsidR="00885489" w:rsidRPr="00CA09AF" w14:paraId="3565B6BA" w14:textId="77777777" w:rsidTr="00AF7038">
        <w:tc>
          <w:tcPr>
            <w:tcW w:w="0" w:type="auto"/>
            <w:tcBorders>
              <w:top w:val="single" w:sz="8" w:space="0" w:color="000000"/>
              <w:left w:val="single" w:sz="8" w:space="0" w:color="000000"/>
              <w:bottom w:val="single" w:sz="6" w:space="0" w:color="000000"/>
              <w:right w:val="single" w:sz="8" w:space="0" w:color="000000"/>
            </w:tcBorders>
            <w:vAlign w:val="center"/>
          </w:tcPr>
          <w:p w14:paraId="75AA2483" w14:textId="77777777" w:rsidR="00885489" w:rsidRPr="00CA09AF" w:rsidRDefault="00885489" w:rsidP="00AF7038">
            <w:pPr>
              <w:rPr>
                <w:rFonts w:asciiTheme="minorEastAsia" w:hAnsiTheme="minorEastAsia" w:cs="宋体"/>
                <w:kern w:val="0"/>
                <w:sz w:val="24"/>
                <w:szCs w:val="24"/>
              </w:rPr>
            </w:pPr>
            <w:r w:rsidRPr="00CA09AF">
              <w:rPr>
                <w:rFonts w:asciiTheme="minorEastAsia" w:hAnsiTheme="minorEastAsia" w:cs="宋体" w:hint="eastAsia"/>
                <w:kern w:val="0"/>
                <w:sz w:val="24"/>
                <w:szCs w:val="24"/>
              </w:rPr>
              <w:t>H</w:t>
            </w:r>
          </w:p>
        </w:tc>
        <w:tc>
          <w:tcPr>
            <w:tcW w:w="2579" w:type="dxa"/>
            <w:tcBorders>
              <w:top w:val="single" w:sz="8" w:space="0" w:color="000000"/>
              <w:left w:val="single" w:sz="8" w:space="0" w:color="000000"/>
              <w:bottom w:val="single" w:sz="6" w:space="0" w:color="000000"/>
              <w:right w:val="single" w:sz="8" w:space="0" w:color="000000"/>
            </w:tcBorders>
            <w:vAlign w:val="center"/>
          </w:tcPr>
          <w:p w14:paraId="1B47A4F0" w14:textId="77777777" w:rsidR="00885489" w:rsidRPr="00CA09AF" w:rsidRDefault="00885489" w:rsidP="00AF7038">
            <w:pPr>
              <w:pStyle w:val="biaogeleft"/>
              <w:wordWrap w:val="0"/>
              <w:rPr>
                <w:rFonts w:asciiTheme="minorEastAsia" w:eastAsiaTheme="minorEastAsia" w:hAnsiTheme="minorEastAsia"/>
              </w:rPr>
            </w:pPr>
            <w:r w:rsidRPr="00CA09AF">
              <w:rPr>
                <w:rFonts w:asciiTheme="minorEastAsia" w:eastAsiaTheme="minorEastAsia" w:hAnsiTheme="minorEastAsia" w:hint="eastAsia"/>
              </w:rPr>
              <w:t>住宿和餐饮业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268F3BAB" w14:textId="77777777" w:rsidR="00885489" w:rsidRPr="00CA09AF" w:rsidRDefault="00885489" w:rsidP="00AF7038">
            <w:pPr>
              <w:pStyle w:val="biaogeright"/>
              <w:wordWrap w:val="0"/>
              <w:rPr>
                <w:rFonts w:asciiTheme="minorEastAsia" w:eastAsiaTheme="minorEastAsia" w:hAnsiTheme="minorEastAsia"/>
              </w:rPr>
            </w:pPr>
            <w:r w:rsidRPr="00CA09AF">
              <w:rPr>
                <w:rFonts w:asciiTheme="minorEastAsia" w:eastAsiaTheme="minorEastAsia" w:hAnsiTheme="minorEastAsia" w:hint="eastAsia"/>
              </w:rP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5FF0D69A" w14:textId="77777777" w:rsidR="00885489" w:rsidRPr="00CA09AF" w:rsidRDefault="00885489" w:rsidP="00AF7038">
            <w:pPr>
              <w:pStyle w:val="biaogeright"/>
              <w:wordWrap w:val="0"/>
              <w:rPr>
                <w:rFonts w:asciiTheme="minorEastAsia" w:eastAsiaTheme="minorEastAsia" w:hAnsiTheme="minorEastAsia"/>
              </w:rPr>
            </w:pPr>
            <w:r w:rsidRPr="00CA09AF">
              <w:rPr>
                <w:rFonts w:asciiTheme="minorEastAsia" w:eastAsiaTheme="minorEastAsia" w:hAnsiTheme="minorEastAsia" w:hint="eastAsia"/>
              </w:rPr>
              <w:t>-</w:t>
            </w:r>
          </w:p>
        </w:tc>
      </w:tr>
      <w:tr w:rsidR="00885489" w:rsidRPr="00CA09AF" w14:paraId="0C93C26E" w14:textId="77777777" w:rsidTr="00AF7038">
        <w:tc>
          <w:tcPr>
            <w:tcW w:w="0" w:type="auto"/>
            <w:tcBorders>
              <w:top w:val="single" w:sz="8" w:space="0" w:color="000000"/>
              <w:left w:val="single" w:sz="8" w:space="0" w:color="000000"/>
              <w:bottom w:val="single" w:sz="6" w:space="0" w:color="000000"/>
              <w:right w:val="single" w:sz="8" w:space="0" w:color="000000"/>
            </w:tcBorders>
            <w:vAlign w:val="center"/>
          </w:tcPr>
          <w:p w14:paraId="1A1FBCD0" w14:textId="77777777" w:rsidR="00885489" w:rsidRPr="00CA09AF" w:rsidRDefault="00885489" w:rsidP="00AF7038">
            <w:pPr>
              <w:rPr>
                <w:rFonts w:asciiTheme="minorEastAsia" w:hAnsiTheme="minorEastAsia" w:cs="宋体"/>
                <w:kern w:val="0"/>
                <w:sz w:val="24"/>
                <w:szCs w:val="24"/>
              </w:rPr>
            </w:pPr>
            <w:r w:rsidRPr="00CA09AF">
              <w:rPr>
                <w:rFonts w:asciiTheme="minorEastAsia" w:hAnsiTheme="minorEastAsia" w:cs="宋体" w:hint="eastAsia"/>
                <w:kern w:val="0"/>
                <w:sz w:val="24"/>
                <w:szCs w:val="24"/>
              </w:rPr>
              <w:t>I</w:t>
            </w:r>
          </w:p>
        </w:tc>
        <w:tc>
          <w:tcPr>
            <w:tcW w:w="2579" w:type="dxa"/>
            <w:tcBorders>
              <w:top w:val="single" w:sz="8" w:space="0" w:color="000000"/>
              <w:left w:val="single" w:sz="8" w:space="0" w:color="000000"/>
              <w:bottom w:val="single" w:sz="6" w:space="0" w:color="000000"/>
              <w:right w:val="single" w:sz="8" w:space="0" w:color="000000"/>
            </w:tcBorders>
            <w:vAlign w:val="center"/>
          </w:tcPr>
          <w:p w14:paraId="4E9B36BA" w14:textId="77777777" w:rsidR="00885489" w:rsidRPr="00CA09AF" w:rsidRDefault="00885489" w:rsidP="00AF7038">
            <w:pPr>
              <w:pStyle w:val="biaogeleft"/>
              <w:wordWrap w:val="0"/>
              <w:rPr>
                <w:rFonts w:asciiTheme="minorEastAsia" w:eastAsiaTheme="minorEastAsia" w:hAnsiTheme="minorEastAsia"/>
              </w:rPr>
            </w:pPr>
            <w:r w:rsidRPr="00CA09AF">
              <w:rPr>
                <w:rFonts w:asciiTheme="minorEastAsia" w:eastAsiaTheme="minorEastAsia" w:hAnsiTheme="minorEastAsia" w:hint="eastAsia"/>
              </w:rPr>
              <w:t>信息传输、软件和信息技术服务业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338F5C22" w14:textId="77777777" w:rsidR="00885489" w:rsidRPr="00CA09AF" w:rsidRDefault="00885489" w:rsidP="00AF7038">
            <w:pPr>
              <w:pStyle w:val="biaogeright"/>
              <w:wordWrap w:val="0"/>
              <w:rPr>
                <w:rFonts w:asciiTheme="minorEastAsia" w:eastAsiaTheme="minorEastAsia" w:hAnsiTheme="minorEastAsia"/>
              </w:rPr>
            </w:pPr>
            <w:r w:rsidRPr="00CA09AF">
              <w:rPr>
                <w:rFonts w:asciiTheme="minorEastAsia" w:eastAsiaTheme="minorEastAsia" w:hAnsiTheme="minorEastAsia" w:hint="eastAsia"/>
              </w:rPr>
              <w:t>32,156.46</w:t>
            </w:r>
          </w:p>
        </w:tc>
        <w:tc>
          <w:tcPr>
            <w:tcW w:w="2693" w:type="dxa"/>
            <w:tcBorders>
              <w:top w:val="single" w:sz="8" w:space="0" w:color="000000"/>
              <w:left w:val="single" w:sz="8" w:space="0" w:color="000000"/>
              <w:bottom w:val="single" w:sz="6" w:space="0" w:color="000000"/>
              <w:right w:val="single" w:sz="8" w:space="0" w:color="000000"/>
            </w:tcBorders>
            <w:vAlign w:val="center"/>
          </w:tcPr>
          <w:p w14:paraId="1DCE40AC" w14:textId="77777777" w:rsidR="00885489" w:rsidRPr="00CA09AF" w:rsidRDefault="00885489" w:rsidP="00AF7038">
            <w:pPr>
              <w:pStyle w:val="biaogeright"/>
              <w:wordWrap w:val="0"/>
              <w:rPr>
                <w:rFonts w:asciiTheme="minorEastAsia" w:eastAsiaTheme="minorEastAsia" w:hAnsiTheme="minorEastAsia"/>
              </w:rPr>
            </w:pPr>
            <w:r w:rsidRPr="00CA09AF">
              <w:rPr>
                <w:rFonts w:asciiTheme="minorEastAsia" w:eastAsiaTheme="minorEastAsia" w:hAnsiTheme="minorEastAsia" w:hint="eastAsia"/>
              </w:rPr>
              <w:t>0.00</w:t>
            </w:r>
          </w:p>
        </w:tc>
      </w:tr>
      <w:tr w:rsidR="00885489" w:rsidRPr="00CA09AF" w14:paraId="4F0A2E0B" w14:textId="77777777" w:rsidTr="00AF7038">
        <w:tc>
          <w:tcPr>
            <w:tcW w:w="0" w:type="auto"/>
            <w:tcBorders>
              <w:top w:val="single" w:sz="8" w:space="0" w:color="000000"/>
              <w:left w:val="single" w:sz="8" w:space="0" w:color="000000"/>
              <w:bottom w:val="single" w:sz="6" w:space="0" w:color="000000"/>
              <w:right w:val="single" w:sz="8" w:space="0" w:color="000000"/>
            </w:tcBorders>
            <w:vAlign w:val="center"/>
          </w:tcPr>
          <w:p w14:paraId="1B96B56E" w14:textId="77777777" w:rsidR="00885489" w:rsidRPr="00CA09AF" w:rsidRDefault="00885489" w:rsidP="00AF7038">
            <w:pPr>
              <w:rPr>
                <w:rFonts w:asciiTheme="minorEastAsia" w:hAnsiTheme="minorEastAsia" w:cs="宋体"/>
                <w:kern w:val="0"/>
                <w:sz w:val="24"/>
                <w:szCs w:val="24"/>
              </w:rPr>
            </w:pPr>
            <w:r w:rsidRPr="00CA09AF">
              <w:rPr>
                <w:rFonts w:asciiTheme="minorEastAsia" w:hAnsiTheme="minorEastAsia" w:cs="宋体" w:hint="eastAsia"/>
                <w:kern w:val="0"/>
                <w:sz w:val="24"/>
                <w:szCs w:val="24"/>
              </w:rPr>
              <w:t>J</w:t>
            </w:r>
          </w:p>
        </w:tc>
        <w:tc>
          <w:tcPr>
            <w:tcW w:w="2579" w:type="dxa"/>
            <w:tcBorders>
              <w:top w:val="single" w:sz="8" w:space="0" w:color="000000"/>
              <w:left w:val="single" w:sz="8" w:space="0" w:color="000000"/>
              <w:bottom w:val="single" w:sz="6" w:space="0" w:color="000000"/>
              <w:right w:val="single" w:sz="8" w:space="0" w:color="000000"/>
            </w:tcBorders>
            <w:vAlign w:val="center"/>
          </w:tcPr>
          <w:p w14:paraId="7FBAEAAA" w14:textId="77777777" w:rsidR="00885489" w:rsidRPr="00CA09AF" w:rsidRDefault="00885489" w:rsidP="00AF7038">
            <w:pPr>
              <w:pStyle w:val="biaogeleft"/>
              <w:wordWrap w:val="0"/>
              <w:rPr>
                <w:rFonts w:asciiTheme="minorEastAsia" w:eastAsiaTheme="minorEastAsia" w:hAnsiTheme="minorEastAsia"/>
              </w:rPr>
            </w:pPr>
            <w:r w:rsidRPr="00CA09AF">
              <w:rPr>
                <w:rFonts w:asciiTheme="minorEastAsia" w:eastAsiaTheme="minorEastAsia" w:hAnsiTheme="minorEastAsia" w:hint="eastAsia"/>
              </w:rPr>
              <w:t>金融业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40C97451" w14:textId="77777777" w:rsidR="00885489" w:rsidRPr="00CA09AF" w:rsidRDefault="00885489" w:rsidP="00AF7038">
            <w:pPr>
              <w:pStyle w:val="biaogeright"/>
              <w:wordWrap w:val="0"/>
              <w:rPr>
                <w:rFonts w:asciiTheme="minorEastAsia" w:eastAsiaTheme="minorEastAsia" w:hAnsiTheme="minorEastAsia"/>
              </w:rPr>
            </w:pPr>
            <w:r w:rsidRPr="00CA09AF">
              <w:rPr>
                <w:rFonts w:asciiTheme="minorEastAsia" w:eastAsiaTheme="minorEastAsia" w:hAnsiTheme="minorEastAsia" w:hint="eastAsia"/>
              </w:rPr>
              <w:t>34,721.10</w:t>
            </w:r>
          </w:p>
        </w:tc>
        <w:tc>
          <w:tcPr>
            <w:tcW w:w="2693" w:type="dxa"/>
            <w:tcBorders>
              <w:top w:val="single" w:sz="8" w:space="0" w:color="000000"/>
              <w:left w:val="single" w:sz="8" w:space="0" w:color="000000"/>
              <w:bottom w:val="single" w:sz="6" w:space="0" w:color="000000"/>
              <w:right w:val="single" w:sz="8" w:space="0" w:color="000000"/>
            </w:tcBorders>
            <w:vAlign w:val="center"/>
          </w:tcPr>
          <w:p w14:paraId="0B802B4F" w14:textId="77777777" w:rsidR="00885489" w:rsidRPr="00CA09AF" w:rsidRDefault="00885489" w:rsidP="00AF7038">
            <w:pPr>
              <w:pStyle w:val="biaogeright"/>
              <w:wordWrap w:val="0"/>
              <w:rPr>
                <w:rFonts w:asciiTheme="minorEastAsia" w:eastAsiaTheme="minorEastAsia" w:hAnsiTheme="minorEastAsia"/>
              </w:rPr>
            </w:pPr>
            <w:r w:rsidRPr="00CA09AF">
              <w:rPr>
                <w:rFonts w:asciiTheme="minorEastAsia" w:eastAsiaTheme="minorEastAsia" w:hAnsiTheme="minorEastAsia" w:hint="eastAsia"/>
              </w:rPr>
              <w:t>0.00</w:t>
            </w:r>
          </w:p>
        </w:tc>
      </w:tr>
      <w:tr w:rsidR="00885489" w:rsidRPr="00CA09AF" w14:paraId="4B90FC74" w14:textId="77777777" w:rsidTr="00AF7038">
        <w:tc>
          <w:tcPr>
            <w:tcW w:w="0" w:type="auto"/>
            <w:tcBorders>
              <w:top w:val="single" w:sz="8" w:space="0" w:color="000000"/>
              <w:left w:val="single" w:sz="8" w:space="0" w:color="000000"/>
              <w:bottom w:val="single" w:sz="6" w:space="0" w:color="000000"/>
              <w:right w:val="single" w:sz="8" w:space="0" w:color="000000"/>
            </w:tcBorders>
            <w:vAlign w:val="center"/>
          </w:tcPr>
          <w:p w14:paraId="54954C9D" w14:textId="77777777" w:rsidR="00885489" w:rsidRPr="00CA09AF" w:rsidRDefault="00885489" w:rsidP="00AF7038">
            <w:pPr>
              <w:rPr>
                <w:rFonts w:asciiTheme="minorEastAsia" w:hAnsiTheme="minorEastAsia" w:cs="宋体"/>
                <w:kern w:val="0"/>
                <w:sz w:val="24"/>
                <w:szCs w:val="24"/>
              </w:rPr>
            </w:pPr>
            <w:r w:rsidRPr="00CA09AF">
              <w:rPr>
                <w:rFonts w:asciiTheme="minorEastAsia" w:hAnsiTheme="minorEastAsia" w:cs="宋体" w:hint="eastAsia"/>
                <w:kern w:val="0"/>
                <w:sz w:val="24"/>
                <w:szCs w:val="24"/>
              </w:rPr>
              <w:lastRenderedPageBreak/>
              <w:t>K</w:t>
            </w:r>
          </w:p>
        </w:tc>
        <w:tc>
          <w:tcPr>
            <w:tcW w:w="2579" w:type="dxa"/>
            <w:tcBorders>
              <w:top w:val="single" w:sz="8" w:space="0" w:color="000000"/>
              <w:left w:val="single" w:sz="8" w:space="0" w:color="000000"/>
              <w:bottom w:val="single" w:sz="6" w:space="0" w:color="000000"/>
              <w:right w:val="single" w:sz="8" w:space="0" w:color="000000"/>
            </w:tcBorders>
            <w:vAlign w:val="center"/>
          </w:tcPr>
          <w:p w14:paraId="7EA8FD18" w14:textId="77777777" w:rsidR="00885489" w:rsidRPr="00CA09AF" w:rsidRDefault="00885489" w:rsidP="00AF7038">
            <w:pPr>
              <w:pStyle w:val="biaogeleft"/>
              <w:wordWrap w:val="0"/>
              <w:rPr>
                <w:rFonts w:asciiTheme="minorEastAsia" w:eastAsiaTheme="minorEastAsia" w:hAnsiTheme="minorEastAsia"/>
              </w:rPr>
            </w:pPr>
            <w:r w:rsidRPr="00CA09AF">
              <w:rPr>
                <w:rFonts w:asciiTheme="minorEastAsia" w:eastAsiaTheme="minorEastAsia" w:hAnsiTheme="minorEastAsia" w:hint="eastAsia"/>
              </w:rPr>
              <w:t>房地产业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34028EA9" w14:textId="77777777" w:rsidR="00885489" w:rsidRPr="00CA09AF" w:rsidRDefault="00885489" w:rsidP="00AF7038">
            <w:pPr>
              <w:pStyle w:val="biaogeright"/>
              <w:wordWrap w:val="0"/>
              <w:rPr>
                <w:rFonts w:asciiTheme="minorEastAsia" w:eastAsiaTheme="minorEastAsia" w:hAnsiTheme="minorEastAsia"/>
              </w:rPr>
            </w:pPr>
            <w:r w:rsidRPr="00CA09AF">
              <w:rPr>
                <w:rFonts w:asciiTheme="minorEastAsia" w:eastAsiaTheme="minorEastAsia" w:hAnsiTheme="minorEastAsia" w:hint="eastAsia"/>
              </w:rP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6127B67E" w14:textId="77777777" w:rsidR="00885489" w:rsidRPr="00CA09AF" w:rsidRDefault="00885489" w:rsidP="00AF7038">
            <w:pPr>
              <w:pStyle w:val="biaogeright"/>
              <w:wordWrap w:val="0"/>
              <w:rPr>
                <w:rFonts w:asciiTheme="minorEastAsia" w:eastAsiaTheme="minorEastAsia" w:hAnsiTheme="minorEastAsia"/>
              </w:rPr>
            </w:pPr>
            <w:r w:rsidRPr="00CA09AF">
              <w:rPr>
                <w:rFonts w:asciiTheme="minorEastAsia" w:eastAsiaTheme="minorEastAsia" w:hAnsiTheme="minorEastAsia" w:hint="eastAsia"/>
              </w:rPr>
              <w:t>-</w:t>
            </w:r>
          </w:p>
        </w:tc>
      </w:tr>
      <w:tr w:rsidR="00885489" w:rsidRPr="00CA09AF" w14:paraId="79BA3ED8" w14:textId="77777777" w:rsidTr="00AF7038">
        <w:tc>
          <w:tcPr>
            <w:tcW w:w="0" w:type="auto"/>
            <w:tcBorders>
              <w:top w:val="single" w:sz="8" w:space="0" w:color="000000"/>
              <w:left w:val="single" w:sz="8" w:space="0" w:color="000000"/>
              <w:bottom w:val="single" w:sz="6" w:space="0" w:color="000000"/>
              <w:right w:val="single" w:sz="8" w:space="0" w:color="000000"/>
            </w:tcBorders>
            <w:vAlign w:val="center"/>
          </w:tcPr>
          <w:p w14:paraId="1431D193" w14:textId="77777777" w:rsidR="00885489" w:rsidRPr="00CA09AF" w:rsidRDefault="00885489" w:rsidP="00AF7038">
            <w:pPr>
              <w:rPr>
                <w:rFonts w:asciiTheme="minorEastAsia" w:hAnsiTheme="minorEastAsia" w:cs="宋体"/>
                <w:kern w:val="0"/>
                <w:sz w:val="24"/>
                <w:szCs w:val="24"/>
              </w:rPr>
            </w:pPr>
            <w:r w:rsidRPr="00CA09AF">
              <w:rPr>
                <w:rFonts w:asciiTheme="minorEastAsia" w:hAnsiTheme="minorEastAsia" w:cs="宋体" w:hint="eastAsia"/>
                <w:kern w:val="0"/>
                <w:sz w:val="24"/>
                <w:szCs w:val="24"/>
              </w:rPr>
              <w:t>L</w:t>
            </w:r>
          </w:p>
        </w:tc>
        <w:tc>
          <w:tcPr>
            <w:tcW w:w="2579" w:type="dxa"/>
            <w:tcBorders>
              <w:top w:val="single" w:sz="8" w:space="0" w:color="000000"/>
              <w:left w:val="single" w:sz="8" w:space="0" w:color="000000"/>
              <w:bottom w:val="single" w:sz="6" w:space="0" w:color="000000"/>
              <w:right w:val="single" w:sz="8" w:space="0" w:color="000000"/>
            </w:tcBorders>
            <w:vAlign w:val="center"/>
          </w:tcPr>
          <w:p w14:paraId="5641A94D" w14:textId="77777777" w:rsidR="00885489" w:rsidRPr="00CA09AF" w:rsidRDefault="00885489" w:rsidP="00AF7038">
            <w:pPr>
              <w:pStyle w:val="biaogeleft"/>
              <w:wordWrap w:val="0"/>
              <w:rPr>
                <w:rFonts w:asciiTheme="minorEastAsia" w:eastAsiaTheme="minorEastAsia" w:hAnsiTheme="minorEastAsia"/>
              </w:rPr>
            </w:pPr>
            <w:r w:rsidRPr="00CA09AF">
              <w:rPr>
                <w:rFonts w:asciiTheme="minorEastAsia" w:eastAsiaTheme="minorEastAsia" w:hAnsiTheme="minorEastAsia" w:hint="eastAsia"/>
              </w:rPr>
              <w:t>租赁和商务服务业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3008D1F4" w14:textId="77777777" w:rsidR="00885489" w:rsidRPr="00CA09AF" w:rsidRDefault="00885489" w:rsidP="00AF7038">
            <w:pPr>
              <w:pStyle w:val="biaogeright"/>
              <w:wordWrap w:val="0"/>
              <w:rPr>
                <w:rFonts w:asciiTheme="minorEastAsia" w:eastAsiaTheme="minorEastAsia" w:hAnsiTheme="minorEastAsia"/>
              </w:rPr>
            </w:pPr>
            <w:r w:rsidRPr="00CA09AF">
              <w:rPr>
                <w:rFonts w:asciiTheme="minorEastAsia" w:eastAsiaTheme="minorEastAsia" w:hAnsiTheme="minorEastAsia" w:hint="eastAsia"/>
              </w:rP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5D6B5575" w14:textId="77777777" w:rsidR="00885489" w:rsidRPr="00CA09AF" w:rsidRDefault="00885489" w:rsidP="00AF7038">
            <w:pPr>
              <w:pStyle w:val="biaogeright"/>
              <w:wordWrap w:val="0"/>
              <w:rPr>
                <w:rFonts w:asciiTheme="minorEastAsia" w:eastAsiaTheme="minorEastAsia" w:hAnsiTheme="minorEastAsia"/>
              </w:rPr>
            </w:pPr>
            <w:r w:rsidRPr="00CA09AF">
              <w:rPr>
                <w:rFonts w:asciiTheme="minorEastAsia" w:eastAsiaTheme="minorEastAsia" w:hAnsiTheme="minorEastAsia" w:hint="eastAsia"/>
              </w:rPr>
              <w:t>-</w:t>
            </w:r>
          </w:p>
        </w:tc>
      </w:tr>
      <w:tr w:rsidR="00885489" w:rsidRPr="00CA09AF" w14:paraId="72F84961" w14:textId="77777777" w:rsidTr="00AF7038">
        <w:tc>
          <w:tcPr>
            <w:tcW w:w="0" w:type="auto"/>
            <w:tcBorders>
              <w:top w:val="single" w:sz="8" w:space="0" w:color="000000"/>
              <w:left w:val="single" w:sz="8" w:space="0" w:color="000000"/>
              <w:bottom w:val="single" w:sz="6" w:space="0" w:color="000000"/>
              <w:right w:val="single" w:sz="8" w:space="0" w:color="000000"/>
            </w:tcBorders>
            <w:vAlign w:val="center"/>
          </w:tcPr>
          <w:p w14:paraId="7909E066" w14:textId="77777777" w:rsidR="00885489" w:rsidRPr="00CA09AF" w:rsidRDefault="00885489" w:rsidP="00AF7038">
            <w:pPr>
              <w:rPr>
                <w:rFonts w:asciiTheme="minorEastAsia" w:hAnsiTheme="minorEastAsia" w:cs="宋体"/>
                <w:kern w:val="0"/>
                <w:sz w:val="24"/>
                <w:szCs w:val="24"/>
              </w:rPr>
            </w:pPr>
            <w:r w:rsidRPr="00CA09AF">
              <w:rPr>
                <w:rFonts w:asciiTheme="minorEastAsia" w:hAnsiTheme="minorEastAsia" w:cs="宋体" w:hint="eastAsia"/>
                <w:kern w:val="0"/>
                <w:sz w:val="24"/>
                <w:szCs w:val="24"/>
              </w:rPr>
              <w:t>M</w:t>
            </w:r>
          </w:p>
        </w:tc>
        <w:tc>
          <w:tcPr>
            <w:tcW w:w="2579" w:type="dxa"/>
            <w:tcBorders>
              <w:top w:val="single" w:sz="8" w:space="0" w:color="000000"/>
              <w:left w:val="single" w:sz="8" w:space="0" w:color="000000"/>
              <w:bottom w:val="single" w:sz="6" w:space="0" w:color="000000"/>
              <w:right w:val="single" w:sz="8" w:space="0" w:color="000000"/>
            </w:tcBorders>
            <w:vAlign w:val="center"/>
          </w:tcPr>
          <w:p w14:paraId="0AF293AE" w14:textId="77777777" w:rsidR="00885489" w:rsidRPr="00CA09AF" w:rsidRDefault="00885489" w:rsidP="00AF7038">
            <w:pPr>
              <w:pStyle w:val="biaogeleft"/>
              <w:wordWrap w:val="0"/>
              <w:rPr>
                <w:rFonts w:asciiTheme="minorEastAsia" w:eastAsiaTheme="minorEastAsia" w:hAnsiTheme="minorEastAsia"/>
              </w:rPr>
            </w:pPr>
            <w:r w:rsidRPr="00CA09AF">
              <w:rPr>
                <w:rFonts w:asciiTheme="minorEastAsia" w:eastAsiaTheme="minorEastAsia" w:hAnsiTheme="minorEastAsia" w:hint="eastAsia"/>
              </w:rPr>
              <w:t>科学研究和技术服务业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17183FF9" w14:textId="77777777" w:rsidR="00885489" w:rsidRPr="00CA09AF" w:rsidRDefault="00885489" w:rsidP="00AF7038">
            <w:pPr>
              <w:pStyle w:val="biaogeright"/>
              <w:wordWrap w:val="0"/>
              <w:rPr>
                <w:rFonts w:asciiTheme="minorEastAsia" w:eastAsiaTheme="minorEastAsia" w:hAnsiTheme="minorEastAsia"/>
              </w:rPr>
            </w:pPr>
            <w:r w:rsidRPr="00CA09AF">
              <w:rPr>
                <w:rFonts w:asciiTheme="minorEastAsia" w:eastAsiaTheme="minorEastAsia" w:hAnsiTheme="minorEastAsia" w:hint="eastAsia"/>
              </w:rP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185AEB0E" w14:textId="77777777" w:rsidR="00885489" w:rsidRPr="00CA09AF" w:rsidRDefault="00885489" w:rsidP="00AF7038">
            <w:pPr>
              <w:pStyle w:val="biaogeright"/>
              <w:wordWrap w:val="0"/>
              <w:rPr>
                <w:rFonts w:asciiTheme="minorEastAsia" w:eastAsiaTheme="minorEastAsia" w:hAnsiTheme="minorEastAsia"/>
              </w:rPr>
            </w:pPr>
            <w:r w:rsidRPr="00CA09AF">
              <w:rPr>
                <w:rFonts w:asciiTheme="minorEastAsia" w:eastAsiaTheme="minorEastAsia" w:hAnsiTheme="minorEastAsia" w:hint="eastAsia"/>
              </w:rPr>
              <w:t>-</w:t>
            </w:r>
          </w:p>
        </w:tc>
      </w:tr>
      <w:tr w:rsidR="00885489" w:rsidRPr="00CA09AF" w14:paraId="47F60E15" w14:textId="77777777" w:rsidTr="00AF7038">
        <w:tc>
          <w:tcPr>
            <w:tcW w:w="0" w:type="auto"/>
            <w:tcBorders>
              <w:top w:val="single" w:sz="8" w:space="0" w:color="000000"/>
              <w:left w:val="single" w:sz="8" w:space="0" w:color="000000"/>
              <w:bottom w:val="single" w:sz="6" w:space="0" w:color="000000"/>
              <w:right w:val="single" w:sz="8" w:space="0" w:color="000000"/>
            </w:tcBorders>
            <w:vAlign w:val="center"/>
          </w:tcPr>
          <w:p w14:paraId="3A241183" w14:textId="77777777" w:rsidR="00885489" w:rsidRPr="00CA09AF" w:rsidRDefault="00885489" w:rsidP="00AF7038">
            <w:pPr>
              <w:rPr>
                <w:rFonts w:asciiTheme="minorEastAsia" w:hAnsiTheme="minorEastAsia" w:cs="宋体"/>
                <w:kern w:val="0"/>
                <w:sz w:val="24"/>
                <w:szCs w:val="24"/>
              </w:rPr>
            </w:pPr>
            <w:r w:rsidRPr="00CA09AF">
              <w:rPr>
                <w:rFonts w:asciiTheme="minorEastAsia" w:hAnsiTheme="minorEastAsia" w:cs="宋体" w:hint="eastAsia"/>
                <w:kern w:val="0"/>
                <w:sz w:val="24"/>
                <w:szCs w:val="24"/>
              </w:rPr>
              <w:t>N</w:t>
            </w:r>
          </w:p>
        </w:tc>
        <w:tc>
          <w:tcPr>
            <w:tcW w:w="2579" w:type="dxa"/>
            <w:tcBorders>
              <w:top w:val="single" w:sz="8" w:space="0" w:color="000000"/>
              <w:left w:val="single" w:sz="8" w:space="0" w:color="000000"/>
              <w:bottom w:val="single" w:sz="6" w:space="0" w:color="000000"/>
              <w:right w:val="single" w:sz="8" w:space="0" w:color="000000"/>
            </w:tcBorders>
            <w:vAlign w:val="center"/>
          </w:tcPr>
          <w:p w14:paraId="14C0B16C" w14:textId="77777777" w:rsidR="00885489" w:rsidRPr="00CA09AF" w:rsidRDefault="00885489" w:rsidP="00AF7038">
            <w:pPr>
              <w:pStyle w:val="biaogeleft"/>
              <w:wordWrap w:val="0"/>
              <w:rPr>
                <w:rFonts w:asciiTheme="minorEastAsia" w:eastAsiaTheme="minorEastAsia" w:hAnsiTheme="minorEastAsia"/>
              </w:rPr>
            </w:pPr>
            <w:r w:rsidRPr="00CA09AF">
              <w:rPr>
                <w:rFonts w:asciiTheme="minorEastAsia" w:eastAsiaTheme="minorEastAsia" w:hAnsiTheme="minorEastAsia" w:hint="eastAsia"/>
              </w:rPr>
              <w:t>水利、环境和公共设施管理业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3F63461D" w14:textId="77777777" w:rsidR="00885489" w:rsidRPr="00CA09AF" w:rsidRDefault="00885489" w:rsidP="00AF7038">
            <w:pPr>
              <w:pStyle w:val="biaogeright"/>
              <w:wordWrap w:val="0"/>
              <w:rPr>
                <w:rFonts w:asciiTheme="minorEastAsia" w:eastAsiaTheme="minorEastAsia" w:hAnsiTheme="minorEastAsia"/>
              </w:rPr>
            </w:pPr>
            <w:r w:rsidRPr="00CA09AF">
              <w:rPr>
                <w:rFonts w:asciiTheme="minorEastAsia" w:eastAsiaTheme="minorEastAsia" w:hAnsiTheme="minorEastAsia" w:hint="eastAsia"/>
              </w:rPr>
              <w:t>44,438.33</w:t>
            </w:r>
          </w:p>
        </w:tc>
        <w:tc>
          <w:tcPr>
            <w:tcW w:w="2693" w:type="dxa"/>
            <w:tcBorders>
              <w:top w:val="single" w:sz="8" w:space="0" w:color="000000"/>
              <w:left w:val="single" w:sz="8" w:space="0" w:color="000000"/>
              <w:bottom w:val="single" w:sz="6" w:space="0" w:color="000000"/>
              <w:right w:val="single" w:sz="8" w:space="0" w:color="000000"/>
            </w:tcBorders>
            <w:vAlign w:val="center"/>
          </w:tcPr>
          <w:p w14:paraId="5E85A41E" w14:textId="77777777" w:rsidR="00885489" w:rsidRPr="00CA09AF" w:rsidRDefault="00885489" w:rsidP="00AF7038">
            <w:pPr>
              <w:pStyle w:val="biaogeright"/>
              <w:wordWrap w:val="0"/>
              <w:rPr>
                <w:rFonts w:asciiTheme="minorEastAsia" w:eastAsiaTheme="minorEastAsia" w:hAnsiTheme="minorEastAsia"/>
              </w:rPr>
            </w:pPr>
            <w:r w:rsidRPr="00CA09AF">
              <w:rPr>
                <w:rFonts w:asciiTheme="minorEastAsia" w:eastAsiaTheme="minorEastAsia" w:hAnsiTheme="minorEastAsia" w:hint="eastAsia"/>
              </w:rPr>
              <w:t>0.00</w:t>
            </w:r>
          </w:p>
        </w:tc>
      </w:tr>
      <w:tr w:rsidR="00885489" w:rsidRPr="00CA09AF" w14:paraId="551B3958" w14:textId="77777777" w:rsidTr="00AF7038">
        <w:tc>
          <w:tcPr>
            <w:tcW w:w="0" w:type="auto"/>
            <w:tcBorders>
              <w:top w:val="single" w:sz="8" w:space="0" w:color="000000"/>
              <w:left w:val="single" w:sz="8" w:space="0" w:color="000000"/>
              <w:bottom w:val="single" w:sz="6" w:space="0" w:color="000000"/>
              <w:right w:val="single" w:sz="8" w:space="0" w:color="000000"/>
            </w:tcBorders>
            <w:vAlign w:val="center"/>
          </w:tcPr>
          <w:p w14:paraId="458706C8" w14:textId="77777777" w:rsidR="00885489" w:rsidRPr="00CA09AF" w:rsidRDefault="00885489" w:rsidP="00AF7038">
            <w:pPr>
              <w:rPr>
                <w:rFonts w:asciiTheme="minorEastAsia" w:hAnsiTheme="minorEastAsia" w:cs="宋体"/>
                <w:kern w:val="0"/>
                <w:sz w:val="24"/>
                <w:szCs w:val="24"/>
              </w:rPr>
            </w:pPr>
            <w:r w:rsidRPr="00CA09AF">
              <w:rPr>
                <w:rFonts w:asciiTheme="minorEastAsia" w:hAnsiTheme="minorEastAsia" w:cs="宋体" w:hint="eastAsia"/>
                <w:kern w:val="0"/>
                <w:sz w:val="24"/>
                <w:szCs w:val="24"/>
              </w:rPr>
              <w:t>O</w:t>
            </w:r>
          </w:p>
        </w:tc>
        <w:tc>
          <w:tcPr>
            <w:tcW w:w="2579" w:type="dxa"/>
            <w:tcBorders>
              <w:top w:val="single" w:sz="8" w:space="0" w:color="000000"/>
              <w:left w:val="single" w:sz="8" w:space="0" w:color="000000"/>
              <w:bottom w:val="single" w:sz="6" w:space="0" w:color="000000"/>
              <w:right w:val="single" w:sz="8" w:space="0" w:color="000000"/>
            </w:tcBorders>
            <w:vAlign w:val="center"/>
          </w:tcPr>
          <w:p w14:paraId="681C079D" w14:textId="77777777" w:rsidR="00885489" w:rsidRPr="00CA09AF" w:rsidRDefault="00885489" w:rsidP="00AF7038">
            <w:pPr>
              <w:pStyle w:val="biaogeleft"/>
              <w:wordWrap w:val="0"/>
              <w:rPr>
                <w:rFonts w:asciiTheme="minorEastAsia" w:eastAsiaTheme="minorEastAsia" w:hAnsiTheme="minorEastAsia"/>
              </w:rPr>
            </w:pPr>
            <w:r w:rsidRPr="00CA09AF">
              <w:rPr>
                <w:rFonts w:asciiTheme="minorEastAsia" w:eastAsiaTheme="minorEastAsia" w:hAnsiTheme="minorEastAsia" w:hint="eastAsia"/>
              </w:rPr>
              <w:t>居民服务、修理和其他服务业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165CED87" w14:textId="77777777" w:rsidR="00885489" w:rsidRPr="00CA09AF" w:rsidRDefault="00885489" w:rsidP="00AF7038">
            <w:pPr>
              <w:pStyle w:val="biaogeright"/>
              <w:wordWrap w:val="0"/>
              <w:rPr>
                <w:rFonts w:asciiTheme="minorEastAsia" w:eastAsiaTheme="minorEastAsia" w:hAnsiTheme="minorEastAsia"/>
              </w:rPr>
            </w:pPr>
            <w:r w:rsidRPr="00CA09AF">
              <w:rPr>
                <w:rFonts w:asciiTheme="minorEastAsia" w:eastAsiaTheme="minorEastAsia" w:hAnsiTheme="minorEastAsia" w:hint="eastAsia"/>
              </w:rP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0610FF35" w14:textId="77777777" w:rsidR="00885489" w:rsidRPr="00CA09AF" w:rsidRDefault="00885489" w:rsidP="00AF7038">
            <w:pPr>
              <w:pStyle w:val="biaogeright"/>
              <w:wordWrap w:val="0"/>
              <w:rPr>
                <w:rFonts w:asciiTheme="minorEastAsia" w:eastAsiaTheme="minorEastAsia" w:hAnsiTheme="minorEastAsia"/>
              </w:rPr>
            </w:pPr>
            <w:r w:rsidRPr="00CA09AF">
              <w:rPr>
                <w:rFonts w:asciiTheme="minorEastAsia" w:eastAsiaTheme="minorEastAsia" w:hAnsiTheme="minorEastAsia" w:hint="eastAsia"/>
              </w:rPr>
              <w:t>-</w:t>
            </w:r>
          </w:p>
        </w:tc>
      </w:tr>
      <w:tr w:rsidR="00885489" w:rsidRPr="00CA09AF" w14:paraId="1FB28317" w14:textId="77777777" w:rsidTr="00AF7038">
        <w:tc>
          <w:tcPr>
            <w:tcW w:w="0" w:type="auto"/>
            <w:tcBorders>
              <w:top w:val="single" w:sz="8" w:space="0" w:color="000000"/>
              <w:left w:val="single" w:sz="8" w:space="0" w:color="000000"/>
              <w:bottom w:val="single" w:sz="6" w:space="0" w:color="000000"/>
              <w:right w:val="single" w:sz="8" w:space="0" w:color="000000"/>
            </w:tcBorders>
            <w:vAlign w:val="center"/>
          </w:tcPr>
          <w:p w14:paraId="1073BB70" w14:textId="77777777" w:rsidR="00885489" w:rsidRPr="00CA09AF" w:rsidRDefault="00885489" w:rsidP="00AF7038">
            <w:pPr>
              <w:rPr>
                <w:rFonts w:asciiTheme="minorEastAsia" w:hAnsiTheme="minorEastAsia" w:cs="宋体"/>
                <w:kern w:val="0"/>
                <w:sz w:val="24"/>
                <w:szCs w:val="24"/>
              </w:rPr>
            </w:pPr>
            <w:r w:rsidRPr="00CA09AF">
              <w:rPr>
                <w:rFonts w:asciiTheme="minorEastAsia" w:hAnsiTheme="minorEastAsia" w:cs="宋体" w:hint="eastAsia"/>
                <w:kern w:val="0"/>
                <w:sz w:val="24"/>
                <w:szCs w:val="24"/>
              </w:rPr>
              <w:t>P</w:t>
            </w:r>
          </w:p>
        </w:tc>
        <w:tc>
          <w:tcPr>
            <w:tcW w:w="2579" w:type="dxa"/>
            <w:tcBorders>
              <w:top w:val="single" w:sz="8" w:space="0" w:color="000000"/>
              <w:left w:val="single" w:sz="8" w:space="0" w:color="000000"/>
              <w:bottom w:val="single" w:sz="6" w:space="0" w:color="000000"/>
              <w:right w:val="single" w:sz="8" w:space="0" w:color="000000"/>
            </w:tcBorders>
            <w:vAlign w:val="center"/>
          </w:tcPr>
          <w:p w14:paraId="42EA82B1" w14:textId="77777777" w:rsidR="00885489" w:rsidRPr="00CA09AF" w:rsidRDefault="00885489" w:rsidP="00AF7038">
            <w:pPr>
              <w:pStyle w:val="biaogeleft"/>
              <w:wordWrap w:val="0"/>
              <w:rPr>
                <w:rFonts w:asciiTheme="minorEastAsia" w:eastAsiaTheme="minorEastAsia" w:hAnsiTheme="minorEastAsia"/>
              </w:rPr>
            </w:pPr>
            <w:r w:rsidRPr="00CA09AF">
              <w:rPr>
                <w:rFonts w:asciiTheme="minorEastAsia" w:eastAsiaTheme="minorEastAsia" w:hAnsiTheme="minorEastAsia" w:hint="eastAsia"/>
              </w:rPr>
              <w:t>教育</w:t>
            </w:r>
          </w:p>
        </w:tc>
        <w:tc>
          <w:tcPr>
            <w:tcW w:w="2694" w:type="dxa"/>
            <w:tcBorders>
              <w:top w:val="single" w:sz="8" w:space="0" w:color="000000"/>
              <w:left w:val="single" w:sz="8" w:space="0" w:color="000000"/>
              <w:bottom w:val="single" w:sz="6" w:space="0" w:color="000000"/>
              <w:right w:val="single" w:sz="8" w:space="0" w:color="000000"/>
            </w:tcBorders>
            <w:vAlign w:val="center"/>
          </w:tcPr>
          <w:p w14:paraId="39A49352" w14:textId="77777777" w:rsidR="00885489" w:rsidRPr="00CA09AF" w:rsidRDefault="00885489" w:rsidP="00AF7038">
            <w:pPr>
              <w:pStyle w:val="biaogeright"/>
              <w:wordWrap w:val="0"/>
              <w:rPr>
                <w:rFonts w:asciiTheme="minorEastAsia" w:eastAsiaTheme="minorEastAsia" w:hAnsiTheme="minorEastAsia"/>
              </w:rPr>
            </w:pPr>
            <w:r w:rsidRPr="00CA09AF">
              <w:rPr>
                <w:rFonts w:asciiTheme="minorEastAsia" w:eastAsiaTheme="minorEastAsia" w:hAnsiTheme="minorEastAsia" w:hint="eastAsia"/>
              </w:rP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79B49484" w14:textId="77777777" w:rsidR="00885489" w:rsidRPr="00CA09AF" w:rsidRDefault="00885489" w:rsidP="00AF7038">
            <w:pPr>
              <w:pStyle w:val="biaogeright"/>
              <w:wordWrap w:val="0"/>
              <w:rPr>
                <w:rFonts w:asciiTheme="minorEastAsia" w:eastAsiaTheme="minorEastAsia" w:hAnsiTheme="minorEastAsia"/>
              </w:rPr>
            </w:pPr>
            <w:r w:rsidRPr="00CA09AF">
              <w:rPr>
                <w:rFonts w:asciiTheme="minorEastAsia" w:eastAsiaTheme="minorEastAsia" w:hAnsiTheme="minorEastAsia" w:hint="eastAsia"/>
              </w:rPr>
              <w:t>-</w:t>
            </w:r>
          </w:p>
        </w:tc>
      </w:tr>
      <w:tr w:rsidR="00885489" w:rsidRPr="00CA09AF" w14:paraId="14B12519" w14:textId="77777777" w:rsidTr="00AF7038">
        <w:tc>
          <w:tcPr>
            <w:tcW w:w="0" w:type="auto"/>
            <w:tcBorders>
              <w:top w:val="single" w:sz="8" w:space="0" w:color="000000"/>
              <w:left w:val="single" w:sz="8" w:space="0" w:color="000000"/>
              <w:bottom w:val="single" w:sz="6" w:space="0" w:color="000000"/>
              <w:right w:val="single" w:sz="8" w:space="0" w:color="000000"/>
            </w:tcBorders>
            <w:vAlign w:val="center"/>
          </w:tcPr>
          <w:p w14:paraId="1E5BDC01" w14:textId="77777777" w:rsidR="00885489" w:rsidRPr="00CA09AF" w:rsidRDefault="00885489" w:rsidP="00AF7038">
            <w:pPr>
              <w:rPr>
                <w:rFonts w:asciiTheme="minorEastAsia" w:hAnsiTheme="minorEastAsia" w:cs="宋体"/>
                <w:kern w:val="0"/>
                <w:sz w:val="24"/>
                <w:szCs w:val="24"/>
              </w:rPr>
            </w:pPr>
            <w:r w:rsidRPr="00CA09AF">
              <w:rPr>
                <w:rFonts w:asciiTheme="minorEastAsia" w:hAnsiTheme="minorEastAsia" w:cs="宋体" w:hint="eastAsia"/>
                <w:kern w:val="0"/>
                <w:sz w:val="24"/>
                <w:szCs w:val="24"/>
              </w:rPr>
              <w:t>Q</w:t>
            </w:r>
          </w:p>
        </w:tc>
        <w:tc>
          <w:tcPr>
            <w:tcW w:w="2579" w:type="dxa"/>
            <w:tcBorders>
              <w:top w:val="single" w:sz="8" w:space="0" w:color="000000"/>
              <w:left w:val="single" w:sz="8" w:space="0" w:color="000000"/>
              <w:bottom w:val="single" w:sz="6" w:space="0" w:color="000000"/>
              <w:right w:val="single" w:sz="8" w:space="0" w:color="000000"/>
            </w:tcBorders>
            <w:vAlign w:val="center"/>
          </w:tcPr>
          <w:p w14:paraId="4513D340" w14:textId="77777777" w:rsidR="00885489" w:rsidRPr="00CA09AF" w:rsidRDefault="00885489" w:rsidP="00AF7038">
            <w:pPr>
              <w:pStyle w:val="biaogeleft"/>
              <w:wordWrap w:val="0"/>
              <w:rPr>
                <w:rFonts w:asciiTheme="minorEastAsia" w:eastAsiaTheme="minorEastAsia" w:hAnsiTheme="minorEastAsia"/>
              </w:rPr>
            </w:pPr>
            <w:r w:rsidRPr="00CA09AF">
              <w:rPr>
                <w:rFonts w:asciiTheme="minorEastAsia" w:eastAsiaTheme="minorEastAsia" w:hAnsiTheme="minorEastAsia" w:hint="eastAsia"/>
              </w:rPr>
              <w:t>卫生和社会工作</w:t>
            </w:r>
          </w:p>
        </w:tc>
        <w:tc>
          <w:tcPr>
            <w:tcW w:w="2694" w:type="dxa"/>
            <w:tcBorders>
              <w:top w:val="single" w:sz="8" w:space="0" w:color="000000"/>
              <w:left w:val="single" w:sz="8" w:space="0" w:color="000000"/>
              <w:bottom w:val="single" w:sz="6" w:space="0" w:color="000000"/>
              <w:right w:val="single" w:sz="8" w:space="0" w:color="000000"/>
            </w:tcBorders>
            <w:vAlign w:val="center"/>
          </w:tcPr>
          <w:p w14:paraId="249C23A1" w14:textId="77777777" w:rsidR="00885489" w:rsidRPr="00CA09AF" w:rsidRDefault="00885489" w:rsidP="00AF7038">
            <w:pPr>
              <w:pStyle w:val="biaogeright"/>
              <w:wordWrap w:val="0"/>
              <w:rPr>
                <w:rFonts w:asciiTheme="minorEastAsia" w:eastAsiaTheme="minorEastAsia" w:hAnsiTheme="minorEastAsia"/>
              </w:rPr>
            </w:pPr>
            <w:r w:rsidRPr="00CA09AF">
              <w:rPr>
                <w:rFonts w:asciiTheme="minorEastAsia" w:eastAsiaTheme="minorEastAsia" w:hAnsiTheme="minorEastAsia" w:hint="eastAsia"/>
              </w:rP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150FA81D" w14:textId="77777777" w:rsidR="00885489" w:rsidRPr="00CA09AF" w:rsidRDefault="00885489" w:rsidP="00AF7038">
            <w:pPr>
              <w:pStyle w:val="biaogeright"/>
              <w:wordWrap w:val="0"/>
              <w:rPr>
                <w:rFonts w:asciiTheme="minorEastAsia" w:eastAsiaTheme="minorEastAsia" w:hAnsiTheme="minorEastAsia"/>
              </w:rPr>
            </w:pPr>
            <w:r w:rsidRPr="00CA09AF">
              <w:rPr>
                <w:rFonts w:asciiTheme="minorEastAsia" w:eastAsiaTheme="minorEastAsia" w:hAnsiTheme="minorEastAsia" w:hint="eastAsia"/>
              </w:rPr>
              <w:t>-</w:t>
            </w:r>
          </w:p>
        </w:tc>
      </w:tr>
      <w:tr w:rsidR="00885489" w:rsidRPr="00CA09AF" w14:paraId="5661B057" w14:textId="77777777" w:rsidTr="00AF7038">
        <w:tc>
          <w:tcPr>
            <w:tcW w:w="0" w:type="auto"/>
            <w:tcBorders>
              <w:top w:val="single" w:sz="8" w:space="0" w:color="000000"/>
              <w:left w:val="single" w:sz="8" w:space="0" w:color="000000"/>
              <w:bottom w:val="single" w:sz="6" w:space="0" w:color="000000"/>
              <w:right w:val="single" w:sz="8" w:space="0" w:color="000000"/>
            </w:tcBorders>
            <w:vAlign w:val="center"/>
          </w:tcPr>
          <w:p w14:paraId="6AE8EB46" w14:textId="77777777" w:rsidR="00885489" w:rsidRPr="00CA09AF" w:rsidRDefault="00885489" w:rsidP="00AF7038">
            <w:pPr>
              <w:rPr>
                <w:rFonts w:asciiTheme="minorEastAsia" w:hAnsiTheme="minorEastAsia" w:cs="宋体"/>
                <w:kern w:val="0"/>
                <w:sz w:val="24"/>
                <w:szCs w:val="24"/>
              </w:rPr>
            </w:pPr>
            <w:r w:rsidRPr="00CA09AF">
              <w:rPr>
                <w:rFonts w:asciiTheme="minorEastAsia" w:hAnsiTheme="minorEastAsia" w:cs="宋体" w:hint="eastAsia"/>
                <w:kern w:val="0"/>
                <w:sz w:val="24"/>
                <w:szCs w:val="24"/>
              </w:rPr>
              <w:t>R</w:t>
            </w:r>
          </w:p>
        </w:tc>
        <w:tc>
          <w:tcPr>
            <w:tcW w:w="2579" w:type="dxa"/>
            <w:tcBorders>
              <w:top w:val="single" w:sz="8" w:space="0" w:color="000000"/>
              <w:left w:val="single" w:sz="8" w:space="0" w:color="000000"/>
              <w:bottom w:val="single" w:sz="6" w:space="0" w:color="000000"/>
              <w:right w:val="single" w:sz="8" w:space="0" w:color="000000"/>
            </w:tcBorders>
            <w:vAlign w:val="center"/>
          </w:tcPr>
          <w:p w14:paraId="0496C94E" w14:textId="77777777" w:rsidR="00885489" w:rsidRPr="00CA09AF" w:rsidRDefault="00885489" w:rsidP="00AF7038">
            <w:pPr>
              <w:pStyle w:val="biaogeleft"/>
              <w:wordWrap w:val="0"/>
              <w:rPr>
                <w:rFonts w:asciiTheme="minorEastAsia" w:eastAsiaTheme="minorEastAsia" w:hAnsiTheme="minorEastAsia"/>
              </w:rPr>
            </w:pPr>
            <w:r w:rsidRPr="00CA09AF">
              <w:rPr>
                <w:rFonts w:asciiTheme="minorEastAsia" w:eastAsiaTheme="minorEastAsia" w:hAnsiTheme="minorEastAsia" w:hint="eastAsia"/>
              </w:rPr>
              <w:t>文化、体育和娱乐业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27B565F7" w14:textId="77777777" w:rsidR="00885489" w:rsidRPr="00CA09AF" w:rsidRDefault="00885489" w:rsidP="00AF7038">
            <w:pPr>
              <w:pStyle w:val="biaogeright"/>
              <w:wordWrap w:val="0"/>
              <w:rPr>
                <w:rFonts w:asciiTheme="minorEastAsia" w:eastAsiaTheme="minorEastAsia" w:hAnsiTheme="minorEastAsia"/>
              </w:rPr>
            </w:pPr>
            <w:r w:rsidRPr="00CA09AF">
              <w:rPr>
                <w:rFonts w:asciiTheme="minorEastAsia" w:eastAsiaTheme="minorEastAsia" w:hAnsiTheme="minorEastAsia" w:hint="eastAsia"/>
              </w:rP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75158A25" w14:textId="77777777" w:rsidR="00885489" w:rsidRPr="00CA09AF" w:rsidRDefault="00885489" w:rsidP="00AF7038">
            <w:pPr>
              <w:pStyle w:val="biaogeright"/>
              <w:wordWrap w:val="0"/>
              <w:rPr>
                <w:rFonts w:asciiTheme="minorEastAsia" w:eastAsiaTheme="minorEastAsia" w:hAnsiTheme="minorEastAsia"/>
              </w:rPr>
            </w:pPr>
            <w:r w:rsidRPr="00CA09AF">
              <w:rPr>
                <w:rFonts w:asciiTheme="minorEastAsia" w:eastAsiaTheme="minorEastAsia" w:hAnsiTheme="minorEastAsia" w:hint="eastAsia"/>
              </w:rPr>
              <w:t>-</w:t>
            </w:r>
          </w:p>
        </w:tc>
      </w:tr>
      <w:tr w:rsidR="00885489" w:rsidRPr="00CA09AF" w14:paraId="0E03F68B" w14:textId="77777777" w:rsidTr="00AF7038">
        <w:tc>
          <w:tcPr>
            <w:tcW w:w="0" w:type="auto"/>
            <w:tcBorders>
              <w:top w:val="single" w:sz="8" w:space="0" w:color="000000"/>
              <w:left w:val="single" w:sz="8" w:space="0" w:color="000000"/>
              <w:bottom w:val="single" w:sz="6" w:space="0" w:color="000000"/>
              <w:right w:val="single" w:sz="8" w:space="0" w:color="000000"/>
            </w:tcBorders>
            <w:vAlign w:val="center"/>
          </w:tcPr>
          <w:p w14:paraId="7CB6E007" w14:textId="77777777" w:rsidR="00885489" w:rsidRPr="00CA09AF" w:rsidRDefault="00885489" w:rsidP="00AF7038">
            <w:pPr>
              <w:rPr>
                <w:rFonts w:asciiTheme="minorEastAsia" w:hAnsiTheme="minorEastAsia" w:cs="宋体"/>
                <w:kern w:val="0"/>
                <w:sz w:val="24"/>
                <w:szCs w:val="24"/>
              </w:rPr>
            </w:pPr>
            <w:r w:rsidRPr="00CA09AF">
              <w:rPr>
                <w:rFonts w:asciiTheme="minorEastAsia" w:hAnsiTheme="minorEastAsia" w:cs="宋体" w:hint="eastAsia"/>
                <w:kern w:val="0"/>
                <w:sz w:val="24"/>
                <w:szCs w:val="24"/>
              </w:rPr>
              <w:t>S</w:t>
            </w:r>
          </w:p>
        </w:tc>
        <w:tc>
          <w:tcPr>
            <w:tcW w:w="2579" w:type="dxa"/>
            <w:tcBorders>
              <w:top w:val="single" w:sz="8" w:space="0" w:color="000000"/>
              <w:left w:val="single" w:sz="8" w:space="0" w:color="000000"/>
              <w:bottom w:val="single" w:sz="6" w:space="0" w:color="000000"/>
              <w:right w:val="single" w:sz="8" w:space="0" w:color="000000"/>
            </w:tcBorders>
            <w:vAlign w:val="center"/>
          </w:tcPr>
          <w:p w14:paraId="0EBD785D" w14:textId="77777777" w:rsidR="00885489" w:rsidRPr="00CA09AF" w:rsidRDefault="00885489" w:rsidP="00AF7038">
            <w:pPr>
              <w:pStyle w:val="biaogeleft"/>
              <w:wordWrap w:val="0"/>
              <w:rPr>
                <w:rFonts w:asciiTheme="minorEastAsia" w:eastAsiaTheme="minorEastAsia" w:hAnsiTheme="minorEastAsia"/>
              </w:rPr>
            </w:pPr>
            <w:r w:rsidRPr="00CA09AF">
              <w:rPr>
                <w:rFonts w:asciiTheme="minorEastAsia" w:eastAsiaTheme="minorEastAsia" w:hAnsiTheme="minorEastAsia" w:hint="eastAsia"/>
              </w:rPr>
              <w:t>综合</w:t>
            </w:r>
          </w:p>
        </w:tc>
        <w:tc>
          <w:tcPr>
            <w:tcW w:w="2694" w:type="dxa"/>
            <w:tcBorders>
              <w:top w:val="single" w:sz="8" w:space="0" w:color="000000"/>
              <w:left w:val="single" w:sz="8" w:space="0" w:color="000000"/>
              <w:bottom w:val="single" w:sz="6" w:space="0" w:color="000000"/>
              <w:right w:val="single" w:sz="8" w:space="0" w:color="000000"/>
            </w:tcBorders>
            <w:vAlign w:val="center"/>
          </w:tcPr>
          <w:p w14:paraId="15BF392A" w14:textId="77777777" w:rsidR="00885489" w:rsidRPr="00CA09AF" w:rsidRDefault="00885489" w:rsidP="00AF7038">
            <w:pPr>
              <w:pStyle w:val="biaogeright"/>
              <w:wordWrap w:val="0"/>
              <w:rPr>
                <w:rFonts w:asciiTheme="minorEastAsia" w:eastAsiaTheme="minorEastAsia" w:hAnsiTheme="minorEastAsia"/>
              </w:rPr>
            </w:pPr>
            <w:r w:rsidRPr="00CA09AF">
              <w:rPr>
                <w:rFonts w:asciiTheme="minorEastAsia" w:eastAsiaTheme="minorEastAsia" w:hAnsiTheme="minorEastAsia" w:hint="eastAsia"/>
              </w:rP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6400CEA2" w14:textId="77777777" w:rsidR="00885489" w:rsidRPr="00CA09AF" w:rsidRDefault="00885489" w:rsidP="00AF7038">
            <w:pPr>
              <w:pStyle w:val="biaogeright"/>
              <w:wordWrap w:val="0"/>
              <w:rPr>
                <w:rFonts w:asciiTheme="minorEastAsia" w:eastAsiaTheme="minorEastAsia" w:hAnsiTheme="minorEastAsia"/>
              </w:rPr>
            </w:pPr>
            <w:r w:rsidRPr="00CA09AF">
              <w:rPr>
                <w:rFonts w:asciiTheme="minorEastAsia" w:eastAsiaTheme="minorEastAsia" w:hAnsiTheme="minorEastAsia" w:hint="eastAsia"/>
              </w:rPr>
              <w:t>-</w:t>
            </w:r>
          </w:p>
        </w:tc>
      </w:tr>
      <w:tr w:rsidR="00885489" w:rsidRPr="00CA09AF" w14:paraId="4CB2CD0E" w14:textId="77777777" w:rsidTr="00AF7038">
        <w:tc>
          <w:tcPr>
            <w:tcW w:w="0" w:type="auto"/>
            <w:tcBorders>
              <w:top w:val="single" w:sz="8" w:space="0" w:color="000000"/>
              <w:left w:val="single" w:sz="8" w:space="0" w:color="000000"/>
              <w:bottom w:val="single" w:sz="6" w:space="0" w:color="000000"/>
              <w:right w:val="single" w:sz="8" w:space="0" w:color="000000"/>
            </w:tcBorders>
            <w:vAlign w:val="center"/>
          </w:tcPr>
          <w:p w14:paraId="4915F63B" w14:textId="77777777" w:rsidR="00885489" w:rsidRPr="00CA09AF" w:rsidRDefault="00885489" w:rsidP="00AF7038">
            <w:pPr>
              <w:rPr>
                <w:rFonts w:asciiTheme="minorEastAsia" w:hAnsiTheme="minorEastAsia" w:cs="宋体"/>
                <w:kern w:val="0"/>
                <w:sz w:val="24"/>
                <w:szCs w:val="24"/>
              </w:rPr>
            </w:pPr>
          </w:p>
        </w:tc>
        <w:tc>
          <w:tcPr>
            <w:tcW w:w="2579" w:type="dxa"/>
            <w:tcBorders>
              <w:top w:val="single" w:sz="8" w:space="0" w:color="000000"/>
              <w:left w:val="single" w:sz="8" w:space="0" w:color="000000"/>
              <w:bottom w:val="single" w:sz="6" w:space="0" w:color="000000"/>
              <w:right w:val="single" w:sz="8" w:space="0" w:color="000000"/>
            </w:tcBorders>
            <w:vAlign w:val="center"/>
          </w:tcPr>
          <w:p w14:paraId="6A941710" w14:textId="77777777" w:rsidR="00885489" w:rsidRPr="00CA09AF" w:rsidRDefault="00885489" w:rsidP="00AF7038">
            <w:pPr>
              <w:pStyle w:val="biaogeleft"/>
              <w:wordWrap w:val="0"/>
              <w:rPr>
                <w:rFonts w:asciiTheme="minorEastAsia" w:eastAsiaTheme="minorEastAsia" w:hAnsiTheme="minorEastAsia"/>
              </w:rPr>
            </w:pPr>
            <w:r w:rsidRPr="00CA09AF">
              <w:rPr>
                <w:rFonts w:asciiTheme="minorEastAsia" w:eastAsiaTheme="minorEastAsia" w:hAnsiTheme="minorEastAsia" w:hint="eastAsia"/>
              </w:rPr>
              <w:t>合计</w:t>
            </w:r>
          </w:p>
        </w:tc>
        <w:tc>
          <w:tcPr>
            <w:tcW w:w="2694" w:type="dxa"/>
            <w:tcBorders>
              <w:top w:val="single" w:sz="8" w:space="0" w:color="000000"/>
              <w:left w:val="single" w:sz="8" w:space="0" w:color="000000"/>
              <w:bottom w:val="single" w:sz="6" w:space="0" w:color="000000"/>
              <w:right w:val="single" w:sz="8" w:space="0" w:color="000000"/>
            </w:tcBorders>
            <w:vAlign w:val="center"/>
          </w:tcPr>
          <w:p w14:paraId="4E45B4A7" w14:textId="77777777" w:rsidR="00885489" w:rsidRPr="00CA09AF" w:rsidRDefault="00885489" w:rsidP="00AF7038">
            <w:pPr>
              <w:pStyle w:val="biaogeright"/>
              <w:wordWrap w:val="0"/>
              <w:rPr>
                <w:rFonts w:asciiTheme="minorEastAsia" w:eastAsiaTheme="minorEastAsia" w:hAnsiTheme="minorEastAsia"/>
              </w:rPr>
            </w:pPr>
            <w:r w:rsidRPr="00CA09AF">
              <w:rPr>
                <w:rFonts w:asciiTheme="minorEastAsia" w:eastAsiaTheme="minorEastAsia" w:hAnsiTheme="minorEastAsia" w:hint="eastAsia"/>
              </w:rPr>
              <w:t>147,050,808.36</w:t>
            </w:r>
          </w:p>
        </w:tc>
        <w:tc>
          <w:tcPr>
            <w:tcW w:w="2693" w:type="dxa"/>
            <w:tcBorders>
              <w:top w:val="single" w:sz="8" w:space="0" w:color="000000"/>
              <w:left w:val="single" w:sz="8" w:space="0" w:color="000000"/>
              <w:bottom w:val="single" w:sz="6" w:space="0" w:color="000000"/>
              <w:right w:val="single" w:sz="8" w:space="0" w:color="000000"/>
            </w:tcBorders>
            <w:vAlign w:val="center"/>
          </w:tcPr>
          <w:p w14:paraId="63303D76" w14:textId="77777777" w:rsidR="00885489" w:rsidRPr="00CA09AF" w:rsidRDefault="00885489" w:rsidP="00AF7038">
            <w:pPr>
              <w:pStyle w:val="biaogeright"/>
              <w:wordWrap w:val="0"/>
              <w:rPr>
                <w:rFonts w:asciiTheme="minorEastAsia" w:eastAsiaTheme="minorEastAsia" w:hAnsiTheme="minorEastAsia"/>
              </w:rPr>
            </w:pPr>
            <w:r w:rsidRPr="00CA09AF">
              <w:rPr>
                <w:rFonts w:asciiTheme="minorEastAsia" w:eastAsiaTheme="minorEastAsia" w:hAnsiTheme="minorEastAsia" w:hint="eastAsia"/>
              </w:rPr>
              <w:t>8.96</w:t>
            </w:r>
          </w:p>
        </w:tc>
      </w:tr>
    </w:tbl>
    <w:p w14:paraId="53FE50D7" w14:textId="77777777" w:rsidR="003568C2" w:rsidRDefault="003568C2">
      <w:pPr>
        <w:widowControl/>
        <w:jc w:val="left"/>
        <w:rPr>
          <w:rFonts w:ascii="宋体" w:hAnsi="宋体" w:cs="宋体"/>
          <w:kern w:val="0"/>
          <w:sz w:val="24"/>
          <w:szCs w:val="24"/>
        </w:rPr>
      </w:pPr>
    </w:p>
    <w:p w14:paraId="5E70205F" w14:textId="77777777" w:rsidR="003568C2" w:rsidRDefault="00695B03">
      <w:pPr>
        <w:pStyle w:val="zhangjiep2"/>
      </w:pPr>
      <w:r>
        <w:rPr>
          <w:rFonts w:hint="eastAsia"/>
          <w:bCs/>
        </w:rPr>
        <w:t>（</w:t>
      </w:r>
      <w:r>
        <w:rPr>
          <w:bCs/>
        </w:rPr>
        <w:t>3）</w:t>
      </w:r>
      <w:r>
        <w:rPr>
          <w:rFonts w:hint="eastAsia"/>
          <w:bCs/>
        </w:rPr>
        <w:t>报告期末按行业分类的港股通投资股票投资组合</w:t>
      </w:r>
    </w:p>
    <w:p w14:paraId="0E96B54E" w14:textId="77777777" w:rsidR="003568C2" w:rsidRDefault="00695B03">
      <w:pPr>
        <w:pStyle w:val="neirong"/>
        <w:ind w:leftChars="7" w:firstLineChars="100" w:firstLine="240"/>
      </w:pPr>
      <w:r>
        <w:rPr>
          <w:rFonts w:hint="eastAsia"/>
        </w:rPr>
        <w:t>本基金报告期末未持有港股通股票。</w:t>
      </w:r>
    </w:p>
    <w:p w14:paraId="46B62E2D" w14:textId="77777777" w:rsidR="003568C2" w:rsidRDefault="003568C2">
      <w:pPr>
        <w:widowControl/>
        <w:jc w:val="left"/>
        <w:rPr>
          <w:rFonts w:ascii="宋体" w:hAnsi="宋体" w:cs="宋体"/>
          <w:kern w:val="0"/>
          <w:sz w:val="24"/>
          <w:szCs w:val="24"/>
        </w:rPr>
      </w:pPr>
    </w:p>
    <w:p w14:paraId="56166111" w14:textId="77777777" w:rsidR="003568C2" w:rsidRDefault="00695B03">
      <w:pPr>
        <w:pStyle w:val="zhangjiep"/>
      </w:pPr>
      <w:r>
        <w:rPr>
          <w:bCs/>
        </w:rPr>
        <w:t>3、</w:t>
      </w:r>
      <w:r>
        <w:rPr>
          <w:rFonts w:hint="eastAsia"/>
          <w:bCs/>
        </w:rPr>
        <w:t>报告期末按公允价值占基金资产净值比例大小排序的前十名股票投资明细</w:t>
      </w:r>
    </w:p>
    <w:p w14:paraId="3396B885" w14:textId="77777777" w:rsidR="003568C2" w:rsidRDefault="00695B03">
      <w:pPr>
        <w:pStyle w:val="zhangjiep2"/>
      </w:pPr>
      <w:r>
        <w:rPr>
          <w:rFonts w:hint="eastAsia"/>
          <w:bCs/>
        </w:rPr>
        <w:t>（1）报告期末指数投资按公允价值占基金资产净值比例大小排序的前十名股票投资明细</w:t>
      </w:r>
    </w:p>
    <w:tbl>
      <w:tblPr>
        <w:tblW w:w="8737" w:type="dxa"/>
        <w:tblInd w:w="108" w:type="dxa"/>
        <w:tblLook w:val="04A0" w:firstRow="1" w:lastRow="0" w:firstColumn="1" w:lastColumn="0" w:noHBand="0" w:noVBand="1"/>
      </w:tblPr>
      <w:tblGrid>
        <w:gridCol w:w="709"/>
        <w:gridCol w:w="1364"/>
        <w:gridCol w:w="1133"/>
        <w:gridCol w:w="1189"/>
        <w:gridCol w:w="1984"/>
        <w:gridCol w:w="2358"/>
      </w:tblGrid>
      <w:tr w:rsidR="003568C2" w14:paraId="5E2CA5AA" w14:textId="77777777">
        <w:trPr>
          <w:trHeight w:val="409"/>
        </w:trPr>
        <w:tc>
          <w:tcPr>
            <w:tcW w:w="709" w:type="dxa"/>
            <w:tcBorders>
              <w:top w:val="single" w:sz="8" w:space="0" w:color="000000"/>
              <w:left w:val="single" w:sz="8" w:space="0" w:color="000000"/>
              <w:bottom w:val="single" w:sz="6" w:space="0" w:color="000000"/>
              <w:right w:val="single" w:sz="8" w:space="0" w:color="000000"/>
            </w:tcBorders>
            <w:vAlign w:val="center"/>
          </w:tcPr>
          <w:p w14:paraId="38319D02" w14:textId="77777777" w:rsidR="003568C2" w:rsidRDefault="00695B03">
            <w:pPr>
              <w:pStyle w:val="biaogecenter"/>
              <w:wordWrap w:val="0"/>
              <w:rPr>
                <w:b/>
                <w:sz w:val="20"/>
              </w:rPr>
            </w:pPr>
            <w:r>
              <w:rPr>
                <w:rFonts w:hAnsi="Calibri" w:hint="eastAsia"/>
                <w:b/>
                <w:color w:val="000000"/>
                <w:sz w:val="20"/>
              </w:rPr>
              <w:t>序号</w:t>
            </w:r>
          </w:p>
        </w:tc>
        <w:tc>
          <w:tcPr>
            <w:tcW w:w="0" w:type="auto"/>
            <w:tcBorders>
              <w:top w:val="single" w:sz="8" w:space="0" w:color="000000"/>
              <w:left w:val="single" w:sz="8" w:space="0" w:color="000000"/>
              <w:bottom w:val="single" w:sz="6" w:space="0" w:color="000000"/>
              <w:right w:val="single" w:sz="8" w:space="0" w:color="000000"/>
            </w:tcBorders>
            <w:vAlign w:val="center"/>
          </w:tcPr>
          <w:p w14:paraId="626135A2" w14:textId="77777777" w:rsidR="003568C2" w:rsidRDefault="00695B03">
            <w:pPr>
              <w:pStyle w:val="biaogecenter"/>
              <w:wordWrap w:val="0"/>
              <w:rPr>
                <w:b/>
                <w:sz w:val="20"/>
              </w:rPr>
            </w:pPr>
            <w:r>
              <w:rPr>
                <w:rFonts w:hAnsi="Calibri" w:hint="eastAsia"/>
                <w:b/>
                <w:color w:val="000000"/>
                <w:sz w:val="20"/>
              </w:rPr>
              <w:t>股票代码</w:t>
            </w:r>
          </w:p>
        </w:tc>
        <w:tc>
          <w:tcPr>
            <w:tcW w:w="1133" w:type="dxa"/>
            <w:tcBorders>
              <w:top w:val="single" w:sz="8" w:space="0" w:color="000000"/>
              <w:left w:val="single" w:sz="8" w:space="0" w:color="000000"/>
              <w:bottom w:val="single" w:sz="6" w:space="0" w:color="000000"/>
              <w:right w:val="single" w:sz="8" w:space="0" w:color="000000"/>
            </w:tcBorders>
            <w:vAlign w:val="center"/>
          </w:tcPr>
          <w:p w14:paraId="465374DF" w14:textId="77777777" w:rsidR="003568C2" w:rsidRDefault="00695B03">
            <w:pPr>
              <w:pStyle w:val="biaogecenter"/>
              <w:wordWrap w:val="0"/>
              <w:rPr>
                <w:b/>
                <w:sz w:val="20"/>
              </w:rPr>
            </w:pPr>
            <w:r>
              <w:rPr>
                <w:rFonts w:hAnsi="Calibri" w:hint="eastAsia"/>
                <w:b/>
                <w:color w:val="000000"/>
                <w:sz w:val="20"/>
              </w:rPr>
              <w:t>股票名称</w:t>
            </w:r>
          </w:p>
        </w:tc>
        <w:tc>
          <w:tcPr>
            <w:tcW w:w="1189" w:type="dxa"/>
            <w:tcBorders>
              <w:top w:val="single" w:sz="8" w:space="0" w:color="000000"/>
              <w:left w:val="single" w:sz="8" w:space="0" w:color="000000"/>
              <w:bottom w:val="single" w:sz="6" w:space="0" w:color="000000"/>
              <w:right w:val="single" w:sz="8" w:space="0" w:color="000000"/>
            </w:tcBorders>
            <w:vAlign w:val="center"/>
          </w:tcPr>
          <w:p w14:paraId="0AB773DE" w14:textId="77777777" w:rsidR="003568C2" w:rsidRDefault="00695B03">
            <w:pPr>
              <w:pStyle w:val="biaogecenter"/>
              <w:wordWrap w:val="0"/>
              <w:rPr>
                <w:b/>
                <w:sz w:val="20"/>
              </w:rPr>
            </w:pPr>
            <w:r>
              <w:rPr>
                <w:rFonts w:hAnsi="Calibri" w:hint="eastAsia"/>
                <w:b/>
                <w:color w:val="000000"/>
                <w:sz w:val="20"/>
              </w:rPr>
              <w:t>数量(股)</w:t>
            </w:r>
          </w:p>
        </w:tc>
        <w:tc>
          <w:tcPr>
            <w:tcW w:w="1984" w:type="dxa"/>
            <w:tcBorders>
              <w:top w:val="single" w:sz="8" w:space="0" w:color="000000"/>
              <w:left w:val="single" w:sz="8" w:space="0" w:color="000000"/>
              <w:bottom w:val="single" w:sz="6" w:space="0" w:color="000000"/>
              <w:right w:val="single" w:sz="8" w:space="0" w:color="000000"/>
            </w:tcBorders>
            <w:vAlign w:val="center"/>
          </w:tcPr>
          <w:p w14:paraId="3AE4D1DB" w14:textId="77777777" w:rsidR="003568C2" w:rsidRDefault="00695B03">
            <w:pPr>
              <w:pStyle w:val="biaogecenter"/>
              <w:wordWrap w:val="0"/>
              <w:rPr>
                <w:b/>
                <w:sz w:val="20"/>
              </w:rPr>
            </w:pPr>
            <w:r>
              <w:rPr>
                <w:rFonts w:hAnsi="Calibri" w:hint="eastAsia"/>
                <w:b/>
                <w:color w:val="000000"/>
                <w:sz w:val="20"/>
              </w:rPr>
              <w:t>公允价值(元)</w:t>
            </w:r>
          </w:p>
        </w:tc>
        <w:tc>
          <w:tcPr>
            <w:tcW w:w="2358" w:type="dxa"/>
            <w:tcBorders>
              <w:top w:val="single" w:sz="8" w:space="0" w:color="000000"/>
              <w:left w:val="single" w:sz="8" w:space="0" w:color="000000"/>
              <w:bottom w:val="single" w:sz="6" w:space="0" w:color="000000"/>
              <w:right w:val="single" w:sz="8" w:space="0" w:color="000000"/>
            </w:tcBorders>
            <w:vAlign w:val="center"/>
          </w:tcPr>
          <w:p w14:paraId="77539FF6" w14:textId="77777777" w:rsidR="003568C2" w:rsidRDefault="00695B03">
            <w:pPr>
              <w:pStyle w:val="biaogecenter"/>
              <w:wordWrap w:val="0"/>
              <w:rPr>
                <w:b/>
                <w:sz w:val="20"/>
              </w:rPr>
            </w:pPr>
            <w:r>
              <w:rPr>
                <w:rFonts w:hAnsi="Calibri" w:hint="eastAsia"/>
                <w:b/>
                <w:color w:val="000000"/>
                <w:sz w:val="20"/>
              </w:rPr>
              <w:t>占基金资产净值比例(%)</w:t>
            </w:r>
          </w:p>
        </w:tc>
      </w:tr>
      <w:tr w:rsidR="00885489" w14:paraId="7CA6C50B" w14:textId="77777777">
        <w:trPr>
          <w:trHeight w:val="409"/>
        </w:trPr>
        <w:tc>
          <w:tcPr>
            <w:tcW w:w="0" w:type="auto"/>
            <w:tcBorders>
              <w:top w:val="single" w:sz="8" w:space="0" w:color="000000"/>
              <w:left w:val="single" w:sz="8" w:space="0" w:color="000000"/>
              <w:bottom w:val="single" w:sz="6" w:space="0" w:color="000000"/>
              <w:right w:val="single" w:sz="8" w:space="0" w:color="000000"/>
            </w:tcBorders>
            <w:vAlign w:val="center"/>
          </w:tcPr>
          <w:p w14:paraId="71DC49FD" w14:textId="2FA82AC1" w:rsidR="00885489" w:rsidRDefault="00885489" w:rsidP="00885489">
            <w:pPr>
              <w:pStyle w:val="biaogecenter"/>
              <w:wordWrap w:val="0"/>
              <w:rPr>
                <w:sz w:val="20"/>
              </w:rPr>
            </w:pPr>
            <w:r w:rsidRPr="00CA09AF">
              <w:rPr>
                <w:rFonts w:hAnsi="Calibri" w:hint="eastAsia"/>
                <w:color w:val="000000"/>
                <w:sz w:val="20"/>
              </w:rPr>
              <w:t>1</w:t>
            </w:r>
          </w:p>
        </w:tc>
        <w:tc>
          <w:tcPr>
            <w:tcW w:w="0" w:type="auto"/>
            <w:tcBorders>
              <w:top w:val="single" w:sz="8" w:space="0" w:color="000000"/>
              <w:left w:val="single" w:sz="8" w:space="0" w:color="000000"/>
              <w:bottom w:val="single" w:sz="6" w:space="0" w:color="000000"/>
              <w:right w:val="single" w:sz="8" w:space="0" w:color="000000"/>
            </w:tcBorders>
            <w:vAlign w:val="center"/>
          </w:tcPr>
          <w:p w14:paraId="2B0F69F2" w14:textId="617CEF99" w:rsidR="00885489" w:rsidRDefault="00885489" w:rsidP="00885489">
            <w:pPr>
              <w:pStyle w:val="biaogeleft"/>
              <w:wordWrap w:val="0"/>
              <w:rPr>
                <w:sz w:val="20"/>
              </w:rPr>
            </w:pPr>
            <w:r w:rsidRPr="00CA09AF">
              <w:rPr>
                <w:rFonts w:hAnsi="Calibri" w:hint="eastAsia"/>
                <w:color w:val="000000"/>
                <w:sz w:val="20"/>
              </w:rPr>
              <w:t>600519</w:t>
            </w:r>
          </w:p>
        </w:tc>
        <w:tc>
          <w:tcPr>
            <w:tcW w:w="1133" w:type="dxa"/>
            <w:tcBorders>
              <w:top w:val="single" w:sz="8" w:space="0" w:color="000000"/>
              <w:left w:val="single" w:sz="8" w:space="0" w:color="000000"/>
              <w:bottom w:val="single" w:sz="6" w:space="0" w:color="000000"/>
              <w:right w:val="single" w:sz="8" w:space="0" w:color="000000"/>
            </w:tcBorders>
            <w:vAlign w:val="center"/>
          </w:tcPr>
          <w:p w14:paraId="09602649" w14:textId="1100B759" w:rsidR="00885489" w:rsidRDefault="00885489" w:rsidP="00885489">
            <w:pPr>
              <w:pStyle w:val="biaogeleft"/>
              <w:wordWrap w:val="0"/>
              <w:rPr>
                <w:sz w:val="20"/>
              </w:rPr>
            </w:pPr>
            <w:r w:rsidRPr="00CA09AF">
              <w:rPr>
                <w:rFonts w:hAnsi="Calibri" w:hint="eastAsia"/>
                <w:color w:val="000000"/>
                <w:sz w:val="20"/>
              </w:rPr>
              <w:t>贵州茅台</w:t>
            </w:r>
          </w:p>
        </w:tc>
        <w:tc>
          <w:tcPr>
            <w:tcW w:w="1189" w:type="dxa"/>
            <w:tcBorders>
              <w:top w:val="single" w:sz="8" w:space="0" w:color="000000"/>
              <w:left w:val="single" w:sz="8" w:space="0" w:color="000000"/>
              <w:bottom w:val="single" w:sz="6" w:space="0" w:color="000000"/>
              <w:right w:val="single" w:sz="8" w:space="0" w:color="000000"/>
            </w:tcBorders>
            <w:vAlign w:val="center"/>
          </w:tcPr>
          <w:p w14:paraId="48A968EE" w14:textId="638680FC" w:rsidR="00885489" w:rsidRDefault="00885489" w:rsidP="00885489">
            <w:pPr>
              <w:pStyle w:val="biaogeright"/>
              <w:wordWrap w:val="0"/>
              <w:rPr>
                <w:sz w:val="20"/>
              </w:rPr>
            </w:pPr>
            <w:r w:rsidRPr="00CA09AF">
              <w:rPr>
                <w:rFonts w:hAnsi="Calibri" w:hint="eastAsia"/>
                <w:color w:val="000000"/>
                <w:sz w:val="20"/>
              </w:rPr>
              <w:t>41,900</w:t>
            </w:r>
          </w:p>
        </w:tc>
        <w:tc>
          <w:tcPr>
            <w:tcW w:w="1984" w:type="dxa"/>
            <w:tcBorders>
              <w:top w:val="single" w:sz="8" w:space="0" w:color="000000"/>
              <w:left w:val="single" w:sz="8" w:space="0" w:color="000000"/>
              <w:bottom w:val="single" w:sz="6" w:space="0" w:color="000000"/>
              <w:right w:val="single" w:sz="8" w:space="0" w:color="000000"/>
            </w:tcBorders>
            <w:vAlign w:val="center"/>
          </w:tcPr>
          <w:p w14:paraId="262B44F5" w14:textId="3A0F3178" w:rsidR="00885489" w:rsidRDefault="00885489" w:rsidP="00885489">
            <w:pPr>
              <w:pStyle w:val="biaogeright"/>
              <w:wordWrap w:val="0"/>
              <w:rPr>
                <w:sz w:val="20"/>
              </w:rPr>
            </w:pPr>
            <w:r w:rsidRPr="00CA09AF">
              <w:rPr>
                <w:rFonts w:hAnsi="Calibri" w:hint="eastAsia"/>
                <w:color w:val="000000"/>
                <w:sz w:val="20"/>
              </w:rPr>
              <w:t>86,175,730.00</w:t>
            </w:r>
          </w:p>
        </w:tc>
        <w:tc>
          <w:tcPr>
            <w:tcW w:w="2358" w:type="dxa"/>
            <w:tcBorders>
              <w:top w:val="single" w:sz="8" w:space="0" w:color="000000"/>
              <w:left w:val="single" w:sz="8" w:space="0" w:color="000000"/>
              <w:bottom w:val="single" w:sz="6" w:space="0" w:color="000000"/>
              <w:right w:val="single" w:sz="8" w:space="0" w:color="000000"/>
            </w:tcBorders>
            <w:vAlign w:val="center"/>
          </w:tcPr>
          <w:p w14:paraId="65014451" w14:textId="73E98DF9" w:rsidR="00885489" w:rsidRDefault="00885489" w:rsidP="00885489">
            <w:pPr>
              <w:pStyle w:val="biaogeright"/>
              <w:wordWrap w:val="0"/>
              <w:rPr>
                <w:sz w:val="20"/>
              </w:rPr>
            </w:pPr>
            <w:r w:rsidRPr="00CA09AF">
              <w:rPr>
                <w:rFonts w:hAnsi="Calibri" w:hint="eastAsia"/>
                <w:color w:val="000000"/>
                <w:sz w:val="20"/>
              </w:rPr>
              <w:t>5.25</w:t>
            </w:r>
          </w:p>
        </w:tc>
      </w:tr>
      <w:tr w:rsidR="00885489" w14:paraId="03478D80" w14:textId="77777777">
        <w:trPr>
          <w:trHeight w:val="409"/>
        </w:trPr>
        <w:tc>
          <w:tcPr>
            <w:tcW w:w="0" w:type="auto"/>
            <w:tcBorders>
              <w:top w:val="single" w:sz="8" w:space="0" w:color="000000"/>
              <w:left w:val="single" w:sz="8" w:space="0" w:color="000000"/>
              <w:bottom w:val="single" w:sz="6" w:space="0" w:color="000000"/>
              <w:right w:val="single" w:sz="8" w:space="0" w:color="000000"/>
            </w:tcBorders>
            <w:vAlign w:val="center"/>
          </w:tcPr>
          <w:p w14:paraId="24E22D3C" w14:textId="61F8914D" w:rsidR="00885489" w:rsidRDefault="00885489" w:rsidP="00885489">
            <w:pPr>
              <w:pStyle w:val="biaogecenter"/>
              <w:wordWrap w:val="0"/>
              <w:rPr>
                <w:sz w:val="20"/>
              </w:rPr>
            </w:pPr>
            <w:r w:rsidRPr="00CA09AF">
              <w:rPr>
                <w:rFonts w:hAnsi="Calibri" w:hint="eastAsia"/>
                <w:color w:val="000000"/>
                <w:sz w:val="20"/>
              </w:rPr>
              <w:t>2</w:t>
            </w:r>
          </w:p>
        </w:tc>
        <w:tc>
          <w:tcPr>
            <w:tcW w:w="0" w:type="auto"/>
            <w:tcBorders>
              <w:top w:val="single" w:sz="8" w:space="0" w:color="000000"/>
              <w:left w:val="single" w:sz="8" w:space="0" w:color="000000"/>
              <w:bottom w:val="single" w:sz="6" w:space="0" w:color="000000"/>
              <w:right w:val="single" w:sz="8" w:space="0" w:color="000000"/>
            </w:tcBorders>
            <w:vAlign w:val="center"/>
          </w:tcPr>
          <w:p w14:paraId="13EE228D" w14:textId="17EB1CF4" w:rsidR="00885489" w:rsidRDefault="00885489" w:rsidP="00885489">
            <w:pPr>
              <w:pStyle w:val="biaogeleft"/>
              <w:wordWrap w:val="0"/>
              <w:rPr>
                <w:sz w:val="20"/>
              </w:rPr>
            </w:pPr>
            <w:r w:rsidRPr="00CA09AF">
              <w:rPr>
                <w:rFonts w:hAnsi="Calibri" w:hint="eastAsia"/>
                <w:color w:val="000000"/>
                <w:sz w:val="20"/>
              </w:rPr>
              <w:t>000858</w:t>
            </w:r>
          </w:p>
        </w:tc>
        <w:tc>
          <w:tcPr>
            <w:tcW w:w="1133" w:type="dxa"/>
            <w:tcBorders>
              <w:top w:val="single" w:sz="8" w:space="0" w:color="000000"/>
              <w:left w:val="single" w:sz="8" w:space="0" w:color="000000"/>
              <w:bottom w:val="single" w:sz="6" w:space="0" w:color="000000"/>
              <w:right w:val="single" w:sz="8" w:space="0" w:color="000000"/>
            </w:tcBorders>
            <w:vAlign w:val="center"/>
          </w:tcPr>
          <w:p w14:paraId="31B04733" w14:textId="31C27849" w:rsidR="00885489" w:rsidRDefault="00885489" w:rsidP="00885489">
            <w:pPr>
              <w:pStyle w:val="biaogeleft"/>
              <w:wordWrap w:val="0"/>
              <w:rPr>
                <w:sz w:val="20"/>
              </w:rPr>
            </w:pPr>
            <w:r w:rsidRPr="00CA09AF">
              <w:rPr>
                <w:rFonts w:hAnsi="Calibri" w:hint="eastAsia"/>
                <w:color w:val="000000"/>
                <w:sz w:val="20"/>
              </w:rPr>
              <w:t>五 粮 液</w:t>
            </w:r>
          </w:p>
        </w:tc>
        <w:tc>
          <w:tcPr>
            <w:tcW w:w="1189" w:type="dxa"/>
            <w:tcBorders>
              <w:top w:val="single" w:sz="8" w:space="0" w:color="000000"/>
              <w:left w:val="single" w:sz="8" w:space="0" w:color="000000"/>
              <w:bottom w:val="single" w:sz="6" w:space="0" w:color="000000"/>
              <w:right w:val="single" w:sz="8" w:space="0" w:color="000000"/>
            </w:tcBorders>
            <w:vAlign w:val="center"/>
          </w:tcPr>
          <w:p w14:paraId="52A85069" w14:textId="0C8D527A" w:rsidR="00885489" w:rsidRDefault="00885489" w:rsidP="00885489">
            <w:pPr>
              <w:pStyle w:val="biaogeright"/>
              <w:wordWrap w:val="0"/>
              <w:rPr>
                <w:sz w:val="20"/>
              </w:rPr>
            </w:pPr>
            <w:r w:rsidRPr="00CA09AF">
              <w:rPr>
                <w:rFonts w:hAnsi="Calibri" w:hint="eastAsia"/>
                <w:color w:val="000000"/>
                <w:sz w:val="20"/>
              </w:rPr>
              <w:t>197,800</w:t>
            </w:r>
          </w:p>
        </w:tc>
        <w:tc>
          <w:tcPr>
            <w:tcW w:w="1984" w:type="dxa"/>
            <w:tcBorders>
              <w:top w:val="single" w:sz="8" w:space="0" w:color="000000"/>
              <w:left w:val="single" w:sz="8" w:space="0" w:color="000000"/>
              <w:bottom w:val="single" w:sz="6" w:space="0" w:color="000000"/>
              <w:right w:val="single" w:sz="8" w:space="0" w:color="000000"/>
            </w:tcBorders>
            <w:vAlign w:val="center"/>
          </w:tcPr>
          <w:p w14:paraId="1E21A0AB" w14:textId="24A1D083" w:rsidR="00885489" w:rsidRDefault="00885489" w:rsidP="00885489">
            <w:pPr>
              <w:pStyle w:val="biaogeright"/>
              <w:wordWrap w:val="0"/>
              <w:rPr>
                <w:sz w:val="20"/>
              </w:rPr>
            </w:pPr>
            <w:r w:rsidRPr="00CA09AF">
              <w:rPr>
                <w:rFonts w:hAnsi="Calibri" w:hint="eastAsia"/>
                <w:color w:val="000000"/>
                <w:sz w:val="20"/>
              </w:rPr>
              <w:t>58,922,642.00</w:t>
            </w:r>
          </w:p>
        </w:tc>
        <w:tc>
          <w:tcPr>
            <w:tcW w:w="2358" w:type="dxa"/>
            <w:tcBorders>
              <w:top w:val="single" w:sz="8" w:space="0" w:color="000000"/>
              <w:left w:val="single" w:sz="8" w:space="0" w:color="000000"/>
              <w:bottom w:val="single" w:sz="6" w:space="0" w:color="000000"/>
              <w:right w:val="single" w:sz="8" w:space="0" w:color="000000"/>
            </w:tcBorders>
            <w:vAlign w:val="center"/>
          </w:tcPr>
          <w:p w14:paraId="0B1D6F68" w14:textId="6EC90249" w:rsidR="00885489" w:rsidRDefault="00885489" w:rsidP="00885489">
            <w:pPr>
              <w:pStyle w:val="biaogeright"/>
              <w:wordWrap w:val="0"/>
              <w:rPr>
                <w:sz w:val="20"/>
              </w:rPr>
            </w:pPr>
            <w:r w:rsidRPr="00CA09AF">
              <w:rPr>
                <w:rFonts w:hAnsi="Calibri" w:hint="eastAsia"/>
                <w:color w:val="000000"/>
                <w:sz w:val="20"/>
              </w:rPr>
              <w:t>3.59</w:t>
            </w:r>
          </w:p>
        </w:tc>
      </w:tr>
      <w:tr w:rsidR="00885489" w14:paraId="217B689F" w14:textId="77777777">
        <w:trPr>
          <w:trHeight w:val="409"/>
        </w:trPr>
        <w:tc>
          <w:tcPr>
            <w:tcW w:w="0" w:type="auto"/>
            <w:tcBorders>
              <w:top w:val="single" w:sz="8" w:space="0" w:color="000000"/>
              <w:left w:val="single" w:sz="8" w:space="0" w:color="000000"/>
              <w:bottom w:val="single" w:sz="6" w:space="0" w:color="000000"/>
              <w:right w:val="single" w:sz="8" w:space="0" w:color="000000"/>
            </w:tcBorders>
            <w:vAlign w:val="center"/>
          </w:tcPr>
          <w:p w14:paraId="6B0C1B20" w14:textId="30699C69" w:rsidR="00885489" w:rsidRDefault="00885489" w:rsidP="00885489">
            <w:pPr>
              <w:pStyle w:val="biaogecenter"/>
              <w:wordWrap w:val="0"/>
              <w:rPr>
                <w:sz w:val="20"/>
              </w:rPr>
            </w:pPr>
            <w:r w:rsidRPr="00CA09AF">
              <w:rPr>
                <w:rFonts w:hAnsi="Calibri" w:hint="eastAsia"/>
                <w:color w:val="000000"/>
                <w:sz w:val="20"/>
              </w:rPr>
              <w:t>3</w:t>
            </w:r>
          </w:p>
        </w:tc>
        <w:tc>
          <w:tcPr>
            <w:tcW w:w="0" w:type="auto"/>
            <w:tcBorders>
              <w:top w:val="single" w:sz="8" w:space="0" w:color="000000"/>
              <w:left w:val="single" w:sz="8" w:space="0" w:color="000000"/>
              <w:bottom w:val="single" w:sz="6" w:space="0" w:color="000000"/>
              <w:right w:val="single" w:sz="8" w:space="0" w:color="000000"/>
            </w:tcBorders>
            <w:vAlign w:val="center"/>
          </w:tcPr>
          <w:p w14:paraId="4A797A3C" w14:textId="5EA24594" w:rsidR="00885489" w:rsidRDefault="00885489" w:rsidP="00885489">
            <w:pPr>
              <w:pStyle w:val="biaogeleft"/>
              <w:wordWrap w:val="0"/>
              <w:rPr>
                <w:sz w:val="20"/>
              </w:rPr>
            </w:pPr>
            <w:r w:rsidRPr="00CA09AF">
              <w:rPr>
                <w:rFonts w:hAnsi="Calibri" w:hint="eastAsia"/>
                <w:color w:val="000000"/>
                <w:sz w:val="20"/>
              </w:rPr>
              <w:t>000001</w:t>
            </w:r>
          </w:p>
        </w:tc>
        <w:tc>
          <w:tcPr>
            <w:tcW w:w="1133" w:type="dxa"/>
            <w:tcBorders>
              <w:top w:val="single" w:sz="8" w:space="0" w:color="000000"/>
              <w:left w:val="single" w:sz="8" w:space="0" w:color="000000"/>
              <w:bottom w:val="single" w:sz="6" w:space="0" w:color="000000"/>
              <w:right w:val="single" w:sz="8" w:space="0" w:color="000000"/>
            </w:tcBorders>
            <w:vAlign w:val="center"/>
          </w:tcPr>
          <w:p w14:paraId="31533806" w14:textId="12542C04" w:rsidR="00885489" w:rsidRDefault="00885489" w:rsidP="00885489">
            <w:pPr>
              <w:pStyle w:val="biaogeleft"/>
              <w:wordWrap w:val="0"/>
              <w:rPr>
                <w:sz w:val="20"/>
              </w:rPr>
            </w:pPr>
            <w:r w:rsidRPr="00CA09AF">
              <w:rPr>
                <w:rFonts w:hAnsi="Calibri" w:hint="eastAsia"/>
                <w:color w:val="000000"/>
                <w:sz w:val="20"/>
              </w:rPr>
              <w:t>平安银行</w:t>
            </w:r>
          </w:p>
        </w:tc>
        <w:tc>
          <w:tcPr>
            <w:tcW w:w="1189" w:type="dxa"/>
            <w:tcBorders>
              <w:top w:val="single" w:sz="8" w:space="0" w:color="000000"/>
              <w:left w:val="single" w:sz="8" w:space="0" w:color="000000"/>
              <w:bottom w:val="single" w:sz="6" w:space="0" w:color="000000"/>
              <w:right w:val="single" w:sz="8" w:space="0" w:color="000000"/>
            </w:tcBorders>
            <w:vAlign w:val="center"/>
          </w:tcPr>
          <w:p w14:paraId="60990B0E" w14:textId="4229427C" w:rsidR="00885489" w:rsidRDefault="00885489" w:rsidP="00885489">
            <w:pPr>
              <w:pStyle w:val="biaogeright"/>
              <w:wordWrap w:val="0"/>
              <w:rPr>
                <w:sz w:val="20"/>
              </w:rPr>
            </w:pPr>
            <w:r w:rsidRPr="00CA09AF">
              <w:rPr>
                <w:rFonts w:hAnsi="Calibri" w:hint="eastAsia"/>
                <w:color w:val="000000"/>
                <w:sz w:val="20"/>
              </w:rPr>
              <w:t>2,472,700</w:t>
            </w:r>
          </w:p>
        </w:tc>
        <w:tc>
          <w:tcPr>
            <w:tcW w:w="1984" w:type="dxa"/>
            <w:tcBorders>
              <w:top w:val="single" w:sz="8" w:space="0" w:color="000000"/>
              <w:left w:val="single" w:sz="8" w:space="0" w:color="000000"/>
              <w:bottom w:val="single" w:sz="6" w:space="0" w:color="000000"/>
              <w:right w:val="single" w:sz="8" w:space="0" w:color="000000"/>
            </w:tcBorders>
            <w:vAlign w:val="center"/>
          </w:tcPr>
          <w:p w14:paraId="6A49FFDC" w14:textId="43E86F41" w:rsidR="00885489" w:rsidRDefault="00885489" w:rsidP="00885489">
            <w:pPr>
              <w:pStyle w:val="biaogeright"/>
              <w:wordWrap w:val="0"/>
              <w:rPr>
                <w:sz w:val="20"/>
              </w:rPr>
            </w:pPr>
            <w:r w:rsidRPr="00CA09AF">
              <w:rPr>
                <w:rFonts w:hAnsi="Calibri" w:hint="eastAsia"/>
                <w:color w:val="000000"/>
                <w:sz w:val="20"/>
              </w:rPr>
              <w:t>55,932,474.00</w:t>
            </w:r>
          </w:p>
        </w:tc>
        <w:tc>
          <w:tcPr>
            <w:tcW w:w="2358" w:type="dxa"/>
            <w:tcBorders>
              <w:top w:val="single" w:sz="8" w:space="0" w:color="000000"/>
              <w:left w:val="single" w:sz="8" w:space="0" w:color="000000"/>
              <w:bottom w:val="single" w:sz="6" w:space="0" w:color="000000"/>
              <w:right w:val="single" w:sz="8" w:space="0" w:color="000000"/>
            </w:tcBorders>
            <w:vAlign w:val="center"/>
          </w:tcPr>
          <w:p w14:paraId="33E98AB7" w14:textId="4700F325" w:rsidR="00885489" w:rsidRDefault="00885489" w:rsidP="00885489">
            <w:pPr>
              <w:pStyle w:val="biaogeright"/>
              <w:wordWrap w:val="0"/>
              <w:rPr>
                <w:sz w:val="20"/>
              </w:rPr>
            </w:pPr>
            <w:r w:rsidRPr="00CA09AF">
              <w:rPr>
                <w:rFonts w:hAnsi="Calibri" w:hint="eastAsia"/>
                <w:color w:val="000000"/>
                <w:sz w:val="20"/>
              </w:rPr>
              <w:t>3.41</w:t>
            </w:r>
          </w:p>
        </w:tc>
      </w:tr>
      <w:tr w:rsidR="00885489" w14:paraId="257FBDD4" w14:textId="77777777">
        <w:trPr>
          <w:trHeight w:val="422"/>
        </w:trPr>
        <w:tc>
          <w:tcPr>
            <w:tcW w:w="0" w:type="auto"/>
            <w:tcBorders>
              <w:top w:val="single" w:sz="8" w:space="0" w:color="000000"/>
              <w:left w:val="single" w:sz="8" w:space="0" w:color="000000"/>
              <w:bottom w:val="single" w:sz="6" w:space="0" w:color="000000"/>
              <w:right w:val="single" w:sz="8" w:space="0" w:color="000000"/>
            </w:tcBorders>
            <w:vAlign w:val="center"/>
          </w:tcPr>
          <w:p w14:paraId="166962F2" w14:textId="0A7CA6D0" w:rsidR="00885489" w:rsidRDefault="00885489" w:rsidP="00885489">
            <w:pPr>
              <w:pStyle w:val="biaogecenter"/>
              <w:wordWrap w:val="0"/>
              <w:rPr>
                <w:sz w:val="20"/>
              </w:rPr>
            </w:pPr>
            <w:r w:rsidRPr="00CA09AF">
              <w:rPr>
                <w:rFonts w:hAnsi="Calibri" w:hint="eastAsia"/>
                <w:color w:val="000000"/>
                <w:sz w:val="20"/>
              </w:rPr>
              <w:t>4</w:t>
            </w:r>
          </w:p>
        </w:tc>
        <w:tc>
          <w:tcPr>
            <w:tcW w:w="0" w:type="auto"/>
            <w:tcBorders>
              <w:top w:val="single" w:sz="8" w:space="0" w:color="000000"/>
              <w:left w:val="single" w:sz="8" w:space="0" w:color="000000"/>
              <w:bottom w:val="single" w:sz="6" w:space="0" w:color="000000"/>
              <w:right w:val="single" w:sz="8" w:space="0" w:color="000000"/>
            </w:tcBorders>
            <w:vAlign w:val="center"/>
          </w:tcPr>
          <w:p w14:paraId="6405A6D1" w14:textId="6B184144" w:rsidR="00885489" w:rsidRDefault="00885489" w:rsidP="00885489">
            <w:pPr>
              <w:pStyle w:val="biaogeleft"/>
              <w:wordWrap w:val="0"/>
              <w:rPr>
                <w:sz w:val="20"/>
              </w:rPr>
            </w:pPr>
            <w:r w:rsidRPr="00CA09AF">
              <w:rPr>
                <w:rFonts w:hAnsi="Calibri" w:hint="eastAsia"/>
                <w:color w:val="000000"/>
                <w:sz w:val="20"/>
              </w:rPr>
              <w:t>600887</w:t>
            </w:r>
          </w:p>
        </w:tc>
        <w:tc>
          <w:tcPr>
            <w:tcW w:w="1133" w:type="dxa"/>
            <w:tcBorders>
              <w:top w:val="single" w:sz="8" w:space="0" w:color="000000"/>
              <w:left w:val="single" w:sz="8" w:space="0" w:color="000000"/>
              <w:bottom w:val="single" w:sz="6" w:space="0" w:color="000000"/>
              <w:right w:val="single" w:sz="8" w:space="0" w:color="000000"/>
            </w:tcBorders>
            <w:vAlign w:val="center"/>
          </w:tcPr>
          <w:p w14:paraId="47DD9603" w14:textId="46779000" w:rsidR="00885489" w:rsidRDefault="00885489" w:rsidP="00885489">
            <w:pPr>
              <w:pStyle w:val="biaogeleft"/>
              <w:wordWrap w:val="0"/>
              <w:rPr>
                <w:sz w:val="20"/>
              </w:rPr>
            </w:pPr>
            <w:r w:rsidRPr="00CA09AF">
              <w:rPr>
                <w:rFonts w:hAnsi="Calibri" w:hint="eastAsia"/>
                <w:color w:val="000000"/>
                <w:sz w:val="20"/>
              </w:rPr>
              <w:t>伊利股份</w:t>
            </w:r>
          </w:p>
        </w:tc>
        <w:tc>
          <w:tcPr>
            <w:tcW w:w="1189" w:type="dxa"/>
            <w:tcBorders>
              <w:top w:val="single" w:sz="8" w:space="0" w:color="000000"/>
              <w:left w:val="single" w:sz="8" w:space="0" w:color="000000"/>
              <w:bottom w:val="single" w:sz="6" w:space="0" w:color="000000"/>
              <w:right w:val="single" w:sz="8" w:space="0" w:color="000000"/>
            </w:tcBorders>
            <w:vAlign w:val="center"/>
          </w:tcPr>
          <w:p w14:paraId="1AD0D51F" w14:textId="73DC37EC" w:rsidR="00885489" w:rsidRDefault="00885489" w:rsidP="00885489">
            <w:pPr>
              <w:pStyle w:val="biaogeright"/>
              <w:wordWrap w:val="0"/>
              <w:rPr>
                <w:sz w:val="20"/>
              </w:rPr>
            </w:pPr>
            <w:r w:rsidRPr="00CA09AF">
              <w:rPr>
                <w:rFonts w:hAnsi="Calibri" w:hint="eastAsia"/>
                <w:color w:val="000000"/>
                <w:sz w:val="20"/>
              </w:rPr>
              <w:t>1,411,500</w:t>
            </w:r>
          </w:p>
        </w:tc>
        <w:tc>
          <w:tcPr>
            <w:tcW w:w="1984" w:type="dxa"/>
            <w:tcBorders>
              <w:top w:val="single" w:sz="8" w:space="0" w:color="000000"/>
              <w:left w:val="single" w:sz="8" w:space="0" w:color="000000"/>
              <w:bottom w:val="single" w:sz="6" w:space="0" w:color="000000"/>
              <w:right w:val="single" w:sz="8" w:space="0" w:color="000000"/>
            </w:tcBorders>
            <w:vAlign w:val="center"/>
          </w:tcPr>
          <w:p w14:paraId="588CCC8B" w14:textId="625A5676" w:rsidR="00885489" w:rsidRDefault="00885489" w:rsidP="00885489">
            <w:pPr>
              <w:pStyle w:val="biaogeright"/>
              <w:wordWrap w:val="0"/>
              <w:rPr>
                <w:sz w:val="20"/>
              </w:rPr>
            </w:pPr>
            <w:r w:rsidRPr="00CA09AF">
              <w:rPr>
                <w:rFonts w:hAnsi="Calibri" w:hint="eastAsia"/>
                <w:color w:val="000000"/>
                <w:sz w:val="20"/>
              </w:rPr>
              <w:t>51,985,545.00</w:t>
            </w:r>
          </w:p>
        </w:tc>
        <w:tc>
          <w:tcPr>
            <w:tcW w:w="2358" w:type="dxa"/>
            <w:tcBorders>
              <w:top w:val="single" w:sz="8" w:space="0" w:color="000000"/>
              <w:left w:val="single" w:sz="8" w:space="0" w:color="000000"/>
              <w:bottom w:val="single" w:sz="6" w:space="0" w:color="000000"/>
              <w:right w:val="single" w:sz="8" w:space="0" w:color="000000"/>
            </w:tcBorders>
            <w:vAlign w:val="center"/>
          </w:tcPr>
          <w:p w14:paraId="2C8FD8DF" w14:textId="3EB3E547" w:rsidR="00885489" w:rsidRDefault="00885489" w:rsidP="00885489">
            <w:pPr>
              <w:pStyle w:val="biaogeright"/>
              <w:wordWrap w:val="0"/>
              <w:rPr>
                <w:sz w:val="20"/>
              </w:rPr>
            </w:pPr>
            <w:r w:rsidRPr="00CA09AF">
              <w:rPr>
                <w:rFonts w:hAnsi="Calibri" w:hint="eastAsia"/>
                <w:color w:val="000000"/>
                <w:sz w:val="20"/>
              </w:rPr>
              <w:t>3.17</w:t>
            </w:r>
          </w:p>
        </w:tc>
      </w:tr>
      <w:tr w:rsidR="00885489" w14:paraId="7F809928" w14:textId="77777777">
        <w:trPr>
          <w:trHeight w:val="409"/>
        </w:trPr>
        <w:tc>
          <w:tcPr>
            <w:tcW w:w="0" w:type="auto"/>
            <w:tcBorders>
              <w:top w:val="single" w:sz="8" w:space="0" w:color="000000"/>
              <w:left w:val="single" w:sz="8" w:space="0" w:color="000000"/>
              <w:bottom w:val="single" w:sz="6" w:space="0" w:color="000000"/>
              <w:right w:val="single" w:sz="8" w:space="0" w:color="000000"/>
            </w:tcBorders>
            <w:vAlign w:val="center"/>
          </w:tcPr>
          <w:p w14:paraId="30A22730" w14:textId="166FAAAA" w:rsidR="00885489" w:rsidRDefault="00885489" w:rsidP="00885489">
            <w:pPr>
              <w:pStyle w:val="biaogecenter"/>
              <w:wordWrap w:val="0"/>
              <w:rPr>
                <w:sz w:val="20"/>
              </w:rPr>
            </w:pPr>
            <w:r w:rsidRPr="00CA09AF">
              <w:rPr>
                <w:rFonts w:hAnsi="Calibri" w:hint="eastAsia"/>
                <w:color w:val="000000"/>
                <w:sz w:val="20"/>
              </w:rPr>
              <w:t>5</w:t>
            </w:r>
          </w:p>
        </w:tc>
        <w:tc>
          <w:tcPr>
            <w:tcW w:w="0" w:type="auto"/>
            <w:tcBorders>
              <w:top w:val="single" w:sz="8" w:space="0" w:color="000000"/>
              <w:left w:val="single" w:sz="8" w:space="0" w:color="000000"/>
              <w:bottom w:val="single" w:sz="6" w:space="0" w:color="000000"/>
              <w:right w:val="single" w:sz="8" w:space="0" w:color="000000"/>
            </w:tcBorders>
            <w:vAlign w:val="center"/>
          </w:tcPr>
          <w:p w14:paraId="57C6269E" w14:textId="54F2F560" w:rsidR="00885489" w:rsidRDefault="00885489" w:rsidP="00885489">
            <w:pPr>
              <w:pStyle w:val="biaogeleft"/>
              <w:wordWrap w:val="0"/>
              <w:rPr>
                <w:sz w:val="20"/>
              </w:rPr>
            </w:pPr>
            <w:r w:rsidRPr="00CA09AF">
              <w:rPr>
                <w:rFonts w:hAnsi="Calibri" w:hint="eastAsia"/>
                <w:color w:val="000000"/>
                <w:sz w:val="20"/>
              </w:rPr>
              <w:t>300122</w:t>
            </w:r>
          </w:p>
        </w:tc>
        <w:tc>
          <w:tcPr>
            <w:tcW w:w="1133" w:type="dxa"/>
            <w:tcBorders>
              <w:top w:val="single" w:sz="8" w:space="0" w:color="000000"/>
              <w:left w:val="single" w:sz="8" w:space="0" w:color="000000"/>
              <w:bottom w:val="single" w:sz="6" w:space="0" w:color="000000"/>
              <w:right w:val="single" w:sz="8" w:space="0" w:color="000000"/>
            </w:tcBorders>
            <w:vAlign w:val="center"/>
          </w:tcPr>
          <w:p w14:paraId="67C44E7E" w14:textId="07BC57DE" w:rsidR="00885489" w:rsidRDefault="00885489" w:rsidP="00885489">
            <w:pPr>
              <w:pStyle w:val="biaogeleft"/>
              <w:wordWrap w:val="0"/>
              <w:rPr>
                <w:sz w:val="20"/>
              </w:rPr>
            </w:pPr>
            <w:r w:rsidRPr="00CA09AF">
              <w:rPr>
                <w:rFonts w:hAnsi="Calibri" w:hint="eastAsia"/>
                <w:color w:val="000000"/>
                <w:sz w:val="20"/>
              </w:rPr>
              <w:t>智飞生物</w:t>
            </w:r>
          </w:p>
        </w:tc>
        <w:tc>
          <w:tcPr>
            <w:tcW w:w="1189" w:type="dxa"/>
            <w:tcBorders>
              <w:top w:val="single" w:sz="8" w:space="0" w:color="000000"/>
              <w:left w:val="single" w:sz="8" w:space="0" w:color="000000"/>
              <w:bottom w:val="single" w:sz="6" w:space="0" w:color="000000"/>
              <w:right w:val="single" w:sz="8" w:space="0" w:color="000000"/>
            </w:tcBorders>
            <w:vAlign w:val="center"/>
          </w:tcPr>
          <w:p w14:paraId="71042278" w14:textId="5F839A04" w:rsidR="00885489" w:rsidRDefault="00885489" w:rsidP="00885489">
            <w:pPr>
              <w:pStyle w:val="biaogeright"/>
              <w:wordWrap w:val="0"/>
              <w:rPr>
                <w:sz w:val="20"/>
              </w:rPr>
            </w:pPr>
            <w:r w:rsidRPr="00CA09AF">
              <w:rPr>
                <w:rFonts w:hAnsi="Calibri" w:hint="eastAsia"/>
                <w:color w:val="000000"/>
                <w:sz w:val="20"/>
              </w:rPr>
              <w:t>274,200</w:t>
            </w:r>
          </w:p>
        </w:tc>
        <w:tc>
          <w:tcPr>
            <w:tcW w:w="1984" w:type="dxa"/>
            <w:tcBorders>
              <w:top w:val="single" w:sz="8" w:space="0" w:color="000000"/>
              <w:left w:val="single" w:sz="8" w:space="0" w:color="000000"/>
              <w:bottom w:val="single" w:sz="6" w:space="0" w:color="000000"/>
              <w:right w:val="single" w:sz="8" w:space="0" w:color="000000"/>
            </w:tcBorders>
            <w:vAlign w:val="center"/>
          </w:tcPr>
          <w:p w14:paraId="46AB489C" w14:textId="56B87866" w:rsidR="00885489" w:rsidRDefault="00885489" w:rsidP="00885489">
            <w:pPr>
              <w:pStyle w:val="biaogeright"/>
              <w:wordWrap w:val="0"/>
              <w:rPr>
                <w:sz w:val="20"/>
              </w:rPr>
            </w:pPr>
            <w:r w:rsidRPr="00CA09AF">
              <w:rPr>
                <w:rFonts w:hAnsi="Calibri" w:hint="eastAsia"/>
                <w:color w:val="000000"/>
                <w:sz w:val="20"/>
              </w:rPr>
              <w:t>51,201,366.00</w:t>
            </w:r>
          </w:p>
        </w:tc>
        <w:tc>
          <w:tcPr>
            <w:tcW w:w="2358" w:type="dxa"/>
            <w:tcBorders>
              <w:top w:val="single" w:sz="8" w:space="0" w:color="000000"/>
              <w:left w:val="single" w:sz="8" w:space="0" w:color="000000"/>
              <w:bottom w:val="single" w:sz="6" w:space="0" w:color="000000"/>
              <w:right w:val="single" w:sz="8" w:space="0" w:color="000000"/>
            </w:tcBorders>
            <w:vAlign w:val="center"/>
          </w:tcPr>
          <w:p w14:paraId="340D5B9E" w14:textId="7DEFBEF0" w:rsidR="00885489" w:rsidRDefault="00885489" w:rsidP="00885489">
            <w:pPr>
              <w:pStyle w:val="biaogeright"/>
              <w:wordWrap w:val="0"/>
              <w:rPr>
                <w:sz w:val="20"/>
              </w:rPr>
            </w:pPr>
            <w:r w:rsidRPr="00CA09AF">
              <w:rPr>
                <w:rFonts w:hAnsi="Calibri" w:hint="eastAsia"/>
                <w:color w:val="000000"/>
                <w:sz w:val="20"/>
              </w:rPr>
              <w:t>3.12</w:t>
            </w:r>
          </w:p>
        </w:tc>
      </w:tr>
      <w:tr w:rsidR="00885489" w14:paraId="0769585D" w14:textId="77777777">
        <w:trPr>
          <w:trHeight w:val="409"/>
        </w:trPr>
        <w:tc>
          <w:tcPr>
            <w:tcW w:w="0" w:type="auto"/>
            <w:tcBorders>
              <w:top w:val="single" w:sz="8" w:space="0" w:color="000000"/>
              <w:left w:val="single" w:sz="8" w:space="0" w:color="000000"/>
              <w:bottom w:val="single" w:sz="6" w:space="0" w:color="000000"/>
              <w:right w:val="single" w:sz="8" w:space="0" w:color="000000"/>
            </w:tcBorders>
            <w:vAlign w:val="center"/>
          </w:tcPr>
          <w:p w14:paraId="03808ECB" w14:textId="717CEDE1" w:rsidR="00885489" w:rsidRDefault="00885489" w:rsidP="00885489">
            <w:pPr>
              <w:pStyle w:val="biaogecenter"/>
              <w:wordWrap w:val="0"/>
              <w:rPr>
                <w:sz w:val="20"/>
              </w:rPr>
            </w:pPr>
            <w:r w:rsidRPr="00CA09AF">
              <w:rPr>
                <w:rFonts w:hAnsi="Calibri" w:hint="eastAsia"/>
                <w:color w:val="000000"/>
                <w:sz w:val="20"/>
              </w:rPr>
              <w:t>6</w:t>
            </w:r>
          </w:p>
        </w:tc>
        <w:tc>
          <w:tcPr>
            <w:tcW w:w="0" w:type="auto"/>
            <w:tcBorders>
              <w:top w:val="single" w:sz="8" w:space="0" w:color="000000"/>
              <w:left w:val="single" w:sz="8" w:space="0" w:color="000000"/>
              <w:bottom w:val="single" w:sz="6" w:space="0" w:color="000000"/>
              <w:right w:val="single" w:sz="8" w:space="0" w:color="000000"/>
            </w:tcBorders>
            <w:vAlign w:val="center"/>
          </w:tcPr>
          <w:p w14:paraId="75F2AD94" w14:textId="60BEB1C5" w:rsidR="00885489" w:rsidRDefault="00885489" w:rsidP="00885489">
            <w:pPr>
              <w:pStyle w:val="biaogeleft"/>
              <w:wordWrap w:val="0"/>
              <w:rPr>
                <w:sz w:val="20"/>
              </w:rPr>
            </w:pPr>
            <w:r w:rsidRPr="00CA09AF">
              <w:rPr>
                <w:rFonts w:hAnsi="Calibri" w:hint="eastAsia"/>
                <w:color w:val="000000"/>
                <w:sz w:val="20"/>
              </w:rPr>
              <w:t>600809</w:t>
            </w:r>
          </w:p>
        </w:tc>
        <w:tc>
          <w:tcPr>
            <w:tcW w:w="1133" w:type="dxa"/>
            <w:tcBorders>
              <w:top w:val="single" w:sz="8" w:space="0" w:color="000000"/>
              <w:left w:val="single" w:sz="8" w:space="0" w:color="000000"/>
              <w:bottom w:val="single" w:sz="6" w:space="0" w:color="000000"/>
              <w:right w:val="single" w:sz="8" w:space="0" w:color="000000"/>
            </w:tcBorders>
            <w:vAlign w:val="center"/>
          </w:tcPr>
          <w:p w14:paraId="79F9EA91" w14:textId="0EB6B51A" w:rsidR="00885489" w:rsidRDefault="00885489" w:rsidP="00885489">
            <w:pPr>
              <w:pStyle w:val="biaogeleft"/>
              <w:wordWrap w:val="0"/>
              <w:rPr>
                <w:sz w:val="20"/>
              </w:rPr>
            </w:pPr>
            <w:r w:rsidRPr="00CA09AF">
              <w:rPr>
                <w:rFonts w:hAnsi="Calibri" w:hint="eastAsia"/>
                <w:color w:val="000000"/>
                <w:sz w:val="20"/>
              </w:rPr>
              <w:t>山西汾酒</w:t>
            </w:r>
          </w:p>
        </w:tc>
        <w:tc>
          <w:tcPr>
            <w:tcW w:w="1189" w:type="dxa"/>
            <w:tcBorders>
              <w:top w:val="single" w:sz="8" w:space="0" w:color="000000"/>
              <w:left w:val="single" w:sz="8" w:space="0" w:color="000000"/>
              <w:bottom w:val="single" w:sz="6" w:space="0" w:color="000000"/>
              <w:right w:val="single" w:sz="8" w:space="0" w:color="000000"/>
            </w:tcBorders>
            <w:vAlign w:val="center"/>
          </w:tcPr>
          <w:p w14:paraId="03A8BAC9" w14:textId="124E5474" w:rsidR="00885489" w:rsidRDefault="00885489" w:rsidP="00885489">
            <w:pPr>
              <w:pStyle w:val="biaogeright"/>
              <w:wordWrap w:val="0"/>
              <w:rPr>
                <w:sz w:val="20"/>
              </w:rPr>
            </w:pPr>
            <w:r w:rsidRPr="00CA09AF">
              <w:rPr>
                <w:rFonts w:hAnsi="Calibri" w:hint="eastAsia"/>
                <w:color w:val="000000"/>
                <w:sz w:val="20"/>
              </w:rPr>
              <w:t>113,800</w:t>
            </w:r>
          </w:p>
        </w:tc>
        <w:tc>
          <w:tcPr>
            <w:tcW w:w="1984" w:type="dxa"/>
            <w:tcBorders>
              <w:top w:val="single" w:sz="8" w:space="0" w:color="000000"/>
              <w:left w:val="single" w:sz="8" w:space="0" w:color="000000"/>
              <w:bottom w:val="single" w:sz="6" w:space="0" w:color="000000"/>
              <w:right w:val="single" w:sz="8" w:space="0" w:color="000000"/>
            </w:tcBorders>
            <w:vAlign w:val="center"/>
          </w:tcPr>
          <w:p w14:paraId="7B12591A" w14:textId="620AADD8" w:rsidR="00885489" w:rsidRDefault="00885489" w:rsidP="00885489">
            <w:pPr>
              <w:pStyle w:val="biaogeright"/>
              <w:wordWrap w:val="0"/>
              <w:rPr>
                <w:sz w:val="20"/>
              </w:rPr>
            </w:pPr>
            <w:r w:rsidRPr="00CA09AF">
              <w:rPr>
                <w:rFonts w:hAnsi="Calibri" w:hint="eastAsia"/>
                <w:color w:val="000000"/>
                <w:sz w:val="20"/>
              </w:rPr>
              <w:t>50,982,400.00</w:t>
            </w:r>
          </w:p>
        </w:tc>
        <w:tc>
          <w:tcPr>
            <w:tcW w:w="2358" w:type="dxa"/>
            <w:tcBorders>
              <w:top w:val="single" w:sz="8" w:space="0" w:color="000000"/>
              <w:left w:val="single" w:sz="8" w:space="0" w:color="000000"/>
              <w:bottom w:val="single" w:sz="6" w:space="0" w:color="000000"/>
              <w:right w:val="single" w:sz="8" w:space="0" w:color="000000"/>
            </w:tcBorders>
            <w:vAlign w:val="center"/>
          </w:tcPr>
          <w:p w14:paraId="09F14178" w14:textId="4EBC3127" w:rsidR="00885489" w:rsidRDefault="00885489" w:rsidP="00885489">
            <w:pPr>
              <w:pStyle w:val="biaogeright"/>
              <w:wordWrap w:val="0"/>
              <w:rPr>
                <w:sz w:val="20"/>
              </w:rPr>
            </w:pPr>
            <w:r w:rsidRPr="00CA09AF">
              <w:rPr>
                <w:rFonts w:hAnsi="Calibri" w:hint="eastAsia"/>
                <w:color w:val="000000"/>
                <w:sz w:val="20"/>
              </w:rPr>
              <w:t>3.11</w:t>
            </w:r>
          </w:p>
        </w:tc>
      </w:tr>
      <w:tr w:rsidR="00885489" w14:paraId="7BB897A3" w14:textId="77777777">
        <w:trPr>
          <w:trHeight w:val="409"/>
        </w:trPr>
        <w:tc>
          <w:tcPr>
            <w:tcW w:w="0" w:type="auto"/>
            <w:tcBorders>
              <w:top w:val="single" w:sz="8" w:space="0" w:color="000000"/>
              <w:left w:val="single" w:sz="8" w:space="0" w:color="000000"/>
              <w:bottom w:val="single" w:sz="6" w:space="0" w:color="000000"/>
              <w:right w:val="single" w:sz="8" w:space="0" w:color="000000"/>
            </w:tcBorders>
            <w:vAlign w:val="center"/>
          </w:tcPr>
          <w:p w14:paraId="6F6F8B00" w14:textId="24B67E69" w:rsidR="00885489" w:rsidRDefault="00885489" w:rsidP="00885489">
            <w:pPr>
              <w:pStyle w:val="biaogecenter"/>
              <w:wordWrap w:val="0"/>
              <w:rPr>
                <w:sz w:val="20"/>
              </w:rPr>
            </w:pPr>
            <w:r w:rsidRPr="00CA09AF">
              <w:rPr>
                <w:rFonts w:hAnsi="Calibri" w:hint="eastAsia"/>
                <w:color w:val="000000"/>
                <w:sz w:val="20"/>
              </w:rPr>
              <w:t>7</w:t>
            </w:r>
          </w:p>
        </w:tc>
        <w:tc>
          <w:tcPr>
            <w:tcW w:w="0" w:type="auto"/>
            <w:tcBorders>
              <w:top w:val="single" w:sz="8" w:space="0" w:color="000000"/>
              <w:left w:val="single" w:sz="8" w:space="0" w:color="000000"/>
              <w:bottom w:val="single" w:sz="6" w:space="0" w:color="000000"/>
              <w:right w:val="single" w:sz="8" w:space="0" w:color="000000"/>
            </w:tcBorders>
            <w:vAlign w:val="center"/>
          </w:tcPr>
          <w:p w14:paraId="25346714" w14:textId="081C4270" w:rsidR="00885489" w:rsidRDefault="00885489" w:rsidP="00885489">
            <w:pPr>
              <w:pStyle w:val="biaogeleft"/>
              <w:wordWrap w:val="0"/>
              <w:rPr>
                <w:sz w:val="20"/>
              </w:rPr>
            </w:pPr>
            <w:r w:rsidRPr="00CA09AF">
              <w:rPr>
                <w:rFonts w:hAnsi="Calibri" w:hint="eastAsia"/>
                <w:color w:val="000000"/>
                <w:sz w:val="20"/>
              </w:rPr>
              <w:t>000568</w:t>
            </w:r>
          </w:p>
        </w:tc>
        <w:tc>
          <w:tcPr>
            <w:tcW w:w="1133" w:type="dxa"/>
            <w:tcBorders>
              <w:top w:val="single" w:sz="8" w:space="0" w:color="000000"/>
              <w:left w:val="single" w:sz="8" w:space="0" w:color="000000"/>
              <w:bottom w:val="single" w:sz="6" w:space="0" w:color="000000"/>
              <w:right w:val="single" w:sz="8" w:space="0" w:color="000000"/>
            </w:tcBorders>
            <w:vAlign w:val="center"/>
          </w:tcPr>
          <w:p w14:paraId="66632947" w14:textId="3F2D7052" w:rsidR="00885489" w:rsidRDefault="00885489" w:rsidP="00885489">
            <w:pPr>
              <w:pStyle w:val="biaogeleft"/>
              <w:wordWrap w:val="0"/>
              <w:rPr>
                <w:sz w:val="20"/>
              </w:rPr>
            </w:pPr>
            <w:r w:rsidRPr="00CA09AF">
              <w:rPr>
                <w:rFonts w:hAnsi="Calibri" w:hint="eastAsia"/>
                <w:color w:val="000000"/>
                <w:sz w:val="20"/>
              </w:rPr>
              <w:t>泸州老窖</w:t>
            </w:r>
          </w:p>
        </w:tc>
        <w:tc>
          <w:tcPr>
            <w:tcW w:w="1189" w:type="dxa"/>
            <w:tcBorders>
              <w:top w:val="single" w:sz="8" w:space="0" w:color="000000"/>
              <w:left w:val="single" w:sz="8" w:space="0" w:color="000000"/>
              <w:bottom w:val="single" w:sz="6" w:space="0" w:color="000000"/>
              <w:right w:val="single" w:sz="8" w:space="0" w:color="000000"/>
            </w:tcBorders>
            <w:vAlign w:val="center"/>
          </w:tcPr>
          <w:p w14:paraId="05337FC8" w14:textId="4D3AC504" w:rsidR="00885489" w:rsidRDefault="00885489" w:rsidP="00885489">
            <w:pPr>
              <w:pStyle w:val="biaogeright"/>
              <w:wordWrap w:val="0"/>
              <w:rPr>
                <w:sz w:val="20"/>
              </w:rPr>
            </w:pPr>
            <w:r w:rsidRPr="00CA09AF">
              <w:rPr>
                <w:rFonts w:hAnsi="Calibri" w:hint="eastAsia"/>
                <w:color w:val="000000"/>
                <w:sz w:val="20"/>
              </w:rPr>
              <w:t>213,300</w:t>
            </w:r>
          </w:p>
        </w:tc>
        <w:tc>
          <w:tcPr>
            <w:tcW w:w="1984" w:type="dxa"/>
            <w:tcBorders>
              <w:top w:val="single" w:sz="8" w:space="0" w:color="000000"/>
              <w:left w:val="single" w:sz="8" w:space="0" w:color="000000"/>
              <w:bottom w:val="single" w:sz="6" w:space="0" w:color="000000"/>
              <w:right w:val="single" w:sz="8" w:space="0" w:color="000000"/>
            </w:tcBorders>
            <w:vAlign w:val="center"/>
          </w:tcPr>
          <w:p w14:paraId="23B9E038" w14:textId="62A51260" w:rsidR="00885489" w:rsidRDefault="00885489" w:rsidP="00885489">
            <w:pPr>
              <w:pStyle w:val="biaogeright"/>
              <w:wordWrap w:val="0"/>
              <w:rPr>
                <w:sz w:val="20"/>
              </w:rPr>
            </w:pPr>
            <w:r w:rsidRPr="00CA09AF">
              <w:rPr>
                <w:rFonts w:hAnsi="Calibri" w:hint="eastAsia"/>
                <w:color w:val="000000"/>
                <w:sz w:val="20"/>
              </w:rPr>
              <w:t>50,326,002.00</w:t>
            </w:r>
          </w:p>
        </w:tc>
        <w:tc>
          <w:tcPr>
            <w:tcW w:w="2358" w:type="dxa"/>
            <w:tcBorders>
              <w:top w:val="single" w:sz="8" w:space="0" w:color="000000"/>
              <w:left w:val="single" w:sz="8" w:space="0" w:color="000000"/>
              <w:bottom w:val="single" w:sz="6" w:space="0" w:color="000000"/>
              <w:right w:val="single" w:sz="8" w:space="0" w:color="000000"/>
            </w:tcBorders>
            <w:vAlign w:val="center"/>
          </w:tcPr>
          <w:p w14:paraId="2CDB7F8A" w14:textId="71BEEA9A" w:rsidR="00885489" w:rsidRDefault="00885489" w:rsidP="00885489">
            <w:pPr>
              <w:pStyle w:val="biaogeright"/>
              <w:wordWrap w:val="0"/>
              <w:rPr>
                <w:sz w:val="20"/>
              </w:rPr>
            </w:pPr>
            <w:r w:rsidRPr="00CA09AF">
              <w:rPr>
                <w:rFonts w:hAnsi="Calibri" w:hint="eastAsia"/>
                <w:color w:val="000000"/>
                <w:sz w:val="20"/>
              </w:rPr>
              <w:t>3.07</w:t>
            </w:r>
          </w:p>
        </w:tc>
      </w:tr>
      <w:tr w:rsidR="00885489" w14:paraId="3B307BE9" w14:textId="77777777">
        <w:trPr>
          <w:trHeight w:val="409"/>
        </w:trPr>
        <w:tc>
          <w:tcPr>
            <w:tcW w:w="0" w:type="auto"/>
            <w:tcBorders>
              <w:top w:val="single" w:sz="8" w:space="0" w:color="000000"/>
              <w:left w:val="single" w:sz="8" w:space="0" w:color="000000"/>
              <w:bottom w:val="single" w:sz="6" w:space="0" w:color="000000"/>
              <w:right w:val="single" w:sz="8" w:space="0" w:color="000000"/>
            </w:tcBorders>
            <w:vAlign w:val="center"/>
          </w:tcPr>
          <w:p w14:paraId="739E457E" w14:textId="443B0E35" w:rsidR="00885489" w:rsidRDefault="00885489" w:rsidP="00885489">
            <w:pPr>
              <w:pStyle w:val="biaogecenter"/>
              <w:wordWrap w:val="0"/>
              <w:rPr>
                <w:sz w:val="20"/>
              </w:rPr>
            </w:pPr>
            <w:r w:rsidRPr="00CA09AF">
              <w:rPr>
                <w:rFonts w:hAnsi="Calibri" w:hint="eastAsia"/>
                <w:color w:val="000000"/>
                <w:sz w:val="20"/>
              </w:rPr>
              <w:t>8</w:t>
            </w:r>
          </w:p>
        </w:tc>
        <w:tc>
          <w:tcPr>
            <w:tcW w:w="0" w:type="auto"/>
            <w:tcBorders>
              <w:top w:val="single" w:sz="8" w:space="0" w:color="000000"/>
              <w:left w:val="single" w:sz="8" w:space="0" w:color="000000"/>
              <w:bottom w:val="single" w:sz="6" w:space="0" w:color="000000"/>
              <w:right w:val="single" w:sz="8" w:space="0" w:color="000000"/>
            </w:tcBorders>
            <w:vAlign w:val="center"/>
          </w:tcPr>
          <w:p w14:paraId="19DCE797" w14:textId="289CCF43" w:rsidR="00885489" w:rsidRDefault="00885489" w:rsidP="00885489">
            <w:pPr>
              <w:pStyle w:val="biaogeleft"/>
              <w:wordWrap w:val="0"/>
              <w:rPr>
                <w:sz w:val="20"/>
              </w:rPr>
            </w:pPr>
            <w:r w:rsidRPr="00CA09AF">
              <w:rPr>
                <w:rFonts w:hAnsi="Calibri" w:hint="eastAsia"/>
                <w:color w:val="000000"/>
                <w:sz w:val="20"/>
              </w:rPr>
              <w:t>002493</w:t>
            </w:r>
          </w:p>
        </w:tc>
        <w:tc>
          <w:tcPr>
            <w:tcW w:w="1133" w:type="dxa"/>
            <w:tcBorders>
              <w:top w:val="single" w:sz="8" w:space="0" w:color="000000"/>
              <w:left w:val="single" w:sz="8" w:space="0" w:color="000000"/>
              <w:bottom w:val="single" w:sz="6" w:space="0" w:color="000000"/>
              <w:right w:val="single" w:sz="8" w:space="0" w:color="000000"/>
            </w:tcBorders>
            <w:vAlign w:val="center"/>
          </w:tcPr>
          <w:p w14:paraId="4AAD4639" w14:textId="22C8062C" w:rsidR="00885489" w:rsidRDefault="00885489" w:rsidP="00885489">
            <w:pPr>
              <w:pStyle w:val="biaogeleft"/>
              <w:wordWrap w:val="0"/>
              <w:rPr>
                <w:sz w:val="20"/>
              </w:rPr>
            </w:pPr>
            <w:r w:rsidRPr="00CA09AF">
              <w:rPr>
                <w:rFonts w:hAnsi="Calibri" w:hint="eastAsia"/>
                <w:color w:val="000000"/>
                <w:sz w:val="20"/>
              </w:rPr>
              <w:t>荣盛石化</w:t>
            </w:r>
          </w:p>
        </w:tc>
        <w:tc>
          <w:tcPr>
            <w:tcW w:w="1189" w:type="dxa"/>
            <w:tcBorders>
              <w:top w:val="single" w:sz="8" w:space="0" w:color="000000"/>
              <w:left w:val="single" w:sz="8" w:space="0" w:color="000000"/>
              <w:bottom w:val="single" w:sz="6" w:space="0" w:color="000000"/>
              <w:right w:val="single" w:sz="8" w:space="0" w:color="000000"/>
            </w:tcBorders>
            <w:vAlign w:val="center"/>
          </w:tcPr>
          <w:p w14:paraId="746BE5A6" w14:textId="6EA18EBD" w:rsidR="00885489" w:rsidRDefault="00885489" w:rsidP="00885489">
            <w:pPr>
              <w:pStyle w:val="biaogeright"/>
              <w:wordWrap w:val="0"/>
              <w:rPr>
                <w:sz w:val="20"/>
              </w:rPr>
            </w:pPr>
            <w:r w:rsidRPr="00CA09AF">
              <w:rPr>
                <w:rFonts w:hAnsi="Calibri" w:hint="eastAsia"/>
                <w:color w:val="000000"/>
                <w:sz w:val="20"/>
              </w:rPr>
              <w:t>2,826,850</w:t>
            </w:r>
          </w:p>
        </w:tc>
        <w:tc>
          <w:tcPr>
            <w:tcW w:w="1984" w:type="dxa"/>
            <w:tcBorders>
              <w:top w:val="single" w:sz="8" w:space="0" w:color="000000"/>
              <w:left w:val="single" w:sz="8" w:space="0" w:color="000000"/>
              <w:bottom w:val="single" w:sz="6" w:space="0" w:color="000000"/>
              <w:right w:val="single" w:sz="8" w:space="0" w:color="000000"/>
            </w:tcBorders>
            <w:vAlign w:val="center"/>
          </w:tcPr>
          <w:p w14:paraId="6A56158D" w14:textId="46EDD0CF" w:rsidR="00885489" w:rsidRDefault="00885489" w:rsidP="00885489">
            <w:pPr>
              <w:pStyle w:val="biaogeright"/>
              <w:wordWrap w:val="0"/>
              <w:rPr>
                <w:sz w:val="20"/>
              </w:rPr>
            </w:pPr>
            <w:r w:rsidRPr="00CA09AF">
              <w:rPr>
                <w:rFonts w:hAnsi="Calibri" w:hint="eastAsia"/>
                <w:color w:val="000000"/>
                <w:sz w:val="20"/>
              </w:rPr>
              <w:t>48,819,699.50</w:t>
            </w:r>
          </w:p>
        </w:tc>
        <w:tc>
          <w:tcPr>
            <w:tcW w:w="2358" w:type="dxa"/>
            <w:tcBorders>
              <w:top w:val="single" w:sz="8" w:space="0" w:color="000000"/>
              <w:left w:val="single" w:sz="8" w:space="0" w:color="000000"/>
              <w:bottom w:val="single" w:sz="6" w:space="0" w:color="000000"/>
              <w:right w:val="single" w:sz="8" w:space="0" w:color="000000"/>
            </w:tcBorders>
            <w:vAlign w:val="center"/>
          </w:tcPr>
          <w:p w14:paraId="0385B2FE" w14:textId="2C70819F" w:rsidR="00885489" w:rsidRDefault="00885489" w:rsidP="00885489">
            <w:pPr>
              <w:pStyle w:val="biaogeright"/>
              <w:wordWrap w:val="0"/>
              <w:rPr>
                <w:sz w:val="20"/>
              </w:rPr>
            </w:pPr>
            <w:r w:rsidRPr="00CA09AF">
              <w:rPr>
                <w:rFonts w:hAnsi="Calibri" w:hint="eastAsia"/>
                <w:color w:val="000000"/>
                <w:sz w:val="20"/>
              </w:rPr>
              <w:t>2.98</w:t>
            </w:r>
          </w:p>
        </w:tc>
      </w:tr>
      <w:tr w:rsidR="00885489" w14:paraId="315CF87F" w14:textId="77777777">
        <w:trPr>
          <w:trHeight w:val="409"/>
        </w:trPr>
        <w:tc>
          <w:tcPr>
            <w:tcW w:w="0" w:type="auto"/>
            <w:tcBorders>
              <w:top w:val="single" w:sz="8" w:space="0" w:color="000000"/>
              <w:left w:val="single" w:sz="8" w:space="0" w:color="000000"/>
              <w:bottom w:val="single" w:sz="6" w:space="0" w:color="000000"/>
              <w:right w:val="single" w:sz="8" w:space="0" w:color="000000"/>
            </w:tcBorders>
            <w:vAlign w:val="center"/>
          </w:tcPr>
          <w:p w14:paraId="4E0E77FB" w14:textId="7329843B" w:rsidR="00885489" w:rsidRDefault="00885489" w:rsidP="00885489">
            <w:pPr>
              <w:pStyle w:val="biaogecenter"/>
              <w:wordWrap w:val="0"/>
              <w:rPr>
                <w:sz w:val="20"/>
              </w:rPr>
            </w:pPr>
            <w:r w:rsidRPr="00CA09AF">
              <w:rPr>
                <w:rFonts w:hAnsi="Calibri" w:hint="eastAsia"/>
                <w:color w:val="000000"/>
                <w:sz w:val="20"/>
              </w:rPr>
              <w:t>9</w:t>
            </w:r>
          </w:p>
        </w:tc>
        <w:tc>
          <w:tcPr>
            <w:tcW w:w="0" w:type="auto"/>
            <w:tcBorders>
              <w:top w:val="single" w:sz="8" w:space="0" w:color="000000"/>
              <w:left w:val="single" w:sz="8" w:space="0" w:color="000000"/>
              <w:bottom w:val="single" w:sz="6" w:space="0" w:color="000000"/>
              <w:right w:val="single" w:sz="8" w:space="0" w:color="000000"/>
            </w:tcBorders>
            <w:vAlign w:val="center"/>
          </w:tcPr>
          <w:p w14:paraId="1C1DA5F6" w14:textId="1AC2B29D" w:rsidR="00885489" w:rsidRDefault="00885489" w:rsidP="00885489">
            <w:pPr>
              <w:pStyle w:val="biaogeleft"/>
              <w:wordWrap w:val="0"/>
              <w:rPr>
                <w:sz w:val="20"/>
              </w:rPr>
            </w:pPr>
            <w:r w:rsidRPr="00CA09AF">
              <w:rPr>
                <w:rFonts w:hAnsi="Calibri" w:hint="eastAsia"/>
                <w:color w:val="000000"/>
                <w:sz w:val="20"/>
              </w:rPr>
              <w:t>002027</w:t>
            </w:r>
          </w:p>
        </w:tc>
        <w:tc>
          <w:tcPr>
            <w:tcW w:w="1133" w:type="dxa"/>
            <w:tcBorders>
              <w:top w:val="single" w:sz="8" w:space="0" w:color="000000"/>
              <w:left w:val="single" w:sz="8" w:space="0" w:color="000000"/>
              <w:bottom w:val="single" w:sz="6" w:space="0" w:color="000000"/>
              <w:right w:val="single" w:sz="8" w:space="0" w:color="000000"/>
            </w:tcBorders>
            <w:vAlign w:val="center"/>
          </w:tcPr>
          <w:p w14:paraId="387496AC" w14:textId="0E3DBB87" w:rsidR="00885489" w:rsidRDefault="00885489" w:rsidP="00885489">
            <w:pPr>
              <w:pStyle w:val="biaogeleft"/>
              <w:wordWrap w:val="0"/>
              <w:rPr>
                <w:sz w:val="20"/>
              </w:rPr>
            </w:pPr>
            <w:r w:rsidRPr="00CA09AF">
              <w:rPr>
                <w:rFonts w:hAnsi="Calibri" w:hint="eastAsia"/>
                <w:color w:val="000000"/>
                <w:sz w:val="20"/>
              </w:rPr>
              <w:t>分众传媒</w:t>
            </w:r>
          </w:p>
        </w:tc>
        <w:tc>
          <w:tcPr>
            <w:tcW w:w="1189" w:type="dxa"/>
            <w:tcBorders>
              <w:top w:val="single" w:sz="8" w:space="0" w:color="000000"/>
              <w:left w:val="single" w:sz="8" w:space="0" w:color="000000"/>
              <w:bottom w:val="single" w:sz="6" w:space="0" w:color="000000"/>
              <w:right w:val="single" w:sz="8" w:space="0" w:color="000000"/>
            </w:tcBorders>
            <w:vAlign w:val="center"/>
          </w:tcPr>
          <w:p w14:paraId="6BC52930" w14:textId="714FEA7B" w:rsidR="00885489" w:rsidRDefault="00885489" w:rsidP="00885489">
            <w:pPr>
              <w:pStyle w:val="biaogeright"/>
              <w:wordWrap w:val="0"/>
              <w:rPr>
                <w:sz w:val="20"/>
              </w:rPr>
            </w:pPr>
            <w:r w:rsidRPr="00CA09AF">
              <w:rPr>
                <w:rFonts w:hAnsi="Calibri" w:hint="eastAsia"/>
                <w:color w:val="000000"/>
                <w:sz w:val="20"/>
              </w:rPr>
              <w:t>4,908,000</w:t>
            </w:r>
          </w:p>
        </w:tc>
        <w:tc>
          <w:tcPr>
            <w:tcW w:w="1984" w:type="dxa"/>
            <w:tcBorders>
              <w:top w:val="single" w:sz="8" w:space="0" w:color="000000"/>
              <w:left w:val="single" w:sz="8" w:space="0" w:color="000000"/>
              <w:bottom w:val="single" w:sz="6" w:space="0" w:color="000000"/>
              <w:right w:val="single" w:sz="8" w:space="0" w:color="000000"/>
            </w:tcBorders>
            <w:vAlign w:val="center"/>
          </w:tcPr>
          <w:p w14:paraId="05C9F513" w14:textId="21E3529E" w:rsidR="00885489" w:rsidRDefault="00885489" w:rsidP="00885489">
            <w:pPr>
              <w:pStyle w:val="biaogeright"/>
              <w:wordWrap w:val="0"/>
              <w:rPr>
                <w:sz w:val="20"/>
              </w:rPr>
            </w:pPr>
            <w:r w:rsidRPr="00CA09AF">
              <w:rPr>
                <w:rFonts w:hAnsi="Calibri" w:hint="eastAsia"/>
                <w:color w:val="000000"/>
                <w:sz w:val="20"/>
              </w:rPr>
              <w:t>46,184,280.00</w:t>
            </w:r>
          </w:p>
        </w:tc>
        <w:tc>
          <w:tcPr>
            <w:tcW w:w="2358" w:type="dxa"/>
            <w:tcBorders>
              <w:top w:val="single" w:sz="8" w:space="0" w:color="000000"/>
              <w:left w:val="single" w:sz="8" w:space="0" w:color="000000"/>
              <w:bottom w:val="single" w:sz="6" w:space="0" w:color="000000"/>
              <w:right w:val="single" w:sz="8" w:space="0" w:color="000000"/>
            </w:tcBorders>
            <w:vAlign w:val="center"/>
          </w:tcPr>
          <w:p w14:paraId="2FCB9D44" w14:textId="28E53A76" w:rsidR="00885489" w:rsidRDefault="00885489" w:rsidP="00885489">
            <w:pPr>
              <w:pStyle w:val="biaogeright"/>
              <w:wordWrap w:val="0"/>
              <w:rPr>
                <w:sz w:val="20"/>
              </w:rPr>
            </w:pPr>
            <w:r w:rsidRPr="00CA09AF">
              <w:rPr>
                <w:rFonts w:hAnsi="Calibri" w:hint="eastAsia"/>
                <w:color w:val="000000"/>
                <w:sz w:val="20"/>
              </w:rPr>
              <w:t>2.82</w:t>
            </w:r>
          </w:p>
        </w:tc>
      </w:tr>
      <w:tr w:rsidR="00885489" w14:paraId="2B8CA75A" w14:textId="77777777">
        <w:trPr>
          <w:trHeight w:val="422"/>
        </w:trPr>
        <w:tc>
          <w:tcPr>
            <w:tcW w:w="0" w:type="auto"/>
            <w:tcBorders>
              <w:top w:val="single" w:sz="8" w:space="0" w:color="000000"/>
              <w:left w:val="single" w:sz="8" w:space="0" w:color="000000"/>
              <w:bottom w:val="single" w:sz="6" w:space="0" w:color="000000"/>
              <w:right w:val="single" w:sz="8" w:space="0" w:color="000000"/>
            </w:tcBorders>
            <w:vAlign w:val="center"/>
          </w:tcPr>
          <w:p w14:paraId="56B5DBDA" w14:textId="7D008A25" w:rsidR="00885489" w:rsidRDefault="00885489" w:rsidP="00885489">
            <w:pPr>
              <w:pStyle w:val="biaogecenter"/>
              <w:wordWrap w:val="0"/>
              <w:rPr>
                <w:sz w:val="20"/>
              </w:rPr>
            </w:pPr>
            <w:r w:rsidRPr="00CA09AF">
              <w:rPr>
                <w:rFonts w:hAnsi="Calibri" w:hint="eastAsia"/>
                <w:color w:val="000000"/>
                <w:sz w:val="20"/>
              </w:rPr>
              <w:t>10</w:t>
            </w:r>
          </w:p>
        </w:tc>
        <w:tc>
          <w:tcPr>
            <w:tcW w:w="0" w:type="auto"/>
            <w:tcBorders>
              <w:top w:val="single" w:sz="8" w:space="0" w:color="000000"/>
              <w:left w:val="single" w:sz="8" w:space="0" w:color="000000"/>
              <w:bottom w:val="single" w:sz="6" w:space="0" w:color="000000"/>
              <w:right w:val="single" w:sz="8" w:space="0" w:color="000000"/>
            </w:tcBorders>
            <w:vAlign w:val="center"/>
          </w:tcPr>
          <w:p w14:paraId="19C0317C" w14:textId="18C0A002" w:rsidR="00885489" w:rsidRDefault="00885489" w:rsidP="00885489">
            <w:pPr>
              <w:pStyle w:val="biaogeleft"/>
              <w:wordWrap w:val="0"/>
              <w:rPr>
                <w:sz w:val="20"/>
              </w:rPr>
            </w:pPr>
            <w:r w:rsidRPr="00CA09AF">
              <w:rPr>
                <w:rFonts w:hAnsi="Calibri" w:hint="eastAsia"/>
                <w:color w:val="000000"/>
                <w:sz w:val="20"/>
              </w:rPr>
              <w:t>002142</w:t>
            </w:r>
          </w:p>
        </w:tc>
        <w:tc>
          <w:tcPr>
            <w:tcW w:w="1133" w:type="dxa"/>
            <w:tcBorders>
              <w:top w:val="single" w:sz="8" w:space="0" w:color="000000"/>
              <w:left w:val="single" w:sz="8" w:space="0" w:color="000000"/>
              <w:bottom w:val="single" w:sz="6" w:space="0" w:color="000000"/>
              <w:right w:val="single" w:sz="8" w:space="0" w:color="000000"/>
            </w:tcBorders>
            <w:vAlign w:val="center"/>
          </w:tcPr>
          <w:p w14:paraId="7D371C1D" w14:textId="30C73C3A" w:rsidR="00885489" w:rsidRDefault="00885489" w:rsidP="00885489">
            <w:pPr>
              <w:pStyle w:val="biaogeleft"/>
              <w:wordWrap w:val="0"/>
              <w:rPr>
                <w:sz w:val="20"/>
              </w:rPr>
            </w:pPr>
            <w:r w:rsidRPr="00CA09AF">
              <w:rPr>
                <w:rFonts w:hAnsi="Calibri" w:hint="eastAsia"/>
                <w:color w:val="000000"/>
                <w:sz w:val="20"/>
              </w:rPr>
              <w:t>宁波银行</w:t>
            </w:r>
          </w:p>
        </w:tc>
        <w:tc>
          <w:tcPr>
            <w:tcW w:w="1189" w:type="dxa"/>
            <w:tcBorders>
              <w:top w:val="single" w:sz="8" w:space="0" w:color="000000"/>
              <w:left w:val="single" w:sz="8" w:space="0" w:color="000000"/>
              <w:bottom w:val="single" w:sz="6" w:space="0" w:color="000000"/>
              <w:right w:val="single" w:sz="8" w:space="0" w:color="000000"/>
            </w:tcBorders>
            <w:vAlign w:val="center"/>
          </w:tcPr>
          <w:p w14:paraId="463E7BF9" w14:textId="665E4C31" w:rsidR="00885489" w:rsidRDefault="00885489" w:rsidP="00885489">
            <w:pPr>
              <w:pStyle w:val="biaogeright"/>
              <w:wordWrap w:val="0"/>
              <w:rPr>
                <w:sz w:val="20"/>
              </w:rPr>
            </w:pPr>
            <w:r w:rsidRPr="00CA09AF">
              <w:rPr>
                <w:rFonts w:hAnsi="Calibri" w:hint="eastAsia"/>
                <w:color w:val="000000"/>
                <w:sz w:val="20"/>
              </w:rPr>
              <w:t>1,173,000</w:t>
            </w:r>
          </w:p>
        </w:tc>
        <w:tc>
          <w:tcPr>
            <w:tcW w:w="1984" w:type="dxa"/>
            <w:tcBorders>
              <w:top w:val="single" w:sz="8" w:space="0" w:color="000000"/>
              <w:left w:val="single" w:sz="8" w:space="0" w:color="000000"/>
              <w:bottom w:val="single" w:sz="6" w:space="0" w:color="000000"/>
              <w:right w:val="single" w:sz="8" w:space="0" w:color="000000"/>
            </w:tcBorders>
            <w:vAlign w:val="center"/>
          </w:tcPr>
          <w:p w14:paraId="6626C79C" w14:textId="4A9DECCF" w:rsidR="00885489" w:rsidRDefault="00885489" w:rsidP="00885489">
            <w:pPr>
              <w:pStyle w:val="biaogeright"/>
              <w:wordWrap w:val="0"/>
              <w:rPr>
                <w:sz w:val="20"/>
              </w:rPr>
            </w:pPr>
            <w:r w:rsidRPr="00CA09AF">
              <w:rPr>
                <w:rFonts w:hAnsi="Calibri" w:hint="eastAsia"/>
                <w:color w:val="000000"/>
                <w:sz w:val="20"/>
              </w:rPr>
              <w:t>45,711,810.00</w:t>
            </w:r>
          </w:p>
        </w:tc>
        <w:tc>
          <w:tcPr>
            <w:tcW w:w="2358" w:type="dxa"/>
            <w:tcBorders>
              <w:top w:val="single" w:sz="8" w:space="0" w:color="000000"/>
              <w:left w:val="single" w:sz="8" w:space="0" w:color="000000"/>
              <w:bottom w:val="single" w:sz="6" w:space="0" w:color="000000"/>
              <w:right w:val="single" w:sz="8" w:space="0" w:color="000000"/>
            </w:tcBorders>
            <w:vAlign w:val="center"/>
          </w:tcPr>
          <w:p w14:paraId="78C4A8CD" w14:textId="2792A874" w:rsidR="00885489" w:rsidRDefault="00885489" w:rsidP="00885489">
            <w:pPr>
              <w:pStyle w:val="biaogeright"/>
              <w:wordWrap w:val="0"/>
              <w:rPr>
                <w:sz w:val="20"/>
              </w:rPr>
            </w:pPr>
            <w:r w:rsidRPr="00CA09AF">
              <w:rPr>
                <w:rFonts w:hAnsi="Calibri" w:hint="eastAsia"/>
                <w:color w:val="000000"/>
                <w:sz w:val="20"/>
              </w:rPr>
              <w:t>2.79</w:t>
            </w:r>
          </w:p>
        </w:tc>
      </w:tr>
    </w:tbl>
    <w:p w14:paraId="4DFCEA4E" w14:textId="77777777" w:rsidR="003568C2" w:rsidRDefault="003568C2">
      <w:pPr>
        <w:widowControl/>
        <w:jc w:val="left"/>
        <w:rPr>
          <w:rFonts w:ascii="宋体" w:hAnsi="宋体" w:cs="宋体"/>
          <w:kern w:val="0"/>
          <w:sz w:val="24"/>
          <w:szCs w:val="24"/>
        </w:rPr>
      </w:pPr>
    </w:p>
    <w:p w14:paraId="7AB59E87" w14:textId="77777777" w:rsidR="003568C2" w:rsidRDefault="00695B03">
      <w:pPr>
        <w:pStyle w:val="zhangjiep2"/>
      </w:pPr>
      <w:r>
        <w:rPr>
          <w:rFonts w:hint="eastAsia"/>
          <w:bCs/>
        </w:rPr>
        <w:t>（</w:t>
      </w:r>
      <w:r>
        <w:rPr>
          <w:bCs/>
        </w:rPr>
        <w:t>2）</w:t>
      </w:r>
      <w:r>
        <w:rPr>
          <w:rFonts w:hint="eastAsia"/>
          <w:bCs/>
        </w:rPr>
        <w:t>积极投资按公允价值占基金资产净值比例大小排序的前五名股票投资明细</w:t>
      </w:r>
    </w:p>
    <w:tbl>
      <w:tblPr>
        <w:tblW w:w="8885" w:type="dxa"/>
        <w:tblInd w:w="108" w:type="dxa"/>
        <w:tblLook w:val="04A0" w:firstRow="1" w:lastRow="0" w:firstColumn="1" w:lastColumn="0" w:noHBand="0" w:noVBand="1"/>
      </w:tblPr>
      <w:tblGrid>
        <w:gridCol w:w="725"/>
        <w:gridCol w:w="1396"/>
        <w:gridCol w:w="1140"/>
        <w:gridCol w:w="1134"/>
        <w:gridCol w:w="1984"/>
        <w:gridCol w:w="2506"/>
      </w:tblGrid>
      <w:tr w:rsidR="003568C2" w14:paraId="5AFD512A" w14:textId="77777777">
        <w:trPr>
          <w:trHeight w:val="410"/>
        </w:trPr>
        <w:tc>
          <w:tcPr>
            <w:tcW w:w="725" w:type="dxa"/>
            <w:tcBorders>
              <w:top w:val="single" w:sz="8" w:space="0" w:color="000000"/>
              <w:left w:val="single" w:sz="8" w:space="0" w:color="000000"/>
              <w:bottom w:val="single" w:sz="6" w:space="0" w:color="000000"/>
              <w:right w:val="single" w:sz="8" w:space="0" w:color="000000"/>
            </w:tcBorders>
            <w:vAlign w:val="center"/>
          </w:tcPr>
          <w:p w14:paraId="248FAC56" w14:textId="77777777" w:rsidR="003568C2" w:rsidRDefault="00695B03">
            <w:pPr>
              <w:pStyle w:val="biaogecenter"/>
              <w:wordWrap w:val="0"/>
              <w:rPr>
                <w:b/>
                <w:sz w:val="20"/>
              </w:rPr>
            </w:pPr>
            <w:r>
              <w:rPr>
                <w:rFonts w:hAnsi="Calibri" w:hint="eastAsia"/>
                <w:b/>
                <w:color w:val="000000"/>
                <w:sz w:val="20"/>
              </w:rPr>
              <w:lastRenderedPageBreak/>
              <w:t>序号</w:t>
            </w:r>
          </w:p>
        </w:tc>
        <w:tc>
          <w:tcPr>
            <w:tcW w:w="0" w:type="auto"/>
            <w:tcBorders>
              <w:top w:val="single" w:sz="8" w:space="0" w:color="000000"/>
              <w:left w:val="single" w:sz="8" w:space="0" w:color="000000"/>
              <w:bottom w:val="single" w:sz="6" w:space="0" w:color="000000"/>
              <w:right w:val="single" w:sz="8" w:space="0" w:color="000000"/>
            </w:tcBorders>
            <w:vAlign w:val="center"/>
          </w:tcPr>
          <w:p w14:paraId="36D32C7F" w14:textId="77777777" w:rsidR="003568C2" w:rsidRDefault="00695B03">
            <w:pPr>
              <w:pStyle w:val="biaogecenter"/>
              <w:wordWrap w:val="0"/>
              <w:rPr>
                <w:b/>
                <w:sz w:val="20"/>
              </w:rPr>
            </w:pPr>
            <w:r>
              <w:rPr>
                <w:rFonts w:hAnsi="Calibri" w:hint="eastAsia"/>
                <w:b/>
                <w:color w:val="000000"/>
                <w:sz w:val="20"/>
              </w:rPr>
              <w:t>股票代码</w:t>
            </w:r>
          </w:p>
        </w:tc>
        <w:tc>
          <w:tcPr>
            <w:tcW w:w="1140" w:type="dxa"/>
            <w:tcBorders>
              <w:top w:val="single" w:sz="8" w:space="0" w:color="000000"/>
              <w:left w:val="single" w:sz="8" w:space="0" w:color="000000"/>
              <w:bottom w:val="single" w:sz="6" w:space="0" w:color="000000"/>
              <w:right w:val="single" w:sz="8" w:space="0" w:color="000000"/>
            </w:tcBorders>
            <w:vAlign w:val="center"/>
          </w:tcPr>
          <w:p w14:paraId="5E5EC207" w14:textId="77777777" w:rsidR="003568C2" w:rsidRDefault="00695B03">
            <w:pPr>
              <w:pStyle w:val="biaogecenter"/>
              <w:wordWrap w:val="0"/>
              <w:rPr>
                <w:b/>
                <w:sz w:val="20"/>
              </w:rPr>
            </w:pPr>
            <w:r>
              <w:rPr>
                <w:rFonts w:hAnsi="Calibri" w:hint="eastAsia"/>
                <w:b/>
                <w:color w:val="000000"/>
                <w:sz w:val="20"/>
              </w:rPr>
              <w:t>股票名称</w:t>
            </w:r>
          </w:p>
        </w:tc>
        <w:tc>
          <w:tcPr>
            <w:tcW w:w="1134" w:type="dxa"/>
            <w:tcBorders>
              <w:top w:val="single" w:sz="8" w:space="0" w:color="000000"/>
              <w:left w:val="single" w:sz="8" w:space="0" w:color="000000"/>
              <w:bottom w:val="single" w:sz="6" w:space="0" w:color="000000"/>
              <w:right w:val="single" w:sz="8" w:space="0" w:color="000000"/>
            </w:tcBorders>
            <w:vAlign w:val="center"/>
          </w:tcPr>
          <w:p w14:paraId="744661BA" w14:textId="77777777" w:rsidR="003568C2" w:rsidRDefault="00695B03">
            <w:pPr>
              <w:pStyle w:val="biaogecenter"/>
              <w:wordWrap w:val="0"/>
              <w:rPr>
                <w:b/>
                <w:sz w:val="20"/>
              </w:rPr>
            </w:pPr>
            <w:r>
              <w:rPr>
                <w:rFonts w:hAnsi="Calibri" w:hint="eastAsia"/>
                <w:b/>
                <w:color w:val="000000"/>
                <w:sz w:val="20"/>
              </w:rPr>
              <w:t>数量(股)</w:t>
            </w:r>
          </w:p>
        </w:tc>
        <w:tc>
          <w:tcPr>
            <w:tcW w:w="1984" w:type="dxa"/>
            <w:tcBorders>
              <w:top w:val="single" w:sz="8" w:space="0" w:color="000000"/>
              <w:left w:val="single" w:sz="8" w:space="0" w:color="000000"/>
              <w:bottom w:val="single" w:sz="6" w:space="0" w:color="000000"/>
              <w:right w:val="single" w:sz="8" w:space="0" w:color="000000"/>
            </w:tcBorders>
            <w:vAlign w:val="center"/>
          </w:tcPr>
          <w:p w14:paraId="4B201EF2" w14:textId="77777777" w:rsidR="003568C2" w:rsidRDefault="00695B03">
            <w:pPr>
              <w:pStyle w:val="biaogecenter"/>
              <w:wordWrap w:val="0"/>
              <w:rPr>
                <w:b/>
                <w:sz w:val="20"/>
              </w:rPr>
            </w:pPr>
            <w:r>
              <w:rPr>
                <w:rFonts w:hAnsi="Calibri" w:hint="eastAsia"/>
                <w:b/>
                <w:color w:val="000000"/>
                <w:sz w:val="20"/>
              </w:rPr>
              <w:t>公允价值(元)</w:t>
            </w:r>
          </w:p>
        </w:tc>
        <w:tc>
          <w:tcPr>
            <w:tcW w:w="2506" w:type="dxa"/>
            <w:tcBorders>
              <w:top w:val="single" w:sz="8" w:space="0" w:color="000000"/>
              <w:left w:val="single" w:sz="8" w:space="0" w:color="000000"/>
              <w:bottom w:val="single" w:sz="6" w:space="0" w:color="000000"/>
              <w:right w:val="single" w:sz="8" w:space="0" w:color="000000"/>
            </w:tcBorders>
            <w:vAlign w:val="center"/>
          </w:tcPr>
          <w:p w14:paraId="2A5005DA" w14:textId="77777777" w:rsidR="003568C2" w:rsidRDefault="00695B03">
            <w:pPr>
              <w:pStyle w:val="biaogecenter"/>
              <w:wordWrap w:val="0"/>
              <w:rPr>
                <w:b/>
                <w:sz w:val="20"/>
              </w:rPr>
            </w:pPr>
            <w:r>
              <w:rPr>
                <w:rFonts w:hAnsi="Calibri" w:hint="eastAsia"/>
                <w:b/>
                <w:color w:val="000000"/>
                <w:sz w:val="20"/>
              </w:rPr>
              <w:t>占基金资产净值比例(%)</w:t>
            </w:r>
          </w:p>
        </w:tc>
      </w:tr>
      <w:tr w:rsidR="00885489" w14:paraId="64CA1B24" w14:textId="77777777">
        <w:trPr>
          <w:trHeight w:val="410"/>
        </w:trPr>
        <w:tc>
          <w:tcPr>
            <w:tcW w:w="0" w:type="auto"/>
            <w:tcBorders>
              <w:top w:val="single" w:sz="8" w:space="0" w:color="000000"/>
              <w:left w:val="single" w:sz="8" w:space="0" w:color="000000"/>
              <w:bottom w:val="single" w:sz="6" w:space="0" w:color="000000"/>
              <w:right w:val="single" w:sz="8" w:space="0" w:color="000000"/>
            </w:tcBorders>
            <w:vAlign w:val="center"/>
          </w:tcPr>
          <w:p w14:paraId="431F9159" w14:textId="77777777" w:rsidR="00885489" w:rsidRDefault="00885489" w:rsidP="00885489">
            <w:pPr>
              <w:pStyle w:val="biaogecenter"/>
              <w:wordWrap w:val="0"/>
              <w:rPr>
                <w:sz w:val="20"/>
              </w:rPr>
            </w:pPr>
            <w:r>
              <w:rPr>
                <w:rFonts w:hAnsi="Calibri" w:hint="eastAsia"/>
                <w:color w:val="000000"/>
                <w:sz w:val="20"/>
              </w:rPr>
              <w:t>1</w:t>
            </w:r>
          </w:p>
        </w:tc>
        <w:tc>
          <w:tcPr>
            <w:tcW w:w="0" w:type="auto"/>
            <w:tcBorders>
              <w:top w:val="single" w:sz="8" w:space="0" w:color="000000"/>
              <w:left w:val="single" w:sz="8" w:space="0" w:color="000000"/>
              <w:bottom w:val="single" w:sz="6" w:space="0" w:color="000000"/>
              <w:right w:val="single" w:sz="8" w:space="0" w:color="000000"/>
            </w:tcBorders>
            <w:vAlign w:val="center"/>
          </w:tcPr>
          <w:p w14:paraId="2D17DC0C" w14:textId="40552928" w:rsidR="00885489" w:rsidRDefault="00885489" w:rsidP="00885489">
            <w:pPr>
              <w:pStyle w:val="biaogeleft"/>
              <w:wordWrap w:val="0"/>
              <w:rPr>
                <w:sz w:val="20"/>
              </w:rPr>
            </w:pPr>
            <w:r w:rsidRPr="00CA09AF">
              <w:rPr>
                <w:rFonts w:hAnsi="Calibri" w:hint="eastAsia"/>
                <w:color w:val="000000"/>
                <w:sz w:val="20"/>
              </w:rPr>
              <w:t>002064</w:t>
            </w:r>
          </w:p>
        </w:tc>
        <w:tc>
          <w:tcPr>
            <w:tcW w:w="1140" w:type="dxa"/>
            <w:tcBorders>
              <w:top w:val="single" w:sz="8" w:space="0" w:color="000000"/>
              <w:left w:val="single" w:sz="8" w:space="0" w:color="000000"/>
              <w:bottom w:val="single" w:sz="6" w:space="0" w:color="000000"/>
              <w:right w:val="single" w:sz="8" w:space="0" w:color="000000"/>
            </w:tcBorders>
            <w:vAlign w:val="center"/>
          </w:tcPr>
          <w:p w14:paraId="0761949A" w14:textId="1E18B428" w:rsidR="00885489" w:rsidRDefault="00885489" w:rsidP="00885489">
            <w:pPr>
              <w:pStyle w:val="biaogeleft"/>
              <w:wordWrap w:val="0"/>
              <w:rPr>
                <w:sz w:val="20"/>
              </w:rPr>
            </w:pPr>
            <w:r w:rsidRPr="00CA09AF">
              <w:rPr>
                <w:rFonts w:hAnsi="Calibri" w:hint="eastAsia"/>
                <w:color w:val="000000"/>
                <w:sz w:val="20"/>
              </w:rPr>
              <w:t>华峰化学</w:t>
            </w:r>
          </w:p>
        </w:tc>
        <w:tc>
          <w:tcPr>
            <w:tcW w:w="1134" w:type="dxa"/>
            <w:tcBorders>
              <w:top w:val="single" w:sz="8" w:space="0" w:color="000000"/>
              <w:left w:val="single" w:sz="8" w:space="0" w:color="000000"/>
              <w:bottom w:val="single" w:sz="6" w:space="0" w:color="000000"/>
              <w:right w:val="single" w:sz="8" w:space="0" w:color="000000"/>
            </w:tcBorders>
            <w:vAlign w:val="center"/>
          </w:tcPr>
          <w:p w14:paraId="458E7C10" w14:textId="34C42717" w:rsidR="00885489" w:rsidRDefault="00885489" w:rsidP="00885489">
            <w:pPr>
              <w:pStyle w:val="biaogeright"/>
              <w:wordWrap w:val="0"/>
              <w:rPr>
                <w:sz w:val="20"/>
              </w:rPr>
            </w:pPr>
            <w:r w:rsidRPr="00CA09AF">
              <w:rPr>
                <w:rFonts w:hAnsi="Calibri" w:hint="eastAsia"/>
                <w:color w:val="000000"/>
                <w:sz w:val="20"/>
              </w:rPr>
              <w:t>3,000,000</w:t>
            </w:r>
          </w:p>
        </w:tc>
        <w:tc>
          <w:tcPr>
            <w:tcW w:w="1984" w:type="dxa"/>
            <w:tcBorders>
              <w:top w:val="single" w:sz="8" w:space="0" w:color="000000"/>
              <w:left w:val="single" w:sz="8" w:space="0" w:color="000000"/>
              <w:bottom w:val="single" w:sz="6" w:space="0" w:color="000000"/>
              <w:right w:val="single" w:sz="8" w:space="0" w:color="000000"/>
            </w:tcBorders>
            <w:vAlign w:val="center"/>
          </w:tcPr>
          <w:p w14:paraId="063A3A6C" w14:textId="641C7EE9" w:rsidR="00885489" w:rsidRDefault="00885489" w:rsidP="00885489">
            <w:pPr>
              <w:pStyle w:val="biaogeright"/>
              <w:wordWrap w:val="0"/>
              <w:rPr>
                <w:sz w:val="20"/>
              </w:rPr>
            </w:pPr>
            <w:r w:rsidRPr="00CA09AF">
              <w:rPr>
                <w:rFonts w:hAnsi="Calibri" w:hint="eastAsia"/>
                <w:color w:val="000000"/>
                <w:sz w:val="20"/>
              </w:rPr>
              <w:t>42,600,000.00</w:t>
            </w:r>
          </w:p>
        </w:tc>
        <w:tc>
          <w:tcPr>
            <w:tcW w:w="2506" w:type="dxa"/>
            <w:tcBorders>
              <w:top w:val="single" w:sz="8" w:space="0" w:color="000000"/>
              <w:left w:val="single" w:sz="8" w:space="0" w:color="000000"/>
              <w:bottom w:val="single" w:sz="6" w:space="0" w:color="000000"/>
              <w:right w:val="single" w:sz="8" w:space="0" w:color="000000"/>
            </w:tcBorders>
            <w:vAlign w:val="center"/>
          </w:tcPr>
          <w:p w14:paraId="02DFF517" w14:textId="343D9D84" w:rsidR="00885489" w:rsidRDefault="00885489" w:rsidP="00885489">
            <w:pPr>
              <w:pStyle w:val="biaogeright"/>
              <w:wordWrap w:val="0"/>
              <w:rPr>
                <w:sz w:val="20"/>
              </w:rPr>
            </w:pPr>
            <w:r w:rsidRPr="00CA09AF">
              <w:rPr>
                <w:rFonts w:hAnsi="Calibri" w:hint="eastAsia"/>
                <w:color w:val="000000"/>
                <w:sz w:val="20"/>
              </w:rPr>
              <w:t>2.60</w:t>
            </w:r>
          </w:p>
        </w:tc>
      </w:tr>
      <w:tr w:rsidR="00885489" w14:paraId="1D15F427" w14:textId="77777777">
        <w:trPr>
          <w:trHeight w:val="410"/>
        </w:trPr>
        <w:tc>
          <w:tcPr>
            <w:tcW w:w="0" w:type="auto"/>
            <w:tcBorders>
              <w:top w:val="single" w:sz="8" w:space="0" w:color="000000"/>
              <w:left w:val="single" w:sz="8" w:space="0" w:color="000000"/>
              <w:bottom w:val="single" w:sz="6" w:space="0" w:color="000000"/>
              <w:right w:val="single" w:sz="8" w:space="0" w:color="000000"/>
            </w:tcBorders>
            <w:vAlign w:val="center"/>
          </w:tcPr>
          <w:p w14:paraId="38801F3B" w14:textId="77777777" w:rsidR="00885489" w:rsidRDefault="00885489" w:rsidP="00885489">
            <w:pPr>
              <w:pStyle w:val="biaogecenter"/>
              <w:wordWrap w:val="0"/>
              <w:rPr>
                <w:sz w:val="20"/>
              </w:rPr>
            </w:pPr>
            <w:r>
              <w:rPr>
                <w:rFonts w:hAnsi="Calibri" w:hint="eastAsia"/>
                <w:color w:val="000000"/>
                <w:sz w:val="20"/>
              </w:rPr>
              <w:t>2</w:t>
            </w:r>
          </w:p>
        </w:tc>
        <w:tc>
          <w:tcPr>
            <w:tcW w:w="0" w:type="auto"/>
            <w:tcBorders>
              <w:top w:val="single" w:sz="8" w:space="0" w:color="000000"/>
              <w:left w:val="single" w:sz="8" w:space="0" w:color="000000"/>
              <w:bottom w:val="single" w:sz="6" w:space="0" w:color="000000"/>
              <w:right w:val="single" w:sz="8" w:space="0" w:color="000000"/>
            </w:tcBorders>
            <w:vAlign w:val="center"/>
          </w:tcPr>
          <w:p w14:paraId="263ADB2C" w14:textId="3AD0A7DF" w:rsidR="00885489" w:rsidRDefault="00885489" w:rsidP="00885489">
            <w:pPr>
              <w:pStyle w:val="biaogeleft"/>
              <w:wordWrap w:val="0"/>
              <w:rPr>
                <w:sz w:val="20"/>
              </w:rPr>
            </w:pPr>
            <w:r w:rsidRPr="00CA09AF">
              <w:rPr>
                <w:rFonts w:hAnsi="Calibri" w:hint="eastAsia"/>
                <w:color w:val="000000"/>
                <w:sz w:val="20"/>
              </w:rPr>
              <w:t>002709</w:t>
            </w:r>
          </w:p>
        </w:tc>
        <w:tc>
          <w:tcPr>
            <w:tcW w:w="1140" w:type="dxa"/>
            <w:tcBorders>
              <w:top w:val="single" w:sz="8" w:space="0" w:color="000000"/>
              <w:left w:val="single" w:sz="8" w:space="0" w:color="000000"/>
              <w:bottom w:val="single" w:sz="6" w:space="0" w:color="000000"/>
              <w:right w:val="single" w:sz="8" w:space="0" w:color="000000"/>
            </w:tcBorders>
            <w:vAlign w:val="center"/>
          </w:tcPr>
          <w:p w14:paraId="3AF6FE6D" w14:textId="71C4E475" w:rsidR="00885489" w:rsidRDefault="00885489" w:rsidP="00885489">
            <w:pPr>
              <w:pStyle w:val="biaogeleft"/>
              <w:wordWrap w:val="0"/>
              <w:rPr>
                <w:sz w:val="20"/>
              </w:rPr>
            </w:pPr>
            <w:r w:rsidRPr="00CA09AF">
              <w:rPr>
                <w:rFonts w:hAnsi="Calibri" w:hint="eastAsia"/>
                <w:color w:val="000000"/>
                <w:sz w:val="20"/>
              </w:rPr>
              <w:t>天赐材料</w:t>
            </w:r>
          </w:p>
        </w:tc>
        <w:tc>
          <w:tcPr>
            <w:tcW w:w="1134" w:type="dxa"/>
            <w:tcBorders>
              <w:top w:val="single" w:sz="8" w:space="0" w:color="000000"/>
              <w:left w:val="single" w:sz="8" w:space="0" w:color="000000"/>
              <w:bottom w:val="single" w:sz="6" w:space="0" w:color="000000"/>
              <w:right w:val="single" w:sz="8" w:space="0" w:color="000000"/>
            </w:tcBorders>
            <w:vAlign w:val="center"/>
          </w:tcPr>
          <w:p w14:paraId="308B7477" w14:textId="297D6387" w:rsidR="00885489" w:rsidRDefault="00885489" w:rsidP="00885489">
            <w:pPr>
              <w:pStyle w:val="biaogeright"/>
              <w:wordWrap w:val="0"/>
              <w:rPr>
                <w:sz w:val="20"/>
              </w:rPr>
            </w:pPr>
            <w:r w:rsidRPr="00CA09AF">
              <w:rPr>
                <w:rFonts w:hAnsi="Calibri" w:hint="eastAsia"/>
                <w:color w:val="000000"/>
                <w:sz w:val="20"/>
              </w:rPr>
              <w:t>321,922</w:t>
            </w:r>
          </w:p>
        </w:tc>
        <w:tc>
          <w:tcPr>
            <w:tcW w:w="1984" w:type="dxa"/>
            <w:tcBorders>
              <w:top w:val="single" w:sz="8" w:space="0" w:color="000000"/>
              <w:left w:val="single" w:sz="8" w:space="0" w:color="000000"/>
              <w:bottom w:val="single" w:sz="6" w:space="0" w:color="000000"/>
              <w:right w:val="single" w:sz="8" w:space="0" w:color="000000"/>
            </w:tcBorders>
            <w:vAlign w:val="center"/>
          </w:tcPr>
          <w:p w14:paraId="70FFBD0A" w14:textId="4A5FF1CF" w:rsidR="00885489" w:rsidRDefault="00885489" w:rsidP="00885489">
            <w:pPr>
              <w:pStyle w:val="biaogeright"/>
              <w:wordWrap w:val="0"/>
              <w:rPr>
                <w:sz w:val="20"/>
              </w:rPr>
            </w:pPr>
            <w:r w:rsidRPr="00CA09AF">
              <w:rPr>
                <w:rFonts w:hAnsi="Calibri" w:hint="eastAsia"/>
                <w:color w:val="000000"/>
                <w:sz w:val="20"/>
              </w:rPr>
              <w:t>34,310,446.76</w:t>
            </w:r>
          </w:p>
        </w:tc>
        <w:tc>
          <w:tcPr>
            <w:tcW w:w="2506" w:type="dxa"/>
            <w:tcBorders>
              <w:top w:val="single" w:sz="8" w:space="0" w:color="000000"/>
              <w:left w:val="single" w:sz="8" w:space="0" w:color="000000"/>
              <w:bottom w:val="single" w:sz="6" w:space="0" w:color="000000"/>
              <w:right w:val="single" w:sz="8" w:space="0" w:color="000000"/>
            </w:tcBorders>
            <w:vAlign w:val="center"/>
          </w:tcPr>
          <w:p w14:paraId="1E04113C" w14:textId="5DCC5BC7" w:rsidR="00885489" w:rsidRDefault="00885489" w:rsidP="00885489">
            <w:pPr>
              <w:pStyle w:val="biaogeright"/>
              <w:wordWrap w:val="0"/>
              <w:rPr>
                <w:sz w:val="20"/>
              </w:rPr>
            </w:pPr>
            <w:r w:rsidRPr="00CA09AF">
              <w:rPr>
                <w:rFonts w:hAnsi="Calibri" w:hint="eastAsia"/>
                <w:color w:val="000000"/>
                <w:sz w:val="20"/>
              </w:rPr>
              <w:t>2.09</w:t>
            </w:r>
          </w:p>
        </w:tc>
      </w:tr>
      <w:tr w:rsidR="00885489" w14:paraId="79D5180F" w14:textId="77777777">
        <w:trPr>
          <w:trHeight w:val="410"/>
        </w:trPr>
        <w:tc>
          <w:tcPr>
            <w:tcW w:w="0" w:type="auto"/>
            <w:tcBorders>
              <w:top w:val="single" w:sz="8" w:space="0" w:color="000000"/>
              <w:left w:val="single" w:sz="8" w:space="0" w:color="000000"/>
              <w:bottom w:val="single" w:sz="6" w:space="0" w:color="000000"/>
              <w:right w:val="single" w:sz="8" w:space="0" w:color="000000"/>
            </w:tcBorders>
            <w:vAlign w:val="center"/>
          </w:tcPr>
          <w:p w14:paraId="6E444F56" w14:textId="77777777" w:rsidR="00885489" w:rsidRDefault="00885489" w:rsidP="00885489">
            <w:pPr>
              <w:pStyle w:val="biaogecenter"/>
              <w:wordWrap w:val="0"/>
              <w:rPr>
                <w:sz w:val="20"/>
              </w:rPr>
            </w:pPr>
            <w:r>
              <w:rPr>
                <w:rFonts w:hAnsi="Calibri" w:hint="eastAsia"/>
                <w:color w:val="000000"/>
                <w:sz w:val="20"/>
              </w:rPr>
              <w:t>3</w:t>
            </w:r>
          </w:p>
        </w:tc>
        <w:tc>
          <w:tcPr>
            <w:tcW w:w="0" w:type="auto"/>
            <w:tcBorders>
              <w:top w:val="single" w:sz="8" w:space="0" w:color="000000"/>
              <w:left w:val="single" w:sz="8" w:space="0" w:color="000000"/>
              <w:bottom w:val="single" w:sz="6" w:space="0" w:color="000000"/>
              <w:right w:val="single" w:sz="8" w:space="0" w:color="000000"/>
            </w:tcBorders>
            <w:vAlign w:val="center"/>
          </w:tcPr>
          <w:p w14:paraId="4DA487E8" w14:textId="03E9C95F" w:rsidR="00885489" w:rsidRDefault="00885489" w:rsidP="00885489">
            <w:pPr>
              <w:pStyle w:val="biaogeleft"/>
              <w:wordWrap w:val="0"/>
              <w:rPr>
                <w:sz w:val="20"/>
              </w:rPr>
            </w:pPr>
            <w:r w:rsidRPr="00CA09AF">
              <w:rPr>
                <w:rFonts w:hAnsi="Calibri" w:hint="eastAsia"/>
                <w:color w:val="000000"/>
                <w:sz w:val="20"/>
              </w:rPr>
              <w:t>688122</w:t>
            </w:r>
          </w:p>
        </w:tc>
        <w:tc>
          <w:tcPr>
            <w:tcW w:w="1140" w:type="dxa"/>
            <w:tcBorders>
              <w:top w:val="single" w:sz="8" w:space="0" w:color="000000"/>
              <w:left w:val="single" w:sz="8" w:space="0" w:color="000000"/>
              <w:bottom w:val="single" w:sz="6" w:space="0" w:color="000000"/>
              <w:right w:val="single" w:sz="8" w:space="0" w:color="000000"/>
            </w:tcBorders>
            <w:vAlign w:val="center"/>
          </w:tcPr>
          <w:p w14:paraId="3BFEBE40" w14:textId="3ADF0074" w:rsidR="00885489" w:rsidRDefault="00885489" w:rsidP="00885489">
            <w:pPr>
              <w:pStyle w:val="biaogeleft"/>
              <w:wordWrap w:val="0"/>
              <w:rPr>
                <w:sz w:val="20"/>
              </w:rPr>
            </w:pPr>
            <w:r w:rsidRPr="00CA09AF">
              <w:rPr>
                <w:rFonts w:hAnsi="Calibri" w:hint="eastAsia"/>
                <w:color w:val="000000"/>
                <w:sz w:val="20"/>
              </w:rPr>
              <w:t>西部超导</w:t>
            </w:r>
          </w:p>
        </w:tc>
        <w:tc>
          <w:tcPr>
            <w:tcW w:w="1134" w:type="dxa"/>
            <w:tcBorders>
              <w:top w:val="single" w:sz="8" w:space="0" w:color="000000"/>
              <w:left w:val="single" w:sz="8" w:space="0" w:color="000000"/>
              <w:bottom w:val="single" w:sz="6" w:space="0" w:color="000000"/>
              <w:right w:val="single" w:sz="8" w:space="0" w:color="000000"/>
            </w:tcBorders>
            <w:vAlign w:val="center"/>
          </w:tcPr>
          <w:p w14:paraId="36D57777" w14:textId="18212BCC" w:rsidR="00885489" w:rsidRDefault="00885489" w:rsidP="00885489">
            <w:pPr>
              <w:pStyle w:val="biaogeright"/>
              <w:wordWrap w:val="0"/>
              <w:rPr>
                <w:sz w:val="20"/>
              </w:rPr>
            </w:pPr>
            <w:r w:rsidRPr="00CA09AF">
              <w:rPr>
                <w:rFonts w:hAnsi="Calibri" w:hint="eastAsia"/>
                <w:color w:val="000000"/>
                <w:sz w:val="20"/>
              </w:rPr>
              <w:t>501,219</w:t>
            </w:r>
          </w:p>
        </w:tc>
        <w:tc>
          <w:tcPr>
            <w:tcW w:w="1984" w:type="dxa"/>
            <w:tcBorders>
              <w:top w:val="single" w:sz="8" w:space="0" w:color="000000"/>
              <w:left w:val="single" w:sz="8" w:space="0" w:color="000000"/>
              <w:bottom w:val="single" w:sz="6" w:space="0" w:color="000000"/>
              <w:right w:val="single" w:sz="8" w:space="0" w:color="000000"/>
            </w:tcBorders>
            <w:vAlign w:val="center"/>
          </w:tcPr>
          <w:p w14:paraId="3654DE62" w14:textId="4B99F9CA" w:rsidR="00885489" w:rsidRDefault="00885489" w:rsidP="00885489">
            <w:pPr>
              <w:pStyle w:val="biaogeright"/>
              <w:wordWrap w:val="0"/>
              <w:rPr>
                <w:sz w:val="20"/>
              </w:rPr>
            </w:pPr>
            <w:r w:rsidRPr="00CA09AF">
              <w:rPr>
                <w:rFonts w:hAnsi="Calibri" w:hint="eastAsia"/>
                <w:color w:val="000000"/>
                <w:sz w:val="20"/>
              </w:rPr>
              <w:t>32,375,937.33</w:t>
            </w:r>
          </w:p>
        </w:tc>
        <w:tc>
          <w:tcPr>
            <w:tcW w:w="2506" w:type="dxa"/>
            <w:tcBorders>
              <w:top w:val="single" w:sz="8" w:space="0" w:color="000000"/>
              <w:left w:val="single" w:sz="8" w:space="0" w:color="000000"/>
              <w:bottom w:val="single" w:sz="6" w:space="0" w:color="000000"/>
              <w:right w:val="single" w:sz="8" w:space="0" w:color="000000"/>
            </w:tcBorders>
            <w:vAlign w:val="center"/>
          </w:tcPr>
          <w:p w14:paraId="70E41A62" w14:textId="6D109B90" w:rsidR="00885489" w:rsidRDefault="00885489" w:rsidP="00885489">
            <w:pPr>
              <w:pStyle w:val="biaogeright"/>
              <w:wordWrap w:val="0"/>
              <w:rPr>
                <w:sz w:val="20"/>
              </w:rPr>
            </w:pPr>
            <w:r w:rsidRPr="00CA09AF">
              <w:rPr>
                <w:rFonts w:hAnsi="Calibri" w:hint="eastAsia"/>
                <w:color w:val="000000"/>
                <w:sz w:val="20"/>
              </w:rPr>
              <w:t>1.97</w:t>
            </w:r>
          </w:p>
        </w:tc>
      </w:tr>
      <w:tr w:rsidR="00885489" w14:paraId="310BB832" w14:textId="77777777">
        <w:trPr>
          <w:trHeight w:val="410"/>
        </w:trPr>
        <w:tc>
          <w:tcPr>
            <w:tcW w:w="0" w:type="auto"/>
            <w:tcBorders>
              <w:top w:val="single" w:sz="8" w:space="0" w:color="000000"/>
              <w:left w:val="single" w:sz="8" w:space="0" w:color="000000"/>
              <w:bottom w:val="single" w:sz="6" w:space="0" w:color="000000"/>
              <w:right w:val="single" w:sz="8" w:space="0" w:color="000000"/>
            </w:tcBorders>
            <w:vAlign w:val="center"/>
          </w:tcPr>
          <w:p w14:paraId="7F08FE64" w14:textId="77777777" w:rsidR="00885489" w:rsidRDefault="00885489" w:rsidP="00885489">
            <w:pPr>
              <w:pStyle w:val="biaogecenter"/>
              <w:wordWrap w:val="0"/>
              <w:rPr>
                <w:sz w:val="20"/>
              </w:rPr>
            </w:pPr>
            <w:r>
              <w:rPr>
                <w:rFonts w:hAnsi="Calibri" w:hint="eastAsia"/>
                <w:color w:val="000000"/>
                <w:sz w:val="20"/>
              </w:rPr>
              <w:t>4</w:t>
            </w:r>
          </w:p>
        </w:tc>
        <w:tc>
          <w:tcPr>
            <w:tcW w:w="0" w:type="auto"/>
            <w:tcBorders>
              <w:top w:val="single" w:sz="8" w:space="0" w:color="000000"/>
              <w:left w:val="single" w:sz="8" w:space="0" w:color="000000"/>
              <w:bottom w:val="single" w:sz="6" w:space="0" w:color="000000"/>
              <w:right w:val="single" w:sz="8" w:space="0" w:color="000000"/>
            </w:tcBorders>
            <w:vAlign w:val="center"/>
          </w:tcPr>
          <w:p w14:paraId="171447C7" w14:textId="312CD3B5" w:rsidR="00885489" w:rsidRDefault="00885489" w:rsidP="00885489">
            <w:pPr>
              <w:pStyle w:val="biaogeleft"/>
              <w:wordWrap w:val="0"/>
              <w:rPr>
                <w:sz w:val="20"/>
              </w:rPr>
            </w:pPr>
            <w:r w:rsidRPr="00CA09AF">
              <w:rPr>
                <w:rFonts w:hAnsi="Calibri" w:hint="eastAsia"/>
                <w:color w:val="000000"/>
                <w:sz w:val="20"/>
              </w:rPr>
              <w:t>002831</w:t>
            </w:r>
          </w:p>
        </w:tc>
        <w:tc>
          <w:tcPr>
            <w:tcW w:w="1140" w:type="dxa"/>
            <w:tcBorders>
              <w:top w:val="single" w:sz="8" w:space="0" w:color="000000"/>
              <w:left w:val="single" w:sz="8" w:space="0" w:color="000000"/>
              <w:bottom w:val="single" w:sz="6" w:space="0" w:color="000000"/>
              <w:right w:val="single" w:sz="8" w:space="0" w:color="000000"/>
            </w:tcBorders>
            <w:vAlign w:val="center"/>
          </w:tcPr>
          <w:p w14:paraId="0012641B" w14:textId="1FC28BEA" w:rsidR="00885489" w:rsidRDefault="00885489" w:rsidP="00885489">
            <w:pPr>
              <w:pStyle w:val="biaogeleft"/>
              <w:wordWrap w:val="0"/>
              <w:rPr>
                <w:sz w:val="20"/>
              </w:rPr>
            </w:pPr>
            <w:r w:rsidRPr="00CA09AF">
              <w:rPr>
                <w:rFonts w:hAnsi="Calibri" w:hint="eastAsia"/>
                <w:color w:val="000000"/>
                <w:sz w:val="20"/>
              </w:rPr>
              <w:t>裕同科技</w:t>
            </w:r>
          </w:p>
        </w:tc>
        <w:tc>
          <w:tcPr>
            <w:tcW w:w="1134" w:type="dxa"/>
            <w:tcBorders>
              <w:top w:val="single" w:sz="8" w:space="0" w:color="000000"/>
              <w:left w:val="single" w:sz="8" w:space="0" w:color="000000"/>
              <w:bottom w:val="single" w:sz="6" w:space="0" w:color="000000"/>
              <w:right w:val="single" w:sz="8" w:space="0" w:color="000000"/>
            </w:tcBorders>
            <w:vAlign w:val="center"/>
          </w:tcPr>
          <w:p w14:paraId="5C9705DF" w14:textId="057E5C97" w:rsidR="00885489" w:rsidRDefault="00885489" w:rsidP="00885489">
            <w:pPr>
              <w:pStyle w:val="biaogeright"/>
              <w:wordWrap w:val="0"/>
              <w:rPr>
                <w:sz w:val="20"/>
              </w:rPr>
            </w:pPr>
            <w:r w:rsidRPr="00CA09AF">
              <w:rPr>
                <w:rFonts w:hAnsi="Calibri" w:hint="eastAsia"/>
                <w:color w:val="000000"/>
                <w:sz w:val="20"/>
              </w:rPr>
              <w:t>538,035</w:t>
            </w:r>
          </w:p>
        </w:tc>
        <w:tc>
          <w:tcPr>
            <w:tcW w:w="1984" w:type="dxa"/>
            <w:tcBorders>
              <w:top w:val="single" w:sz="8" w:space="0" w:color="000000"/>
              <w:left w:val="single" w:sz="8" w:space="0" w:color="000000"/>
              <w:bottom w:val="single" w:sz="6" w:space="0" w:color="000000"/>
              <w:right w:val="single" w:sz="8" w:space="0" w:color="000000"/>
            </w:tcBorders>
            <w:vAlign w:val="center"/>
          </w:tcPr>
          <w:p w14:paraId="28C92058" w14:textId="5BB2B265" w:rsidR="00885489" w:rsidRDefault="00885489" w:rsidP="00885489">
            <w:pPr>
              <w:pStyle w:val="biaogeright"/>
              <w:wordWrap w:val="0"/>
              <w:rPr>
                <w:sz w:val="20"/>
              </w:rPr>
            </w:pPr>
            <w:r w:rsidRPr="00CA09AF">
              <w:rPr>
                <w:rFonts w:hAnsi="Calibri" w:hint="eastAsia"/>
                <w:color w:val="000000"/>
                <w:sz w:val="20"/>
              </w:rPr>
              <w:t>15,974,259.15</w:t>
            </w:r>
          </w:p>
        </w:tc>
        <w:tc>
          <w:tcPr>
            <w:tcW w:w="2506" w:type="dxa"/>
            <w:tcBorders>
              <w:top w:val="single" w:sz="8" w:space="0" w:color="000000"/>
              <w:left w:val="single" w:sz="8" w:space="0" w:color="000000"/>
              <w:bottom w:val="single" w:sz="6" w:space="0" w:color="000000"/>
              <w:right w:val="single" w:sz="8" w:space="0" w:color="000000"/>
            </w:tcBorders>
            <w:vAlign w:val="center"/>
          </w:tcPr>
          <w:p w14:paraId="46EA9966" w14:textId="7172A69A" w:rsidR="00885489" w:rsidRDefault="00885489" w:rsidP="00885489">
            <w:pPr>
              <w:pStyle w:val="biaogeright"/>
              <w:wordWrap w:val="0"/>
              <w:rPr>
                <w:sz w:val="20"/>
              </w:rPr>
            </w:pPr>
            <w:r w:rsidRPr="00CA09AF">
              <w:rPr>
                <w:rFonts w:hAnsi="Calibri" w:hint="eastAsia"/>
                <w:color w:val="000000"/>
                <w:sz w:val="20"/>
              </w:rPr>
              <w:t>0.97</w:t>
            </w:r>
          </w:p>
        </w:tc>
      </w:tr>
      <w:tr w:rsidR="00885489" w14:paraId="4964A1E2" w14:textId="77777777">
        <w:trPr>
          <w:trHeight w:val="423"/>
        </w:trPr>
        <w:tc>
          <w:tcPr>
            <w:tcW w:w="0" w:type="auto"/>
            <w:tcBorders>
              <w:top w:val="single" w:sz="8" w:space="0" w:color="000000"/>
              <w:left w:val="single" w:sz="8" w:space="0" w:color="000000"/>
              <w:bottom w:val="single" w:sz="6" w:space="0" w:color="000000"/>
              <w:right w:val="single" w:sz="8" w:space="0" w:color="000000"/>
            </w:tcBorders>
            <w:vAlign w:val="center"/>
          </w:tcPr>
          <w:p w14:paraId="29A61D59" w14:textId="77777777" w:rsidR="00885489" w:rsidRDefault="00885489" w:rsidP="00885489">
            <w:pPr>
              <w:pStyle w:val="biaogecenter"/>
              <w:wordWrap w:val="0"/>
              <w:rPr>
                <w:sz w:val="20"/>
              </w:rPr>
            </w:pPr>
            <w:r>
              <w:rPr>
                <w:rFonts w:hAnsi="Calibri" w:hint="eastAsia"/>
                <w:color w:val="000000"/>
                <w:sz w:val="20"/>
              </w:rPr>
              <w:t>5</w:t>
            </w:r>
          </w:p>
        </w:tc>
        <w:tc>
          <w:tcPr>
            <w:tcW w:w="0" w:type="auto"/>
            <w:tcBorders>
              <w:top w:val="single" w:sz="8" w:space="0" w:color="000000"/>
              <w:left w:val="single" w:sz="8" w:space="0" w:color="000000"/>
              <w:bottom w:val="single" w:sz="6" w:space="0" w:color="000000"/>
              <w:right w:val="single" w:sz="8" w:space="0" w:color="000000"/>
            </w:tcBorders>
            <w:vAlign w:val="center"/>
          </w:tcPr>
          <w:p w14:paraId="64C0A83C" w14:textId="566E60F3" w:rsidR="00885489" w:rsidRDefault="00885489" w:rsidP="00885489">
            <w:pPr>
              <w:pStyle w:val="biaogeleft"/>
              <w:wordWrap w:val="0"/>
              <w:rPr>
                <w:sz w:val="20"/>
              </w:rPr>
            </w:pPr>
            <w:r w:rsidRPr="00CA09AF">
              <w:rPr>
                <w:rFonts w:hAnsi="Calibri" w:hint="eastAsia"/>
                <w:color w:val="000000"/>
                <w:sz w:val="20"/>
              </w:rPr>
              <w:t>688519</w:t>
            </w:r>
          </w:p>
        </w:tc>
        <w:tc>
          <w:tcPr>
            <w:tcW w:w="1140" w:type="dxa"/>
            <w:tcBorders>
              <w:top w:val="single" w:sz="8" w:space="0" w:color="000000"/>
              <w:left w:val="single" w:sz="8" w:space="0" w:color="000000"/>
              <w:bottom w:val="single" w:sz="6" w:space="0" w:color="000000"/>
              <w:right w:val="single" w:sz="8" w:space="0" w:color="000000"/>
            </w:tcBorders>
            <w:vAlign w:val="center"/>
          </w:tcPr>
          <w:p w14:paraId="4E02FBE2" w14:textId="638A1F9E" w:rsidR="00885489" w:rsidRDefault="00885489" w:rsidP="00885489">
            <w:pPr>
              <w:pStyle w:val="biaogeleft"/>
              <w:wordWrap w:val="0"/>
              <w:rPr>
                <w:sz w:val="20"/>
              </w:rPr>
            </w:pPr>
            <w:r w:rsidRPr="00CA09AF">
              <w:rPr>
                <w:rFonts w:hAnsi="Calibri" w:hint="eastAsia"/>
                <w:color w:val="000000"/>
                <w:sz w:val="20"/>
              </w:rPr>
              <w:t>南亚新材</w:t>
            </w:r>
          </w:p>
        </w:tc>
        <w:tc>
          <w:tcPr>
            <w:tcW w:w="1134" w:type="dxa"/>
            <w:tcBorders>
              <w:top w:val="single" w:sz="8" w:space="0" w:color="000000"/>
              <w:left w:val="single" w:sz="8" w:space="0" w:color="000000"/>
              <w:bottom w:val="single" w:sz="6" w:space="0" w:color="000000"/>
              <w:right w:val="single" w:sz="8" w:space="0" w:color="000000"/>
            </w:tcBorders>
            <w:vAlign w:val="center"/>
          </w:tcPr>
          <w:p w14:paraId="6385F121" w14:textId="44EBEC54" w:rsidR="00885489" w:rsidRDefault="00885489" w:rsidP="00885489">
            <w:pPr>
              <w:pStyle w:val="biaogeright"/>
              <w:wordWrap w:val="0"/>
              <w:rPr>
                <w:sz w:val="20"/>
              </w:rPr>
            </w:pPr>
            <w:r w:rsidRPr="00CA09AF">
              <w:rPr>
                <w:rFonts w:hAnsi="Calibri" w:hint="eastAsia"/>
                <w:color w:val="000000"/>
                <w:sz w:val="20"/>
              </w:rPr>
              <w:t>223,600</w:t>
            </w:r>
          </w:p>
        </w:tc>
        <w:tc>
          <w:tcPr>
            <w:tcW w:w="1984" w:type="dxa"/>
            <w:tcBorders>
              <w:top w:val="single" w:sz="8" w:space="0" w:color="000000"/>
              <w:left w:val="single" w:sz="8" w:space="0" w:color="000000"/>
              <w:bottom w:val="single" w:sz="6" w:space="0" w:color="000000"/>
              <w:right w:val="single" w:sz="8" w:space="0" w:color="000000"/>
            </w:tcBorders>
            <w:vAlign w:val="center"/>
          </w:tcPr>
          <w:p w14:paraId="24806BA3" w14:textId="29D63CFE" w:rsidR="00885489" w:rsidRDefault="00885489" w:rsidP="00885489">
            <w:pPr>
              <w:pStyle w:val="biaogeright"/>
              <w:wordWrap w:val="0"/>
              <w:rPr>
                <w:sz w:val="20"/>
              </w:rPr>
            </w:pPr>
            <w:r w:rsidRPr="00CA09AF">
              <w:rPr>
                <w:rFonts w:hAnsi="Calibri" w:hint="eastAsia"/>
                <w:color w:val="000000"/>
                <w:sz w:val="20"/>
              </w:rPr>
              <w:t>8,443,136.00</w:t>
            </w:r>
          </w:p>
        </w:tc>
        <w:tc>
          <w:tcPr>
            <w:tcW w:w="2506" w:type="dxa"/>
            <w:tcBorders>
              <w:top w:val="single" w:sz="8" w:space="0" w:color="000000"/>
              <w:left w:val="single" w:sz="8" w:space="0" w:color="000000"/>
              <w:bottom w:val="single" w:sz="6" w:space="0" w:color="000000"/>
              <w:right w:val="single" w:sz="8" w:space="0" w:color="000000"/>
            </w:tcBorders>
            <w:vAlign w:val="center"/>
          </w:tcPr>
          <w:p w14:paraId="6DAE0E39" w14:textId="1AEE9406" w:rsidR="00885489" w:rsidRDefault="00885489" w:rsidP="00885489">
            <w:pPr>
              <w:pStyle w:val="biaogeright"/>
              <w:wordWrap w:val="0"/>
              <w:rPr>
                <w:sz w:val="20"/>
              </w:rPr>
            </w:pPr>
            <w:r w:rsidRPr="00CA09AF">
              <w:rPr>
                <w:rFonts w:hAnsi="Calibri" w:hint="eastAsia"/>
                <w:color w:val="000000"/>
                <w:sz w:val="20"/>
              </w:rPr>
              <w:t>0.51</w:t>
            </w:r>
          </w:p>
        </w:tc>
      </w:tr>
    </w:tbl>
    <w:p w14:paraId="34A33AA3" w14:textId="77777777" w:rsidR="003568C2" w:rsidRDefault="003568C2">
      <w:pPr>
        <w:widowControl/>
        <w:jc w:val="left"/>
        <w:rPr>
          <w:rFonts w:ascii="宋体" w:hAnsi="宋体" w:cs="宋体"/>
          <w:kern w:val="0"/>
          <w:sz w:val="24"/>
          <w:szCs w:val="24"/>
        </w:rPr>
      </w:pPr>
    </w:p>
    <w:p w14:paraId="19C57ACA" w14:textId="2931BE65" w:rsidR="003568C2" w:rsidRDefault="00695B03" w:rsidP="00D45D19">
      <w:pPr>
        <w:pStyle w:val="zhangjiep"/>
      </w:pPr>
      <w:r>
        <w:rPr>
          <w:bCs/>
        </w:rPr>
        <w:t xml:space="preserve">4 </w:t>
      </w:r>
      <w:r>
        <w:rPr>
          <w:rFonts w:hint="eastAsia"/>
          <w:bCs/>
        </w:rPr>
        <w:t>、报告期末按债券品种分类的债券投资组合</w:t>
      </w:r>
    </w:p>
    <w:tbl>
      <w:tblPr>
        <w:tblW w:w="9045" w:type="dxa"/>
        <w:tblInd w:w="108" w:type="dxa"/>
        <w:tblLook w:val="04A0" w:firstRow="1" w:lastRow="0" w:firstColumn="1" w:lastColumn="0" w:noHBand="0" w:noVBand="1"/>
      </w:tblPr>
      <w:tblGrid>
        <w:gridCol w:w="1206"/>
        <w:gridCol w:w="3467"/>
        <w:gridCol w:w="2563"/>
        <w:gridCol w:w="1809"/>
      </w:tblGrid>
      <w:tr w:rsidR="00885489" w14:paraId="191B1B00" w14:textId="77777777" w:rsidTr="00AF7038">
        <w:tc>
          <w:tcPr>
            <w:tcW w:w="1200" w:type="dxa"/>
            <w:tcBorders>
              <w:top w:val="single" w:sz="8" w:space="0" w:color="000000"/>
              <w:left w:val="single" w:sz="8" w:space="0" w:color="000000"/>
              <w:bottom w:val="single" w:sz="6" w:space="0" w:color="000000"/>
              <w:right w:val="single" w:sz="8" w:space="0" w:color="000000"/>
            </w:tcBorders>
            <w:vAlign w:val="center"/>
            <w:hideMark/>
          </w:tcPr>
          <w:p w14:paraId="67CAB2BC" w14:textId="77777777" w:rsidR="00885489" w:rsidRDefault="00885489" w:rsidP="00AF7038">
            <w:pPr>
              <w:pStyle w:val="biaogecenter"/>
              <w:wordWrap w:val="0"/>
            </w:pPr>
            <w:r>
              <w:rPr>
                <w:rFonts w:hint="eastAsia"/>
              </w:rPr>
              <w:t>序号</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6637B887" w14:textId="77777777" w:rsidR="00885489" w:rsidRDefault="00885489" w:rsidP="00AF7038">
            <w:pPr>
              <w:pStyle w:val="biaogecenter"/>
              <w:wordWrap w:val="0"/>
            </w:pPr>
            <w:r>
              <w:rPr>
                <w:rFonts w:hAnsi="等线" w:hint="eastAsia"/>
                <w:color w:val="000000"/>
              </w:rPr>
              <w:t>债券品种</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02AEF1E8" w14:textId="77777777" w:rsidR="00885489" w:rsidRDefault="00885489" w:rsidP="00AF7038">
            <w:pPr>
              <w:pStyle w:val="biaogecenter"/>
              <w:wordWrap w:val="0"/>
            </w:pPr>
            <w:r>
              <w:rPr>
                <w:rFonts w:hAnsi="等线" w:hint="eastAsia"/>
                <w:color w:val="000000"/>
              </w:rPr>
              <w:t>公允价值(元)</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0C83031D" w14:textId="77777777" w:rsidR="00885489" w:rsidRDefault="00885489" w:rsidP="00AF7038">
            <w:pPr>
              <w:pStyle w:val="biaogecenter"/>
              <w:wordWrap w:val="0"/>
            </w:pPr>
            <w:r>
              <w:rPr>
                <w:rFonts w:hAnsi="等线" w:hint="eastAsia"/>
                <w:color w:val="000000"/>
              </w:rPr>
              <w:t>占基金资产净值比例（％）</w:t>
            </w:r>
          </w:p>
        </w:tc>
      </w:tr>
      <w:tr w:rsidR="00885489" w14:paraId="00D21C3D" w14:textId="77777777" w:rsidTr="00AF7038">
        <w:tc>
          <w:tcPr>
            <w:tcW w:w="1200" w:type="dxa"/>
            <w:tcBorders>
              <w:top w:val="single" w:sz="8" w:space="0" w:color="000000"/>
              <w:left w:val="single" w:sz="8" w:space="0" w:color="000000"/>
              <w:bottom w:val="single" w:sz="6" w:space="0" w:color="000000"/>
              <w:right w:val="single" w:sz="8" w:space="0" w:color="000000"/>
            </w:tcBorders>
            <w:vAlign w:val="center"/>
            <w:hideMark/>
          </w:tcPr>
          <w:p w14:paraId="3FE78098" w14:textId="77777777" w:rsidR="00885489" w:rsidRDefault="00885489" w:rsidP="00AF7038">
            <w:pPr>
              <w:pStyle w:val="biaogecenter"/>
              <w:wordWrap w:val="0"/>
            </w:pPr>
            <w:r>
              <w:rPr>
                <w:rFonts w:hAnsi="等线" w:hint="eastAsia"/>
                <w:color w:val="000000"/>
              </w:rPr>
              <w:t>1</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2F3D1B41" w14:textId="77777777" w:rsidR="00885489" w:rsidRDefault="00885489" w:rsidP="00AF7038">
            <w:pPr>
              <w:pStyle w:val="biaogeleft"/>
              <w:wordWrap w:val="0"/>
            </w:pPr>
            <w:r>
              <w:rPr>
                <w:rFonts w:hint="eastAsia"/>
              </w:rPr>
              <w:t>国家债券</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564B481B" w14:textId="77777777" w:rsidR="00885489" w:rsidRDefault="00885489" w:rsidP="00AF7038">
            <w:pPr>
              <w:pStyle w:val="biaogeright"/>
              <w:wordWrap w:val="0"/>
            </w:pPr>
            <w:r>
              <w:rPr>
                <w:rFonts w:hAnsi="等线" w:hint="eastAsia"/>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211A1631" w14:textId="77777777" w:rsidR="00885489" w:rsidRDefault="00885489" w:rsidP="00AF7038">
            <w:pPr>
              <w:pStyle w:val="biaogeright"/>
              <w:wordWrap w:val="0"/>
            </w:pPr>
            <w:r>
              <w:rPr>
                <w:rFonts w:hAnsi="等线" w:hint="eastAsia"/>
                <w:color w:val="000000"/>
              </w:rPr>
              <w:t>-</w:t>
            </w:r>
          </w:p>
        </w:tc>
      </w:tr>
      <w:tr w:rsidR="00885489" w14:paraId="602ABD37" w14:textId="77777777" w:rsidTr="00AF7038">
        <w:tc>
          <w:tcPr>
            <w:tcW w:w="1200" w:type="dxa"/>
            <w:tcBorders>
              <w:top w:val="single" w:sz="8" w:space="0" w:color="000000"/>
              <w:left w:val="single" w:sz="8" w:space="0" w:color="000000"/>
              <w:bottom w:val="single" w:sz="6" w:space="0" w:color="000000"/>
              <w:right w:val="single" w:sz="8" w:space="0" w:color="000000"/>
            </w:tcBorders>
            <w:vAlign w:val="center"/>
            <w:hideMark/>
          </w:tcPr>
          <w:p w14:paraId="1791F9C0" w14:textId="77777777" w:rsidR="00885489" w:rsidRDefault="00885489" w:rsidP="00AF7038">
            <w:pPr>
              <w:pStyle w:val="biaogecenter"/>
              <w:wordWrap w:val="0"/>
            </w:pPr>
            <w:r>
              <w:rPr>
                <w:rFonts w:hAnsi="等线" w:hint="eastAsia"/>
                <w:color w:val="000000"/>
              </w:rPr>
              <w:t>2</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5626E6F5" w14:textId="77777777" w:rsidR="00885489" w:rsidRDefault="00885489" w:rsidP="00AF7038">
            <w:pPr>
              <w:pStyle w:val="biaogeleft"/>
              <w:wordWrap w:val="0"/>
            </w:pPr>
            <w:r>
              <w:rPr>
                <w:rFonts w:hint="eastAsia"/>
              </w:rPr>
              <w:t>央行票据</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2D7730CA" w14:textId="77777777" w:rsidR="00885489" w:rsidRDefault="00885489" w:rsidP="00AF7038">
            <w:pPr>
              <w:pStyle w:val="biaogeright"/>
              <w:wordWrap w:val="0"/>
            </w:pPr>
            <w:r>
              <w:rPr>
                <w:rFonts w:hAnsi="等线" w:hint="eastAsia"/>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50978734" w14:textId="77777777" w:rsidR="00885489" w:rsidRDefault="00885489" w:rsidP="00AF7038">
            <w:pPr>
              <w:pStyle w:val="biaogeright"/>
              <w:wordWrap w:val="0"/>
            </w:pPr>
            <w:r>
              <w:rPr>
                <w:rFonts w:hAnsi="等线" w:hint="eastAsia"/>
                <w:color w:val="000000"/>
              </w:rPr>
              <w:t>-</w:t>
            </w:r>
          </w:p>
        </w:tc>
      </w:tr>
      <w:tr w:rsidR="00885489" w14:paraId="11EF045D" w14:textId="77777777" w:rsidTr="00AF7038">
        <w:tc>
          <w:tcPr>
            <w:tcW w:w="1200" w:type="dxa"/>
            <w:tcBorders>
              <w:top w:val="single" w:sz="8" w:space="0" w:color="000000"/>
              <w:left w:val="single" w:sz="8" w:space="0" w:color="000000"/>
              <w:bottom w:val="single" w:sz="6" w:space="0" w:color="000000"/>
              <w:right w:val="single" w:sz="8" w:space="0" w:color="000000"/>
            </w:tcBorders>
            <w:vAlign w:val="center"/>
            <w:hideMark/>
          </w:tcPr>
          <w:p w14:paraId="62A9D353" w14:textId="77777777" w:rsidR="00885489" w:rsidRDefault="00885489" w:rsidP="00AF7038">
            <w:pPr>
              <w:pStyle w:val="biaogecenter"/>
              <w:wordWrap w:val="0"/>
            </w:pPr>
            <w:r>
              <w:rPr>
                <w:rFonts w:hAnsi="等线" w:hint="eastAsia"/>
                <w:color w:val="000000"/>
              </w:rPr>
              <w:t>3</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281D0A05" w14:textId="77777777" w:rsidR="00885489" w:rsidRDefault="00885489" w:rsidP="00AF7038">
            <w:pPr>
              <w:pStyle w:val="biaogeleft"/>
              <w:wordWrap w:val="0"/>
            </w:pPr>
            <w:r>
              <w:rPr>
                <w:rFonts w:hint="eastAsia"/>
              </w:rPr>
              <w:t>金融债券</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7D1626BF" w14:textId="77777777" w:rsidR="00885489" w:rsidRDefault="00885489" w:rsidP="00AF7038">
            <w:pPr>
              <w:pStyle w:val="biaogeright"/>
              <w:wordWrap w:val="0"/>
            </w:pPr>
            <w:r>
              <w:rPr>
                <w:rFonts w:hAnsi="等线" w:hint="eastAsia"/>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55D971C9" w14:textId="77777777" w:rsidR="00885489" w:rsidRDefault="00885489" w:rsidP="00AF7038">
            <w:pPr>
              <w:pStyle w:val="biaogeright"/>
              <w:wordWrap w:val="0"/>
            </w:pPr>
            <w:r>
              <w:rPr>
                <w:rFonts w:hAnsi="等线" w:hint="eastAsia"/>
                <w:color w:val="000000"/>
              </w:rPr>
              <w:t>-</w:t>
            </w:r>
          </w:p>
        </w:tc>
      </w:tr>
      <w:tr w:rsidR="00885489" w14:paraId="2F7CB78D" w14:textId="77777777" w:rsidTr="00AF7038">
        <w:tc>
          <w:tcPr>
            <w:tcW w:w="1200" w:type="dxa"/>
            <w:tcBorders>
              <w:top w:val="single" w:sz="8" w:space="0" w:color="000000"/>
              <w:left w:val="single" w:sz="8" w:space="0" w:color="000000"/>
              <w:bottom w:val="single" w:sz="6" w:space="0" w:color="000000"/>
              <w:right w:val="single" w:sz="8" w:space="0" w:color="000000"/>
            </w:tcBorders>
            <w:vAlign w:val="center"/>
            <w:hideMark/>
          </w:tcPr>
          <w:p w14:paraId="19871D2F" w14:textId="77777777" w:rsidR="00885489" w:rsidRDefault="00885489" w:rsidP="00AF7038">
            <w:pPr>
              <w:widowControl/>
              <w:jc w:val="left"/>
              <w:rPr>
                <w:rFonts w:cs="宋体"/>
                <w:kern w:val="0"/>
                <w:sz w:val="20"/>
                <w:szCs w:val="20"/>
              </w:rPr>
            </w:pP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6F774CCB" w14:textId="77777777" w:rsidR="00885489" w:rsidRDefault="00885489" w:rsidP="00AF7038">
            <w:pPr>
              <w:pStyle w:val="biaogeleft"/>
              <w:wordWrap w:val="0"/>
            </w:pPr>
            <w:r>
              <w:rPr>
                <w:rFonts w:hint="eastAsia"/>
              </w:rPr>
              <w:t>其中：政策性金融债</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4EC9F4D7" w14:textId="77777777" w:rsidR="00885489" w:rsidRDefault="00885489" w:rsidP="00AF7038">
            <w:pPr>
              <w:pStyle w:val="biaogeright"/>
              <w:wordWrap w:val="0"/>
            </w:pPr>
            <w:r>
              <w:rPr>
                <w:rFonts w:hAnsi="等线" w:hint="eastAsia"/>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34C2C7EE" w14:textId="77777777" w:rsidR="00885489" w:rsidRDefault="00885489" w:rsidP="00AF7038">
            <w:pPr>
              <w:pStyle w:val="biaogeright"/>
              <w:wordWrap w:val="0"/>
            </w:pPr>
            <w:r>
              <w:rPr>
                <w:rFonts w:hAnsi="等线" w:hint="eastAsia"/>
                <w:color w:val="000000"/>
              </w:rPr>
              <w:t>-</w:t>
            </w:r>
          </w:p>
        </w:tc>
      </w:tr>
      <w:tr w:rsidR="00885489" w14:paraId="48D991F3" w14:textId="77777777" w:rsidTr="00AF7038">
        <w:tc>
          <w:tcPr>
            <w:tcW w:w="1200" w:type="dxa"/>
            <w:tcBorders>
              <w:top w:val="single" w:sz="8" w:space="0" w:color="000000"/>
              <w:left w:val="single" w:sz="8" w:space="0" w:color="000000"/>
              <w:bottom w:val="single" w:sz="6" w:space="0" w:color="000000"/>
              <w:right w:val="single" w:sz="8" w:space="0" w:color="000000"/>
            </w:tcBorders>
            <w:vAlign w:val="center"/>
            <w:hideMark/>
          </w:tcPr>
          <w:p w14:paraId="5E9A57A4" w14:textId="77777777" w:rsidR="00885489" w:rsidRDefault="00885489" w:rsidP="00AF7038">
            <w:pPr>
              <w:pStyle w:val="biaogecenter"/>
              <w:wordWrap w:val="0"/>
            </w:pPr>
            <w:r>
              <w:rPr>
                <w:rFonts w:hint="eastAsia"/>
              </w:rPr>
              <w:t>4</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622109FD" w14:textId="77777777" w:rsidR="00885489" w:rsidRDefault="00885489" w:rsidP="00AF7038">
            <w:pPr>
              <w:pStyle w:val="biaogeleft"/>
              <w:wordWrap w:val="0"/>
            </w:pPr>
            <w:r>
              <w:rPr>
                <w:rFonts w:hint="eastAsia"/>
              </w:rPr>
              <w:t>企业债券</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28891FD4" w14:textId="77777777" w:rsidR="00885489" w:rsidRDefault="00885489" w:rsidP="00AF7038">
            <w:pPr>
              <w:pStyle w:val="biaogeright"/>
              <w:wordWrap w:val="0"/>
            </w:pPr>
            <w:r>
              <w:rPr>
                <w:rFonts w:hAnsi="等线" w:hint="eastAsia"/>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2F96D797" w14:textId="77777777" w:rsidR="00885489" w:rsidRDefault="00885489" w:rsidP="00AF7038">
            <w:pPr>
              <w:pStyle w:val="biaogeright"/>
              <w:wordWrap w:val="0"/>
            </w:pPr>
            <w:r>
              <w:rPr>
                <w:rFonts w:hAnsi="等线" w:hint="eastAsia"/>
                <w:color w:val="000000"/>
              </w:rPr>
              <w:t>-</w:t>
            </w:r>
          </w:p>
        </w:tc>
      </w:tr>
      <w:tr w:rsidR="00885489" w14:paraId="65BD3178" w14:textId="77777777" w:rsidTr="00AF7038">
        <w:tc>
          <w:tcPr>
            <w:tcW w:w="1200" w:type="dxa"/>
            <w:tcBorders>
              <w:top w:val="single" w:sz="8" w:space="0" w:color="000000"/>
              <w:left w:val="single" w:sz="8" w:space="0" w:color="000000"/>
              <w:bottom w:val="single" w:sz="6" w:space="0" w:color="000000"/>
              <w:right w:val="single" w:sz="8" w:space="0" w:color="000000"/>
            </w:tcBorders>
            <w:vAlign w:val="center"/>
            <w:hideMark/>
          </w:tcPr>
          <w:p w14:paraId="5DC0E5CD" w14:textId="77777777" w:rsidR="00885489" w:rsidRDefault="00885489" w:rsidP="00AF7038">
            <w:pPr>
              <w:pStyle w:val="biaogecenter"/>
              <w:wordWrap w:val="0"/>
            </w:pPr>
            <w:r>
              <w:rPr>
                <w:rFonts w:hint="eastAsia"/>
              </w:rPr>
              <w:t>5</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4C3CD119" w14:textId="77777777" w:rsidR="00885489" w:rsidRDefault="00885489" w:rsidP="00AF7038">
            <w:pPr>
              <w:pStyle w:val="biaogeleft"/>
              <w:wordWrap w:val="0"/>
            </w:pPr>
            <w:r>
              <w:rPr>
                <w:rFonts w:hint="eastAsia"/>
              </w:rPr>
              <w:t>企业短期融资券</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542E8DF0" w14:textId="77777777" w:rsidR="00885489" w:rsidRDefault="00885489" w:rsidP="00AF7038">
            <w:pPr>
              <w:pStyle w:val="biaogeright"/>
              <w:wordWrap w:val="0"/>
            </w:pPr>
            <w:r>
              <w:rPr>
                <w:rFonts w:hAnsi="等线" w:hint="eastAsia"/>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19081292" w14:textId="77777777" w:rsidR="00885489" w:rsidRDefault="00885489" w:rsidP="00AF7038">
            <w:pPr>
              <w:pStyle w:val="biaogeright"/>
              <w:wordWrap w:val="0"/>
            </w:pPr>
            <w:r>
              <w:rPr>
                <w:rFonts w:hAnsi="等线" w:hint="eastAsia"/>
                <w:color w:val="000000"/>
              </w:rPr>
              <w:t>-</w:t>
            </w:r>
          </w:p>
        </w:tc>
      </w:tr>
      <w:tr w:rsidR="00885489" w14:paraId="3EA2448A" w14:textId="77777777" w:rsidTr="00AF7038">
        <w:tc>
          <w:tcPr>
            <w:tcW w:w="1200" w:type="dxa"/>
            <w:tcBorders>
              <w:top w:val="single" w:sz="8" w:space="0" w:color="000000"/>
              <w:left w:val="single" w:sz="8" w:space="0" w:color="000000"/>
              <w:bottom w:val="single" w:sz="6" w:space="0" w:color="000000"/>
              <w:right w:val="single" w:sz="8" w:space="0" w:color="000000"/>
            </w:tcBorders>
            <w:vAlign w:val="center"/>
            <w:hideMark/>
          </w:tcPr>
          <w:p w14:paraId="261FBEE8" w14:textId="77777777" w:rsidR="00885489" w:rsidRDefault="00885489" w:rsidP="00AF7038">
            <w:pPr>
              <w:pStyle w:val="biaogecenter"/>
              <w:wordWrap w:val="0"/>
            </w:pPr>
            <w:r>
              <w:rPr>
                <w:rFonts w:hAnsi="等线" w:hint="eastAsia"/>
                <w:color w:val="000000"/>
              </w:rPr>
              <w:t>6</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2AEB9CDB" w14:textId="77777777" w:rsidR="00885489" w:rsidRDefault="00885489" w:rsidP="00AF7038">
            <w:pPr>
              <w:pStyle w:val="biaogeleft"/>
              <w:wordWrap w:val="0"/>
            </w:pPr>
            <w:r>
              <w:rPr>
                <w:rFonts w:hint="eastAsia"/>
              </w:rPr>
              <w:t>中期票据</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2BED377B" w14:textId="77777777" w:rsidR="00885489" w:rsidRDefault="00885489" w:rsidP="00AF7038">
            <w:pPr>
              <w:pStyle w:val="biaogeright"/>
              <w:wordWrap w:val="0"/>
            </w:pPr>
            <w:r>
              <w:rPr>
                <w:rFonts w:hAnsi="等线" w:hint="eastAsia"/>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46762CD2" w14:textId="77777777" w:rsidR="00885489" w:rsidRDefault="00885489" w:rsidP="00AF7038">
            <w:pPr>
              <w:pStyle w:val="biaogeright"/>
              <w:wordWrap w:val="0"/>
            </w:pPr>
            <w:r>
              <w:rPr>
                <w:rFonts w:hAnsi="等线" w:hint="eastAsia"/>
                <w:color w:val="000000"/>
              </w:rPr>
              <w:t>-</w:t>
            </w:r>
          </w:p>
        </w:tc>
      </w:tr>
      <w:tr w:rsidR="00885489" w14:paraId="41917B6C" w14:textId="77777777" w:rsidTr="00AF7038">
        <w:tc>
          <w:tcPr>
            <w:tcW w:w="1200" w:type="dxa"/>
            <w:tcBorders>
              <w:top w:val="single" w:sz="8" w:space="0" w:color="000000"/>
              <w:left w:val="single" w:sz="8" w:space="0" w:color="000000"/>
              <w:bottom w:val="single" w:sz="6" w:space="0" w:color="000000"/>
              <w:right w:val="single" w:sz="8" w:space="0" w:color="000000"/>
            </w:tcBorders>
            <w:vAlign w:val="center"/>
            <w:hideMark/>
          </w:tcPr>
          <w:p w14:paraId="722C2A36" w14:textId="77777777" w:rsidR="00885489" w:rsidRDefault="00885489" w:rsidP="00AF7038">
            <w:pPr>
              <w:pStyle w:val="biaogecenter"/>
              <w:wordWrap w:val="0"/>
            </w:pPr>
            <w:r>
              <w:rPr>
                <w:rFonts w:hAnsi="等线" w:hint="eastAsia"/>
                <w:color w:val="000000"/>
              </w:rPr>
              <w:t>7</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235C4FC8" w14:textId="77777777" w:rsidR="00885489" w:rsidRDefault="00885489" w:rsidP="00AF7038">
            <w:pPr>
              <w:pStyle w:val="biaogeleft"/>
              <w:wordWrap w:val="0"/>
            </w:pPr>
            <w:r>
              <w:rPr>
                <w:rFonts w:hint="eastAsia"/>
              </w:rPr>
              <w:t>可转债（可交换债）</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276D705E" w14:textId="77777777" w:rsidR="00885489" w:rsidRDefault="00885489" w:rsidP="00AF7038">
            <w:pPr>
              <w:pStyle w:val="biaogeright"/>
              <w:wordWrap w:val="0"/>
            </w:pPr>
            <w:r>
              <w:rPr>
                <w:rFonts w:hAnsi="等线" w:hint="eastAsia"/>
                <w:color w:val="000000"/>
              </w:rPr>
              <w:t>276,100.00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2C7C8F48" w14:textId="77777777" w:rsidR="00885489" w:rsidRDefault="00885489" w:rsidP="00AF7038">
            <w:pPr>
              <w:pStyle w:val="biaogeright"/>
              <w:wordWrap w:val="0"/>
            </w:pPr>
            <w:r>
              <w:rPr>
                <w:rFonts w:hAnsi="等线" w:hint="eastAsia"/>
                <w:color w:val="000000"/>
              </w:rPr>
              <w:t>0.02</w:t>
            </w:r>
          </w:p>
        </w:tc>
      </w:tr>
      <w:tr w:rsidR="00885489" w14:paraId="4959D582" w14:textId="77777777" w:rsidTr="00AF7038">
        <w:tc>
          <w:tcPr>
            <w:tcW w:w="1200" w:type="dxa"/>
            <w:tcBorders>
              <w:top w:val="single" w:sz="8" w:space="0" w:color="000000"/>
              <w:left w:val="single" w:sz="8" w:space="0" w:color="000000"/>
              <w:bottom w:val="single" w:sz="6" w:space="0" w:color="000000"/>
              <w:right w:val="single" w:sz="8" w:space="0" w:color="000000"/>
            </w:tcBorders>
            <w:vAlign w:val="center"/>
            <w:hideMark/>
          </w:tcPr>
          <w:p w14:paraId="0538B5E8" w14:textId="77777777" w:rsidR="00885489" w:rsidRDefault="00885489" w:rsidP="00AF7038">
            <w:pPr>
              <w:pStyle w:val="biaogecenter"/>
              <w:wordWrap w:val="0"/>
            </w:pPr>
            <w:r>
              <w:rPr>
                <w:rFonts w:hAnsi="等线" w:hint="eastAsia"/>
                <w:color w:val="000000"/>
              </w:rPr>
              <w:t>8</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6BA72653" w14:textId="77777777" w:rsidR="00885489" w:rsidRDefault="00885489" w:rsidP="00AF7038">
            <w:pPr>
              <w:pStyle w:val="biaogeleft"/>
              <w:wordWrap w:val="0"/>
            </w:pPr>
            <w:r>
              <w:rPr>
                <w:rFonts w:hint="eastAsia"/>
              </w:rPr>
              <w:t>同业存单</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06761BF7" w14:textId="77777777" w:rsidR="00885489" w:rsidRDefault="00885489" w:rsidP="00AF7038">
            <w:pPr>
              <w:pStyle w:val="biaogeright"/>
              <w:wordWrap w:val="0"/>
            </w:pPr>
            <w:r>
              <w:rPr>
                <w:rFonts w:hAnsi="等线" w:hint="eastAsia"/>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7C1B9616" w14:textId="77777777" w:rsidR="00885489" w:rsidRDefault="00885489" w:rsidP="00AF7038">
            <w:pPr>
              <w:pStyle w:val="biaogeright"/>
              <w:wordWrap w:val="0"/>
            </w:pPr>
            <w:r>
              <w:rPr>
                <w:rFonts w:hAnsi="等线" w:hint="eastAsia"/>
                <w:color w:val="000000"/>
              </w:rPr>
              <w:t>-</w:t>
            </w:r>
          </w:p>
        </w:tc>
      </w:tr>
      <w:tr w:rsidR="00885489" w14:paraId="178802E8" w14:textId="77777777" w:rsidTr="00AF7038">
        <w:tc>
          <w:tcPr>
            <w:tcW w:w="1200" w:type="dxa"/>
            <w:tcBorders>
              <w:top w:val="single" w:sz="8" w:space="0" w:color="000000"/>
              <w:left w:val="single" w:sz="8" w:space="0" w:color="000000"/>
              <w:bottom w:val="single" w:sz="6" w:space="0" w:color="000000"/>
              <w:right w:val="single" w:sz="8" w:space="0" w:color="000000"/>
            </w:tcBorders>
            <w:vAlign w:val="center"/>
            <w:hideMark/>
          </w:tcPr>
          <w:p w14:paraId="1660BE76" w14:textId="77777777" w:rsidR="00885489" w:rsidRDefault="00885489" w:rsidP="00AF7038">
            <w:pPr>
              <w:pStyle w:val="biaogecenter"/>
              <w:wordWrap w:val="0"/>
            </w:pPr>
            <w:r>
              <w:rPr>
                <w:rFonts w:hint="eastAsia"/>
              </w:rPr>
              <w:t>9</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18776D5E" w14:textId="77777777" w:rsidR="00885489" w:rsidRDefault="00885489" w:rsidP="00AF7038">
            <w:pPr>
              <w:pStyle w:val="biaogeleft"/>
              <w:wordWrap w:val="0"/>
            </w:pPr>
            <w:r>
              <w:rPr>
                <w:rFonts w:hint="eastAsia"/>
              </w:rPr>
              <w:t>其他</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38AB60FA" w14:textId="77777777" w:rsidR="00885489" w:rsidRDefault="00885489" w:rsidP="00AF7038">
            <w:pPr>
              <w:pStyle w:val="biaogeright"/>
              <w:wordWrap w:val="0"/>
            </w:pPr>
            <w:r>
              <w:rPr>
                <w:rFonts w:hAnsi="等线" w:hint="eastAsia"/>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21B428A5" w14:textId="77777777" w:rsidR="00885489" w:rsidRDefault="00885489" w:rsidP="00AF7038">
            <w:pPr>
              <w:pStyle w:val="biaogeright"/>
              <w:wordWrap w:val="0"/>
            </w:pPr>
            <w:r>
              <w:rPr>
                <w:rFonts w:hAnsi="等线" w:hint="eastAsia"/>
                <w:color w:val="000000"/>
              </w:rPr>
              <w:t>-</w:t>
            </w:r>
          </w:p>
        </w:tc>
      </w:tr>
      <w:tr w:rsidR="00885489" w14:paraId="6015C839" w14:textId="77777777" w:rsidTr="00AF7038">
        <w:tc>
          <w:tcPr>
            <w:tcW w:w="1200" w:type="dxa"/>
            <w:tcBorders>
              <w:top w:val="single" w:sz="8" w:space="0" w:color="000000"/>
              <w:left w:val="single" w:sz="8" w:space="0" w:color="000000"/>
              <w:bottom w:val="single" w:sz="6" w:space="0" w:color="000000"/>
              <w:right w:val="single" w:sz="8" w:space="0" w:color="000000"/>
            </w:tcBorders>
            <w:vAlign w:val="center"/>
            <w:hideMark/>
          </w:tcPr>
          <w:p w14:paraId="57E44443" w14:textId="77777777" w:rsidR="00885489" w:rsidRDefault="00885489" w:rsidP="00AF7038">
            <w:pPr>
              <w:pStyle w:val="biaogecenter"/>
              <w:wordWrap w:val="0"/>
            </w:pPr>
            <w:r>
              <w:rPr>
                <w:rFonts w:hAnsi="等线" w:hint="eastAsia"/>
                <w:color w:val="000000"/>
              </w:rPr>
              <w:t>10</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6B1BB134" w14:textId="77777777" w:rsidR="00885489" w:rsidRDefault="00885489" w:rsidP="00AF7038">
            <w:pPr>
              <w:pStyle w:val="biaogeleft"/>
              <w:wordWrap w:val="0"/>
            </w:pPr>
            <w:r>
              <w:rPr>
                <w:rFonts w:hint="eastAsia"/>
              </w:rPr>
              <w:t>合计</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206A0331" w14:textId="77777777" w:rsidR="00885489" w:rsidRDefault="00885489" w:rsidP="00AF7038">
            <w:pPr>
              <w:pStyle w:val="biaogeright"/>
              <w:wordWrap w:val="0"/>
            </w:pPr>
            <w:r>
              <w:rPr>
                <w:rFonts w:hAnsi="等线" w:hint="eastAsia"/>
                <w:color w:val="000000"/>
              </w:rPr>
              <w:t>276,100.00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1E09267A" w14:textId="77777777" w:rsidR="00885489" w:rsidRDefault="00885489" w:rsidP="00AF7038">
            <w:pPr>
              <w:pStyle w:val="biaogeright"/>
              <w:wordWrap w:val="0"/>
            </w:pPr>
            <w:r>
              <w:rPr>
                <w:rFonts w:hAnsi="等线" w:hint="eastAsia"/>
                <w:color w:val="000000"/>
              </w:rPr>
              <w:t>0.02</w:t>
            </w:r>
          </w:p>
        </w:tc>
      </w:tr>
    </w:tbl>
    <w:p w14:paraId="11684278" w14:textId="77777777" w:rsidR="00885489" w:rsidRDefault="00885489">
      <w:pPr>
        <w:pStyle w:val="zhangjiep"/>
        <w:ind w:firstLineChars="200" w:firstLine="480"/>
      </w:pPr>
    </w:p>
    <w:p w14:paraId="6A424E5D" w14:textId="77777777" w:rsidR="003568C2" w:rsidRDefault="00695B03">
      <w:pPr>
        <w:pStyle w:val="zhangjiep"/>
        <w:rPr>
          <w:bCs/>
        </w:rPr>
      </w:pPr>
      <w:r>
        <w:rPr>
          <w:bCs/>
        </w:rPr>
        <w:t>5</w:t>
      </w:r>
      <w:r>
        <w:rPr>
          <w:rFonts w:hint="eastAsia"/>
          <w:bCs/>
        </w:rPr>
        <w:t>、</w:t>
      </w:r>
      <w:r>
        <w:rPr>
          <w:bCs/>
        </w:rPr>
        <w:t xml:space="preserve"> 报告期末按公允价值占基金资产净值比例大小排序的前五名债券投资明细</w:t>
      </w:r>
    </w:p>
    <w:tbl>
      <w:tblPr>
        <w:tblW w:w="9045" w:type="dxa"/>
        <w:tblInd w:w="108" w:type="dxa"/>
        <w:tblLook w:val="04A0" w:firstRow="1" w:lastRow="0" w:firstColumn="1" w:lastColumn="0" w:noHBand="0" w:noVBand="1"/>
      </w:tblPr>
      <w:tblGrid>
        <w:gridCol w:w="875"/>
        <w:gridCol w:w="1275"/>
        <w:gridCol w:w="1252"/>
        <w:gridCol w:w="1673"/>
        <w:gridCol w:w="2170"/>
        <w:gridCol w:w="1800"/>
      </w:tblGrid>
      <w:tr w:rsidR="00885489" w14:paraId="49F378DC" w14:textId="77777777" w:rsidTr="00D45D19">
        <w:tc>
          <w:tcPr>
            <w:tcW w:w="875" w:type="dxa"/>
            <w:tcBorders>
              <w:top w:val="single" w:sz="8" w:space="0" w:color="000000"/>
              <w:left w:val="single" w:sz="8" w:space="0" w:color="000000"/>
              <w:bottom w:val="single" w:sz="6" w:space="0" w:color="000000"/>
              <w:right w:val="single" w:sz="8" w:space="0" w:color="000000"/>
            </w:tcBorders>
            <w:vAlign w:val="center"/>
            <w:hideMark/>
          </w:tcPr>
          <w:p w14:paraId="3A489CA9" w14:textId="77777777" w:rsidR="00885489" w:rsidRDefault="00885489" w:rsidP="00AF7038">
            <w:pPr>
              <w:pStyle w:val="biaogecenter"/>
              <w:wordWrap w:val="0"/>
            </w:pPr>
            <w:r>
              <w:rPr>
                <w:rFonts w:hAnsi="等线" w:hint="eastAsia"/>
                <w:color w:val="000000"/>
              </w:rPr>
              <w:t>序号</w:t>
            </w:r>
          </w:p>
        </w:tc>
        <w:tc>
          <w:tcPr>
            <w:tcW w:w="1275" w:type="dxa"/>
            <w:tcBorders>
              <w:top w:val="single" w:sz="8" w:space="0" w:color="000000"/>
              <w:left w:val="single" w:sz="8" w:space="0" w:color="000000"/>
              <w:bottom w:val="single" w:sz="6" w:space="0" w:color="000000"/>
              <w:right w:val="single" w:sz="8" w:space="0" w:color="000000"/>
            </w:tcBorders>
            <w:vAlign w:val="center"/>
            <w:hideMark/>
          </w:tcPr>
          <w:p w14:paraId="0EAED830" w14:textId="77777777" w:rsidR="00885489" w:rsidRDefault="00885489" w:rsidP="00AF7038">
            <w:pPr>
              <w:pStyle w:val="biaogecenter"/>
              <w:wordWrap w:val="0"/>
            </w:pPr>
            <w:r>
              <w:rPr>
                <w:rFonts w:hAnsi="等线" w:hint="eastAsia"/>
                <w:color w:val="000000"/>
              </w:rPr>
              <w:t>债券代码</w:t>
            </w:r>
          </w:p>
        </w:tc>
        <w:tc>
          <w:tcPr>
            <w:tcW w:w="1252" w:type="dxa"/>
            <w:tcBorders>
              <w:top w:val="single" w:sz="8" w:space="0" w:color="000000"/>
              <w:left w:val="single" w:sz="8" w:space="0" w:color="000000"/>
              <w:bottom w:val="single" w:sz="6" w:space="0" w:color="000000"/>
              <w:right w:val="single" w:sz="8" w:space="0" w:color="000000"/>
            </w:tcBorders>
            <w:vAlign w:val="center"/>
            <w:hideMark/>
          </w:tcPr>
          <w:p w14:paraId="64A86647" w14:textId="77777777" w:rsidR="00885489" w:rsidRDefault="00885489" w:rsidP="00AF7038">
            <w:pPr>
              <w:pStyle w:val="biaogecenter"/>
              <w:wordWrap w:val="0"/>
            </w:pPr>
            <w:r>
              <w:rPr>
                <w:rFonts w:hAnsi="等线" w:hint="eastAsia"/>
                <w:color w:val="000000"/>
              </w:rPr>
              <w:t>债券名称</w:t>
            </w:r>
          </w:p>
        </w:tc>
        <w:tc>
          <w:tcPr>
            <w:tcW w:w="1673" w:type="dxa"/>
            <w:tcBorders>
              <w:top w:val="single" w:sz="8" w:space="0" w:color="000000"/>
              <w:left w:val="single" w:sz="8" w:space="0" w:color="000000"/>
              <w:bottom w:val="single" w:sz="6" w:space="0" w:color="000000"/>
              <w:right w:val="single" w:sz="8" w:space="0" w:color="000000"/>
            </w:tcBorders>
            <w:vAlign w:val="center"/>
            <w:hideMark/>
          </w:tcPr>
          <w:p w14:paraId="2B689E84" w14:textId="77777777" w:rsidR="00885489" w:rsidRDefault="00885489" w:rsidP="00AF7038">
            <w:pPr>
              <w:pStyle w:val="biaogecenter"/>
              <w:wordWrap w:val="0"/>
            </w:pPr>
            <w:r>
              <w:rPr>
                <w:rFonts w:hAnsi="等线" w:hint="eastAsia"/>
                <w:color w:val="000000"/>
              </w:rPr>
              <w:t>数量（张）</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6795F6EE" w14:textId="77777777" w:rsidR="00885489" w:rsidRDefault="00885489" w:rsidP="00AF7038">
            <w:pPr>
              <w:pStyle w:val="biaogecenter"/>
              <w:wordWrap w:val="0"/>
            </w:pPr>
            <w:r>
              <w:rPr>
                <w:rFonts w:hAnsi="等线" w:hint="eastAsia"/>
                <w:color w:val="000000"/>
              </w:rPr>
              <w:t>公允价值(元)</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7F2F0583" w14:textId="77777777" w:rsidR="00885489" w:rsidRDefault="00885489" w:rsidP="00AF7038">
            <w:pPr>
              <w:pStyle w:val="biaogecenter"/>
              <w:wordWrap w:val="0"/>
            </w:pPr>
            <w:r>
              <w:rPr>
                <w:rFonts w:hAnsi="等线" w:hint="eastAsia"/>
                <w:color w:val="000000"/>
              </w:rPr>
              <w:t>占基金资产净值比例（％）</w:t>
            </w:r>
          </w:p>
        </w:tc>
      </w:tr>
      <w:tr w:rsidR="00885489" w14:paraId="33CAF3D5" w14:textId="77777777" w:rsidTr="00D45D19">
        <w:tc>
          <w:tcPr>
            <w:tcW w:w="875" w:type="dxa"/>
            <w:tcBorders>
              <w:top w:val="single" w:sz="8" w:space="0" w:color="000000"/>
              <w:left w:val="single" w:sz="8" w:space="0" w:color="000000"/>
              <w:bottom w:val="single" w:sz="6" w:space="0" w:color="000000"/>
              <w:right w:val="single" w:sz="8" w:space="0" w:color="000000"/>
            </w:tcBorders>
            <w:vAlign w:val="center"/>
            <w:hideMark/>
          </w:tcPr>
          <w:p w14:paraId="1C707CF2" w14:textId="77777777" w:rsidR="00885489" w:rsidRDefault="00885489" w:rsidP="00AF7038">
            <w:pPr>
              <w:pStyle w:val="biaogecenter"/>
              <w:wordWrap w:val="0"/>
            </w:pPr>
            <w:r>
              <w:rPr>
                <w:rFonts w:hAnsi="等线" w:hint="eastAsia"/>
                <w:color w:val="000000"/>
              </w:rPr>
              <w:t>1</w:t>
            </w:r>
          </w:p>
        </w:tc>
        <w:tc>
          <w:tcPr>
            <w:tcW w:w="1275" w:type="dxa"/>
            <w:tcBorders>
              <w:top w:val="single" w:sz="8" w:space="0" w:color="000000"/>
              <w:left w:val="single" w:sz="8" w:space="0" w:color="000000"/>
              <w:bottom w:val="single" w:sz="6" w:space="0" w:color="000000"/>
              <w:right w:val="single" w:sz="8" w:space="0" w:color="000000"/>
            </w:tcBorders>
            <w:vAlign w:val="center"/>
            <w:hideMark/>
          </w:tcPr>
          <w:p w14:paraId="22760E68" w14:textId="77777777" w:rsidR="00885489" w:rsidRDefault="00885489" w:rsidP="00AF7038">
            <w:pPr>
              <w:pStyle w:val="biaogeleft"/>
              <w:wordWrap w:val="0"/>
            </w:pPr>
            <w:r>
              <w:rPr>
                <w:rFonts w:hAnsi="等线" w:hint="eastAsia"/>
                <w:color w:val="000000"/>
              </w:rPr>
              <w:t>127038</w:t>
            </w:r>
          </w:p>
        </w:tc>
        <w:tc>
          <w:tcPr>
            <w:tcW w:w="1252" w:type="dxa"/>
            <w:tcBorders>
              <w:top w:val="single" w:sz="8" w:space="0" w:color="000000"/>
              <w:left w:val="single" w:sz="8" w:space="0" w:color="000000"/>
              <w:bottom w:val="single" w:sz="6" w:space="0" w:color="000000"/>
              <w:right w:val="single" w:sz="8" w:space="0" w:color="000000"/>
            </w:tcBorders>
            <w:vAlign w:val="center"/>
            <w:hideMark/>
          </w:tcPr>
          <w:p w14:paraId="261371FE" w14:textId="77777777" w:rsidR="00885489" w:rsidRDefault="00885489" w:rsidP="00AF7038">
            <w:pPr>
              <w:pStyle w:val="biaogeleft"/>
              <w:wordWrap w:val="0"/>
            </w:pPr>
            <w:r>
              <w:rPr>
                <w:rFonts w:hAnsi="等线" w:hint="eastAsia"/>
                <w:color w:val="000000"/>
              </w:rPr>
              <w:t>国微转债</w:t>
            </w:r>
          </w:p>
        </w:tc>
        <w:tc>
          <w:tcPr>
            <w:tcW w:w="1673" w:type="dxa"/>
            <w:tcBorders>
              <w:top w:val="single" w:sz="8" w:space="0" w:color="000000"/>
              <w:left w:val="single" w:sz="8" w:space="0" w:color="000000"/>
              <w:bottom w:val="single" w:sz="6" w:space="0" w:color="000000"/>
              <w:right w:val="single" w:sz="8" w:space="0" w:color="000000"/>
            </w:tcBorders>
            <w:vAlign w:val="center"/>
            <w:hideMark/>
          </w:tcPr>
          <w:p w14:paraId="5308D851" w14:textId="77777777" w:rsidR="00885489" w:rsidRDefault="00885489" w:rsidP="00AF7038">
            <w:pPr>
              <w:pStyle w:val="biaogeright"/>
              <w:wordWrap w:val="0"/>
            </w:pPr>
            <w:r>
              <w:rPr>
                <w:rFonts w:hAnsi="等线" w:hint="eastAsia"/>
                <w:color w:val="000000"/>
              </w:rPr>
              <w:t>2,761</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155F7A5D" w14:textId="77777777" w:rsidR="00885489" w:rsidRDefault="00885489" w:rsidP="00AF7038">
            <w:pPr>
              <w:pStyle w:val="biaogeright"/>
              <w:wordWrap w:val="0"/>
            </w:pPr>
            <w:r>
              <w:rPr>
                <w:rFonts w:hAnsi="等线" w:hint="eastAsia"/>
                <w:color w:val="000000"/>
              </w:rPr>
              <w:t>276,100.00</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0AE5FA96" w14:textId="77777777" w:rsidR="00885489" w:rsidRDefault="00885489" w:rsidP="00AF7038">
            <w:pPr>
              <w:pStyle w:val="biaogeright"/>
              <w:wordWrap w:val="0"/>
            </w:pPr>
            <w:r>
              <w:rPr>
                <w:rFonts w:hAnsi="等线" w:hint="eastAsia"/>
                <w:color w:val="000000"/>
              </w:rPr>
              <w:t>0.02</w:t>
            </w:r>
          </w:p>
        </w:tc>
      </w:tr>
    </w:tbl>
    <w:p w14:paraId="643B4F81" w14:textId="77777777" w:rsidR="00885489" w:rsidRDefault="00885489" w:rsidP="00885489">
      <w:pPr>
        <w:pStyle w:val="neirong"/>
      </w:pPr>
      <w:r>
        <w:rPr>
          <w:rFonts w:hint="eastAsia"/>
        </w:rPr>
        <w:t>注：本基金本报告期末仅持有上述债券。</w:t>
      </w:r>
    </w:p>
    <w:p w14:paraId="05715FBA" w14:textId="77777777" w:rsidR="003568C2" w:rsidRDefault="003568C2">
      <w:pPr>
        <w:widowControl/>
        <w:jc w:val="left"/>
        <w:rPr>
          <w:rFonts w:ascii="宋体" w:hAnsi="宋体" w:cs="宋体"/>
          <w:kern w:val="0"/>
          <w:sz w:val="24"/>
          <w:szCs w:val="24"/>
        </w:rPr>
      </w:pPr>
    </w:p>
    <w:p w14:paraId="697211B3" w14:textId="77777777" w:rsidR="003568C2" w:rsidRDefault="00695B03">
      <w:pPr>
        <w:pStyle w:val="zhangjiep"/>
      </w:pPr>
      <w:r>
        <w:rPr>
          <w:bCs/>
        </w:rPr>
        <w:t>6</w:t>
      </w:r>
      <w:r>
        <w:rPr>
          <w:rFonts w:hint="eastAsia"/>
          <w:bCs/>
        </w:rPr>
        <w:t>、</w:t>
      </w:r>
      <w:r>
        <w:rPr>
          <w:bCs/>
        </w:rPr>
        <w:t xml:space="preserve"> 报告期末按公允价值占基金资产净值比例大小排序的前十名资产支持证券投资明细</w:t>
      </w:r>
    </w:p>
    <w:p w14:paraId="581DE388" w14:textId="77777777" w:rsidR="003568C2" w:rsidRDefault="00695B03">
      <w:pPr>
        <w:pStyle w:val="neirong"/>
        <w:ind w:leftChars="7" w:firstLineChars="100" w:firstLine="240"/>
      </w:pPr>
      <w:r>
        <w:rPr>
          <w:rFonts w:hint="eastAsia"/>
        </w:rPr>
        <w:t>本基金本报告期末未持有资产支持证券。</w:t>
      </w:r>
    </w:p>
    <w:p w14:paraId="0DAEBAA4" w14:textId="77777777" w:rsidR="003568C2" w:rsidRDefault="003568C2">
      <w:pPr>
        <w:widowControl/>
        <w:jc w:val="left"/>
        <w:rPr>
          <w:rFonts w:ascii="宋体" w:hAnsi="宋体" w:cs="宋体"/>
          <w:kern w:val="0"/>
          <w:sz w:val="24"/>
          <w:szCs w:val="24"/>
        </w:rPr>
      </w:pPr>
    </w:p>
    <w:p w14:paraId="033ADE14" w14:textId="77777777" w:rsidR="003568C2" w:rsidRDefault="00695B03">
      <w:pPr>
        <w:pStyle w:val="zhangjiep"/>
      </w:pPr>
      <w:r>
        <w:rPr>
          <w:bCs/>
        </w:rPr>
        <w:t>7</w:t>
      </w:r>
      <w:r>
        <w:rPr>
          <w:rFonts w:hint="eastAsia"/>
          <w:bCs/>
        </w:rPr>
        <w:t>、</w:t>
      </w:r>
      <w:r>
        <w:rPr>
          <w:bCs/>
        </w:rPr>
        <w:t xml:space="preserve"> 报告期末按公允价值占基金资产净值比例大小排序的前五名贵金属投资明细</w:t>
      </w:r>
    </w:p>
    <w:p w14:paraId="04665719" w14:textId="77777777" w:rsidR="003568C2" w:rsidRDefault="00695B03">
      <w:pPr>
        <w:pStyle w:val="neirong"/>
        <w:ind w:leftChars="7" w:firstLineChars="100" w:firstLine="240"/>
      </w:pPr>
      <w:r>
        <w:rPr>
          <w:rFonts w:hint="eastAsia"/>
        </w:rPr>
        <w:lastRenderedPageBreak/>
        <w:t>本基金本报告期末未持有贵金属。</w:t>
      </w:r>
    </w:p>
    <w:p w14:paraId="6528058A" w14:textId="77777777" w:rsidR="003568C2" w:rsidRDefault="003568C2">
      <w:pPr>
        <w:widowControl/>
        <w:jc w:val="left"/>
        <w:rPr>
          <w:rFonts w:ascii="宋体" w:hAnsi="宋体" w:cs="宋体"/>
          <w:kern w:val="0"/>
          <w:sz w:val="24"/>
          <w:szCs w:val="24"/>
        </w:rPr>
      </w:pPr>
    </w:p>
    <w:p w14:paraId="4B697D74" w14:textId="77777777" w:rsidR="003568C2" w:rsidRDefault="00695B03">
      <w:pPr>
        <w:pStyle w:val="zhangjiep"/>
      </w:pPr>
      <w:r>
        <w:rPr>
          <w:bCs/>
        </w:rPr>
        <w:t xml:space="preserve">8 </w:t>
      </w:r>
      <w:r>
        <w:rPr>
          <w:rFonts w:hint="eastAsia"/>
          <w:bCs/>
        </w:rPr>
        <w:t>、报告期末按公允价值占基金资产净值比例大小排序的前五名权证投资明细</w:t>
      </w:r>
    </w:p>
    <w:p w14:paraId="28FE9F23" w14:textId="77777777" w:rsidR="003568C2" w:rsidRDefault="00695B03">
      <w:pPr>
        <w:pStyle w:val="neirong"/>
        <w:ind w:leftChars="7" w:firstLineChars="100" w:firstLine="240"/>
      </w:pPr>
      <w:r>
        <w:rPr>
          <w:rFonts w:hint="eastAsia"/>
        </w:rPr>
        <w:t>本基金本报告期末未持有权证。</w:t>
      </w:r>
    </w:p>
    <w:p w14:paraId="4B2BCCF1" w14:textId="77777777" w:rsidR="003568C2" w:rsidRDefault="003568C2">
      <w:pPr>
        <w:widowControl/>
        <w:jc w:val="left"/>
        <w:rPr>
          <w:rFonts w:ascii="宋体" w:hAnsi="宋体" w:cs="宋体"/>
          <w:kern w:val="0"/>
          <w:sz w:val="24"/>
          <w:szCs w:val="24"/>
        </w:rPr>
      </w:pPr>
    </w:p>
    <w:p w14:paraId="6A622179" w14:textId="77777777" w:rsidR="003568C2" w:rsidRDefault="00695B03">
      <w:pPr>
        <w:pStyle w:val="zhangjiep"/>
      </w:pPr>
      <w:r>
        <w:rPr>
          <w:bCs/>
        </w:rPr>
        <w:t xml:space="preserve">9 </w:t>
      </w:r>
      <w:r>
        <w:rPr>
          <w:rFonts w:hint="eastAsia"/>
          <w:bCs/>
        </w:rPr>
        <w:t>、报告期末本基金投资的股指期货交易情况说明</w:t>
      </w:r>
    </w:p>
    <w:p w14:paraId="51AB1CB0" w14:textId="77777777" w:rsidR="003568C2" w:rsidRDefault="00695B03">
      <w:pPr>
        <w:pStyle w:val="zhangjiep2"/>
      </w:pPr>
      <w:r>
        <w:rPr>
          <w:rFonts w:hint="eastAsia"/>
          <w:bCs/>
        </w:rPr>
        <w:t>（1）</w:t>
      </w:r>
      <w:r>
        <w:rPr>
          <w:bCs/>
        </w:rPr>
        <w:t xml:space="preserve"> 报告期末本基金投资的股指期货持仓和损益明细</w:t>
      </w:r>
    </w:p>
    <w:p w14:paraId="2C785DD6" w14:textId="77777777" w:rsidR="003568C2" w:rsidRDefault="00695B03">
      <w:pPr>
        <w:pStyle w:val="neirong"/>
        <w:ind w:leftChars="7" w:firstLineChars="100" w:firstLine="240"/>
      </w:pPr>
      <w:r>
        <w:rPr>
          <w:rFonts w:hint="eastAsia"/>
        </w:rPr>
        <w:t>本基金本报告期末未投资股指期货。</w:t>
      </w:r>
    </w:p>
    <w:p w14:paraId="20B4A2AD" w14:textId="77777777" w:rsidR="003568C2" w:rsidRDefault="003568C2">
      <w:pPr>
        <w:widowControl/>
        <w:jc w:val="left"/>
        <w:rPr>
          <w:rFonts w:ascii="宋体" w:hAnsi="宋体" w:cs="宋体"/>
          <w:kern w:val="0"/>
          <w:sz w:val="24"/>
          <w:szCs w:val="24"/>
        </w:rPr>
      </w:pPr>
    </w:p>
    <w:p w14:paraId="4CD188B6" w14:textId="77777777" w:rsidR="003568C2" w:rsidRDefault="00695B03">
      <w:pPr>
        <w:pStyle w:val="zhangjiep2"/>
      </w:pPr>
      <w:r>
        <w:rPr>
          <w:rFonts w:hint="eastAsia"/>
          <w:bCs/>
        </w:rPr>
        <w:t>（</w:t>
      </w:r>
      <w:r>
        <w:rPr>
          <w:bCs/>
        </w:rPr>
        <w:t>2）</w:t>
      </w:r>
      <w:r>
        <w:rPr>
          <w:rFonts w:hint="eastAsia"/>
          <w:bCs/>
        </w:rPr>
        <w:t>本基金投资股指期货的投资政策</w:t>
      </w:r>
    </w:p>
    <w:p w14:paraId="1D767AFF" w14:textId="77777777" w:rsidR="003568C2" w:rsidRDefault="00695B03">
      <w:pPr>
        <w:widowControl/>
        <w:ind w:firstLineChars="100" w:firstLine="240"/>
        <w:jc w:val="left"/>
        <w:rPr>
          <w:rFonts w:ascii="宋体" w:hAnsi="宋体" w:cs="宋体"/>
          <w:kern w:val="0"/>
          <w:sz w:val="24"/>
          <w:szCs w:val="24"/>
        </w:rPr>
      </w:pPr>
      <w:r>
        <w:rPr>
          <w:rFonts w:ascii="宋体" w:hAnsi="宋体" w:cs="宋体" w:hint="eastAsia"/>
          <w:kern w:val="0"/>
          <w:sz w:val="24"/>
          <w:szCs w:val="24"/>
        </w:rPr>
        <w:t>本基金本报告期末未投资股指期货。</w:t>
      </w:r>
      <w:r>
        <w:rPr>
          <w:rFonts w:ascii="宋体" w:hAnsi="宋体" w:cs="宋体"/>
          <w:kern w:val="0"/>
          <w:sz w:val="24"/>
          <w:szCs w:val="24"/>
        </w:rPr>
        <w:t xml:space="preserve"> </w:t>
      </w:r>
    </w:p>
    <w:p w14:paraId="65594A0C" w14:textId="77777777" w:rsidR="003568C2" w:rsidRDefault="003568C2">
      <w:pPr>
        <w:widowControl/>
        <w:jc w:val="left"/>
        <w:rPr>
          <w:rFonts w:ascii="宋体" w:hAnsi="宋体" w:cs="宋体"/>
          <w:kern w:val="0"/>
          <w:sz w:val="24"/>
          <w:szCs w:val="24"/>
        </w:rPr>
      </w:pPr>
    </w:p>
    <w:p w14:paraId="2D7A9E27" w14:textId="77777777" w:rsidR="003568C2" w:rsidRDefault="00695B03">
      <w:pPr>
        <w:pStyle w:val="zhangjiep"/>
      </w:pPr>
      <w:r>
        <w:rPr>
          <w:bCs/>
        </w:rPr>
        <w:t>10</w:t>
      </w:r>
      <w:r>
        <w:rPr>
          <w:rFonts w:hint="eastAsia"/>
          <w:bCs/>
        </w:rPr>
        <w:t>、</w:t>
      </w:r>
      <w:r>
        <w:rPr>
          <w:bCs/>
        </w:rPr>
        <w:t xml:space="preserve"> 报告期末本基金投资的国债期货交易情况说明</w:t>
      </w:r>
    </w:p>
    <w:p w14:paraId="5412184E" w14:textId="77777777" w:rsidR="003568C2" w:rsidRDefault="00695B03">
      <w:pPr>
        <w:pStyle w:val="zhangjiep2"/>
      </w:pPr>
      <w:r>
        <w:rPr>
          <w:rFonts w:hint="eastAsia"/>
          <w:bCs/>
        </w:rPr>
        <w:t>（1）</w:t>
      </w:r>
      <w:r>
        <w:rPr>
          <w:bCs/>
        </w:rPr>
        <w:t xml:space="preserve"> 本期国债期货投资政策</w:t>
      </w:r>
    </w:p>
    <w:p w14:paraId="553B55E1" w14:textId="77777777" w:rsidR="003568C2" w:rsidRDefault="00695B03">
      <w:pPr>
        <w:widowControl/>
        <w:ind w:firstLineChars="100" w:firstLine="240"/>
        <w:jc w:val="left"/>
        <w:rPr>
          <w:rFonts w:ascii="宋体" w:hAnsi="宋体" w:cs="宋体"/>
          <w:kern w:val="0"/>
          <w:sz w:val="24"/>
          <w:szCs w:val="24"/>
        </w:rPr>
      </w:pPr>
      <w:r>
        <w:rPr>
          <w:rFonts w:ascii="宋体" w:hAnsi="宋体" w:cs="宋体" w:hint="eastAsia"/>
          <w:kern w:val="0"/>
          <w:sz w:val="24"/>
          <w:szCs w:val="24"/>
        </w:rPr>
        <w:t>本基金本报告期末未投资国债期货。</w:t>
      </w:r>
      <w:r>
        <w:rPr>
          <w:rFonts w:ascii="宋体" w:hAnsi="宋体" w:cs="宋体"/>
          <w:kern w:val="0"/>
          <w:sz w:val="24"/>
          <w:szCs w:val="24"/>
        </w:rPr>
        <w:t xml:space="preserve"> </w:t>
      </w:r>
    </w:p>
    <w:p w14:paraId="605A8801" w14:textId="77777777" w:rsidR="003568C2" w:rsidRDefault="003568C2">
      <w:pPr>
        <w:widowControl/>
        <w:jc w:val="left"/>
        <w:rPr>
          <w:rFonts w:ascii="宋体" w:hAnsi="宋体" w:cs="宋体"/>
          <w:kern w:val="0"/>
          <w:sz w:val="24"/>
          <w:szCs w:val="24"/>
        </w:rPr>
      </w:pPr>
    </w:p>
    <w:p w14:paraId="0C208474" w14:textId="77777777" w:rsidR="003568C2" w:rsidRDefault="00695B03">
      <w:pPr>
        <w:pStyle w:val="zhangjiep2"/>
      </w:pPr>
      <w:r>
        <w:rPr>
          <w:rFonts w:hint="eastAsia"/>
          <w:bCs/>
        </w:rPr>
        <w:t>（</w:t>
      </w:r>
      <w:r>
        <w:rPr>
          <w:bCs/>
        </w:rPr>
        <w:t>2） 报告期末本基金投资的国债期货持仓和损益明细</w:t>
      </w:r>
    </w:p>
    <w:p w14:paraId="568613CE" w14:textId="77777777" w:rsidR="003568C2" w:rsidRDefault="00695B03">
      <w:pPr>
        <w:pStyle w:val="neirong"/>
        <w:ind w:leftChars="7" w:firstLineChars="100" w:firstLine="240"/>
      </w:pPr>
      <w:r>
        <w:rPr>
          <w:rFonts w:hint="eastAsia"/>
        </w:rPr>
        <w:t>本基金本报告期末未投资国债期货。</w:t>
      </w:r>
    </w:p>
    <w:p w14:paraId="70B2B27B" w14:textId="77777777" w:rsidR="003568C2" w:rsidRDefault="003568C2">
      <w:pPr>
        <w:widowControl/>
        <w:jc w:val="left"/>
        <w:rPr>
          <w:rFonts w:ascii="宋体" w:hAnsi="宋体" w:cs="宋体"/>
          <w:kern w:val="0"/>
          <w:sz w:val="24"/>
          <w:szCs w:val="24"/>
        </w:rPr>
      </w:pPr>
    </w:p>
    <w:p w14:paraId="12760110" w14:textId="77777777" w:rsidR="003568C2" w:rsidRDefault="00695B03">
      <w:pPr>
        <w:pStyle w:val="zhangjiep2"/>
      </w:pPr>
      <w:r>
        <w:rPr>
          <w:rFonts w:hint="eastAsia"/>
          <w:bCs/>
        </w:rPr>
        <w:t>（</w:t>
      </w:r>
      <w:r>
        <w:rPr>
          <w:bCs/>
        </w:rPr>
        <w:t>3） 本期国债期货投资评价</w:t>
      </w:r>
    </w:p>
    <w:p w14:paraId="54137756" w14:textId="77777777" w:rsidR="003568C2" w:rsidRDefault="00695B03">
      <w:pPr>
        <w:widowControl/>
        <w:ind w:firstLineChars="100" w:firstLine="240"/>
        <w:jc w:val="left"/>
        <w:rPr>
          <w:rFonts w:ascii="宋体" w:hAnsi="宋体" w:cs="宋体"/>
          <w:kern w:val="0"/>
          <w:sz w:val="24"/>
          <w:szCs w:val="24"/>
        </w:rPr>
      </w:pPr>
      <w:r>
        <w:rPr>
          <w:rFonts w:ascii="宋体" w:hAnsi="宋体" w:cs="宋体" w:hint="eastAsia"/>
          <w:kern w:val="0"/>
          <w:sz w:val="24"/>
          <w:szCs w:val="24"/>
        </w:rPr>
        <w:t>本基金本报告期末未投资国债期货。</w:t>
      </w:r>
      <w:r>
        <w:rPr>
          <w:rFonts w:ascii="宋体" w:hAnsi="宋体" w:cs="宋体"/>
          <w:kern w:val="0"/>
          <w:sz w:val="24"/>
          <w:szCs w:val="24"/>
        </w:rPr>
        <w:t xml:space="preserve"> </w:t>
      </w:r>
    </w:p>
    <w:p w14:paraId="09D604BF" w14:textId="77777777" w:rsidR="003568C2" w:rsidRDefault="003568C2">
      <w:pPr>
        <w:widowControl/>
        <w:jc w:val="left"/>
        <w:rPr>
          <w:rFonts w:ascii="宋体" w:hAnsi="宋体" w:cs="宋体"/>
          <w:kern w:val="0"/>
          <w:sz w:val="24"/>
          <w:szCs w:val="24"/>
        </w:rPr>
      </w:pPr>
    </w:p>
    <w:p w14:paraId="7280D971" w14:textId="77777777" w:rsidR="003568C2" w:rsidRDefault="00695B03">
      <w:pPr>
        <w:pStyle w:val="zhangjiep"/>
      </w:pPr>
      <w:r>
        <w:rPr>
          <w:bCs/>
        </w:rPr>
        <w:t>11</w:t>
      </w:r>
      <w:r>
        <w:rPr>
          <w:rFonts w:hint="eastAsia"/>
          <w:bCs/>
        </w:rPr>
        <w:t>、</w:t>
      </w:r>
      <w:r>
        <w:rPr>
          <w:bCs/>
        </w:rPr>
        <w:t xml:space="preserve"> 投资组合报告附注</w:t>
      </w:r>
    </w:p>
    <w:p w14:paraId="70EA4FCC" w14:textId="3849DACD" w:rsidR="00885489" w:rsidRPr="00885489" w:rsidRDefault="00695B03" w:rsidP="00885489">
      <w:pPr>
        <w:pStyle w:val="zhangjiep2"/>
        <w:rPr>
          <w:bCs/>
        </w:rPr>
      </w:pPr>
      <w:r>
        <w:rPr>
          <w:rFonts w:hint="eastAsia"/>
          <w:bCs/>
        </w:rPr>
        <w:t>（1）</w:t>
      </w:r>
      <w:r w:rsidR="00727D5A" w:rsidRPr="00727D5A">
        <w:rPr>
          <w:rFonts w:hint="eastAsia"/>
          <w:bCs/>
        </w:rPr>
        <w:t>本基金投资的前十名证券的发行主体中，宁波银行股份有限公司在报告编制日前一年内曾受到交易商协会、中国银行保险监督管理委员会（含原中国银行业监督管理委员会、中国保险监督管理委员会）或其派出机构的处罚。</w:t>
      </w:r>
    </w:p>
    <w:p w14:paraId="68042A56" w14:textId="77777777" w:rsidR="00885489" w:rsidRPr="00885489" w:rsidRDefault="00885489" w:rsidP="00D45D19">
      <w:pPr>
        <w:pStyle w:val="zhangjiep2"/>
        <w:ind w:firstLineChars="200" w:firstLine="480"/>
        <w:rPr>
          <w:bCs/>
        </w:rPr>
      </w:pPr>
      <w:r w:rsidRPr="00885489">
        <w:rPr>
          <w:rFonts w:hint="eastAsia"/>
          <w:bCs/>
        </w:rPr>
        <w:t>本基金对上述主体发行的相关证券的投资决策程序符合相关法律法规及基金合同的要求。</w:t>
      </w:r>
    </w:p>
    <w:p w14:paraId="5422BDE2" w14:textId="045BB8C7" w:rsidR="003568C2" w:rsidRDefault="00885489" w:rsidP="00D45D19">
      <w:pPr>
        <w:pStyle w:val="zhangjiep2"/>
        <w:ind w:firstLineChars="200" w:firstLine="480"/>
      </w:pPr>
      <w:r w:rsidRPr="00885489">
        <w:rPr>
          <w:rFonts w:hint="eastAsia"/>
          <w:bCs/>
        </w:rPr>
        <w:t>除上述主体外，本报告期投资的其他前十名证券的发行主体没有出现被监管部门立案调查的情形，也没有出现在报告编制日前一年内受到公开谴责、处罚的情形。</w:t>
      </w:r>
    </w:p>
    <w:p w14:paraId="53DB6E6D" w14:textId="77777777" w:rsidR="003568C2" w:rsidRDefault="003568C2">
      <w:pPr>
        <w:widowControl/>
        <w:jc w:val="left"/>
        <w:rPr>
          <w:rFonts w:ascii="宋体" w:hAnsi="宋体" w:cs="宋体"/>
          <w:kern w:val="0"/>
          <w:sz w:val="24"/>
          <w:szCs w:val="24"/>
        </w:rPr>
      </w:pPr>
    </w:p>
    <w:p w14:paraId="242837F2" w14:textId="77777777" w:rsidR="003568C2" w:rsidRDefault="00695B03">
      <w:pPr>
        <w:pStyle w:val="zhangjiep2"/>
      </w:pPr>
      <w:r>
        <w:rPr>
          <w:rFonts w:hint="eastAsia"/>
          <w:bCs/>
        </w:rPr>
        <w:t>（</w:t>
      </w:r>
      <w:r>
        <w:rPr>
          <w:bCs/>
        </w:rPr>
        <w:t>2）</w:t>
      </w:r>
      <w:r>
        <w:rPr>
          <w:rFonts w:hint="eastAsia"/>
          <w:bCs/>
        </w:rPr>
        <w:t>本基金投资的前十名股票没有超出基金合同规定的备选股票库。</w:t>
      </w:r>
    </w:p>
    <w:p w14:paraId="35F70B6B" w14:textId="77777777" w:rsidR="003568C2" w:rsidRDefault="003568C2">
      <w:pPr>
        <w:widowControl/>
        <w:jc w:val="left"/>
        <w:rPr>
          <w:rFonts w:ascii="宋体" w:hAnsi="宋体" w:cs="宋体"/>
          <w:kern w:val="0"/>
          <w:sz w:val="24"/>
          <w:szCs w:val="24"/>
        </w:rPr>
      </w:pPr>
    </w:p>
    <w:p w14:paraId="617DCCCE" w14:textId="77777777" w:rsidR="003568C2" w:rsidRDefault="00695B03">
      <w:pPr>
        <w:pStyle w:val="zhangjiep2"/>
      </w:pPr>
      <w:r>
        <w:rPr>
          <w:rFonts w:hint="eastAsia"/>
          <w:bCs/>
        </w:rPr>
        <w:t>（</w:t>
      </w:r>
      <w:r>
        <w:rPr>
          <w:bCs/>
        </w:rPr>
        <w:t>3） 其他资产构成</w:t>
      </w:r>
    </w:p>
    <w:tbl>
      <w:tblPr>
        <w:tblW w:w="8364" w:type="dxa"/>
        <w:tblInd w:w="108" w:type="dxa"/>
        <w:tblLook w:val="04A0" w:firstRow="1" w:lastRow="0" w:firstColumn="1" w:lastColumn="0" w:noHBand="0" w:noVBand="1"/>
      </w:tblPr>
      <w:tblGrid>
        <w:gridCol w:w="1293"/>
        <w:gridCol w:w="3776"/>
        <w:gridCol w:w="3295"/>
      </w:tblGrid>
      <w:tr w:rsidR="003568C2" w14:paraId="465F1655" w14:textId="77777777">
        <w:tc>
          <w:tcPr>
            <w:tcW w:w="1293" w:type="dxa"/>
            <w:tcBorders>
              <w:top w:val="single" w:sz="8" w:space="0" w:color="000000"/>
              <w:left w:val="single" w:sz="8" w:space="0" w:color="000000"/>
              <w:bottom w:val="single" w:sz="6" w:space="0" w:color="000000"/>
              <w:right w:val="single" w:sz="8" w:space="0" w:color="000000"/>
            </w:tcBorders>
            <w:vAlign w:val="center"/>
          </w:tcPr>
          <w:p w14:paraId="3226D8DF" w14:textId="77777777" w:rsidR="003568C2" w:rsidRDefault="00695B03">
            <w:pPr>
              <w:pStyle w:val="biaogecenter"/>
              <w:wordWrap w:val="0"/>
              <w:rPr>
                <w:b/>
              </w:rPr>
            </w:pPr>
            <w:r>
              <w:rPr>
                <w:rFonts w:hAnsi="Calibri" w:hint="eastAsia"/>
                <w:b/>
                <w:color w:val="000000"/>
              </w:rPr>
              <w:t>序号</w:t>
            </w:r>
          </w:p>
        </w:tc>
        <w:tc>
          <w:tcPr>
            <w:tcW w:w="3776" w:type="dxa"/>
            <w:tcBorders>
              <w:top w:val="single" w:sz="8" w:space="0" w:color="000000"/>
              <w:left w:val="single" w:sz="8" w:space="0" w:color="000000"/>
              <w:bottom w:val="single" w:sz="6" w:space="0" w:color="000000"/>
              <w:right w:val="single" w:sz="8" w:space="0" w:color="000000"/>
            </w:tcBorders>
            <w:vAlign w:val="center"/>
          </w:tcPr>
          <w:p w14:paraId="175ABB48" w14:textId="77777777" w:rsidR="003568C2" w:rsidRDefault="00695B03">
            <w:pPr>
              <w:pStyle w:val="biaogecenter"/>
              <w:wordWrap w:val="0"/>
              <w:rPr>
                <w:b/>
              </w:rPr>
            </w:pPr>
            <w:r>
              <w:rPr>
                <w:rFonts w:hint="eastAsia"/>
                <w:b/>
              </w:rPr>
              <w:t>名称</w:t>
            </w:r>
          </w:p>
        </w:tc>
        <w:tc>
          <w:tcPr>
            <w:tcW w:w="3295" w:type="dxa"/>
            <w:tcBorders>
              <w:top w:val="single" w:sz="8" w:space="0" w:color="000000"/>
              <w:left w:val="single" w:sz="8" w:space="0" w:color="000000"/>
              <w:bottom w:val="single" w:sz="6" w:space="0" w:color="000000"/>
              <w:right w:val="single" w:sz="8" w:space="0" w:color="000000"/>
            </w:tcBorders>
            <w:vAlign w:val="center"/>
          </w:tcPr>
          <w:p w14:paraId="0ECF6B96" w14:textId="77777777" w:rsidR="003568C2" w:rsidRDefault="00695B03">
            <w:pPr>
              <w:pStyle w:val="biaogecenter"/>
              <w:wordWrap w:val="0"/>
              <w:rPr>
                <w:b/>
              </w:rPr>
            </w:pPr>
            <w:r>
              <w:rPr>
                <w:rFonts w:hint="eastAsia"/>
                <w:b/>
              </w:rPr>
              <w:t>金额</w:t>
            </w:r>
            <w:r>
              <w:rPr>
                <w:b/>
              </w:rPr>
              <w:t>(元)</w:t>
            </w:r>
          </w:p>
        </w:tc>
      </w:tr>
      <w:tr w:rsidR="00885489" w14:paraId="69AED64A" w14:textId="77777777">
        <w:tc>
          <w:tcPr>
            <w:tcW w:w="1293" w:type="dxa"/>
            <w:tcBorders>
              <w:top w:val="single" w:sz="8" w:space="0" w:color="000000"/>
              <w:left w:val="single" w:sz="8" w:space="0" w:color="000000"/>
              <w:bottom w:val="single" w:sz="6" w:space="0" w:color="000000"/>
              <w:right w:val="single" w:sz="8" w:space="0" w:color="000000"/>
            </w:tcBorders>
            <w:vAlign w:val="center"/>
          </w:tcPr>
          <w:p w14:paraId="48E8A79A" w14:textId="77777777" w:rsidR="00885489" w:rsidRDefault="00885489" w:rsidP="00885489">
            <w:pPr>
              <w:pStyle w:val="biaogecenter"/>
              <w:wordWrap w:val="0"/>
            </w:pPr>
            <w:r>
              <w:rPr>
                <w:rFonts w:hAnsi="Calibri" w:hint="eastAsia"/>
                <w:color w:val="000000"/>
              </w:rPr>
              <w:t>1</w:t>
            </w:r>
          </w:p>
        </w:tc>
        <w:tc>
          <w:tcPr>
            <w:tcW w:w="3776" w:type="dxa"/>
            <w:tcBorders>
              <w:top w:val="single" w:sz="8" w:space="0" w:color="000000"/>
              <w:left w:val="single" w:sz="8" w:space="0" w:color="000000"/>
              <w:bottom w:val="single" w:sz="6" w:space="0" w:color="000000"/>
              <w:right w:val="single" w:sz="8" w:space="0" w:color="000000"/>
            </w:tcBorders>
            <w:vAlign w:val="center"/>
          </w:tcPr>
          <w:p w14:paraId="207287ED" w14:textId="77777777" w:rsidR="00885489" w:rsidRDefault="00885489" w:rsidP="00885489">
            <w:pPr>
              <w:pStyle w:val="biaogeleft"/>
              <w:wordWrap w:val="0"/>
            </w:pPr>
            <w:r>
              <w:rPr>
                <w:rFonts w:hint="eastAsia"/>
              </w:rPr>
              <w:t>存出保证金</w:t>
            </w:r>
          </w:p>
        </w:tc>
        <w:tc>
          <w:tcPr>
            <w:tcW w:w="3295" w:type="dxa"/>
            <w:tcBorders>
              <w:top w:val="single" w:sz="8" w:space="0" w:color="000000"/>
              <w:left w:val="single" w:sz="8" w:space="0" w:color="000000"/>
              <w:bottom w:val="single" w:sz="6" w:space="0" w:color="000000"/>
              <w:right w:val="single" w:sz="8" w:space="0" w:color="000000"/>
            </w:tcBorders>
            <w:vAlign w:val="center"/>
          </w:tcPr>
          <w:p w14:paraId="64D565CA" w14:textId="4DCC56A6" w:rsidR="00885489" w:rsidRDefault="00885489" w:rsidP="00885489">
            <w:pPr>
              <w:pStyle w:val="biaogeright"/>
              <w:wordWrap w:val="0"/>
            </w:pPr>
            <w:r>
              <w:rPr>
                <w:rFonts w:hint="eastAsia"/>
              </w:rPr>
              <w:t>230,076.97</w:t>
            </w:r>
          </w:p>
        </w:tc>
      </w:tr>
      <w:tr w:rsidR="00885489" w14:paraId="525D20DD" w14:textId="77777777">
        <w:tc>
          <w:tcPr>
            <w:tcW w:w="1293" w:type="dxa"/>
            <w:tcBorders>
              <w:top w:val="single" w:sz="8" w:space="0" w:color="000000"/>
              <w:left w:val="single" w:sz="8" w:space="0" w:color="000000"/>
              <w:bottom w:val="single" w:sz="6" w:space="0" w:color="000000"/>
              <w:right w:val="single" w:sz="8" w:space="0" w:color="000000"/>
            </w:tcBorders>
            <w:vAlign w:val="center"/>
          </w:tcPr>
          <w:p w14:paraId="735FC1E7" w14:textId="77777777" w:rsidR="00885489" w:rsidRDefault="00885489" w:rsidP="00885489">
            <w:pPr>
              <w:pStyle w:val="biaogecenter"/>
              <w:wordWrap w:val="0"/>
            </w:pPr>
            <w:r>
              <w:rPr>
                <w:rFonts w:hAnsi="Calibri" w:hint="eastAsia"/>
                <w:color w:val="000000"/>
              </w:rPr>
              <w:lastRenderedPageBreak/>
              <w:t>2</w:t>
            </w:r>
          </w:p>
        </w:tc>
        <w:tc>
          <w:tcPr>
            <w:tcW w:w="3776" w:type="dxa"/>
            <w:tcBorders>
              <w:top w:val="single" w:sz="8" w:space="0" w:color="000000"/>
              <w:left w:val="single" w:sz="8" w:space="0" w:color="000000"/>
              <w:bottom w:val="single" w:sz="6" w:space="0" w:color="000000"/>
              <w:right w:val="single" w:sz="8" w:space="0" w:color="000000"/>
            </w:tcBorders>
            <w:vAlign w:val="center"/>
          </w:tcPr>
          <w:p w14:paraId="3B9E9FC6" w14:textId="77777777" w:rsidR="00885489" w:rsidRDefault="00885489" w:rsidP="00885489">
            <w:pPr>
              <w:pStyle w:val="biaogeleft"/>
              <w:wordWrap w:val="0"/>
            </w:pPr>
            <w:r>
              <w:rPr>
                <w:rFonts w:hint="eastAsia"/>
              </w:rPr>
              <w:t>应收证券清算款</w:t>
            </w:r>
          </w:p>
        </w:tc>
        <w:tc>
          <w:tcPr>
            <w:tcW w:w="3295" w:type="dxa"/>
            <w:tcBorders>
              <w:top w:val="single" w:sz="8" w:space="0" w:color="000000"/>
              <w:left w:val="single" w:sz="8" w:space="0" w:color="000000"/>
              <w:bottom w:val="single" w:sz="6" w:space="0" w:color="000000"/>
              <w:right w:val="single" w:sz="8" w:space="0" w:color="000000"/>
            </w:tcBorders>
            <w:vAlign w:val="center"/>
          </w:tcPr>
          <w:p w14:paraId="4F643549" w14:textId="33250C86" w:rsidR="00885489" w:rsidRDefault="00885489" w:rsidP="00885489">
            <w:pPr>
              <w:pStyle w:val="biaogeright"/>
              <w:wordWrap w:val="0"/>
            </w:pPr>
            <w:r w:rsidRPr="00CA09AF">
              <w:rPr>
                <w:rFonts w:hint="eastAsia"/>
              </w:rPr>
              <w:t>81,488,458.59</w:t>
            </w:r>
          </w:p>
        </w:tc>
      </w:tr>
      <w:tr w:rsidR="00885489" w14:paraId="75AE0BB5" w14:textId="77777777">
        <w:tc>
          <w:tcPr>
            <w:tcW w:w="1293" w:type="dxa"/>
            <w:tcBorders>
              <w:top w:val="single" w:sz="8" w:space="0" w:color="000000"/>
              <w:left w:val="single" w:sz="8" w:space="0" w:color="000000"/>
              <w:bottom w:val="single" w:sz="6" w:space="0" w:color="000000"/>
              <w:right w:val="single" w:sz="8" w:space="0" w:color="000000"/>
            </w:tcBorders>
            <w:vAlign w:val="center"/>
          </w:tcPr>
          <w:p w14:paraId="59C294FA" w14:textId="77777777" w:rsidR="00885489" w:rsidRDefault="00885489" w:rsidP="00885489">
            <w:pPr>
              <w:pStyle w:val="biaogecenter"/>
              <w:wordWrap w:val="0"/>
            </w:pPr>
            <w:r>
              <w:rPr>
                <w:rFonts w:hAnsi="Calibri" w:hint="eastAsia"/>
                <w:color w:val="000000"/>
              </w:rPr>
              <w:t>3</w:t>
            </w:r>
          </w:p>
        </w:tc>
        <w:tc>
          <w:tcPr>
            <w:tcW w:w="3776" w:type="dxa"/>
            <w:tcBorders>
              <w:top w:val="single" w:sz="8" w:space="0" w:color="000000"/>
              <w:left w:val="single" w:sz="8" w:space="0" w:color="000000"/>
              <w:bottom w:val="single" w:sz="6" w:space="0" w:color="000000"/>
              <w:right w:val="single" w:sz="8" w:space="0" w:color="000000"/>
            </w:tcBorders>
            <w:vAlign w:val="center"/>
          </w:tcPr>
          <w:p w14:paraId="18DA1ABB" w14:textId="77777777" w:rsidR="00885489" w:rsidRDefault="00885489" w:rsidP="00885489">
            <w:pPr>
              <w:pStyle w:val="biaogeleft"/>
              <w:wordWrap w:val="0"/>
            </w:pPr>
            <w:r>
              <w:rPr>
                <w:rFonts w:hint="eastAsia"/>
              </w:rPr>
              <w:t>应收股利</w:t>
            </w:r>
          </w:p>
        </w:tc>
        <w:tc>
          <w:tcPr>
            <w:tcW w:w="3295" w:type="dxa"/>
            <w:tcBorders>
              <w:top w:val="single" w:sz="8" w:space="0" w:color="000000"/>
              <w:left w:val="single" w:sz="8" w:space="0" w:color="000000"/>
              <w:bottom w:val="single" w:sz="6" w:space="0" w:color="000000"/>
              <w:right w:val="single" w:sz="8" w:space="0" w:color="000000"/>
            </w:tcBorders>
            <w:vAlign w:val="center"/>
          </w:tcPr>
          <w:p w14:paraId="02403E98" w14:textId="2F5E51F0" w:rsidR="00885489" w:rsidRDefault="00885489" w:rsidP="00885489">
            <w:pPr>
              <w:pStyle w:val="biaogeright"/>
              <w:wordWrap w:val="0"/>
            </w:pPr>
            <w:r>
              <w:rPr>
                <w:rFonts w:hint="eastAsia"/>
              </w:rPr>
              <w:t>-</w:t>
            </w:r>
          </w:p>
        </w:tc>
      </w:tr>
      <w:tr w:rsidR="00885489" w14:paraId="61B725B2" w14:textId="77777777">
        <w:tc>
          <w:tcPr>
            <w:tcW w:w="1293" w:type="dxa"/>
            <w:tcBorders>
              <w:top w:val="single" w:sz="8" w:space="0" w:color="000000"/>
              <w:left w:val="single" w:sz="8" w:space="0" w:color="000000"/>
              <w:bottom w:val="single" w:sz="6" w:space="0" w:color="000000"/>
              <w:right w:val="single" w:sz="8" w:space="0" w:color="000000"/>
            </w:tcBorders>
            <w:vAlign w:val="center"/>
          </w:tcPr>
          <w:p w14:paraId="31040B54" w14:textId="77777777" w:rsidR="00885489" w:rsidRDefault="00885489" w:rsidP="00885489">
            <w:pPr>
              <w:pStyle w:val="biaogecenter"/>
              <w:wordWrap w:val="0"/>
            </w:pPr>
            <w:r>
              <w:rPr>
                <w:rFonts w:hAnsi="Calibri" w:hint="eastAsia"/>
                <w:color w:val="000000"/>
              </w:rPr>
              <w:t>4</w:t>
            </w:r>
          </w:p>
        </w:tc>
        <w:tc>
          <w:tcPr>
            <w:tcW w:w="3776" w:type="dxa"/>
            <w:tcBorders>
              <w:top w:val="single" w:sz="8" w:space="0" w:color="000000"/>
              <w:left w:val="single" w:sz="8" w:space="0" w:color="000000"/>
              <w:bottom w:val="single" w:sz="6" w:space="0" w:color="000000"/>
              <w:right w:val="single" w:sz="8" w:space="0" w:color="000000"/>
            </w:tcBorders>
            <w:vAlign w:val="center"/>
          </w:tcPr>
          <w:p w14:paraId="03336791" w14:textId="77777777" w:rsidR="00885489" w:rsidRDefault="00885489" w:rsidP="00885489">
            <w:pPr>
              <w:pStyle w:val="biaogeleft"/>
              <w:wordWrap w:val="0"/>
            </w:pPr>
            <w:r>
              <w:rPr>
                <w:rFonts w:hint="eastAsia"/>
              </w:rPr>
              <w:t>应收利息</w:t>
            </w:r>
          </w:p>
        </w:tc>
        <w:tc>
          <w:tcPr>
            <w:tcW w:w="3295" w:type="dxa"/>
            <w:tcBorders>
              <w:top w:val="single" w:sz="8" w:space="0" w:color="000000"/>
              <w:left w:val="single" w:sz="8" w:space="0" w:color="000000"/>
              <w:bottom w:val="single" w:sz="6" w:space="0" w:color="000000"/>
              <w:right w:val="single" w:sz="8" w:space="0" w:color="000000"/>
            </w:tcBorders>
            <w:vAlign w:val="center"/>
          </w:tcPr>
          <w:p w14:paraId="6618D52E" w14:textId="507A352F" w:rsidR="00885489" w:rsidRDefault="00885489" w:rsidP="00885489">
            <w:pPr>
              <w:pStyle w:val="biaogeright"/>
              <w:wordWrap w:val="0"/>
            </w:pPr>
            <w:r>
              <w:rPr>
                <w:rFonts w:hint="eastAsia"/>
              </w:rPr>
              <w:t>24,038.71</w:t>
            </w:r>
          </w:p>
        </w:tc>
      </w:tr>
      <w:tr w:rsidR="00885489" w14:paraId="18AFF652" w14:textId="77777777">
        <w:tc>
          <w:tcPr>
            <w:tcW w:w="1293" w:type="dxa"/>
            <w:tcBorders>
              <w:top w:val="single" w:sz="8" w:space="0" w:color="000000"/>
              <w:left w:val="single" w:sz="8" w:space="0" w:color="000000"/>
              <w:bottom w:val="single" w:sz="6" w:space="0" w:color="000000"/>
              <w:right w:val="single" w:sz="8" w:space="0" w:color="000000"/>
            </w:tcBorders>
            <w:vAlign w:val="center"/>
          </w:tcPr>
          <w:p w14:paraId="4A2E024B" w14:textId="77777777" w:rsidR="00885489" w:rsidRDefault="00885489" w:rsidP="00885489">
            <w:pPr>
              <w:pStyle w:val="biaogecenter"/>
              <w:wordWrap w:val="0"/>
            </w:pPr>
            <w:r>
              <w:rPr>
                <w:rFonts w:hAnsi="Calibri" w:hint="eastAsia"/>
                <w:color w:val="000000"/>
              </w:rPr>
              <w:t>5</w:t>
            </w:r>
          </w:p>
        </w:tc>
        <w:tc>
          <w:tcPr>
            <w:tcW w:w="3776" w:type="dxa"/>
            <w:tcBorders>
              <w:top w:val="single" w:sz="8" w:space="0" w:color="000000"/>
              <w:left w:val="single" w:sz="8" w:space="0" w:color="000000"/>
              <w:bottom w:val="single" w:sz="6" w:space="0" w:color="000000"/>
              <w:right w:val="single" w:sz="8" w:space="0" w:color="000000"/>
            </w:tcBorders>
            <w:vAlign w:val="center"/>
          </w:tcPr>
          <w:p w14:paraId="621ACEE9" w14:textId="77777777" w:rsidR="00885489" w:rsidRDefault="00885489" w:rsidP="00885489">
            <w:pPr>
              <w:pStyle w:val="biaogeleft"/>
              <w:wordWrap w:val="0"/>
            </w:pPr>
            <w:r>
              <w:rPr>
                <w:rFonts w:hint="eastAsia"/>
              </w:rPr>
              <w:t>应收申购款</w:t>
            </w:r>
          </w:p>
        </w:tc>
        <w:tc>
          <w:tcPr>
            <w:tcW w:w="3295" w:type="dxa"/>
            <w:tcBorders>
              <w:top w:val="single" w:sz="8" w:space="0" w:color="000000"/>
              <w:left w:val="single" w:sz="8" w:space="0" w:color="000000"/>
              <w:bottom w:val="single" w:sz="6" w:space="0" w:color="000000"/>
              <w:right w:val="single" w:sz="8" w:space="0" w:color="000000"/>
            </w:tcBorders>
            <w:vAlign w:val="center"/>
          </w:tcPr>
          <w:p w14:paraId="3980AE6A" w14:textId="7B573379" w:rsidR="00885489" w:rsidRDefault="00885489" w:rsidP="00885489">
            <w:pPr>
              <w:pStyle w:val="biaogeright"/>
              <w:wordWrap w:val="0"/>
            </w:pPr>
            <w:r>
              <w:rPr>
                <w:rFonts w:hint="eastAsia"/>
              </w:rPr>
              <w:t>13,498,393.34</w:t>
            </w:r>
          </w:p>
        </w:tc>
      </w:tr>
      <w:tr w:rsidR="00885489" w14:paraId="41678EFD" w14:textId="77777777">
        <w:tc>
          <w:tcPr>
            <w:tcW w:w="1293" w:type="dxa"/>
            <w:tcBorders>
              <w:top w:val="single" w:sz="8" w:space="0" w:color="000000"/>
              <w:left w:val="single" w:sz="8" w:space="0" w:color="000000"/>
              <w:bottom w:val="single" w:sz="6" w:space="0" w:color="000000"/>
              <w:right w:val="single" w:sz="8" w:space="0" w:color="000000"/>
            </w:tcBorders>
            <w:vAlign w:val="center"/>
          </w:tcPr>
          <w:p w14:paraId="31896B27" w14:textId="77777777" w:rsidR="00885489" w:rsidRDefault="00885489" w:rsidP="00885489">
            <w:pPr>
              <w:pStyle w:val="biaogecenter"/>
              <w:wordWrap w:val="0"/>
            </w:pPr>
            <w:r>
              <w:rPr>
                <w:rFonts w:hAnsi="Calibri" w:hint="eastAsia"/>
                <w:color w:val="000000"/>
              </w:rPr>
              <w:t>6</w:t>
            </w:r>
          </w:p>
        </w:tc>
        <w:tc>
          <w:tcPr>
            <w:tcW w:w="3776" w:type="dxa"/>
            <w:tcBorders>
              <w:top w:val="single" w:sz="8" w:space="0" w:color="000000"/>
              <w:left w:val="single" w:sz="8" w:space="0" w:color="000000"/>
              <w:bottom w:val="single" w:sz="6" w:space="0" w:color="000000"/>
              <w:right w:val="single" w:sz="8" w:space="0" w:color="000000"/>
            </w:tcBorders>
            <w:vAlign w:val="center"/>
          </w:tcPr>
          <w:p w14:paraId="7FE075F4" w14:textId="77777777" w:rsidR="00885489" w:rsidRDefault="00885489" w:rsidP="00885489">
            <w:pPr>
              <w:pStyle w:val="biaogeleft"/>
              <w:wordWrap w:val="0"/>
            </w:pPr>
            <w:r>
              <w:rPr>
                <w:rFonts w:hint="eastAsia"/>
              </w:rPr>
              <w:t>其他应收款</w:t>
            </w:r>
          </w:p>
        </w:tc>
        <w:tc>
          <w:tcPr>
            <w:tcW w:w="3295" w:type="dxa"/>
            <w:tcBorders>
              <w:top w:val="single" w:sz="8" w:space="0" w:color="000000"/>
              <w:left w:val="single" w:sz="8" w:space="0" w:color="000000"/>
              <w:bottom w:val="single" w:sz="6" w:space="0" w:color="000000"/>
              <w:right w:val="single" w:sz="8" w:space="0" w:color="000000"/>
            </w:tcBorders>
            <w:vAlign w:val="center"/>
          </w:tcPr>
          <w:p w14:paraId="611A1A15" w14:textId="5B5E9C45" w:rsidR="00885489" w:rsidRDefault="00885489" w:rsidP="00885489">
            <w:pPr>
              <w:pStyle w:val="biaogeright"/>
              <w:wordWrap w:val="0"/>
            </w:pPr>
            <w:r>
              <w:rPr>
                <w:rFonts w:hint="eastAsia"/>
              </w:rPr>
              <w:t>-</w:t>
            </w:r>
          </w:p>
        </w:tc>
      </w:tr>
      <w:tr w:rsidR="00885489" w14:paraId="02FAB10E" w14:textId="77777777">
        <w:tc>
          <w:tcPr>
            <w:tcW w:w="1293" w:type="dxa"/>
            <w:tcBorders>
              <w:top w:val="single" w:sz="8" w:space="0" w:color="000000"/>
              <w:left w:val="single" w:sz="8" w:space="0" w:color="000000"/>
              <w:bottom w:val="single" w:sz="6" w:space="0" w:color="000000"/>
              <w:right w:val="single" w:sz="8" w:space="0" w:color="000000"/>
            </w:tcBorders>
            <w:vAlign w:val="center"/>
          </w:tcPr>
          <w:p w14:paraId="3CE56750" w14:textId="77777777" w:rsidR="00885489" w:rsidRDefault="00885489" w:rsidP="00885489">
            <w:pPr>
              <w:pStyle w:val="biaogecenter"/>
              <w:wordWrap w:val="0"/>
            </w:pPr>
            <w:r>
              <w:rPr>
                <w:rFonts w:hAnsi="Calibri" w:hint="eastAsia"/>
                <w:color w:val="000000"/>
              </w:rPr>
              <w:t>7</w:t>
            </w:r>
          </w:p>
        </w:tc>
        <w:tc>
          <w:tcPr>
            <w:tcW w:w="3776" w:type="dxa"/>
            <w:tcBorders>
              <w:top w:val="single" w:sz="8" w:space="0" w:color="000000"/>
              <w:left w:val="single" w:sz="8" w:space="0" w:color="000000"/>
              <w:bottom w:val="single" w:sz="6" w:space="0" w:color="000000"/>
              <w:right w:val="single" w:sz="8" w:space="0" w:color="000000"/>
            </w:tcBorders>
            <w:vAlign w:val="center"/>
          </w:tcPr>
          <w:p w14:paraId="47B93504" w14:textId="77777777" w:rsidR="00885489" w:rsidRDefault="00885489" w:rsidP="00885489">
            <w:pPr>
              <w:pStyle w:val="biaogeleft"/>
              <w:wordWrap w:val="0"/>
            </w:pPr>
            <w:r>
              <w:rPr>
                <w:rFonts w:hint="eastAsia"/>
              </w:rPr>
              <w:t>其他</w:t>
            </w:r>
          </w:p>
        </w:tc>
        <w:tc>
          <w:tcPr>
            <w:tcW w:w="3295" w:type="dxa"/>
            <w:tcBorders>
              <w:top w:val="single" w:sz="8" w:space="0" w:color="000000"/>
              <w:left w:val="single" w:sz="8" w:space="0" w:color="000000"/>
              <w:bottom w:val="single" w:sz="6" w:space="0" w:color="000000"/>
              <w:right w:val="single" w:sz="8" w:space="0" w:color="000000"/>
            </w:tcBorders>
            <w:vAlign w:val="center"/>
          </w:tcPr>
          <w:p w14:paraId="2733A2D6" w14:textId="579DF1E2" w:rsidR="00885489" w:rsidRDefault="00885489" w:rsidP="00885489">
            <w:pPr>
              <w:pStyle w:val="biaogeright"/>
              <w:wordWrap w:val="0"/>
            </w:pPr>
            <w:r>
              <w:rPr>
                <w:rFonts w:hint="eastAsia"/>
              </w:rPr>
              <w:t>-</w:t>
            </w:r>
          </w:p>
        </w:tc>
      </w:tr>
      <w:tr w:rsidR="00885489" w14:paraId="54FA8589" w14:textId="77777777">
        <w:tc>
          <w:tcPr>
            <w:tcW w:w="1293" w:type="dxa"/>
            <w:tcBorders>
              <w:top w:val="single" w:sz="8" w:space="0" w:color="000000"/>
              <w:left w:val="single" w:sz="8" w:space="0" w:color="000000"/>
              <w:bottom w:val="single" w:sz="6" w:space="0" w:color="000000"/>
              <w:right w:val="single" w:sz="8" w:space="0" w:color="000000"/>
            </w:tcBorders>
            <w:vAlign w:val="center"/>
          </w:tcPr>
          <w:p w14:paraId="66671A3C" w14:textId="77777777" w:rsidR="00885489" w:rsidRDefault="00885489" w:rsidP="00885489">
            <w:pPr>
              <w:pStyle w:val="biaogecenter"/>
              <w:wordWrap w:val="0"/>
            </w:pPr>
            <w:r>
              <w:rPr>
                <w:rFonts w:hAnsi="Calibri" w:hint="eastAsia"/>
                <w:color w:val="000000"/>
              </w:rPr>
              <w:t>8</w:t>
            </w:r>
          </w:p>
        </w:tc>
        <w:tc>
          <w:tcPr>
            <w:tcW w:w="3776" w:type="dxa"/>
            <w:tcBorders>
              <w:top w:val="single" w:sz="8" w:space="0" w:color="000000"/>
              <w:left w:val="single" w:sz="8" w:space="0" w:color="000000"/>
              <w:bottom w:val="single" w:sz="6" w:space="0" w:color="000000"/>
              <w:right w:val="single" w:sz="8" w:space="0" w:color="000000"/>
            </w:tcBorders>
            <w:vAlign w:val="center"/>
          </w:tcPr>
          <w:p w14:paraId="1C6659D3" w14:textId="77777777" w:rsidR="00885489" w:rsidRDefault="00885489" w:rsidP="00885489">
            <w:pPr>
              <w:pStyle w:val="biaogeleft"/>
              <w:wordWrap w:val="0"/>
            </w:pPr>
            <w:r>
              <w:rPr>
                <w:rFonts w:hint="eastAsia"/>
              </w:rPr>
              <w:t>合计</w:t>
            </w:r>
          </w:p>
        </w:tc>
        <w:tc>
          <w:tcPr>
            <w:tcW w:w="3295" w:type="dxa"/>
            <w:tcBorders>
              <w:top w:val="single" w:sz="8" w:space="0" w:color="000000"/>
              <w:left w:val="single" w:sz="8" w:space="0" w:color="000000"/>
              <w:bottom w:val="single" w:sz="6" w:space="0" w:color="000000"/>
              <w:right w:val="single" w:sz="8" w:space="0" w:color="000000"/>
            </w:tcBorders>
            <w:vAlign w:val="center"/>
          </w:tcPr>
          <w:p w14:paraId="1D90BEF5" w14:textId="61555DBD" w:rsidR="00885489" w:rsidRDefault="00885489" w:rsidP="00885489">
            <w:pPr>
              <w:pStyle w:val="biaogeright"/>
              <w:wordWrap w:val="0"/>
            </w:pPr>
            <w:r>
              <w:rPr>
                <w:rFonts w:hint="eastAsia"/>
              </w:rPr>
              <w:t>95,240,967.61</w:t>
            </w:r>
          </w:p>
        </w:tc>
      </w:tr>
    </w:tbl>
    <w:p w14:paraId="29E1AC04" w14:textId="77777777" w:rsidR="003568C2" w:rsidRDefault="003568C2">
      <w:pPr>
        <w:widowControl/>
        <w:jc w:val="left"/>
        <w:rPr>
          <w:rFonts w:ascii="宋体" w:hAnsi="宋体" w:cs="宋体"/>
          <w:kern w:val="0"/>
          <w:sz w:val="24"/>
          <w:szCs w:val="24"/>
        </w:rPr>
      </w:pPr>
    </w:p>
    <w:p w14:paraId="5190E7B9" w14:textId="77777777" w:rsidR="003568C2" w:rsidRDefault="00695B03">
      <w:pPr>
        <w:pStyle w:val="zhangjiep2"/>
      </w:pPr>
      <w:r>
        <w:rPr>
          <w:rFonts w:hint="eastAsia"/>
          <w:bCs/>
        </w:rPr>
        <w:t>（</w:t>
      </w:r>
      <w:r>
        <w:rPr>
          <w:bCs/>
        </w:rPr>
        <w:t>4）</w:t>
      </w:r>
      <w:r>
        <w:rPr>
          <w:rFonts w:hint="eastAsia"/>
          <w:bCs/>
        </w:rPr>
        <w:t>报告期末持有的处于转股期的可转换债券明细</w:t>
      </w:r>
    </w:p>
    <w:p w14:paraId="3F168EFB" w14:textId="77777777" w:rsidR="003568C2" w:rsidRDefault="00695B03">
      <w:pPr>
        <w:pStyle w:val="neirong"/>
        <w:ind w:leftChars="7" w:firstLineChars="100" w:firstLine="240"/>
      </w:pPr>
      <w:r>
        <w:rPr>
          <w:rFonts w:hint="eastAsia"/>
        </w:rPr>
        <w:t>本基金本报告期末未持有处于转股期的可转换债券。</w:t>
      </w:r>
    </w:p>
    <w:p w14:paraId="5F7806CD" w14:textId="77777777" w:rsidR="003568C2" w:rsidRDefault="003568C2">
      <w:pPr>
        <w:widowControl/>
        <w:jc w:val="left"/>
        <w:rPr>
          <w:rFonts w:ascii="宋体" w:hAnsi="宋体" w:cs="宋体"/>
          <w:kern w:val="0"/>
          <w:sz w:val="24"/>
          <w:szCs w:val="24"/>
        </w:rPr>
      </w:pPr>
    </w:p>
    <w:p w14:paraId="1AA9DB97" w14:textId="77777777" w:rsidR="003568C2" w:rsidRDefault="00695B03">
      <w:pPr>
        <w:pStyle w:val="zhangjiep2"/>
        <w:rPr>
          <w:bCs/>
        </w:rPr>
      </w:pPr>
      <w:r>
        <w:rPr>
          <w:rFonts w:hint="eastAsia"/>
          <w:bCs/>
        </w:rPr>
        <w:t>（</w:t>
      </w:r>
      <w:r>
        <w:rPr>
          <w:bCs/>
        </w:rPr>
        <w:t>5）报告</w:t>
      </w:r>
      <w:r>
        <w:rPr>
          <w:rFonts w:hint="eastAsia"/>
          <w:bCs/>
        </w:rPr>
        <w:t>期末前十名股票中存在流通受限情况的说明</w:t>
      </w:r>
    </w:p>
    <w:p w14:paraId="0159DFAA" w14:textId="77777777" w:rsidR="003568C2" w:rsidRDefault="003568C2">
      <w:pPr>
        <w:pStyle w:val="zhangjiep2"/>
      </w:pPr>
    </w:p>
    <w:p w14:paraId="6FE62BE3" w14:textId="77777777" w:rsidR="003568C2" w:rsidRDefault="00695B03">
      <w:pPr>
        <w:pStyle w:val="zhangjiep2"/>
        <w:ind w:firstLineChars="100" w:firstLine="240"/>
      </w:pPr>
      <w:r>
        <w:rPr>
          <w:bCs/>
        </w:rPr>
        <w:fldChar w:fldCharType="begin"/>
      </w:r>
      <w:r>
        <w:rPr>
          <w:bCs/>
        </w:rPr>
        <w:instrText xml:space="preserve"> </w:instrText>
      </w:r>
      <w:r>
        <w:rPr>
          <w:rFonts w:hint="eastAsia"/>
          <w:bCs/>
        </w:rPr>
        <w:instrText>= 1 \* GB3</w:instrText>
      </w:r>
      <w:r>
        <w:rPr>
          <w:bCs/>
        </w:rPr>
        <w:instrText xml:space="preserve"> </w:instrText>
      </w:r>
      <w:r>
        <w:rPr>
          <w:bCs/>
        </w:rPr>
        <w:fldChar w:fldCharType="separate"/>
      </w:r>
      <w:r>
        <w:rPr>
          <w:rFonts w:hint="eastAsia"/>
          <w:bCs/>
        </w:rPr>
        <w:t>①</w:t>
      </w:r>
      <w:r>
        <w:rPr>
          <w:bCs/>
        </w:rPr>
        <w:fldChar w:fldCharType="end"/>
      </w:r>
      <w:r>
        <w:rPr>
          <w:rFonts w:hint="eastAsia"/>
          <w:bCs/>
        </w:rPr>
        <w:t>期末指数投资前十名股票中存在流通受限情况的说明</w:t>
      </w:r>
    </w:p>
    <w:p w14:paraId="618AFCC0" w14:textId="6F8784E7" w:rsidR="00885489" w:rsidRDefault="00885489" w:rsidP="00D45D19">
      <w:pPr>
        <w:pStyle w:val="neirong"/>
        <w:ind w:left="0" w:firstLineChars="100" w:firstLine="240"/>
      </w:pPr>
      <w:r w:rsidRPr="00641E08">
        <w:rPr>
          <w:rFonts w:hint="eastAsia"/>
        </w:rPr>
        <w:t>本基金本报告期末指数投资前十名股票中不存在流通受限股票。</w:t>
      </w:r>
    </w:p>
    <w:p w14:paraId="4FFCC5DD" w14:textId="77777777" w:rsidR="003568C2" w:rsidRDefault="003568C2" w:rsidP="00D45D19">
      <w:pPr>
        <w:widowControl/>
        <w:ind w:firstLineChars="100" w:firstLine="240"/>
        <w:jc w:val="left"/>
        <w:rPr>
          <w:rFonts w:ascii="宋体" w:hAnsi="宋体" w:cs="宋体"/>
          <w:kern w:val="0"/>
          <w:sz w:val="24"/>
          <w:szCs w:val="24"/>
        </w:rPr>
      </w:pPr>
    </w:p>
    <w:p w14:paraId="2F3F8D2C" w14:textId="77777777" w:rsidR="003568C2" w:rsidRDefault="00695B03">
      <w:pPr>
        <w:pStyle w:val="zhangjiep2"/>
        <w:ind w:firstLineChars="100" w:firstLine="240"/>
      </w:pPr>
      <w:r>
        <w:rPr>
          <w:bCs/>
        </w:rPr>
        <w:fldChar w:fldCharType="begin"/>
      </w:r>
      <w:r>
        <w:rPr>
          <w:bCs/>
        </w:rPr>
        <w:instrText xml:space="preserve"> </w:instrText>
      </w:r>
      <w:r>
        <w:rPr>
          <w:rFonts w:hint="eastAsia"/>
          <w:bCs/>
        </w:rPr>
        <w:instrText>= 2 \* GB3</w:instrText>
      </w:r>
      <w:r>
        <w:rPr>
          <w:bCs/>
        </w:rPr>
        <w:instrText xml:space="preserve"> </w:instrText>
      </w:r>
      <w:r>
        <w:rPr>
          <w:bCs/>
        </w:rPr>
        <w:fldChar w:fldCharType="separate"/>
      </w:r>
      <w:r>
        <w:rPr>
          <w:rFonts w:hint="eastAsia"/>
          <w:bCs/>
        </w:rPr>
        <w:t>②</w:t>
      </w:r>
      <w:r>
        <w:rPr>
          <w:bCs/>
        </w:rPr>
        <w:fldChar w:fldCharType="end"/>
      </w:r>
      <w:r>
        <w:rPr>
          <w:rFonts w:hint="eastAsia"/>
          <w:bCs/>
        </w:rPr>
        <w:t>期末积极投资前五名股票中存在流通受限情况的说明</w:t>
      </w:r>
    </w:p>
    <w:p w14:paraId="2F64EB54" w14:textId="77777777" w:rsidR="00885489" w:rsidRDefault="00885489" w:rsidP="00885489">
      <w:pPr>
        <w:pStyle w:val="biaogeright"/>
      </w:pPr>
      <w:r>
        <w:rPr>
          <w:rFonts w:hAnsi="等线" w:hint="eastAsia"/>
          <w:color w:val="000000"/>
        </w:rPr>
        <w:t>金额单位：人民币元</w:t>
      </w:r>
    </w:p>
    <w:tbl>
      <w:tblPr>
        <w:tblW w:w="0" w:type="auto"/>
        <w:tblInd w:w="108" w:type="dxa"/>
        <w:tblLook w:val="04A0" w:firstRow="1" w:lastRow="0" w:firstColumn="1" w:lastColumn="0" w:noHBand="0" w:noVBand="1"/>
      </w:tblPr>
      <w:tblGrid>
        <w:gridCol w:w="471"/>
        <w:gridCol w:w="1259"/>
        <w:gridCol w:w="1276"/>
        <w:gridCol w:w="1701"/>
        <w:gridCol w:w="1843"/>
        <w:gridCol w:w="1633"/>
      </w:tblGrid>
      <w:tr w:rsidR="00351F7C" w14:paraId="140D063A" w14:textId="77777777" w:rsidTr="00D45D19">
        <w:tc>
          <w:tcPr>
            <w:tcW w:w="466" w:type="dxa"/>
            <w:tcBorders>
              <w:top w:val="single" w:sz="8" w:space="0" w:color="000000"/>
              <w:left w:val="single" w:sz="8" w:space="0" w:color="000000"/>
              <w:bottom w:val="single" w:sz="6" w:space="0" w:color="000000"/>
              <w:right w:val="single" w:sz="8" w:space="0" w:color="000000"/>
            </w:tcBorders>
            <w:vAlign w:val="center"/>
            <w:hideMark/>
          </w:tcPr>
          <w:p w14:paraId="4DA4D0A1" w14:textId="77777777" w:rsidR="00885489" w:rsidRDefault="00885489" w:rsidP="00AF7038">
            <w:pPr>
              <w:pStyle w:val="biaogecenter"/>
              <w:wordWrap w:val="0"/>
            </w:pPr>
            <w:r>
              <w:rPr>
                <w:rFonts w:hAnsi="等线" w:hint="eastAsia"/>
                <w:color w:val="000000"/>
              </w:rPr>
              <w:t>序号</w:t>
            </w:r>
          </w:p>
        </w:tc>
        <w:tc>
          <w:tcPr>
            <w:tcW w:w="1259" w:type="dxa"/>
            <w:tcBorders>
              <w:top w:val="single" w:sz="8" w:space="0" w:color="000000"/>
              <w:left w:val="single" w:sz="8" w:space="0" w:color="000000"/>
              <w:bottom w:val="single" w:sz="6" w:space="0" w:color="000000"/>
              <w:right w:val="single" w:sz="8" w:space="0" w:color="000000"/>
            </w:tcBorders>
            <w:vAlign w:val="center"/>
            <w:hideMark/>
          </w:tcPr>
          <w:p w14:paraId="46E48588" w14:textId="77777777" w:rsidR="00885489" w:rsidRDefault="00885489" w:rsidP="00AF7038">
            <w:pPr>
              <w:pStyle w:val="biaogecenter"/>
              <w:wordWrap w:val="0"/>
            </w:pPr>
            <w:r>
              <w:rPr>
                <w:rFonts w:hAnsi="等线" w:hint="eastAsia"/>
                <w:color w:val="000000"/>
              </w:rPr>
              <w:t>股票代码</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47E39277" w14:textId="77777777" w:rsidR="00885489" w:rsidRDefault="00885489" w:rsidP="00AF7038">
            <w:pPr>
              <w:pStyle w:val="biaogecenter"/>
              <w:wordWrap w:val="0"/>
            </w:pPr>
            <w:r>
              <w:rPr>
                <w:rFonts w:hAnsi="等线" w:hint="eastAsia"/>
                <w:color w:val="000000"/>
              </w:rPr>
              <w:t>股票名称</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0076B3D4" w14:textId="77777777" w:rsidR="00885489" w:rsidRDefault="00885489" w:rsidP="00AF7038">
            <w:pPr>
              <w:pStyle w:val="biaogecenter"/>
              <w:wordWrap w:val="0"/>
            </w:pPr>
            <w:r>
              <w:rPr>
                <w:rFonts w:hAnsi="等线" w:hint="eastAsia"/>
                <w:color w:val="000000"/>
              </w:rPr>
              <w:t>流通受限部分的公允价值</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64DD8243" w14:textId="77777777" w:rsidR="00885489" w:rsidRDefault="00885489" w:rsidP="00AF7038">
            <w:pPr>
              <w:pStyle w:val="biaogecenter"/>
              <w:wordWrap w:val="0"/>
            </w:pPr>
            <w:r>
              <w:rPr>
                <w:rFonts w:hAnsi="等线" w:hint="eastAsia"/>
                <w:color w:val="000000"/>
              </w:rPr>
              <w:t>占基金资产净值比例（％）</w:t>
            </w:r>
          </w:p>
        </w:tc>
        <w:tc>
          <w:tcPr>
            <w:tcW w:w="1633" w:type="dxa"/>
            <w:tcBorders>
              <w:top w:val="single" w:sz="8" w:space="0" w:color="000000"/>
              <w:left w:val="single" w:sz="8" w:space="0" w:color="000000"/>
              <w:bottom w:val="single" w:sz="6" w:space="0" w:color="000000"/>
              <w:right w:val="single" w:sz="8" w:space="0" w:color="000000"/>
            </w:tcBorders>
            <w:vAlign w:val="center"/>
            <w:hideMark/>
          </w:tcPr>
          <w:p w14:paraId="20DB31AA" w14:textId="77777777" w:rsidR="00885489" w:rsidRDefault="00885489" w:rsidP="00AF7038">
            <w:pPr>
              <w:pStyle w:val="biaogecenter"/>
              <w:wordWrap w:val="0"/>
            </w:pPr>
            <w:r>
              <w:rPr>
                <w:rFonts w:hAnsi="等线" w:hint="eastAsia"/>
                <w:color w:val="000000"/>
              </w:rPr>
              <w:t>流通受限情况说明</w:t>
            </w:r>
          </w:p>
        </w:tc>
      </w:tr>
      <w:tr w:rsidR="00351F7C" w14:paraId="124BB5EB" w14:textId="77777777" w:rsidTr="00D45D19">
        <w:tc>
          <w:tcPr>
            <w:tcW w:w="466" w:type="dxa"/>
            <w:tcBorders>
              <w:top w:val="single" w:sz="8" w:space="0" w:color="000000"/>
              <w:left w:val="single" w:sz="8" w:space="0" w:color="000000"/>
              <w:bottom w:val="single" w:sz="6" w:space="0" w:color="000000"/>
              <w:right w:val="single" w:sz="8" w:space="0" w:color="000000"/>
            </w:tcBorders>
            <w:vAlign w:val="center"/>
            <w:hideMark/>
          </w:tcPr>
          <w:p w14:paraId="52B48CC7" w14:textId="77777777" w:rsidR="00885489" w:rsidRDefault="00885489" w:rsidP="00AF7038">
            <w:pPr>
              <w:pStyle w:val="biaogecenter"/>
              <w:wordWrap w:val="0"/>
            </w:pPr>
            <w:r>
              <w:rPr>
                <w:rFonts w:hAnsi="等线" w:hint="eastAsia"/>
                <w:color w:val="000000"/>
              </w:rPr>
              <w:t>1</w:t>
            </w:r>
          </w:p>
        </w:tc>
        <w:tc>
          <w:tcPr>
            <w:tcW w:w="1259" w:type="dxa"/>
            <w:tcBorders>
              <w:top w:val="single" w:sz="8" w:space="0" w:color="000000"/>
              <w:left w:val="single" w:sz="8" w:space="0" w:color="000000"/>
              <w:bottom w:val="single" w:sz="6" w:space="0" w:color="000000"/>
              <w:right w:val="single" w:sz="8" w:space="0" w:color="000000"/>
            </w:tcBorders>
            <w:vAlign w:val="center"/>
            <w:hideMark/>
          </w:tcPr>
          <w:p w14:paraId="7389807D" w14:textId="77777777" w:rsidR="00885489" w:rsidRDefault="00885489" w:rsidP="00AF7038">
            <w:pPr>
              <w:pStyle w:val="biaogeleft"/>
              <w:wordWrap w:val="0"/>
            </w:pPr>
            <w:r>
              <w:rPr>
                <w:rFonts w:hAnsi="等线" w:hint="eastAsia"/>
                <w:color w:val="000000"/>
              </w:rPr>
              <w:t>688122</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7D131F36" w14:textId="77777777" w:rsidR="00885489" w:rsidRDefault="00885489" w:rsidP="00AF7038">
            <w:pPr>
              <w:pStyle w:val="biaogeleft"/>
              <w:wordWrap w:val="0"/>
            </w:pPr>
            <w:r>
              <w:rPr>
                <w:rFonts w:hAnsi="等线" w:hint="eastAsia"/>
                <w:color w:val="000000"/>
              </w:rPr>
              <w:t>西部超导</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61A158B8" w14:textId="77777777" w:rsidR="00885489" w:rsidRDefault="00885489" w:rsidP="00AF7038">
            <w:pPr>
              <w:pStyle w:val="biaogeright"/>
              <w:wordWrap w:val="0"/>
            </w:pPr>
            <w:r>
              <w:rPr>
                <w:rFonts w:hAnsi="等线" w:hint="eastAsia"/>
                <w:color w:val="000000"/>
              </w:rPr>
              <w:t>1,512,153.60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05D57FA9" w14:textId="77777777" w:rsidR="00885489" w:rsidRDefault="00885489" w:rsidP="00AF7038">
            <w:pPr>
              <w:pStyle w:val="biaogeright"/>
              <w:wordWrap w:val="0"/>
            </w:pPr>
            <w:r>
              <w:rPr>
                <w:rFonts w:hAnsi="等线" w:hint="eastAsia"/>
                <w:color w:val="000000"/>
              </w:rPr>
              <w:t>0.09</w:t>
            </w:r>
          </w:p>
        </w:tc>
        <w:tc>
          <w:tcPr>
            <w:tcW w:w="1633" w:type="dxa"/>
            <w:tcBorders>
              <w:top w:val="single" w:sz="8" w:space="0" w:color="000000"/>
              <w:left w:val="single" w:sz="8" w:space="0" w:color="000000"/>
              <w:bottom w:val="single" w:sz="6" w:space="0" w:color="000000"/>
              <w:right w:val="single" w:sz="8" w:space="0" w:color="000000"/>
            </w:tcBorders>
            <w:vAlign w:val="center"/>
            <w:hideMark/>
          </w:tcPr>
          <w:p w14:paraId="6A8F30B0" w14:textId="77777777" w:rsidR="00885489" w:rsidRDefault="00885489" w:rsidP="00AF7038">
            <w:pPr>
              <w:pStyle w:val="biaogeleft"/>
              <w:wordWrap w:val="0"/>
            </w:pPr>
            <w:r>
              <w:rPr>
                <w:rFonts w:hAnsi="等线" w:hint="eastAsia"/>
                <w:color w:val="000000"/>
              </w:rPr>
              <w:t>非公开发行限售</w:t>
            </w:r>
          </w:p>
        </w:tc>
      </w:tr>
    </w:tbl>
    <w:p w14:paraId="7D8EB403" w14:textId="77777777" w:rsidR="00885489" w:rsidRDefault="00885489" w:rsidP="00885489">
      <w:pPr>
        <w:widowControl/>
        <w:jc w:val="left"/>
        <w:rPr>
          <w:rFonts w:ascii="宋体" w:hAnsi="宋体" w:cs="宋体"/>
          <w:kern w:val="0"/>
          <w:sz w:val="24"/>
          <w:szCs w:val="24"/>
        </w:rPr>
      </w:pPr>
    </w:p>
    <w:p w14:paraId="08AE2D19" w14:textId="77777777" w:rsidR="003568C2" w:rsidRDefault="003568C2">
      <w:pPr>
        <w:widowControl/>
        <w:jc w:val="left"/>
        <w:rPr>
          <w:rFonts w:ascii="宋体" w:hAnsi="宋体" w:cs="宋体"/>
          <w:kern w:val="0"/>
          <w:sz w:val="24"/>
          <w:szCs w:val="24"/>
        </w:rPr>
      </w:pPr>
    </w:p>
    <w:p w14:paraId="1D04D42D" w14:textId="77777777" w:rsidR="003568C2" w:rsidRDefault="00695B03">
      <w:pPr>
        <w:pStyle w:val="zhangjiep2"/>
        <w:ind w:firstLineChars="50" w:firstLine="120"/>
      </w:pPr>
      <w:r>
        <w:rPr>
          <w:rFonts w:hint="eastAsia"/>
          <w:bCs/>
        </w:rPr>
        <w:t>（6</w:t>
      </w:r>
      <w:r>
        <w:rPr>
          <w:bCs/>
        </w:rPr>
        <w:t>）</w:t>
      </w:r>
      <w:r>
        <w:rPr>
          <w:rFonts w:hint="eastAsia"/>
          <w:bCs/>
        </w:rPr>
        <w:t>投资组合报告附注的其他文字描述部分</w:t>
      </w:r>
    </w:p>
    <w:p w14:paraId="5D4C8FBF" w14:textId="77777777" w:rsidR="003568C2" w:rsidRDefault="00695B03">
      <w:pPr>
        <w:pStyle w:val="biaogeleft"/>
        <w:ind w:leftChars="7" w:firstLineChars="100" w:firstLine="240"/>
      </w:pPr>
      <w:r>
        <w:rPr>
          <w:rFonts w:hint="eastAsia"/>
        </w:rPr>
        <w:t>由于四舍五入原因，分项之和与合计可能存在尾差。</w:t>
      </w:r>
    </w:p>
    <w:p w14:paraId="5D338493" w14:textId="77777777" w:rsidR="003568C2" w:rsidRDefault="003568C2">
      <w:pPr>
        <w:widowControl/>
        <w:jc w:val="left"/>
        <w:rPr>
          <w:rFonts w:ascii="宋体" w:hAnsi="宋体" w:cs="宋体"/>
          <w:kern w:val="0"/>
          <w:sz w:val="24"/>
          <w:szCs w:val="24"/>
        </w:rPr>
      </w:pPr>
    </w:p>
    <w:p w14:paraId="1C71F4B7" w14:textId="77777777" w:rsidR="003568C2" w:rsidRDefault="00695B03">
      <w:pPr>
        <w:spacing w:line="360" w:lineRule="auto"/>
        <w:ind w:firstLineChars="200" w:firstLine="482"/>
        <w:rPr>
          <w:rFonts w:ascii="宋体" w:hAnsi="宋体" w:cs="Arial"/>
          <w:b/>
          <w:bCs/>
          <w:sz w:val="24"/>
        </w:rPr>
      </w:pPr>
      <w:r>
        <w:rPr>
          <w:rFonts w:ascii="宋体" w:hAnsi="宋体" w:hint="eastAsia"/>
          <w:b/>
          <w:sz w:val="24"/>
        </w:rPr>
        <w:t>九、</w:t>
      </w:r>
      <w:r>
        <w:rPr>
          <w:rFonts w:ascii="宋体" w:hAnsi="宋体" w:cs="Arial" w:hint="eastAsia"/>
          <w:b/>
          <w:bCs/>
          <w:sz w:val="24"/>
        </w:rPr>
        <w:t>基金净值表现</w:t>
      </w:r>
    </w:p>
    <w:p w14:paraId="5AC5C6E1" w14:textId="77777777" w:rsidR="003568C2" w:rsidRDefault="00695B03">
      <w:pPr>
        <w:spacing w:line="360" w:lineRule="auto"/>
        <w:ind w:firstLineChars="200" w:firstLine="480"/>
        <w:rPr>
          <w:rFonts w:ascii="宋体" w:hAnsi="宋体"/>
          <w:bCs/>
          <w:sz w:val="24"/>
        </w:rPr>
      </w:pPr>
      <w:r>
        <w:rPr>
          <w:rFonts w:ascii="宋体" w:hAnsi="宋体" w:hint="eastAsia"/>
          <w:bCs/>
          <w:sz w:val="24"/>
        </w:rPr>
        <w:t>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706B7AA1" w14:textId="77777777" w:rsidR="003568C2" w:rsidRDefault="00695B03">
      <w:pPr>
        <w:pStyle w:val="zhangjiep2"/>
      </w:pPr>
      <w:r>
        <w:rPr>
          <w:bCs/>
        </w:rPr>
        <w:t>1、</w:t>
      </w:r>
      <w:r>
        <w:rPr>
          <w:rFonts w:hint="eastAsia"/>
          <w:bCs/>
        </w:rPr>
        <w:t>本报告期基金份额净值增长率及其与同期业绩比较基准收益率的比较</w:t>
      </w:r>
    </w:p>
    <w:p w14:paraId="664C6AF9" w14:textId="77777777" w:rsidR="003568C2" w:rsidRDefault="00695B03">
      <w:pPr>
        <w:pStyle w:val="biaogeleft"/>
      </w:pPr>
      <w:r>
        <w:rPr>
          <w:rFonts w:hint="eastAsia"/>
          <w:b/>
          <w:bCs/>
        </w:rPr>
        <w:t>富荣沪深300指数增强A净值表现</w:t>
      </w:r>
    </w:p>
    <w:tbl>
      <w:tblPr>
        <w:tblW w:w="9120" w:type="dxa"/>
        <w:jc w:val="center"/>
        <w:tblLook w:val="04A0" w:firstRow="1" w:lastRow="0" w:firstColumn="1" w:lastColumn="0" w:noHBand="0" w:noVBand="1"/>
      </w:tblPr>
      <w:tblGrid>
        <w:gridCol w:w="2395"/>
        <w:gridCol w:w="997"/>
        <w:gridCol w:w="993"/>
        <w:gridCol w:w="999"/>
        <w:gridCol w:w="1416"/>
        <w:gridCol w:w="1412"/>
        <w:gridCol w:w="908"/>
      </w:tblGrid>
      <w:tr w:rsidR="005223F2" w14:paraId="498220BB" w14:textId="77777777" w:rsidTr="00D45D19">
        <w:trPr>
          <w:jc w:val="center"/>
        </w:trPr>
        <w:tc>
          <w:tcPr>
            <w:tcW w:w="2395" w:type="dxa"/>
            <w:tcBorders>
              <w:top w:val="single" w:sz="8" w:space="0" w:color="000000"/>
              <w:left w:val="single" w:sz="8" w:space="0" w:color="000000"/>
              <w:bottom w:val="single" w:sz="6" w:space="0" w:color="000000"/>
              <w:right w:val="single" w:sz="8" w:space="0" w:color="000000"/>
            </w:tcBorders>
            <w:vAlign w:val="center"/>
          </w:tcPr>
          <w:p w14:paraId="1CB0AF4C" w14:textId="77777777" w:rsidR="003568C2" w:rsidRDefault="00695B03">
            <w:pPr>
              <w:pStyle w:val="biaogeleft"/>
              <w:wordWrap w:val="0"/>
              <w:rPr>
                <w:sz w:val="21"/>
                <w:szCs w:val="21"/>
              </w:rPr>
            </w:pPr>
            <w:r>
              <w:rPr>
                <w:rFonts w:hint="eastAsia"/>
                <w:sz w:val="21"/>
                <w:szCs w:val="21"/>
              </w:rPr>
              <w:t>阶段</w:t>
            </w:r>
          </w:p>
        </w:tc>
        <w:tc>
          <w:tcPr>
            <w:tcW w:w="997" w:type="dxa"/>
            <w:tcBorders>
              <w:top w:val="single" w:sz="8" w:space="0" w:color="000000"/>
              <w:left w:val="single" w:sz="8" w:space="0" w:color="000000"/>
              <w:bottom w:val="single" w:sz="6" w:space="0" w:color="000000"/>
              <w:right w:val="single" w:sz="8" w:space="0" w:color="000000"/>
            </w:tcBorders>
            <w:vAlign w:val="center"/>
          </w:tcPr>
          <w:p w14:paraId="4141AC1C" w14:textId="77777777" w:rsidR="003568C2" w:rsidRDefault="00695B03">
            <w:pPr>
              <w:pStyle w:val="biaogecenter"/>
              <w:wordWrap w:val="0"/>
              <w:rPr>
                <w:sz w:val="21"/>
                <w:szCs w:val="21"/>
              </w:rPr>
            </w:pPr>
            <w:r>
              <w:rPr>
                <w:rFonts w:hint="eastAsia"/>
                <w:sz w:val="21"/>
                <w:szCs w:val="21"/>
              </w:rPr>
              <w:t>净值增</w:t>
            </w:r>
            <w:r>
              <w:rPr>
                <w:rFonts w:hint="eastAsia"/>
                <w:sz w:val="21"/>
                <w:szCs w:val="21"/>
              </w:rPr>
              <w:lastRenderedPageBreak/>
              <w:t>长率①</w:t>
            </w:r>
          </w:p>
        </w:tc>
        <w:tc>
          <w:tcPr>
            <w:tcW w:w="993" w:type="dxa"/>
            <w:tcBorders>
              <w:top w:val="single" w:sz="8" w:space="0" w:color="000000"/>
              <w:left w:val="single" w:sz="8" w:space="0" w:color="000000"/>
              <w:bottom w:val="single" w:sz="6" w:space="0" w:color="000000"/>
              <w:right w:val="single" w:sz="8" w:space="0" w:color="000000"/>
            </w:tcBorders>
            <w:vAlign w:val="center"/>
          </w:tcPr>
          <w:p w14:paraId="0F747C2D" w14:textId="77777777" w:rsidR="003568C2" w:rsidRDefault="00695B03">
            <w:pPr>
              <w:pStyle w:val="biaogecenter"/>
              <w:wordWrap w:val="0"/>
              <w:rPr>
                <w:sz w:val="21"/>
                <w:szCs w:val="21"/>
              </w:rPr>
            </w:pPr>
            <w:r>
              <w:rPr>
                <w:rFonts w:hint="eastAsia"/>
                <w:sz w:val="21"/>
                <w:szCs w:val="21"/>
              </w:rPr>
              <w:lastRenderedPageBreak/>
              <w:t>净值增</w:t>
            </w:r>
            <w:r>
              <w:rPr>
                <w:rFonts w:hint="eastAsia"/>
                <w:sz w:val="21"/>
                <w:szCs w:val="21"/>
              </w:rPr>
              <w:lastRenderedPageBreak/>
              <w:t>长率标准差②</w:t>
            </w:r>
          </w:p>
        </w:tc>
        <w:tc>
          <w:tcPr>
            <w:tcW w:w="999" w:type="dxa"/>
            <w:tcBorders>
              <w:top w:val="single" w:sz="8" w:space="0" w:color="000000"/>
              <w:left w:val="single" w:sz="8" w:space="0" w:color="000000"/>
              <w:bottom w:val="single" w:sz="6" w:space="0" w:color="000000"/>
              <w:right w:val="single" w:sz="8" w:space="0" w:color="000000"/>
            </w:tcBorders>
            <w:vAlign w:val="center"/>
          </w:tcPr>
          <w:p w14:paraId="02CC8133" w14:textId="77777777" w:rsidR="003568C2" w:rsidRDefault="00695B03">
            <w:pPr>
              <w:pStyle w:val="biaogecenter"/>
              <w:wordWrap w:val="0"/>
              <w:rPr>
                <w:sz w:val="21"/>
                <w:szCs w:val="21"/>
              </w:rPr>
            </w:pPr>
            <w:r>
              <w:rPr>
                <w:rFonts w:hint="eastAsia"/>
                <w:sz w:val="21"/>
                <w:szCs w:val="21"/>
              </w:rPr>
              <w:lastRenderedPageBreak/>
              <w:t>业绩比</w:t>
            </w:r>
            <w:r>
              <w:rPr>
                <w:rFonts w:hint="eastAsia"/>
                <w:sz w:val="21"/>
                <w:szCs w:val="21"/>
              </w:rPr>
              <w:lastRenderedPageBreak/>
              <w:t>较基准收益率③</w:t>
            </w:r>
          </w:p>
        </w:tc>
        <w:tc>
          <w:tcPr>
            <w:tcW w:w="1416" w:type="dxa"/>
            <w:tcBorders>
              <w:top w:val="single" w:sz="8" w:space="0" w:color="000000"/>
              <w:left w:val="single" w:sz="8" w:space="0" w:color="000000"/>
              <w:bottom w:val="single" w:sz="6" w:space="0" w:color="000000"/>
              <w:right w:val="single" w:sz="8" w:space="0" w:color="000000"/>
            </w:tcBorders>
            <w:vAlign w:val="center"/>
          </w:tcPr>
          <w:p w14:paraId="7A853380" w14:textId="77777777" w:rsidR="003568C2" w:rsidRDefault="00695B03">
            <w:pPr>
              <w:pStyle w:val="biaogecenter"/>
              <w:wordWrap w:val="0"/>
              <w:rPr>
                <w:sz w:val="21"/>
                <w:szCs w:val="21"/>
              </w:rPr>
            </w:pPr>
            <w:r>
              <w:rPr>
                <w:rFonts w:hint="eastAsia"/>
                <w:sz w:val="21"/>
                <w:szCs w:val="21"/>
              </w:rPr>
              <w:lastRenderedPageBreak/>
              <w:t>业绩比较基</w:t>
            </w:r>
            <w:r>
              <w:rPr>
                <w:rFonts w:hint="eastAsia"/>
                <w:sz w:val="21"/>
                <w:szCs w:val="21"/>
              </w:rPr>
              <w:lastRenderedPageBreak/>
              <w:t>准收益率标准差④</w:t>
            </w:r>
          </w:p>
        </w:tc>
        <w:tc>
          <w:tcPr>
            <w:tcW w:w="1412" w:type="dxa"/>
            <w:tcBorders>
              <w:top w:val="single" w:sz="8" w:space="0" w:color="000000"/>
              <w:left w:val="single" w:sz="8" w:space="0" w:color="000000"/>
              <w:bottom w:val="single" w:sz="6" w:space="0" w:color="000000"/>
              <w:right w:val="single" w:sz="8" w:space="0" w:color="000000"/>
            </w:tcBorders>
            <w:vAlign w:val="center"/>
          </w:tcPr>
          <w:p w14:paraId="6315BB9F" w14:textId="77777777" w:rsidR="003568C2" w:rsidRDefault="00695B03">
            <w:pPr>
              <w:pStyle w:val="biaogecenter"/>
              <w:wordWrap w:val="0"/>
              <w:rPr>
                <w:sz w:val="21"/>
                <w:szCs w:val="21"/>
              </w:rPr>
            </w:pPr>
            <w:r>
              <w:rPr>
                <w:rFonts w:hint="eastAsia"/>
                <w:sz w:val="21"/>
                <w:szCs w:val="21"/>
              </w:rPr>
              <w:lastRenderedPageBreak/>
              <w:t>①</w:t>
            </w:r>
            <w:r>
              <w:rPr>
                <w:sz w:val="21"/>
                <w:szCs w:val="21"/>
              </w:rPr>
              <w:t>-③</w:t>
            </w:r>
          </w:p>
        </w:tc>
        <w:tc>
          <w:tcPr>
            <w:tcW w:w="908" w:type="dxa"/>
            <w:tcBorders>
              <w:top w:val="single" w:sz="8" w:space="0" w:color="000000"/>
              <w:left w:val="single" w:sz="8" w:space="0" w:color="000000"/>
              <w:bottom w:val="single" w:sz="6" w:space="0" w:color="000000"/>
              <w:right w:val="single" w:sz="8" w:space="0" w:color="000000"/>
            </w:tcBorders>
            <w:vAlign w:val="center"/>
          </w:tcPr>
          <w:p w14:paraId="53CBB8EC" w14:textId="77777777" w:rsidR="003568C2" w:rsidRDefault="00695B03">
            <w:pPr>
              <w:pStyle w:val="biaogecenter"/>
              <w:wordWrap w:val="0"/>
              <w:rPr>
                <w:sz w:val="21"/>
                <w:szCs w:val="21"/>
              </w:rPr>
            </w:pPr>
            <w:r>
              <w:rPr>
                <w:rFonts w:hint="eastAsia"/>
                <w:sz w:val="21"/>
                <w:szCs w:val="21"/>
              </w:rPr>
              <w:t>②</w:t>
            </w:r>
            <w:r>
              <w:rPr>
                <w:sz w:val="21"/>
                <w:szCs w:val="21"/>
              </w:rPr>
              <w:t>-④</w:t>
            </w:r>
          </w:p>
        </w:tc>
      </w:tr>
      <w:tr w:rsidR="005223F2" w14:paraId="682F2793" w14:textId="77777777" w:rsidTr="00D45D19">
        <w:trPr>
          <w:jc w:val="center"/>
        </w:trPr>
        <w:tc>
          <w:tcPr>
            <w:tcW w:w="2395" w:type="dxa"/>
            <w:tcBorders>
              <w:top w:val="single" w:sz="8" w:space="0" w:color="000000"/>
              <w:left w:val="single" w:sz="8" w:space="0" w:color="000000"/>
              <w:bottom w:val="single" w:sz="6" w:space="0" w:color="000000"/>
              <w:right w:val="single" w:sz="8" w:space="0" w:color="000000"/>
            </w:tcBorders>
            <w:vAlign w:val="center"/>
          </w:tcPr>
          <w:p w14:paraId="202E8E76" w14:textId="264505AB" w:rsidR="005223F2" w:rsidRDefault="005223F2" w:rsidP="005223F2">
            <w:pPr>
              <w:pStyle w:val="biaogeleft"/>
              <w:wordWrap w:val="0"/>
              <w:rPr>
                <w:sz w:val="21"/>
                <w:szCs w:val="21"/>
              </w:rPr>
            </w:pPr>
            <w:r>
              <w:rPr>
                <w:sz w:val="21"/>
                <w:szCs w:val="21"/>
              </w:rPr>
              <w:t>2019.1.24-2019.12.31</w:t>
            </w:r>
          </w:p>
        </w:tc>
        <w:tc>
          <w:tcPr>
            <w:tcW w:w="997" w:type="dxa"/>
            <w:tcBorders>
              <w:top w:val="single" w:sz="8" w:space="0" w:color="000000"/>
              <w:left w:val="single" w:sz="8" w:space="0" w:color="000000"/>
              <w:bottom w:val="single" w:sz="6" w:space="0" w:color="000000"/>
              <w:right w:val="single" w:sz="8" w:space="0" w:color="000000"/>
            </w:tcBorders>
            <w:vAlign w:val="center"/>
          </w:tcPr>
          <w:p w14:paraId="351C0741" w14:textId="40F72605" w:rsidR="005223F2" w:rsidRDefault="005223F2" w:rsidP="005223F2">
            <w:pPr>
              <w:pStyle w:val="biaogecenter"/>
              <w:wordWrap w:val="0"/>
              <w:rPr>
                <w:sz w:val="21"/>
                <w:szCs w:val="21"/>
              </w:rPr>
            </w:pPr>
            <w:r>
              <w:rPr>
                <w:sz w:val="21"/>
                <w:szCs w:val="21"/>
              </w:rPr>
              <w:t>45.00%</w:t>
            </w:r>
          </w:p>
        </w:tc>
        <w:tc>
          <w:tcPr>
            <w:tcW w:w="993" w:type="dxa"/>
            <w:tcBorders>
              <w:top w:val="single" w:sz="8" w:space="0" w:color="000000"/>
              <w:left w:val="single" w:sz="8" w:space="0" w:color="000000"/>
              <w:bottom w:val="single" w:sz="6" w:space="0" w:color="000000"/>
              <w:right w:val="single" w:sz="8" w:space="0" w:color="000000"/>
            </w:tcBorders>
            <w:vAlign w:val="center"/>
          </w:tcPr>
          <w:p w14:paraId="0F4F1FE8" w14:textId="647A70CB" w:rsidR="005223F2" w:rsidRDefault="005223F2" w:rsidP="005223F2">
            <w:pPr>
              <w:pStyle w:val="biaogecenter"/>
              <w:wordWrap w:val="0"/>
              <w:rPr>
                <w:sz w:val="21"/>
                <w:szCs w:val="21"/>
              </w:rPr>
            </w:pPr>
            <w:r>
              <w:rPr>
                <w:sz w:val="21"/>
                <w:szCs w:val="21"/>
              </w:rPr>
              <w:t>1.22%</w:t>
            </w:r>
          </w:p>
        </w:tc>
        <w:tc>
          <w:tcPr>
            <w:tcW w:w="999" w:type="dxa"/>
            <w:tcBorders>
              <w:top w:val="single" w:sz="8" w:space="0" w:color="000000"/>
              <w:left w:val="single" w:sz="8" w:space="0" w:color="000000"/>
              <w:bottom w:val="single" w:sz="6" w:space="0" w:color="000000"/>
              <w:right w:val="single" w:sz="8" w:space="0" w:color="000000"/>
            </w:tcBorders>
            <w:vAlign w:val="center"/>
          </w:tcPr>
          <w:p w14:paraId="6987D235" w14:textId="484619ED" w:rsidR="005223F2" w:rsidRDefault="005223F2" w:rsidP="005223F2">
            <w:pPr>
              <w:pStyle w:val="biaogecenter"/>
              <w:wordWrap w:val="0"/>
              <w:rPr>
                <w:sz w:val="21"/>
                <w:szCs w:val="21"/>
              </w:rPr>
            </w:pPr>
            <w:r>
              <w:rPr>
                <w:sz w:val="21"/>
                <w:szCs w:val="21"/>
              </w:rPr>
              <w:t>28.83%</w:t>
            </w:r>
          </w:p>
        </w:tc>
        <w:tc>
          <w:tcPr>
            <w:tcW w:w="1416" w:type="dxa"/>
            <w:tcBorders>
              <w:top w:val="single" w:sz="8" w:space="0" w:color="000000"/>
              <w:left w:val="single" w:sz="8" w:space="0" w:color="000000"/>
              <w:bottom w:val="single" w:sz="6" w:space="0" w:color="000000"/>
              <w:right w:val="single" w:sz="8" w:space="0" w:color="000000"/>
            </w:tcBorders>
            <w:vAlign w:val="center"/>
          </w:tcPr>
          <w:p w14:paraId="1A982DAC" w14:textId="445D6E71" w:rsidR="005223F2" w:rsidRDefault="005223F2" w:rsidP="005223F2">
            <w:pPr>
              <w:pStyle w:val="biaogecenter"/>
              <w:wordWrap w:val="0"/>
              <w:rPr>
                <w:sz w:val="21"/>
                <w:szCs w:val="21"/>
              </w:rPr>
            </w:pPr>
            <w:r>
              <w:rPr>
                <w:sz w:val="21"/>
                <w:szCs w:val="21"/>
              </w:rPr>
              <w:t>1.19%</w:t>
            </w:r>
          </w:p>
        </w:tc>
        <w:tc>
          <w:tcPr>
            <w:tcW w:w="1412" w:type="dxa"/>
            <w:tcBorders>
              <w:top w:val="single" w:sz="8" w:space="0" w:color="000000"/>
              <w:left w:val="single" w:sz="8" w:space="0" w:color="000000"/>
              <w:bottom w:val="single" w:sz="6" w:space="0" w:color="000000"/>
              <w:right w:val="single" w:sz="8" w:space="0" w:color="000000"/>
            </w:tcBorders>
            <w:vAlign w:val="center"/>
          </w:tcPr>
          <w:p w14:paraId="5B1CE0F8" w14:textId="4F62BA9E" w:rsidR="005223F2" w:rsidRDefault="005223F2" w:rsidP="005223F2">
            <w:pPr>
              <w:pStyle w:val="biaogecenter"/>
              <w:wordWrap w:val="0"/>
              <w:rPr>
                <w:sz w:val="21"/>
                <w:szCs w:val="21"/>
              </w:rPr>
            </w:pPr>
            <w:r>
              <w:rPr>
                <w:sz w:val="21"/>
                <w:szCs w:val="21"/>
              </w:rPr>
              <w:t>16.17%</w:t>
            </w:r>
          </w:p>
        </w:tc>
        <w:tc>
          <w:tcPr>
            <w:tcW w:w="908" w:type="dxa"/>
            <w:tcBorders>
              <w:top w:val="single" w:sz="8" w:space="0" w:color="000000"/>
              <w:left w:val="single" w:sz="8" w:space="0" w:color="000000"/>
              <w:bottom w:val="single" w:sz="6" w:space="0" w:color="000000"/>
              <w:right w:val="single" w:sz="8" w:space="0" w:color="000000"/>
            </w:tcBorders>
            <w:vAlign w:val="center"/>
          </w:tcPr>
          <w:p w14:paraId="7DEF80DA" w14:textId="199E29E0" w:rsidR="005223F2" w:rsidRDefault="005223F2" w:rsidP="005223F2">
            <w:pPr>
              <w:pStyle w:val="biaogecenter"/>
              <w:wordWrap w:val="0"/>
              <w:rPr>
                <w:sz w:val="21"/>
                <w:szCs w:val="21"/>
              </w:rPr>
            </w:pPr>
            <w:r>
              <w:rPr>
                <w:sz w:val="21"/>
                <w:szCs w:val="21"/>
              </w:rPr>
              <w:t>0.03%</w:t>
            </w:r>
          </w:p>
        </w:tc>
      </w:tr>
      <w:tr w:rsidR="005223F2" w14:paraId="6713DDB2" w14:textId="77777777" w:rsidTr="00D45D19">
        <w:trPr>
          <w:jc w:val="center"/>
        </w:trPr>
        <w:tc>
          <w:tcPr>
            <w:tcW w:w="2395" w:type="dxa"/>
            <w:tcBorders>
              <w:top w:val="single" w:sz="8" w:space="0" w:color="000000"/>
              <w:left w:val="single" w:sz="8" w:space="0" w:color="000000"/>
              <w:bottom w:val="single" w:sz="6" w:space="0" w:color="000000"/>
              <w:right w:val="single" w:sz="8" w:space="0" w:color="000000"/>
            </w:tcBorders>
            <w:vAlign w:val="center"/>
          </w:tcPr>
          <w:p w14:paraId="740E2052" w14:textId="63B92E1F" w:rsidR="005223F2" w:rsidRDefault="005223F2" w:rsidP="005223F2">
            <w:pPr>
              <w:pStyle w:val="biaogeleft"/>
              <w:wordWrap w:val="0"/>
              <w:rPr>
                <w:sz w:val="21"/>
                <w:szCs w:val="21"/>
              </w:rPr>
            </w:pPr>
            <w:r>
              <w:rPr>
                <w:rFonts w:hint="eastAsia"/>
                <w:sz w:val="21"/>
                <w:szCs w:val="21"/>
              </w:rPr>
              <w:t>2020.1.1-2020.12.31</w:t>
            </w:r>
          </w:p>
        </w:tc>
        <w:tc>
          <w:tcPr>
            <w:tcW w:w="997" w:type="dxa"/>
            <w:tcBorders>
              <w:top w:val="single" w:sz="8" w:space="0" w:color="000000"/>
              <w:left w:val="single" w:sz="8" w:space="0" w:color="000000"/>
              <w:bottom w:val="single" w:sz="6" w:space="0" w:color="000000"/>
              <w:right w:val="single" w:sz="8" w:space="0" w:color="000000"/>
            </w:tcBorders>
          </w:tcPr>
          <w:p w14:paraId="5CFAD589" w14:textId="522B3A7F" w:rsidR="005223F2" w:rsidRDefault="005223F2" w:rsidP="005223F2">
            <w:pPr>
              <w:pStyle w:val="biaogecenter"/>
              <w:wordWrap w:val="0"/>
              <w:rPr>
                <w:sz w:val="21"/>
                <w:szCs w:val="21"/>
              </w:rPr>
            </w:pPr>
            <w:r w:rsidRPr="00F61A1B">
              <w:rPr>
                <w:sz w:val="21"/>
                <w:szCs w:val="21"/>
              </w:rPr>
              <w:t>85.59%</w:t>
            </w:r>
          </w:p>
        </w:tc>
        <w:tc>
          <w:tcPr>
            <w:tcW w:w="993" w:type="dxa"/>
            <w:tcBorders>
              <w:top w:val="single" w:sz="8" w:space="0" w:color="000000"/>
              <w:left w:val="single" w:sz="8" w:space="0" w:color="000000"/>
              <w:bottom w:val="single" w:sz="6" w:space="0" w:color="000000"/>
              <w:right w:val="single" w:sz="8" w:space="0" w:color="000000"/>
            </w:tcBorders>
          </w:tcPr>
          <w:p w14:paraId="1DDECA67" w14:textId="5F6FEECE" w:rsidR="005223F2" w:rsidRDefault="005223F2" w:rsidP="005223F2">
            <w:pPr>
              <w:pStyle w:val="biaogecenter"/>
              <w:wordWrap w:val="0"/>
              <w:rPr>
                <w:sz w:val="21"/>
                <w:szCs w:val="21"/>
              </w:rPr>
            </w:pPr>
            <w:r w:rsidRPr="00F61A1B">
              <w:rPr>
                <w:sz w:val="21"/>
                <w:szCs w:val="21"/>
              </w:rPr>
              <w:t>1.47%</w:t>
            </w:r>
          </w:p>
        </w:tc>
        <w:tc>
          <w:tcPr>
            <w:tcW w:w="999" w:type="dxa"/>
            <w:tcBorders>
              <w:top w:val="single" w:sz="8" w:space="0" w:color="000000"/>
              <w:left w:val="single" w:sz="8" w:space="0" w:color="000000"/>
              <w:bottom w:val="single" w:sz="6" w:space="0" w:color="000000"/>
              <w:right w:val="single" w:sz="8" w:space="0" w:color="000000"/>
            </w:tcBorders>
          </w:tcPr>
          <w:p w14:paraId="07079EE6" w14:textId="6429386A" w:rsidR="005223F2" w:rsidRDefault="005223F2" w:rsidP="005223F2">
            <w:pPr>
              <w:pStyle w:val="biaogecenter"/>
              <w:wordWrap w:val="0"/>
              <w:rPr>
                <w:sz w:val="21"/>
                <w:szCs w:val="21"/>
              </w:rPr>
            </w:pPr>
            <w:r w:rsidRPr="00F61A1B">
              <w:rPr>
                <w:sz w:val="21"/>
                <w:szCs w:val="21"/>
              </w:rPr>
              <w:t>25.86%</w:t>
            </w:r>
          </w:p>
        </w:tc>
        <w:tc>
          <w:tcPr>
            <w:tcW w:w="1416" w:type="dxa"/>
            <w:tcBorders>
              <w:top w:val="single" w:sz="8" w:space="0" w:color="000000"/>
              <w:left w:val="single" w:sz="8" w:space="0" w:color="000000"/>
              <w:bottom w:val="single" w:sz="6" w:space="0" w:color="000000"/>
              <w:right w:val="single" w:sz="8" w:space="0" w:color="000000"/>
            </w:tcBorders>
          </w:tcPr>
          <w:p w14:paraId="4A6789FD" w14:textId="1C6623B6" w:rsidR="005223F2" w:rsidRDefault="005223F2" w:rsidP="005223F2">
            <w:pPr>
              <w:pStyle w:val="biaogecenter"/>
              <w:wordWrap w:val="0"/>
              <w:rPr>
                <w:sz w:val="21"/>
                <w:szCs w:val="21"/>
              </w:rPr>
            </w:pPr>
            <w:r w:rsidRPr="00F61A1B">
              <w:rPr>
                <w:sz w:val="21"/>
                <w:szCs w:val="21"/>
              </w:rPr>
              <w:t>1.36%</w:t>
            </w:r>
          </w:p>
        </w:tc>
        <w:tc>
          <w:tcPr>
            <w:tcW w:w="1412" w:type="dxa"/>
            <w:tcBorders>
              <w:top w:val="single" w:sz="8" w:space="0" w:color="000000"/>
              <w:left w:val="single" w:sz="8" w:space="0" w:color="000000"/>
              <w:bottom w:val="single" w:sz="6" w:space="0" w:color="000000"/>
              <w:right w:val="single" w:sz="8" w:space="0" w:color="000000"/>
            </w:tcBorders>
          </w:tcPr>
          <w:p w14:paraId="01257DBD" w14:textId="1574B17F" w:rsidR="005223F2" w:rsidRDefault="005223F2" w:rsidP="005223F2">
            <w:pPr>
              <w:pStyle w:val="biaogecenter"/>
              <w:wordWrap w:val="0"/>
              <w:rPr>
                <w:sz w:val="21"/>
                <w:szCs w:val="21"/>
              </w:rPr>
            </w:pPr>
            <w:r w:rsidRPr="00F61A1B">
              <w:rPr>
                <w:sz w:val="21"/>
                <w:szCs w:val="21"/>
              </w:rPr>
              <w:t>59.73%</w:t>
            </w:r>
          </w:p>
        </w:tc>
        <w:tc>
          <w:tcPr>
            <w:tcW w:w="908" w:type="dxa"/>
            <w:tcBorders>
              <w:top w:val="single" w:sz="8" w:space="0" w:color="000000"/>
              <w:left w:val="single" w:sz="8" w:space="0" w:color="000000"/>
              <w:bottom w:val="single" w:sz="6" w:space="0" w:color="000000"/>
              <w:right w:val="single" w:sz="8" w:space="0" w:color="000000"/>
            </w:tcBorders>
          </w:tcPr>
          <w:p w14:paraId="16557270" w14:textId="38CA0757" w:rsidR="005223F2" w:rsidRDefault="005223F2" w:rsidP="005223F2">
            <w:pPr>
              <w:pStyle w:val="biaogecenter"/>
              <w:wordWrap w:val="0"/>
              <w:rPr>
                <w:sz w:val="21"/>
                <w:szCs w:val="21"/>
              </w:rPr>
            </w:pPr>
            <w:r w:rsidRPr="00F61A1B">
              <w:rPr>
                <w:sz w:val="21"/>
                <w:szCs w:val="21"/>
              </w:rPr>
              <w:t>0.11%</w:t>
            </w:r>
          </w:p>
        </w:tc>
      </w:tr>
      <w:tr w:rsidR="005223F2" w14:paraId="5D6C9C4E" w14:textId="77777777" w:rsidTr="00D45D19">
        <w:trPr>
          <w:jc w:val="center"/>
        </w:trPr>
        <w:tc>
          <w:tcPr>
            <w:tcW w:w="2395" w:type="dxa"/>
            <w:tcBorders>
              <w:top w:val="single" w:sz="8" w:space="0" w:color="000000"/>
              <w:left w:val="single" w:sz="8" w:space="0" w:color="000000"/>
              <w:bottom w:val="single" w:sz="6" w:space="0" w:color="000000"/>
              <w:right w:val="single" w:sz="8" w:space="0" w:color="000000"/>
            </w:tcBorders>
            <w:vAlign w:val="center"/>
          </w:tcPr>
          <w:p w14:paraId="002CE50D" w14:textId="398862E8" w:rsidR="005223F2" w:rsidRDefault="005223F2" w:rsidP="005223F2">
            <w:pPr>
              <w:pStyle w:val="biaogeleft"/>
              <w:wordWrap w:val="0"/>
              <w:rPr>
                <w:sz w:val="21"/>
                <w:szCs w:val="21"/>
              </w:rPr>
            </w:pPr>
            <w:r>
              <w:rPr>
                <w:rFonts w:hint="eastAsia"/>
                <w:sz w:val="21"/>
                <w:szCs w:val="21"/>
              </w:rPr>
              <w:t>2021.1.1-2021.6.30</w:t>
            </w:r>
          </w:p>
        </w:tc>
        <w:tc>
          <w:tcPr>
            <w:tcW w:w="997" w:type="dxa"/>
            <w:tcBorders>
              <w:top w:val="single" w:sz="8" w:space="0" w:color="000000"/>
              <w:left w:val="single" w:sz="8" w:space="0" w:color="000000"/>
              <w:bottom w:val="single" w:sz="6" w:space="0" w:color="000000"/>
              <w:right w:val="single" w:sz="8" w:space="0" w:color="000000"/>
            </w:tcBorders>
          </w:tcPr>
          <w:p w14:paraId="555BC464" w14:textId="40473101" w:rsidR="005223F2" w:rsidRDefault="005223F2" w:rsidP="005223F2">
            <w:pPr>
              <w:pStyle w:val="biaogecenter"/>
              <w:wordWrap w:val="0"/>
              <w:rPr>
                <w:sz w:val="21"/>
                <w:szCs w:val="21"/>
              </w:rPr>
            </w:pPr>
            <w:r w:rsidRPr="00F61A1B">
              <w:rPr>
                <w:sz w:val="21"/>
                <w:szCs w:val="21"/>
              </w:rPr>
              <w:t xml:space="preserve">6.41% </w:t>
            </w:r>
          </w:p>
        </w:tc>
        <w:tc>
          <w:tcPr>
            <w:tcW w:w="993" w:type="dxa"/>
            <w:tcBorders>
              <w:top w:val="single" w:sz="8" w:space="0" w:color="000000"/>
              <w:left w:val="single" w:sz="8" w:space="0" w:color="000000"/>
              <w:bottom w:val="single" w:sz="6" w:space="0" w:color="000000"/>
              <w:right w:val="single" w:sz="8" w:space="0" w:color="000000"/>
            </w:tcBorders>
          </w:tcPr>
          <w:p w14:paraId="3C8A11A9" w14:textId="062FBB39" w:rsidR="005223F2" w:rsidRDefault="005223F2" w:rsidP="005223F2">
            <w:pPr>
              <w:pStyle w:val="biaogecenter"/>
              <w:wordWrap w:val="0"/>
              <w:rPr>
                <w:sz w:val="21"/>
                <w:szCs w:val="21"/>
              </w:rPr>
            </w:pPr>
            <w:r w:rsidRPr="00F61A1B">
              <w:rPr>
                <w:sz w:val="21"/>
                <w:szCs w:val="21"/>
              </w:rPr>
              <w:t xml:space="preserve">1.35% </w:t>
            </w:r>
          </w:p>
        </w:tc>
        <w:tc>
          <w:tcPr>
            <w:tcW w:w="999" w:type="dxa"/>
            <w:tcBorders>
              <w:top w:val="single" w:sz="8" w:space="0" w:color="000000"/>
              <w:left w:val="single" w:sz="8" w:space="0" w:color="000000"/>
              <w:bottom w:val="single" w:sz="6" w:space="0" w:color="000000"/>
              <w:right w:val="single" w:sz="8" w:space="0" w:color="000000"/>
            </w:tcBorders>
          </w:tcPr>
          <w:p w14:paraId="17D466C0" w14:textId="702E3499" w:rsidR="005223F2" w:rsidRDefault="005223F2" w:rsidP="005223F2">
            <w:pPr>
              <w:pStyle w:val="biaogecenter"/>
              <w:wordWrap w:val="0"/>
              <w:rPr>
                <w:sz w:val="21"/>
                <w:szCs w:val="21"/>
              </w:rPr>
            </w:pPr>
            <w:r w:rsidRPr="00F61A1B">
              <w:rPr>
                <w:sz w:val="21"/>
                <w:szCs w:val="21"/>
              </w:rPr>
              <w:t xml:space="preserve">0.29% </w:t>
            </w:r>
          </w:p>
        </w:tc>
        <w:tc>
          <w:tcPr>
            <w:tcW w:w="1416" w:type="dxa"/>
            <w:tcBorders>
              <w:top w:val="single" w:sz="8" w:space="0" w:color="000000"/>
              <w:left w:val="single" w:sz="8" w:space="0" w:color="000000"/>
              <w:bottom w:val="single" w:sz="6" w:space="0" w:color="000000"/>
              <w:right w:val="single" w:sz="8" w:space="0" w:color="000000"/>
            </w:tcBorders>
          </w:tcPr>
          <w:p w14:paraId="4A768BDF" w14:textId="37A4C8F2" w:rsidR="005223F2" w:rsidRDefault="005223F2" w:rsidP="005223F2">
            <w:pPr>
              <w:pStyle w:val="biaogecenter"/>
              <w:wordWrap w:val="0"/>
              <w:rPr>
                <w:sz w:val="21"/>
                <w:szCs w:val="21"/>
              </w:rPr>
            </w:pPr>
            <w:r w:rsidRPr="00F61A1B">
              <w:rPr>
                <w:sz w:val="21"/>
                <w:szCs w:val="21"/>
              </w:rPr>
              <w:t xml:space="preserve">1.25% </w:t>
            </w:r>
          </w:p>
        </w:tc>
        <w:tc>
          <w:tcPr>
            <w:tcW w:w="1412" w:type="dxa"/>
            <w:tcBorders>
              <w:top w:val="single" w:sz="8" w:space="0" w:color="000000"/>
              <w:left w:val="single" w:sz="8" w:space="0" w:color="000000"/>
              <w:bottom w:val="single" w:sz="6" w:space="0" w:color="000000"/>
              <w:right w:val="single" w:sz="8" w:space="0" w:color="000000"/>
            </w:tcBorders>
          </w:tcPr>
          <w:p w14:paraId="40E0C5B9" w14:textId="47BDAD07" w:rsidR="005223F2" w:rsidRDefault="005223F2" w:rsidP="005223F2">
            <w:pPr>
              <w:pStyle w:val="biaogecenter"/>
              <w:wordWrap w:val="0"/>
              <w:rPr>
                <w:sz w:val="21"/>
                <w:szCs w:val="21"/>
              </w:rPr>
            </w:pPr>
            <w:r w:rsidRPr="00F61A1B">
              <w:rPr>
                <w:sz w:val="21"/>
                <w:szCs w:val="21"/>
              </w:rPr>
              <w:t xml:space="preserve">6.12% </w:t>
            </w:r>
          </w:p>
        </w:tc>
        <w:tc>
          <w:tcPr>
            <w:tcW w:w="908" w:type="dxa"/>
            <w:tcBorders>
              <w:top w:val="single" w:sz="8" w:space="0" w:color="000000"/>
              <w:left w:val="single" w:sz="8" w:space="0" w:color="000000"/>
              <w:bottom w:val="single" w:sz="6" w:space="0" w:color="000000"/>
              <w:right w:val="single" w:sz="8" w:space="0" w:color="000000"/>
            </w:tcBorders>
          </w:tcPr>
          <w:p w14:paraId="0A0E30A3" w14:textId="52A3B976" w:rsidR="005223F2" w:rsidRDefault="005223F2" w:rsidP="005223F2">
            <w:pPr>
              <w:pStyle w:val="biaogecenter"/>
              <w:wordWrap w:val="0"/>
              <w:rPr>
                <w:sz w:val="21"/>
                <w:szCs w:val="21"/>
              </w:rPr>
            </w:pPr>
            <w:r w:rsidRPr="00F61A1B">
              <w:rPr>
                <w:sz w:val="21"/>
                <w:szCs w:val="21"/>
              </w:rPr>
              <w:t xml:space="preserve">0.10% </w:t>
            </w:r>
          </w:p>
        </w:tc>
      </w:tr>
      <w:tr w:rsidR="005223F2" w:rsidRPr="00F61A1B" w14:paraId="721156F6" w14:textId="77777777" w:rsidTr="00D45D19">
        <w:trPr>
          <w:jc w:val="center"/>
        </w:trPr>
        <w:tc>
          <w:tcPr>
            <w:tcW w:w="2395" w:type="dxa"/>
            <w:tcBorders>
              <w:top w:val="single" w:sz="8" w:space="0" w:color="000000"/>
              <w:left w:val="single" w:sz="8" w:space="0" w:color="000000"/>
              <w:bottom w:val="single" w:sz="6" w:space="0" w:color="000000"/>
              <w:right w:val="single" w:sz="8" w:space="0" w:color="000000"/>
            </w:tcBorders>
            <w:vAlign w:val="center"/>
          </w:tcPr>
          <w:p w14:paraId="15110E97" w14:textId="1E420804" w:rsidR="005223F2" w:rsidRPr="00CA09AF" w:rsidRDefault="005223F2" w:rsidP="00D45D19">
            <w:pPr>
              <w:pStyle w:val="a3"/>
              <w:wordWrap w:val="0"/>
              <w:ind w:firstLineChars="0" w:firstLine="0"/>
              <w:rPr>
                <w:rFonts w:ascii="宋体" w:hAnsi="宋体" w:cs="宋体"/>
                <w:kern w:val="0"/>
                <w:szCs w:val="21"/>
              </w:rPr>
            </w:pPr>
            <w:r w:rsidRPr="00CA09AF">
              <w:rPr>
                <w:rFonts w:hint="eastAsia"/>
                <w:szCs w:val="21"/>
              </w:rPr>
              <w:t>自基金合同生效起至今</w:t>
            </w:r>
          </w:p>
        </w:tc>
        <w:tc>
          <w:tcPr>
            <w:tcW w:w="997" w:type="dxa"/>
            <w:tcBorders>
              <w:top w:val="single" w:sz="8" w:space="0" w:color="000000"/>
              <w:left w:val="single" w:sz="8" w:space="0" w:color="000000"/>
              <w:bottom w:val="single" w:sz="6" w:space="0" w:color="000000"/>
              <w:right w:val="single" w:sz="8" w:space="0" w:color="000000"/>
            </w:tcBorders>
          </w:tcPr>
          <w:p w14:paraId="4A697D1A" w14:textId="1972FB53" w:rsidR="005223F2" w:rsidRPr="005223F2" w:rsidRDefault="005223F2" w:rsidP="00D45D19">
            <w:pPr>
              <w:pStyle w:val="biaogecenter"/>
              <w:wordWrap w:val="0"/>
              <w:rPr>
                <w:szCs w:val="21"/>
              </w:rPr>
            </w:pPr>
            <w:r w:rsidRPr="00F61A1B">
              <w:rPr>
                <w:sz w:val="21"/>
                <w:szCs w:val="21"/>
              </w:rPr>
              <w:t>186.37%</w:t>
            </w:r>
          </w:p>
        </w:tc>
        <w:tc>
          <w:tcPr>
            <w:tcW w:w="993" w:type="dxa"/>
            <w:tcBorders>
              <w:top w:val="single" w:sz="8" w:space="0" w:color="000000"/>
              <w:left w:val="single" w:sz="8" w:space="0" w:color="000000"/>
              <w:bottom w:val="single" w:sz="6" w:space="0" w:color="000000"/>
              <w:right w:val="single" w:sz="8" w:space="0" w:color="000000"/>
            </w:tcBorders>
          </w:tcPr>
          <w:p w14:paraId="4BF12027" w14:textId="6440C6C8" w:rsidR="005223F2" w:rsidRPr="005223F2" w:rsidRDefault="005223F2" w:rsidP="00D45D19">
            <w:pPr>
              <w:pStyle w:val="biaogecenter"/>
              <w:wordWrap w:val="0"/>
              <w:rPr>
                <w:szCs w:val="21"/>
              </w:rPr>
            </w:pPr>
            <w:r w:rsidRPr="00F61A1B">
              <w:rPr>
                <w:sz w:val="21"/>
                <w:szCs w:val="21"/>
              </w:rPr>
              <w:t xml:space="preserve">1.35% </w:t>
            </w:r>
          </w:p>
        </w:tc>
        <w:tc>
          <w:tcPr>
            <w:tcW w:w="999" w:type="dxa"/>
            <w:tcBorders>
              <w:top w:val="single" w:sz="8" w:space="0" w:color="000000"/>
              <w:left w:val="single" w:sz="8" w:space="0" w:color="000000"/>
              <w:bottom w:val="single" w:sz="6" w:space="0" w:color="000000"/>
              <w:right w:val="single" w:sz="8" w:space="0" w:color="000000"/>
            </w:tcBorders>
          </w:tcPr>
          <w:p w14:paraId="7C6B6842" w14:textId="2416E450" w:rsidR="005223F2" w:rsidRPr="005223F2" w:rsidRDefault="005223F2" w:rsidP="00D45D19">
            <w:pPr>
              <w:pStyle w:val="biaogecenter"/>
              <w:wordWrap w:val="0"/>
              <w:rPr>
                <w:szCs w:val="21"/>
              </w:rPr>
            </w:pPr>
            <w:r w:rsidRPr="00F61A1B">
              <w:rPr>
                <w:sz w:val="21"/>
                <w:szCs w:val="21"/>
              </w:rPr>
              <w:t xml:space="preserve">62.62% </w:t>
            </w:r>
          </w:p>
        </w:tc>
        <w:tc>
          <w:tcPr>
            <w:tcW w:w="1416" w:type="dxa"/>
            <w:tcBorders>
              <w:top w:val="single" w:sz="8" w:space="0" w:color="000000"/>
              <w:left w:val="single" w:sz="8" w:space="0" w:color="000000"/>
              <w:bottom w:val="single" w:sz="6" w:space="0" w:color="000000"/>
              <w:right w:val="single" w:sz="8" w:space="0" w:color="000000"/>
            </w:tcBorders>
          </w:tcPr>
          <w:p w14:paraId="3F8BA1FD" w14:textId="1D419BFE" w:rsidR="005223F2" w:rsidRPr="005223F2" w:rsidRDefault="005223F2" w:rsidP="00D45D19">
            <w:pPr>
              <w:pStyle w:val="biaogecenter"/>
              <w:wordWrap w:val="0"/>
              <w:rPr>
                <w:szCs w:val="21"/>
              </w:rPr>
            </w:pPr>
            <w:r w:rsidRPr="00F61A1B">
              <w:rPr>
                <w:sz w:val="21"/>
                <w:szCs w:val="21"/>
              </w:rPr>
              <w:t xml:space="preserve">1.27% </w:t>
            </w:r>
          </w:p>
        </w:tc>
        <w:tc>
          <w:tcPr>
            <w:tcW w:w="1412" w:type="dxa"/>
            <w:tcBorders>
              <w:top w:val="single" w:sz="8" w:space="0" w:color="000000"/>
              <w:left w:val="single" w:sz="8" w:space="0" w:color="000000"/>
              <w:bottom w:val="single" w:sz="6" w:space="0" w:color="000000"/>
              <w:right w:val="single" w:sz="8" w:space="0" w:color="000000"/>
            </w:tcBorders>
          </w:tcPr>
          <w:p w14:paraId="6AD2440B" w14:textId="790A2B53" w:rsidR="005223F2" w:rsidRPr="005223F2" w:rsidRDefault="005223F2" w:rsidP="00D45D19">
            <w:pPr>
              <w:pStyle w:val="biaogecenter"/>
              <w:wordWrap w:val="0"/>
              <w:rPr>
                <w:szCs w:val="21"/>
              </w:rPr>
            </w:pPr>
            <w:r w:rsidRPr="00E7511D">
              <w:rPr>
                <w:sz w:val="21"/>
                <w:szCs w:val="21"/>
              </w:rPr>
              <w:t>123.75%</w:t>
            </w:r>
          </w:p>
        </w:tc>
        <w:tc>
          <w:tcPr>
            <w:tcW w:w="908" w:type="dxa"/>
            <w:tcBorders>
              <w:top w:val="single" w:sz="8" w:space="0" w:color="000000"/>
              <w:left w:val="single" w:sz="8" w:space="0" w:color="000000"/>
              <w:bottom w:val="single" w:sz="6" w:space="0" w:color="000000"/>
              <w:right w:val="single" w:sz="8" w:space="0" w:color="000000"/>
            </w:tcBorders>
          </w:tcPr>
          <w:p w14:paraId="1F8951BC" w14:textId="162CF701" w:rsidR="005223F2" w:rsidRPr="005223F2" w:rsidRDefault="005223F2" w:rsidP="00D45D19">
            <w:pPr>
              <w:pStyle w:val="biaogecenter"/>
              <w:wordWrap w:val="0"/>
              <w:rPr>
                <w:szCs w:val="21"/>
              </w:rPr>
            </w:pPr>
            <w:r w:rsidRPr="00F61A1B">
              <w:rPr>
                <w:sz w:val="21"/>
                <w:szCs w:val="21"/>
              </w:rPr>
              <w:t xml:space="preserve">0.08% </w:t>
            </w:r>
          </w:p>
        </w:tc>
      </w:tr>
    </w:tbl>
    <w:p w14:paraId="2AB533EE" w14:textId="77777777" w:rsidR="003568C2" w:rsidRDefault="00695B03">
      <w:pPr>
        <w:pStyle w:val="biaogeleft"/>
      </w:pPr>
      <w:r>
        <w:rPr>
          <w:rFonts w:hint="eastAsia"/>
          <w:b/>
          <w:bCs/>
        </w:rPr>
        <w:t>富荣沪深300指数增强C净值表现</w:t>
      </w:r>
    </w:p>
    <w:tbl>
      <w:tblPr>
        <w:tblW w:w="9126" w:type="dxa"/>
        <w:jc w:val="center"/>
        <w:tblLook w:val="04A0" w:firstRow="1" w:lastRow="0" w:firstColumn="1" w:lastColumn="0" w:noHBand="0" w:noVBand="1"/>
      </w:tblPr>
      <w:tblGrid>
        <w:gridCol w:w="2341"/>
        <w:gridCol w:w="1049"/>
        <w:gridCol w:w="1236"/>
        <w:gridCol w:w="1318"/>
        <w:gridCol w:w="1331"/>
        <w:gridCol w:w="1018"/>
        <w:gridCol w:w="833"/>
      </w:tblGrid>
      <w:tr w:rsidR="005223F2" w14:paraId="1D79E0CB" w14:textId="77777777" w:rsidTr="00D45D19">
        <w:trPr>
          <w:trHeight w:val="1975"/>
          <w:jc w:val="center"/>
        </w:trPr>
        <w:tc>
          <w:tcPr>
            <w:tcW w:w="2341" w:type="dxa"/>
            <w:tcBorders>
              <w:top w:val="single" w:sz="8" w:space="0" w:color="000000"/>
              <w:left w:val="single" w:sz="8" w:space="0" w:color="000000"/>
              <w:bottom w:val="single" w:sz="6" w:space="0" w:color="000000"/>
              <w:right w:val="single" w:sz="8" w:space="0" w:color="000000"/>
            </w:tcBorders>
            <w:vAlign w:val="center"/>
          </w:tcPr>
          <w:p w14:paraId="0495F1E7" w14:textId="77777777" w:rsidR="003568C2" w:rsidRDefault="00695B03">
            <w:pPr>
              <w:pStyle w:val="biaogeleft"/>
              <w:wordWrap w:val="0"/>
              <w:rPr>
                <w:sz w:val="21"/>
                <w:szCs w:val="21"/>
              </w:rPr>
            </w:pPr>
            <w:r>
              <w:rPr>
                <w:rFonts w:hint="eastAsia"/>
                <w:sz w:val="21"/>
                <w:szCs w:val="21"/>
              </w:rPr>
              <w:t>阶段</w:t>
            </w:r>
          </w:p>
        </w:tc>
        <w:tc>
          <w:tcPr>
            <w:tcW w:w="1049" w:type="dxa"/>
            <w:tcBorders>
              <w:top w:val="single" w:sz="8" w:space="0" w:color="000000"/>
              <w:left w:val="single" w:sz="8" w:space="0" w:color="000000"/>
              <w:bottom w:val="single" w:sz="6" w:space="0" w:color="000000"/>
              <w:right w:val="single" w:sz="8" w:space="0" w:color="000000"/>
            </w:tcBorders>
            <w:vAlign w:val="center"/>
          </w:tcPr>
          <w:p w14:paraId="076DE67D" w14:textId="77777777" w:rsidR="003568C2" w:rsidRDefault="00695B03">
            <w:pPr>
              <w:pStyle w:val="biaogecenter"/>
              <w:wordWrap w:val="0"/>
              <w:rPr>
                <w:sz w:val="21"/>
                <w:szCs w:val="21"/>
              </w:rPr>
            </w:pPr>
            <w:r>
              <w:rPr>
                <w:rFonts w:hint="eastAsia"/>
                <w:sz w:val="21"/>
                <w:szCs w:val="21"/>
              </w:rPr>
              <w:t>净值增长率①</w:t>
            </w:r>
          </w:p>
        </w:tc>
        <w:tc>
          <w:tcPr>
            <w:tcW w:w="1236" w:type="dxa"/>
            <w:tcBorders>
              <w:top w:val="single" w:sz="8" w:space="0" w:color="000000"/>
              <w:left w:val="single" w:sz="8" w:space="0" w:color="000000"/>
              <w:bottom w:val="single" w:sz="6" w:space="0" w:color="000000"/>
              <w:right w:val="single" w:sz="8" w:space="0" w:color="000000"/>
            </w:tcBorders>
            <w:vAlign w:val="center"/>
          </w:tcPr>
          <w:p w14:paraId="1E300C66" w14:textId="77777777" w:rsidR="003568C2" w:rsidRDefault="00695B03">
            <w:pPr>
              <w:pStyle w:val="biaogecenter"/>
              <w:wordWrap w:val="0"/>
              <w:rPr>
                <w:sz w:val="21"/>
                <w:szCs w:val="21"/>
              </w:rPr>
            </w:pPr>
            <w:r>
              <w:rPr>
                <w:rFonts w:hint="eastAsia"/>
                <w:sz w:val="21"/>
                <w:szCs w:val="21"/>
              </w:rPr>
              <w:t>净值增长率标准差②</w:t>
            </w:r>
          </w:p>
        </w:tc>
        <w:tc>
          <w:tcPr>
            <w:tcW w:w="1318" w:type="dxa"/>
            <w:tcBorders>
              <w:top w:val="single" w:sz="8" w:space="0" w:color="000000"/>
              <w:left w:val="single" w:sz="8" w:space="0" w:color="000000"/>
              <w:bottom w:val="single" w:sz="6" w:space="0" w:color="000000"/>
              <w:right w:val="single" w:sz="8" w:space="0" w:color="000000"/>
            </w:tcBorders>
            <w:vAlign w:val="center"/>
          </w:tcPr>
          <w:p w14:paraId="3458675E" w14:textId="77777777" w:rsidR="003568C2" w:rsidRDefault="00695B03">
            <w:pPr>
              <w:pStyle w:val="biaogecenter"/>
              <w:wordWrap w:val="0"/>
              <w:rPr>
                <w:sz w:val="21"/>
                <w:szCs w:val="21"/>
              </w:rPr>
            </w:pPr>
            <w:r>
              <w:rPr>
                <w:rFonts w:hint="eastAsia"/>
                <w:sz w:val="21"/>
                <w:szCs w:val="21"/>
              </w:rPr>
              <w:t>业绩比较基准收益率③</w:t>
            </w:r>
          </w:p>
        </w:tc>
        <w:tc>
          <w:tcPr>
            <w:tcW w:w="1331" w:type="dxa"/>
            <w:tcBorders>
              <w:top w:val="single" w:sz="8" w:space="0" w:color="000000"/>
              <w:left w:val="single" w:sz="8" w:space="0" w:color="000000"/>
              <w:bottom w:val="single" w:sz="6" w:space="0" w:color="000000"/>
              <w:right w:val="single" w:sz="8" w:space="0" w:color="000000"/>
            </w:tcBorders>
            <w:vAlign w:val="center"/>
          </w:tcPr>
          <w:p w14:paraId="3E825179" w14:textId="77777777" w:rsidR="003568C2" w:rsidRDefault="00695B03">
            <w:pPr>
              <w:pStyle w:val="biaogecenter"/>
              <w:wordWrap w:val="0"/>
              <w:rPr>
                <w:sz w:val="21"/>
                <w:szCs w:val="21"/>
              </w:rPr>
            </w:pPr>
            <w:r>
              <w:rPr>
                <w:rFonts w:hint="eastAsia"/>
                <w:sz w:val="21"/>
                <w:szCs w:val="21"/>
              </w:rPr>
              <w:t>业绩比较基准收益率标准差④</w:t>
            </w:r>
          </w:p>
        </w:tc>
        <w:tc>
          <w:tcPr>
            <w:tcW w:w="1018" w:type="dxa"/>
            <w:tcBorders>
              <w:top w:val="single" w:sz="8" w:space="0" w:color="000000"/>
              <w:left w:val="single" w:sz="8" w:space="0" w:color="000000"/>
              <w:bottom w:val="single" w:sz="6" w:space="0" w:color="000000"/>
              <w:right w:val="single" w:sz="8" w:space="0" w:color="000000"/>
            </w:tcBorders>
            <w:vAlign w:val="center"/>
          </w:tcPr>
          <w:p w14:paraId="287C5E02" w14:textId="77777777" w:rsidR="003568C2" w:rsidRDefault="00695B03">
            <w:pPr>
              <w:pStyle w:val="biaogecenter"/>
              <w:wordWrap w:val="0"/>
              <w:rPr>
                <w:sz w:val="21"/>
                <w:szCs w:val="21"/>
              </w:rPr>
            </w:pPr>
            <w:r>
              <w:rPr>
                <w:rFonts w:hint="eastAsia"/>
                <w:sz w:val="21"/>
                <w:szCs w:val="21"/>
              </w:rPr>
              <w:t>①</w:t>
            </w:r>
            <w:r>
              <w:rPr>
                <w:sz w:val="21"/>
                <w:szCs w:val="21"/>
              </w:rPr>
              <w:t>-③</w:t>
            </w:r>
          </w:p>
        </w:tc>
        <w:tc>
          <w:tcPr>
            <w:tcW w:w="833" w:type="dxa"/>
            <w:tcBorders>
              <w:top w:val="single" w:sz="8" w:space="0" w:color="000000"/>
              <w:left w:val="single" w:sz="8" w:space="0" w:color="000000"/>
              <w:bottom w:val="single" w:sz="6" w:space="0" w:color="000000"/>
              <w:right w:val="single" w:sz="8" w:space="0" w:color="000000"/>
            </w:tcBorders>
            <w:vAlign w:val="center"/>
          </w:tcPr>
          <w:p w14:paraId="462F3E67" w14:textId="77777777" w:rsidR="003568C2" w:rsidRDefault="00695B03">
            <w:pPr>
              <w:pStyle w:val="biaogecenter"/>
              <w:wordWrap w:val="0"/>
              <w:rPr>
                <w:sz w:val="21"/>
                <w:szCs w:val="21"/>
              </w:rPr>
            </w:pPr>
            <w:r>
              <w:rPr>
                <w:rFonts w:hint="eastAsia"/>
                <w:sz w:val="21"/>
                <w:szCs w:val="21"/>
              </w:rPr>
              <w:t>②</w:t>
            </w:r>
            <w:r>
              <w:rPr>
                <w:sz w:val="21"/>
                <w:szCs w:val="21"/>
              </w:rPr>
              <w:t>-④</w:t>
            </w:r>
          </w:p>
        </w:tc>
      </w:tr>
      <w:tr w:rsidR="005223F2" w14:paraId="3C193FF3" w14:textId="77777777" w:rsidTr="00D45D19">
        <w:trPr>
          <w:trHeight w:val="506"/>
          <w:jc w:val="center"/>
        </w:trPr>
        <w:tc>
          <w:tcPr>
            <w:tcW w:w="2341" w:type="dxa"/>
            <w:tcBorders>
              <w:top w:val="single" w:sz="8" w:space="0" w:color="000000"/>
              <w:left w:val="single" w:sz="8" w:space="0" w:color="000000"/>
              <w:bottom w:val="single" w:sz="6" w:space="0" w:color="000000"/>
              <w:right w:val="single" w:sz="8" w:space="0" w:color="000000"/>
            </w:tcBorders>
            <w:vAlign w:val="center"/>
          </w:tcPr>
          <w:p w14:paraId="67B18A62" w14:textId="6E0ECE7D" w:rsidR="005223F2" w:rsidRDefault="005223F2" w:rsidP="005223F2">
            <w:pPr>
              <w:pStyle w:val="biaogeleft"/>
              <w:wordWrap w:val="0"/>
              <w:rPr>
                <w:sz w:val="21"/>
                <w:szCs w:val="21"/>
              </w:rPr>
            </w:pPr>
            <w:r>
              <w:rPr>
                <w:sz w:val="21"/>
                <w:szCs w:val="21"/>
              </w:rPr>
              <w:t>2019.1.24-2019.12.31</w:t>
            </w:r>
          </w:p>
        </w:tc>
        <w:tc>
          <w:tcPr>
            <w:tcW w:w="1049" w:type="dxa"/>
            <w:tcBorders>
              <w:top w:val="single" w:sz="8" w:space="0" w:color="000000"/>
              <w:left w:val="single" w:sz="8" w:space="0" w:color="000000"/>
              <w:bottom w:val="single" w:sz="6" w:space="0" w:color="000000"/>
              <w:right w:val="single" w:sz="8" w:space="0" w:color="000000"/>
            </w:tcBorders>
            <w:vAlign w:val="center"/>
          </w:tcPr>
          <w:p w14:paraId="2116CC1D" w14:textId="49147D75" w:rsidR="005223F2" w:rsidRDefault="005223F2" w:rsidP="005223F2">
            <w:pPr>
              <w:pStyle w:val="biaogecenter"/>
              <w:wordWrap w:val="0"/>
              <w:rPr>
                <w:sz w:val="21"/>
                <w:szCs w:val="21"/>
              </w:rPr>
            </w:pPr>
            <w:r>
              <w:rPr>
                <w:sz w:val="21"/>
                <w:szCs w:val="21"/>
              </w:rPr>
              <w:t>44.84%</w:t>
            </w:r>
          </w:p>
        </w:tc>
        <w:tc>
          <w:tcPr>
            <w:tcW w:w="1236" w:type="dxa"/>
            <w:tcBorders>
              <w:top w:val="single" w:sz="8" w:space="0" w:color="000000"/>
              <w:left w:val="single" w:sz="8" w:space="0" w:color="000000"/>
              <w:bottom w:val="single" w:sz="6" w:space="0" w:color="000000"/>
              <w:right w:val="single" w:sz="8" w:space="0" w:color="000000"/>
            </w:tcBorders>
            <w:vAlign w:val="center"/>
          </w:tcPr>
          <w:p w14:paraId="02A12757" w14:textId="321DC8A6" w:rsidR="005223F2" w:rsidRDefault="005223F2" w:rsidP="005223F2">
            <w:pPr>
              <w:pStyle w:val="biaogecenter"/>
              <w:wordWrap w:val="0"/>
              <w:rPr>
                <w:sz w:val="21"/>
                <w:szCs w:val="21"/>
              </w:rPr>
            </w:pPr>
            <w:r>
              <w:rPr>
                <w:sz w:val="21"/>
                <w:szCs w:val="21"/>
              </w:rPr>
              <w:t>1.22%</w:t>
            </w:r>
          </w:p>
        </w:tc>
        <w:tc>
          <w:tcPr>
            <w:tcW w:w="1318" w:type="dxa"/>
            <w:tcBorders>
              <w:top w:val="single" w:sz="8" w:space="0" w:color="000000"/>
              <w:left w:val="single" w:sz="8" w:space="0" w:color="000000"/>
              <w:bottom w:val="single" w:sz="6" w:space="0" w:color="000000"/>
              <w:right w:val="single" w:sz="8" w:space="0" w:color="000000"/>
            </w:tcBorders>
            <w:vAlign w:val="center"/>
          </w:tcPr>
          <w:p w14:paraId="7B6EEDEC" w14:textId="3BA7454C" w:rsidR="005223F2" w:rsidRDefault="005223F2" w:rsidP="005223F2">
            <w:pPr>
              <w:pStyle w:val="biaogecenter"/>
              <w:wordWrap w:val="0"/>
              <w:rPr>
                <w:sz w:val="21"/>
                <w:szCs w:val="21"/>
              </w:rPr>
            </w:pPr>
            <w:r>
              <w:rPr>
                <w:sz w:val="21"/>
                <w:szCs w:val="21"/>
              </w:rPr>
              <w:t>28.83%</w:t>
            </w:r>
          </w:p>
        </w:tc>
        <w:tc>
          <w:tcPr>
            <w:tcW w:w="1331" w:type="dxa"/>
            <w:tcBorders>
              <w:top w:val="single" w:sz="8" w:space="0" w:color="000000"/>
              <w:left w:val="single" w:sz="8" w:space="0" w:color="000000"/>
              <w:bottom w:val="single" w:sz="6" w:space="0" w:color="000000"/>
              <w:right w:val="single" w:sz="8" w:space="0" w:color="000000"/>
            </w:tcBorders>
            <w:vAlign w:val="center"/>
          </w:tcPr>
          <w:p w14:paraId="69AA7537" w14:textId="1B1A48E8" w:rsidR="005223F2" w:rsidRDefault="005223F2" w:rsidP="005223F2">
            <w:pPr>
              <w:pStyle w:val="biaogecenter"/>
              <w:wordWrap w:val="0"/>
              <w:rPr>
                <w:sz w:val="21"/>
                <w:szCs w:val="21"/>
              </w:rPr>
            </w:pPr>
            <w:r>
              <w:rPr>
                <w:sz w:val="21"/>
                <w:szCs w:val="21"/>
              </w:rPr>
              <w:t>1.19%</w:t>
            </w:r>
          </w:p>
        </w:tc>
        <w:tc>
          <w:tcPr>
            <w:tcW w:w="1018" w:type="dxa"/>
            <w:tcBorders>
              <w:top w:val="single" w:sz="8" w:space="0" w:color="000000"/>
              <w:left w:val="single" w:sz="8" w:space="0" w:color="000000"/>
              <w:bottom w:val="single" w:sz="6" w:space="0" w:color="000000"/>
              <w:right w:val="single" w:sz="8" w:space="0" w:color="000000"/>
            </w:tcBorders>
            <w:vAlign w:val="center"/>
          </w:tcPr>
          <w:p w14:paraId="4B5FA0E9" w14:textId="5A6BAD05" w:rsidR="005223F2" w:rsidRDefault="005223F2" w:rsidP="005223F2">
            <w:pPr>
              <w:pStyle w:val="biaogecenter"/>
              <w:wordWrap w:val="0"/>
              <w:rPr>
                <w:sz w:val="21"/>
                <w:szCs w:val="21"/>
              </w:rPr>
            </w:pPr>
            <w:r>
              <w:rPr>
                <w:sz w:val="21"/>
                <w:szCs w:val="21"/>
              </w:rPr>
              <w:t>16.01%</w:t>
            </w:r>
          </w:p>
        </w:tc>
        <w:tc>
          <w:tcPr>
            <w:tcW w:w="833" w:type="dxa"/>
            <w:tcBorders>
              <w:top w:val="single" w:sz="8" w:space="0" w:color="000000"/>
              <w:left w:val="single" w:sz="8" w:space="0" w:color="000000"/>
              <w:bottom w:val="single" w:sz="6" w:space="0" w:color="000000"/>
              <w:right w:val="single" w:sz="8" w:space="0" w:color="000000"/>
            </w:tcBorders>
            <w:vAlign w:val="center"/>
          </w:tcPr>
          <w:p w14:paraId="2EACF3FF" w14:textId="6FD97041" w:rsidR="005223F2" w:rsidRDefault="005223F2" w:rsidP="005223F2">
            <w:pPr>
              <w:pStyle w:val="biaogecenter"/>
              <w:wordWrap w:val="0"/>
              <w:rPr>
                <w:sz w:val="21"/>
                <w:szCs w:val="21"/>
              </w:rPr>
            </w:pPr>
            <w:r>
              <w:rPr>
                <w:sz w:val="21"/>
                <w:szCs w:val="21"/>
              </w:rPr>
              <w:t>0.03%</w:t>
            </w:r>
          </w:p>
        </w:tc>
      </w:tr>
      <w:tr w:rsidR="005223F2" w14:paraId="6941DBA1" w14:textId="77777777" w:rsidTr="00D45D19">
        <w:trPr>
          <w:trHeight w:val="529"/>
          <w:jc w:val="center"/>
        </w:trPr>
        <w:tc>
          <w:tcPr>
            <w:tcW w:w="2341" w:type="dxa"/>
            <w:tcBorders>
              <w:top w:val="single" w:sz="8" w:space="0" w:color="000000"/>
              <w:left w:val="single" w:sz="8" w:space="0" w:color="000000"/>
              <w:bottom w:val="single" w:sz="6" w:space="0" w:color="000000"/>
              <w:right w:val="single" w:sz="8" w:space="0" w:color="000000"/>
            </w:tcBorders>
            <w:vAlign w:val="center"/>
          </w:tcPr>
          <w:p w14:paraId="2FB71D9A" w14:textId="03B46CD8" w:rsidR="005223F2" w:rsidRDefault="005223F2" w:rsidP="005223F2">
            <w:pPr>
              <w:pStyle w:val="biaogeleft"/>
              <w:wordWrap w:val="0"/>
              <w:rPr>
                <w:sz w:val="21"/>
                <w:szCs w:val="21"/>
              </w:rPr>
            </w:pPr>
            <w:r>
              <w:rPr>
                <w:rFonts w:hint="eastAsia"/>
                <w:sz w:val="21"/>
                <w:szCs w:val="21"/>
              </w:rPr>
              <w:t>2020.1.1-2020.12.31</w:t>
            </w:r>
          </w:p>
        </w:tc>
        <w:tc>
          <w:tcPr>
            <w:tcW w:w="1049" w:type="dxa"/>
            <w:tcBorders>
              <w:top w:val="single" w:sz="8" w:space="0" w:color="000000"/>
              <w:left w:val="single" w:sz="8" w:space="0" w:color="000000"/>
              <w:bottom w:val="single" w:sz="6" w:space="0" w:color="000000"/>
              <w:right w:val="single" w:sz="8" w:space="0" w:color="000000"/>
            </w:tcBorders>
          </w:tcPr>
          <w:p w14:paraId="1EF76BFF" w14:textId="3BC05E6E" w:rsidR="005223F2" w:rsidRDefault="005223F2" w:rsidP="005223F2">
            <w:pPr>
              <w:pStyle w:val="biaogecenter"/>
              <w:wordWrap w:val="0"/>
              <w:rPr>
                <w:sz w:val="21"/>
                <w:szCs w:val="21"/>
              </w:rPr>
            </w:pPr>
            <w:r w:rsidRPr="00F61A1B">
              <w:rPr>
                <w:sz w:val="21"/>
                <w:szCs w:val="21"/>
              </w:rPr>
              <w:t>85.41%</w:t>
            </w:r>
          </w:p>
        </w:tc>
        <w:tc>
          <w:tcPr>
            <w:tcW w:w="1236" w:type="dxa"/>
            <w:tcBorders>
              <w:top w:val="single" w:sz="8" w:space="0" w:color="000000"/>
              <w:left w:val="single" w:sz="8" w:space="0" w:color="000000"/>
              <w:bottom w:val="single" w:sz="6" w:space="0" w:color="000000"/>
              <w:right w:val="single" w:sz="8" w:space="0" w:color="000000"/>
            </w:tcBorders>
          </w:tcPr>
          <w:p w14:paraId="14F6E151" w14:textId="5DF37222" w:rsidR="005223F2" w:rsidRDefault="005223F2" w:rsidP="005223F2">
            <w:pPr>
              <w:pStyle w:val="biaogecenter"/>
              <w:wordWrap w:val="0"/>
              <w:rPr>
                <w:sz w:val="21"/>
                <w:szCs w:val="21"/>
              </w:rPr>
            </w:pPr>
            <w:r w:rsidRPr="00F61A1B">
              <w:rPr>
                <w:sz w:val="21"/>
                <w:szCs w:val="21"/>
              </w:rPr>
              <w:t>1.47%</w:t>
            </w:r>
          </w:p>
        </w:tc>
        <w:tc>
          <w:tcPr>
            <w:tcW w:w="1318" w:type="dxa"/>
            <w:tcBorders>
              <w:top w:val="single" w:sz="8" w:space="0" w:color="000000"/>
              <w:left w:val="single" w:sz="8" w:space="0" w:color="000000"/>
              <w:bottom w:val="single" w:sz="6" w:space="0" w:color="000000"/>
              <w:right w:val="single" w:sz="8" w:space="0" w:color="000000"/>
            </w:tcBorders>
          </w:tcPr>
          <w:p w14:paraId="5E2EA56F" w14:textId="5F6E69D3" w:rsidR="005223F2" w:rsidRDefault="005223F2" w:rsidP="005223F2">
            <w:pPr>
              <w:pStyle w:val="biaogecenter"/>
              <w:wordWrap w:val="0"/>
              <w:rPr>
                <w:sz w:val="21"/>
                <w:szCs w:val="21"/>
              </w:rPr>
            </w:pPr>
            <w:r w:rsidRPr="00F61A1B">
              <w:rPr>
                <w:sz w:val="21"/>
                <w:szCs w:val="21"/>
              </w:rPr>
              <w:t>25.86%</w:t>
            </w:r>
          </w:p>
        </w:tc>
        <w:tc>
          <w:tcPr>
            <w:tcW w:w="1331" w:type="dxa"/>
            <w:tcBorders>
              <w:top w:val="single" w:sz="8" w:space="0" w:color="000000"/>
              <w:left w:val="single" w:sz="8" w:space="0" w:color="000000"/>
              <w:bottom w:val="single" w:sz="6" w:space="0" w:color="000000"/>
              <w:right w:val="single" w:sz="8" w:space="0" w:color="000000"/>
            </w:tcBorders>
          </w:tcPr>
          <w:p w14:paraId="3E8D7854" w14:textId="29DEBDF0" w:rsidR="005223F2" w:rsidRDefault="005223F2" w:rsidP="005223F2">
            <w:pPr>
              <w:pStyle w:val="biaogecenter"/>
              <w:wordWrap w:val="0"/>
              <w:rPr>
                <w:sz w:val="21"/>
                <w:szCs w:val="21"/>
              </w:rPr>
            </w:pPr>
            <w:r w:rsidRPr="00F61A1B">
              <w:rPr>
                <w:sz w:val="21"/>
                <w:szCs w:val="21"/>
              </w:rPr>
              <w:t>1.36%</w:t>
            </w:r>
          </w:p>
        </w:tc>
        <w:tc>
          <w:tcPr>
            <w:tcW w:w="1018" w:type="dxa"/>
            <w:tcBorders>
              <w:top w:val="single" w:sz="8" w:space="0" w:color="000000"/>
              <w:left w:val="single" w:sz="8" w:space="0" w:color="000000"/>
              <w:bottom w:val="single" w:sz="6" w:space="0" w:color="000000"/>
              <w:right w:val="single" w:sz="8" w:space="0" w:color="000000"/>
            </w:tcBorders>
          </w:tcPr>
          <w:p w14:paraId="544E02A9" w14:textId="61296472" w:rsidR="005223F2" w:rsidRDefault="005223F2" w:rsidP="005223F2">
            <w:pPr>
              <w:pStyle w:val="biaogecenter"/>
              <w:wordWrap w:val="0"/>
              <w:rPr>
                <w:sz w:val="21"/>
                <w:szCs w:val="21"/>
              </w:rPr>
            </w:pPr>
            <w:r w:rsidRPr="00F61A1B">
              <w:rPr>
                <w:sz w:val="21"/>
                <w:szCs w:val="21"/>
              </w:rPr>
              <w:t>59.55%</w:t>
            </w:r>
          </w:p>
        </w:tc>
        <w:tc>
          <w:tcPr>
            <w:tcW w:w="833" w:type="dxa"/>
            <w:tcBorders>
              <w:top w:val="single" w:sz="8" w:space="0" w:color="000000"/>
              <w:left w:val="single" w:sz="8" w:space="0" w:color="000000"/>
              <w:bottom w:val="single" w:sz="6" w:space="0" w:color="000000"/>
              <w:right w:val="single" w:sz="8" w:space="0" w:color="000000"/>
            </w:tcBorders>
          </w:tcPr>
          <w:p w14:paraId="4FC8E68F" w14:textId="0BFF5577" w:rsidR="005223F2" w:rsidRDefault="005223F2" w:rsidP="005223F2">
            <w:pPr>
              <w:pStyle w:val="biaogecenter"/>
              <w:wordWrap w:val="0"/>
              <w:rPr>
                <w:sz w:val="21"/>
                <w:szCs w:val="21"/>
              </w:rPr>
            </w:pPr>
            <w:r w:rsidRPr="00F61A1B">
              <w:rPr>
                <w:sz w:val="21"/>
                <w:szCs w:val="21"/>
              </w:rPr>
              <w:t>0.11%</w:t>
            </w:r>
          </w:p>
        </w:tc>
      </w:tr>
      <w:tr w:rsidR="005223F2" w14:paraId="20CDA934" w14:textId="77777777" w:rsidTr="00D45D19">
        <w:trPr>
          <w:trHeight w:val="529"/>
          <w:jc w:val="center"/>
        </w:trPr>
        <w:tc>
          <w:tcPr>
            <w:tcW w:w="2341" w:type="dxa"/>
            <w:tcBorders>
              <w:top w:val="single" w:sz="8" w:space="0" w:color="000000"/>
              <w:left w:val="single" w:sz="8" w:space="0" w:color="000000"/>
              <w:bottom w:val="single" w:sz="6" w:space="0" w:color="000000"/>
              <w:right w:val="single" w:sz="8" w:space="0" w:color="000000"/>
            </w:tcBorders>
            <w:vAlign w:val="center"/>
          </w:tcPr>
          <w:p w14:paraId="1E93ADF8" w14:textId="5D7E66DC" w:rsidR="005223F2" w:rsidRDefault="005223F2" w:rsidP="005223F2">
            <w:pPr>
              <w:pStyle w:val="biaogeleft"/>
              <w:wordWrap w:val="0"/>
              <w:rPr>
                <w:sz w:val="21"/>
                <w:szCs w:val="21"/>
              </w:rPr>
            </w:pPr>
            <w:r>
              <w:rPr>
                <w:rFonts w:hint="eastAsia"/>
                <w:sz w:val="21"/>
                <w:szCs w:val="21"/>
              </w:rPr>
              <w:t>2021.1.1-2021.6.30</w:t>
            </w:r>
          </w:p>
        </w:tc>
        <w:tc>
          <w:tcPr>
            <w:tcW w:w="1049" w:type="dxa"/>
            <w:tcBorders>
              <w:top w:val="single" w:sz="8" w:space="0" w:color="000000"/>
              <w:left w:val="single" w:sz="8" w:space="0" w:color="000000"/>
              <w:bottom w:val="single" w:sz="6" w:space="0" w:color="000000"/>
              <w:right w:val="single" w:sz="8" w:space="0" w:color="000000"/>
            </w:tcBorders>
          </w:tcPr>
          <w:p w14:paraId="2285CDF3" w14:textId="553CDB57" w:rsidR="005223F2" w:rsidRDefault="005223F2" w:rsidP="005223F2">
            <w:pPr>
              <w:pStyle w:val="biaogecenter"/>
              <w:wordWrap w:val="0"/>
              <w:rPr>
                <w:sz w:val="21"/>
                <w:szCs w:val="21"/>
              </w:rPr>
            </w:pPr>
            <w:r w:rsidRPr="00F61A1B">
              <w:rPr>
                <w:sz w:val="21"/>
                <w:szCs w:val="21"/>
              </w:rPr>
              <w:t xml:space="preserve">6.35% </w:t>
            </w:r>
          </w:p>
        </w:tc>
        <w:tc>
          <w:tcPr>
            <w:tcW w:w="1236" w:type="dxa"/>
            <w:tcBorders>
              <w:top w:val="single" w:sz="8" w:space="0" w:color="000000"/>
              <w:left w:val="single" w:sz="8" w:space="0" w:color="000000"/>
              <w:bottom w:val="single" w:sz="6" w:space="0" w:color="000000"/>
              <w:right w:val="single" w:sz="8" w:space="0" w:color="000000"/>
            </w:tcBorders>
          </w:tcPr>
          <w:p w14:paraId="023AA85E" w14:textId="1AB77525" w:rsidR="005223F2" w:rsidRDefault="005223F2" w:rsidP="005223F2">
            <w:pPr>
              <w:pStyle w:val="biaogecenter"/>
              <w:wordWrap w:val="0"/>
              <w:rPr>
                <w:sz w:val="21"/>
                <w:szCs w:val="21"/>
              </w:rPr>
            </w:pPr>
            <w:r w:rsidRPr="00F61A1B">
              <w:rPr>
                <w:sz w:val="21"/>
                <w:szCs w:val="21"/>
              </w:rPr>
              <w:t xml:space="preserve">1.35% </w:t>
            </w:r>
          </w:p>
        </w:tc>
        <w:tc>
          <w:tcPr>
            <w:tcW w:w="1318" w:type="dxa"/>
            <w:tcBorders>
              <w:top w:val="single" w:sz="8" w:space="0" w:color="000000"/>
              <w:left w:val="single" w:sz="8" w:space="0" w:color="000000"/>
              <w:bottom w:val="single" w:sz="6" w:space="0" w:color="000000"/>
              <w:right w:val="single" w:sz="8" w:space="0" w:color="000000"/>
            </w:tcBorders>
          </w:tcPr>
          <w:p w14:paraId="1F59BD65" w14:textId="0B15CC6F" w:rsidR="005223F2" w:rsidRDefault="005223F2" w:rsidP="005223F2">
            <w:pPr>
              <w:pStyle w:val="biaogecenter"/>
              <w:wordWrap w:val="0"/>
              <w:rPr>
                <w:sz w:val="21"/>
                <w:szCs w:val="21"/>
              </w:rPr>
            </w:pPr>
            <w:r w:rsidRPr="00F61A1B">
              <w:rPr>
                <w:sz w:val="21"/>
                <w:szCs w:val="21"/>
              </w:rPr>
              <w:t xml:space="preserve">0.29% </w:t>
            </w:r>
          </w:p>
        </w:tc>
        <w:tc>
          <w:tcPr>
            <w:tcW w:w="1331" w:type="dxa"/>
            <w:tcBorders>
              <w:top w:val="single" w:sz="8" w:space="0" w:color="000000"/>
              <w:left w:val="single" w:sz="8" w:space="0" w:color="000000"/>
              <w:bottom w:val="single" w:sz="6" w:space="0" w:color="000000"/>
              <w:right w:val="single" w:sz="8" w:space="0" w:color="000000"/>
            </w:tcBorders>
          </w:tcPr>
          <w:p w14:paraId="50C39BB7" w14:textId="5E507672" w:rsidR="005223F2" w:rsidRDefault="005223F2" w:rsidP="005223F2">
            <w:pPr>
              <w:pStyle w:val="biaogecenter"/>
              <w:wordWrap w:val="0"/>
              <w:rPr>
                <w:sz w:val="21"/>
                <w:szCs w:val="21"/>
              </w:rPr>
            </w:pPr>
            <w:r w:rsidRPr="00F61A1B">
              <w:rPr>
                <w:sz w:val="21"/>
                <w:szCs w:val="21"/>
              </w:rPr>
              <w:t xml:space="preserve">1.25% </w:t>
            </w:r>
          </w:p>
        </w:tc>
        <w:tc>
          <w:tcPr>
            <w:tcW w:w="1018" w:type="dxa"/>
            <w:tcBorders>
              <w:top w:val="single" w:sz="8" w:space="0" w:color="000000"/>
              <w:left w:val="single" w:sz="8" w:space="0" w:color="000000"/>
              <w:bottom w:val="single" w:sz="6" w:space="0" w:color="000000"/>
              <w:right w:val="single" w:sz="8" w:space="0" w:color="000000"/>
            </w:tcBorders>
          </w:tcPr>
          <w:p w14:paraId="7B39AC05" w14:textId="4FDCCF20" w:rsidR="005223F2" w:rsidRDefault="005223F2" w:rsidP="005223F2">
            <w:pPr>
              <w:pStyle w:val="biaogecenter"/>
              <w:wordWrap w:val="0"/>
              <w:rPr>
                <w:sz w:val="21"/>
                <w:szCs w:val="21"/>
              </w:rPr>
            </w:pPr>
            <w:r w:rsidRPr="00F61A1B">
              <w:rPr>
                <w:sz w:val="21"/>
                <w:szCs w:val="21"/>
              </w:rPr>
              <w:t xml:space="preserve">6.06% </w:t>
            </w:r>
          </w:p>
        </w:tc>
        <w:tc>
          <w:tcPr>
            <w:tcW w:w="833" w:type="dxa"/>
            <w:tcBorders>
              <w:top w:val="single" w:sz="8" w:space="0" w:color="000000"/>
              <w:left w:val="single" w:sz="8" w:space="0" w:color="000000"/>
              <w:bottom w:val="single" w:sz="6" w:space="0" w:color="000000"/>
              <w:right w:val="single" w:sz="8" w:space="0" w:color="000000"/>
            </w:tcBorders>
          </w:tcPr>
          <w:p w14:paraId="6E893546" w14:textId="6502E50D" w:rsidR="005223F2" w:rsidRDefault="005223F2" w:rsidP="005223F2">
            <w:pPr>
              <w:pStyle w:val="biaogecenter"/>
              <w:wordWrap w:val="0"/>
              <w:rPr>
                <w:sz w:val="21"/>
                <w:szCs w:val="21"/>
              </w:rPr>
            </w:pPr>
            <w:r w:rsidRPr="00F61A1B">
              <w:rPr>
                <w:sz w:val="21"/>
                <w:szCs w:val="21"/>
              </w:rPr>
              <w:t>0.10%</w:t>
            </w:r>
          </w:p>
        </w:tc>
      </w:tr>
      <w:tr w:rsidR="005223F2" w14:paraId="7A566F2E" w14:textId="77777777" w:rsidTr="00D45D19">
        <w:trPr>
          <w:trHeight w:val="529"/>
          <w:jc w:val="center"/>
        </w:trPr>
        <w:tc>
          <w:tcPr>
            <w:tcW w:w="2341" w:type="dxa"/>
            <w:tcBorders>
              <w:top w:val="single" w:sz="8" w:space="0" w:color="000000"/>
              <w:left w:val="single" w:sz="8" w:space="0" w:color="000000"/>
              <w:bottom w:val="single" w:sz="6" w:space="0" w:color="000000"/>
              <w:right w:val="single" w:sz="8" w:space="0" w:color="000000"/>
            </w:tcBorders>
            <w:vAlign w:val="center"/>
          </w:tcPr>
          <w:p w14:paraId="4D50C48B" w14:textId="60F42C26" w:rsidR="005223F2" w:rsidRPr="00CA09AF" w:rsidRDefault="005223F2" w:rsidP="00D45D19">
            <w:pPr>
              <w:pStyle w:val="a3"/>
              <w:wordWrap w:val="0"/>
              <w:ind w:firstLineChars="0" w:firstLine="0"/>
              <w:rPr>
                <w:rFonts w:ascii="宋体" w:hAnsi="宋体" w:cs="宋体"/>
                <w:kern w:val="0"/>
                <w:szCs w:val="21"/>
              </w:rPr>
            </w:pPr>
            <w:r w:rsidRPr="00CA09AF">
              <w:rPr>
                <w:rFonts w:hint="eastAsia"/>
                <w:szCs w:val="21"/>
              </w:rPr>
              <w:t>自基金合同生效起至今</w:t>
            </w:r>
          </w:p>
        </w:tc>
        <w:tc>
          <w:tcPr>
            <w:tcW w:w="1049" w:type="dxa"/>
            <w:tcBorders>
              <w:top w:val="single" w:sz="8" w:space="0" w:color="000000"/>
              <w:left w:val="single" w:sz="8" w:space="0" w:color="000000"/>
              <w:bottom w:val="single" w:sz="6" w:space="0" w:color="000000"/>
              <w:right w:val="single" w:sz="8" w:space="0" w:color="000000"/>
            </w:tcBorders>
          </w:tcPr>
          <w:p w14:paraId="2E90D8E5" w14:textId="124E9223" w:rsidR="005223F2" w:rsidRPr="005223F2" w:rsidRDefault="005223F2" w:rsidP="00D45D19">
            <w:pPr>
              <w:pStyle w:val="biaogecenter"/>
              <w:wordWrap w:val="0"/>
              <w:rPr>
                <w:szCs w:val="21"/>
              </w:rPr>
            </w:pPr>
            <w:r w:rsidRPr="00F61A1B">
              <w:rPr>
                <w:sz w:val="21"/>
                <w:szCs w:val="21"/>
              </w:rPr>
              <w:t>185.62%</w:t>
            </w:r>
          </w:p>
        </w:tc>
        <w:tc>
          <w:tcPr>
            <w:tcW w:w="1236" w:type="dxa"/>
            <w:tcBorders>
              <w:top w:val="single" w:sz="8" w:space="0" w:color="000000"/>
              <w:left w:val="single" w:sz="8" w:space="0" w:color="000000"/>
              <w:bottom w:val="single" w:sz="6" w:space="0" w:color="000000"/>
              <w:right w:val="single" w:sz="8" w:space="0" w:color="000000"/>
            </w:tcBorders>
          </w:tcPr>
          <w:p w14:paraId="05DD9F37" w14:textId="6B490481" w:rsidR="005223F2" w:rsidRPr="005223F2" w:rsidRDefault="005223F2" w:rsidP="00D45D19">
            <w:pPr>
              <w:pStyle w:val="biaogecenter"/>
              <w:wordWrap w:val="0"/>
              <w:rPr>
                <w:szCs w:val="21"/>
              </w:rPr>
            </w:pPr>
            <w:r w:rsidRPr="00F61A1B">
              <w:rPr>
                <w:sz w:val="21"/>
                <w:szCs w:val="21"/>
              </w:rPr>
              <w:t xml:space="preserve">1.35% </w:t>
            </w:r>
          </w:p>
        </w:tc>
        <w:tc>
          <w:tcPr>
            <w:tcW w:w="1318" w:type="dxa"/>
            <w:tcBorders>
              <w:top w:val="single" w:sz="8" w:space="0" w:color="000000"/>
              <w:left w:val="single" w:sz="8" w:space="0" w:color="000000"/>
              <w:bottom w:val="single" w:sz="6" w:space="0" w:color="000000"/>
              <w:right w:val="single" w:sz="8" w:space="0" w:color="000000"/>
            </w:tcBorders>
          </w:tcPr>
          <w:p w14:paraId="2231A22D" w14:textId="6B3EC71D" w:rsidR="005223F2" w:rsidRPr="005223F2" w:rsidRDefault="005223F2" w:rsidP="00D45D19">
            <w:pPr>
              <w:pStyle w:val="biaogecenter"/>
              <w:wordWrap w:val="0"/>
              <w:rPr>
                <w:szCs w:val="21"/>
              </w:rPr>
            </w:pPr>
            <w:r w:rsidRPr="00F61A1B">
              <w:rPr>
                <w:sz w:val="21"/>
                <w:szCs w:val="21"/>
              </w:rPr>
              <w:t xml:space="preserve">62.62% </w:t>
            </w:r>
          </w:p>
        </w:tc>
        <w:tc>
          <w:tcPr>
            <w:tcW w:w="1331" w:type="dxa"/>
            <w:tcBorders>
              <w:top w:val="single" w:sz="8" w:space="0" w:color="000000"/>
              <w:left w:val="single" w:sz="8" w:space="0" w:color="000000"/>
              <w:bottom w:val="single" w:sz="6" w:space="0" w:color="000000"/>
              <w:right w:val="single" w:sz="8" w:space="0" w:color="000000"/>
            </w:tcBorders>
          </w:tcPr>
          <w:p w14:paraId="65275DBB" w14:textId="6269A649" w:rsidR="005223F2" w:rsidRPr="005223F2" w:rsidRDefault="005223F2" w:rsidP="00D45D19">
            <w:pPr>
              <w:pStyle w:val="biaogecenter"/>
              <w:wordWrap w:val="0"/>
              <w:rPr>
                <w:szCs w:val="21"/>
              </w:rPr>
            </w:pPr>
            <w:r w:rsidRPr="00F61A1B">
              <w:rPr>
                <w:sz w:val="21"/>
                <w:szCs w:val="21"/>
              </w:rPr>
              <w:t xml:space="preserve">1.27% </w:t>
            </w:r>
          </w:p>
        </w:tc>
        <w:tc>
          <w:tcPr>
            <w:tcW w:w="1018" w:type="dxa"/>
            <w:tcBorders>
              <w:top w:val="single" w:sz="8" w:space="0" w:color="000000"/>
              <w:left w:val="single" w:sz="8" w:space="0" w:color="000000"/>
              <w:bottom w:val="single" w:sz="6" w:space="0" w:color="000000"/>
              <w:right w:val="single" w:sz="8" w:space="0" w:color="000000"/>
            </w:tcBorders>
          </w:tcPr>
          <w:p w14:paraId="3243B06B" w14:textId="0A1D1703" w:rsidR="005223F2" w:rsidRPr="005223F2" w:rsidRDefault="005223F2" w:rsidP="00D45D19">
            <w:pPr>
              <w:pStyle w:val="biaogecenter"/>
              <w:wordWrap w:val="0"/>
              <w:rPr>
                <w:szCs w:val="21"/>
              </w:rPr>
            </w:pPr>
            <w:r w:rsidRPr="00F61A1B">
              <w:rPr>
                <w:sz w:val="21"/>
                <w:szCs w:val="21"/>
              </w:rPr>
              <w:t>123.00%</w:t>
            </w:r>
          </w:p>
        </w:tc>
        <w:tc>
          <w:tcPr>
            <w:tcW w:w="833" w:type="dxa"/>
            <w:tcBorders>
              <w:top w:val="single" w:sz="8" w:space="0" w:color="000000"/>
              <w:left w:val="single" w:sz="8" w:space="0" w:color="000000"/>
              <w:bottom w:val="single" w:sz="6" w:space="0" w:color="000000"/>
              <w:right w:val="single" w:sz="8" w:space="0" w:color="000000"/>
            </w:tcBorders>
          </w:tcPr>
          <w:p w14:paraId="69D3B868" w14:textId="529714E0" w:rsidR="005223F2" w:rsidRPr="005223F2" w:rsidRDefault="005223F2" w:rsidP="00D45D19">
            <w:pPr>
              <w:pStyle w:val="biaogecenter"/>
              <w:wordWrap w:val="0"/>
              <w:rPr>
                <w:szCs w:val="21"/>
              </w:rPr>
            </w:pPr>
            <w:r w:rsidRPr="00F61A1B">
              <w:rPr>
                <w:sz w:val="21"/>
                <w:szCs w:val="21"/>
              </w:rPr>
              <w:t>0.08%</w:t>
            </w:r>
          </w:p>
        </w:tc>
      </w:tr>
    </w:tbl>
    <w:p w14:paraId="0CE10397" w14:textId="77777777" w:rsidR="003568C2" w:rsidRDefault="00695B03">
      <w:pPr>
        <w:pStyle w:val="biaogeleft"/>
        <w:ind w:left="0"/>
      </w:pPr>
      <w:r>
        <w:rPr>
          <w:rFonts w:hint="eastAsia"/>
        </w:rPr>
        <w:t>注：本基金的业绩比较基准为：沪深300指数收益率×95%+银行活期存款利率（税后）×5% </w:t>
      </w:r>
    </w:p>
    <w:p w14:paraId="2F536736" w14:textId="77777777" w:rsidR="003568C2" w:rsidRDefault="003568C2">
      <w:pPr>
        <w:pStyle w:val="biaogeleft"/>
        <w:ind w:left="0"/>
      </w:pPr>
    </w:p>
    <w:p w14:paraId="2DAB54AA" w14:textId="77777777" w:rsidR="003568C2" w:rsidRDefault="00695B03">
      <w:pPr>
        <w:pStyle w:val="zhangjiep2"/>
        <w:rPr>
          <w:bCs/>
        </w:rPr>
      </w:pPr>
      <w:r>
        <w:rPr>
          <w:bCs/>
        </w:rPr>
        <w:t xml:space="preserve">2 </w:t>
      </w:r>
      <w:r>
        <w:rPr>
          <w:rFonts w:hint="eastAsia"/>
          <w:bCs/>
        </w:rPr>
        <w:t>、自基金转型以来基金累计净值增长率变动及其与同期业绩比较基准收益率变动的比较</w:t>
      </w:r>
    </w:p>
    <w:p w14:paraId="20DBD3A1" w14:textId="3B1A092D" w:rsidR="003568C2" w:rsidRDefault="005223F2">
      <w:pPr>
        <w:pStyle w:val="zhangjiep2"/>
        <w:rPr>
          <w:bCs/>
        </w:rPr>
      </w:pPr>
      <w:r w:rsidRPr="00D45D19">
        <w:rPr>
          <w:noProof/>
          <w:color w:val="000000"/>
        </w:rPr>
        <w:lastRenderedPageBreak/>
        <w:drawing>
          <wp:inline distT="0" distB="0" distL="0" distR="0" wp14:anchorId="03047CC4" wp14:editId="189E21C9">
            <wp:extent cx="5274310" cy="3430905"/>
            <wp:effectExtent l="0" t="0" r="254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274310" cy="3430905"/>
                    </a:xfrm>
                    <a:prstGeom prst="rect">
                      <a:avLst/>
                    </a:prstGeom>
                    <a:noFill/>
                    <a:ln>
                      <a:noFill/>
                    </a:ln>
                  </pic:spPr>
                </pic:pic>
              </a:graphicData>
            </a:graphic>
          </wp:inline>
        </w:drawing>
      </w:r>
    </w:p>
    <w:p w14:paraId="2C52811C" w14:textId="77777777" w:rsidR="003568C2" w:rsidRDefault="003568C2">
      <w:pPr>
        <w:pStyle w:val="zhangjiep2"/>
      </w:pPr>
    </w:p>
    <w:p w14:paraId="742FDCCB" w14:textId="1F64400D" w:rsidR="003568C2" w:rsidRDefault="005223F2">
      <w:pPr>
        <w:pStyle w:val="biaogeleft"/>
        <w:ind w:left="0"/>
      </w:pPr>
      <w:r w:rsidRPr="00D45D19">
        <w:rPr>
          <w:noProof/>
          <w:color w:val="000000"/>
        </w:rPr>
        <w:drawing>
          <wp:inline distT="0" distB="0" distL="0" distR="0" wp14:anchorId="63FA0032" wp14:editId="0BE368E7">
            <wp:extent cx="5274310" cy="3430905"/>
            <wp:effectExtent l="0" t="0" r="254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274310" cy="3430905"/>
                    </a:xfrm>
                    <a:prstGeom prst="rect">
                      <a:avLst/>
                    </a:prstGeom>
                    <a:noFill/>
                    <a:ln>
                      <a:noFill/>
                    </a:ln>
                  </pic:spPr>
                </pic:pic>
              </a:graphicData>
            </a:graphic>
          </wp:inline>
        </w:drawing>
      </w:r>
    </w:p>
    <w:p w14:paraId="6B365ED7" w14:textId="70DEDAF0" w:rsidR="003568C2" w:rsidRDefault="003568C2">
      <w:pPr>
        <w:pStyle w:val="biaogeleft"/>
        <w:ind w:left="0"/>
      </w:pPr>
    </w:p>
    <w:p w14:paraId="1FE14B21" w14:textId="77777777" w:rsidR="003568C2" w:rsidRDefault="00695B03">
      <w:pPr>
        <w:pStyle w:val="biaogeleft"/>
        <w:ind w:left="0"/>
      </w:pPr>
      <w:r>
        <w:rPr>
          <w:rFonts w:hint="eastAsia"/>
        </w:rPr>
        <w:t xml:space="preserve">注：本基金建仓期为6个月，建仓期结束时各项资产配置比例符合合同约定。 </w:t>
      </w:r>
      <w:r>
        <w:rPr>
          <w:vanish/>
        </w:rPr>
        <w:cr/>
      </w:r>
    </w:p>
    <w:p w14:paraId="210BEF8E" w14:textId="77777777" w:rsidR="003568C2" w:rsidRDefault="003568C2">
      <w:pPr>
        <w:autoSpaceDE w:val="0"/>
        <w:autoSpaceDN w:val="0"/>
        <w:spacing w:line="360" w:lineRule="auto"/>
        <w:textAlignment w:val="bottom"/>
        <w:rPr>
          <w:rFonts w:ascii="宋体" w:hAnsi="宋体" w:cs="宋体"/>
          <w:kern w:val="0"/>
          <w:sz w:val="24"/>
          <w:szCs w:val="24"/>
        </w:rPr>
      </w:pPr>
    </w:p>
    <w:p w14:paraId="61F1E7C3" w14:textId="77777777" w:rsidR="003568C2" w:rsidRDefault="003568C2">
      <w:pPr>
        <w:autoSpaceDE w:val="0"/>
        <w:autoSpaceDN w:val="0"/>
        <w:spacing w:line="360" w:lineRule="auto"/>
        <w:textAlignment w:val="bottom"/>
        <w:rPr>
          <w:bCs/>
          <w:sz w:val="24"/>
        </w:rPr>
      </w:pPr>
    </w:p>
    <w:p w14:paraId="18550121" w14:textId="77777777" w:rsidR="003568C2" w:rsidRDefault="00695B03">
      <w:pPr>
        <w:pStyle w:val="1"/>
        <w:jc w:val="center"/>
        <w:rPr>
          <w:sz w:val="30"/>
          <w:szCs w:val="30"/>
        </w:rPr>
      </w:pPr>
      <w:bookmarkStart w:id="229" w:name="_Toc15892923"/>
      <w:r>
        <w:rPr>
          <w:rFonts w:hint="eastAsia"/>
          <w:sz w:val="30"/>
          <w:szCs w:val="30"/>
        </w:rPr>
        <w:lastRenderedPageBreak/>
        <w:t>第十部分</w:t>
      </w:r>
      <w:r>
        <w:rPr>
          <w:sz w:val="30"/>
          <w:szCs w:val="30"/>
        </w:rPr>
        <w:t xml:space="preserve">  </w:t>
      </w:r>
      <w:r>
        <w:rPr>
          <w:rFonts w:hint="eastAsia"/>
          <w:sz w:val="30"/>
          <w:szCs w:val="30"/>
        </w:rPr>
        <w:t>基金的财产</w:t>
      </w:r>
      <w:bookmarkEnd w:id="208"/>
      <w:bookmarkEnd w:id="229"/>
    </w:p>
    <w:p w14:paraId="101907F0" w14:textId="77777777" w:rsidR="003568C2" w:rsidRDefault="00695B03">
      <w:pPr>
        <w:autoSpaceDE w:val="0"/>
        <w:autoSpaceDN w:val="0"/>
        <w:spacing w:line="360" w:lineRule="auto"/>
        <w:ind w:firstLineChars="200" w:firstLine="480"/>
        <w:textAlignment w:val="bottom"/>
        <w:rPr>
          <w:bCs/>
          <w:sz w:val="24"/>
        </w:rPr>
      </w:pPr>
      <w:bookmarkStart w:id="230" w:name="_Toc263092319"/>
      <w:bookmarkStart w:id="231" w:name="_Toc416264547"/>
      <w:bookmarkStart w:id="232" w:name="_Toc214873600"/>
      <w:bookmarkStart w:id="233" w:name="_Toc22538"/>
      <w:bookmarkStart w:id="234" w:name="_Toc801"/>
      <w:bookmarkStart w:id="235" w:name="_Toc5477"/>
      <w:bookmarkStart w:id="236" w:name="_Toc578"/>
      <w:bookmarkStart w:id="237" w:name="_Toc16437"/>
      <w:bookmarkStart w:id="238" w:name="_Toc11351"/>
      <w:bookmarkStart w:id="239" w:name="_Toc3872"/>
      <w:bookmarkStart w:id="240" w:name="_Toc13343"/>
      <w:bookmarkStart w:id="241" w:name="_Toc352229758"/>
      <w:bookmarkStart w:id="242" w:name="_Toc21917"/>
      <w:bookmarkStart w:id="243" w:name="_Toc11395"/>
      <w:bookmarkStart w:id="244" w:name="_Toc2981"/>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r>
        <w:rPr>
          <w:bCs/>
          <w:sz w:val="24"/>
        </w:rPr>
        <w:t>一、基金资产总值</w:t>
      </w:r>
    </w:p>
    <w:p w14:paraId="2B523777" w14:textId="77777777" w:rsidR="003568C2" w:rsidRDefault="00695B03">
      <w:pPr>
        <w:autoSpaceDE w:val="0"/>
        <w:autoSpaceDN w:val="0"/>
        <w:spacing w:line="360" w:lineRule="auto"/>
        <w:ind w:firstLineChars="200" w:firstLine="480"/>
        <w:textAlignment w:val="bottom"/>
        <w:rPr>
          <w:bCs/>
          <w:sz w:val="24"/>
        </w:rPr>
      </w:pPr>
      <w:r>
        <w:rPr>
          <w:bCs/>
          <w:sz w:val="24"/>
        </w:rPr>
        <w:t>基金资产总值是指购买的各类证券及票据价值、银行存款本息和基金应收的申购基金款以及其他投资所形成的价值总和。</w:t>
      </w:r>
    </w:p>
    <w:p w14:paraId="0C268954" w14:textId="77777777" w:rsidR="003568C2" w:rsidRDefault="00695B03">
      <w:pPr>
        <w:autoSpaceDE w:val="0"/>
        <w:autoSpaceDN w:val="0"/>
        <w:spacing w:line="360" w:lineRule="auto"/>
        <w:ind w:firstLineChars="200" w:firstLine="480"/>
        <w:textAlignment w:val="bottom"/>
        <w:rPr>
          <w:bCs/>
          <w:sz w:val="24"/>
        </w:rPr>
      </w:pPr>
      <w:r>
        <w:rPr>
          <w:bCs/>
          <w:sz w:val="24"/>
        </w:rPr>
        <w:t>二、基金资产净值</w:t>
      </w:r>
    </w:p>
    <w:p w14:paraId="3D6F1EBA" w14:textId="77777777" w:rsidR="003568C2" w:rsidRDefault="00695B03">
      <w:pPr>
        <w:autoSpaceDE w:val="0"/>
        <w:autoSpaceDN w:val="0"/>
        <w:spacing w:line="360" w:lineRule="auto"/>
        <w:ind w:firstLineChars="200" w:firstLine="480"/>
        <w:textAlignment w:val="bottom"/>
        <w:rPr>
          <w:bCs/>
          <w:sz w:val="24"/>
        </w:rPr>
      </w:pPr>
      <w:r>
        <w:rPr>
          <w:bCs/>
          <w:sz w:val="24"/>
        </w:rPr>
        <w:t>基金资产净值是指基金资产总值减去基金负债后的价值。</w:t>
      </w:r>
    </w:p>
    <w:p w14:paraId="6AFA9CC9" w14:textId="77777777" w:rsidR="003568C2" w:rsidRDefault="00695B03">
      <w:pPr>
        <w:autoSpaceDE w:val="0"/>
        <w:autoSpaceDN w:val="0"/>
        <w:spacing w:line="360" w:lineRule="auto"/>
        <w:ind w:firstLineChars="200" w:firstLine="480"/>
        <w:textAlignment w:val="bottom"/>
        <w:rPr>
          <w:bCs/>
          <w:sz w:val="24"/>
        </w:rPr>
      </w:pPr>
      <w:r>
        <w:rPr>
          <w:bCs/>
          <w:sz w:val="24"/>
        </w:rPr>
        <w:t>三、基金财产的账户</w:t>
      </w:r>
    </w:p>
    <w:p w14:paraId="2B5DB558" w14:textId="77777777" w:rsidR="003568C2" w:rsidRDefault="00695B03">
      <w:pPr>
        <w:autoSpaceDE w:val="0"/>
        <w:autoSpaceDN w:val="0"/>
        <w:spacing w:line="360" w:lineRule="auto"/>
        <w:ind w:firstLineChars="200" w:firstLine="480"/>
        <w:textAlignment w:val="bottom"/>
        <w:rPr>
          <w:bCs/>
          <w:sz w:val="24"/>
        </w:rPr>
      </w:pPr>
      <w:r>
        <w:rPr>
          <w:bCs/>
          <w:sz w:val="24"/>
        </w:rPr>
        <w:t>基金托管人根据相关法律法规、规范性文件为本基金开立资金</w:t>
      </w:r>
      <w:r>
        <w:rPr>
          <w:rFonts w:hint="eastAsia"/>
          <w:bCs/>
          <w:sz w:val="24"/>
        </w:rPr>
        <w:t>账户</w:t>
      </w:r>
      <w:r>
        <w:rPr>
          <w:bCs/>
          <w:sz w:val="24"/>
        </w:rPr>
        <w:t>、证券</w:t>
      </w:r>
      <w:r>
        <w:rPr>
          <w:rFonts w:hint="eastAsia"/>
          <w:bCs/>
          <w:sz w:val="24"/>
        </w:rPr>
        <w:t>账户</w:t>
      </w:r>
      <w:r>
        <w:rPr>
          <w:bCs/>
          <w:sz w:val="24"/>
        </w:rPr>
        <w:t>以及投资所需的其他专用</w:t>
      </w:r>
      <w:r>
        <w:rPr>
          <w:rFonts w:hint="eastAsia"/>
          <w:bCs/>
          <w:sz w:val="24"/>
        </w:rPr>
        <w:t>账户</w:t>
      </w:r>
      <w:r>
        <w:rPr>
          <w:bCs/>
          <w:sz w:val="24"/>
        </w:rPr>
        <w:t>。开立的基金专用账户与基金管理人、基金托管人、基金销售机构和基金登记机构自有的财产账户以及其他基金财产账户相独立。</w:t>
      </w:r>
      <w:bookmarkStart w:id="245" w:name="_Hlt88841837"/>
      <w:bookmarkEnd w:id="245"/>
    </w:p>
    <w:p w14:paraId="4502C138" w14:textId="77777777" w:rsidR="003568C2" w:rsidRDefault="00695B03">
      <w:pPr>
        <w:autoSpaceDE w:val="0"/>
        <w:autoSpaceDN w:val="0"/>
        <w:spacing w:line="360" w:lineRule="auto"/>
        <w:ind w:firstLineChars="200" w:firstLine="480"/>
        <w:textAlignment w:val="bottom"/>
        <w:rPr>
          <w:bCs/>
          <w:sz w:val="24"/>
        </w:rPr>
      </w:pPr>
      <w:r>
        <w:rPr>
          <w:bCs/>
          <w:sz w:val="24"/>
        </w:rPr>
        <w:t>四、基金财产的保管和处分</w:t>
      </w:r>
      <w:bookmarkStart w:id="246" w:name="_Hlt88900062"/>
      <w:bookmarkEnd w:id="246"/>
    </w:p>
    <w:p w14:paraId="15BB496D" w14:textId="77777777" w:rsidR="003568C2" w:rsidRDefault="00695B03">
      <w:pPr>
        <w:autoSpaceDE w:val="0"/>
        <w:autoSpaceDN w:val="0"/>
        <w:spacing w:line="360" w:lineRule="auto"/>
        <w:ind w:firstLineChars="200" w:firstLine="480"/>
        <w:textAlignment w:val="bottom"/>
        <w:rPr>
          <w:bCs/>
          <w:sz w:val="24"/>
        </w:rPr>
      </w:pPr>
      <w:r>
        <w:rPr>
          <w:bCs/>
          <w:sz w:val="24"/>
        </w:rPr>
        <w:t>本基金财产独立于基金管理人、基金托管人和基金</w:t>
      </w:r>
      <w:r>
        <w:rPr>
          <w:rFonts w:hint="eastAsia"/>
          <w:bCs/>
          <w:sz w:val="24"/>
        </w:rPr>
        <w:t>销售</w:t>
      </w:r>
      <w:r>
        <w:rPr>
          <w:bCs/>
          <w:sz w:val="24"/>
        </w:rPr>
        <w:t>机构的财产，并由基金托管人保管。基金管理人、基金托管人、基金登记机构和基金销售机构以其自有的财产承担其自身的法律责任，其债权人不得对本基金财产行使请求冻结、扣押或其他权利。除依法律法规和《基金合同》的规定处分外，基金财产不得被处分。</w:t>
      </w:r>
    </w:p>
    <w:p w14:paraId="4CFCAA65" w14:textId="77777777" w:rsidR="003568C2" w:rsidRDefault="00695B03">
      <w:pPr>
        <w:adjustRightInd w:val="0"/>
        <w:snapToGrid w:val="0"/>
        <w:spacing w:line="360" w:lineRule="auto"/>
        <w:ind w:firstLineChars="200" w:firstLine="480"/>
        <w:rPr>
          <w:bCs/>
          <w:sz w:val="24"/>
        </w:rPr>
      </w:pPr>
      <w:r>
        <w:rPr>
          <w:bCs/>
          <w:sz w:val="24"/>
        </w:rPr>
        <w:t>基金管理人、基金托管人因依法解散、被依法撤销或者被依法宣告破产等原因进行清算的，基金财产不属于其清算财产。基金管理人管理运作基金财产所产生的债权，不得与其固有资产产生的债务相互抵销；基金管理人管理运作不同基金的基金财产所产生的债权债务不得相互抵销。</w:t>
      </w:r>
      <w:r>
        <w:rPr>
          <w:bCs/>
          <w:sz w:val="24"/>
        </w:rPr>
        <w:br w:type="page"/>
      </w:r>
    </w:p>
    <w:p w14:paraId="1421CFB1" w14:textId="77777777" w:rsidR="003568C2" w:rsidRDefault="00695B03">
      <w:pPr>
        <w:pStyle w:val="1"/>
        <w:jc w:val="center"/>
        <w:rPr>
          <w:sz w:val="30"/>
          <w:szCs w:val="30"/>
        </w:rPr>
      </w:pPr>
      <w:bookmarkStart w:id="247" w:name="_Toc15892924"/>
      <w:r>
        <w:rPr>
          <w:rFonts w:hint="eastAsia"/>
          <w:sz w:val="30"/>
          <w:szCs w:val="30"/>
        </w:rPr>
        <w:lastRenderedPageBreak/>
        <w:t>第十一部分</w:t>
      </w:r>
      <w:r>
        <w:rPr>
          <w:sz w:val="30"/>
          <w:szCs w:val="30"/>
        </w:rPr>
        <w:t xml:space="preserve">  </w:t>
      </w:r>
      <w:r>
        <w:rPr>
          <w:rFonts w:hint="eastAsia"/>
          <w:sz w:val="30"/>
          <w:szCs w:val="30"/>
        </w:rPr>
        <w:t>基金资产的估值</w:t>
      </w:r>
      <w:bookmarkEnd w:id="230"/>
      <w:bookmarkEnd w:id="231"/>
      <w:bookmarkEnd w:id="232"/>
      <w:bookmarkEnd w:id="247"/>
    </w:p>
    <w:p w14:paraId="70297B76" w14:textId="77777777" w:rsidR="003568C2" w:rsidRDefault="00695B03">
      <w:pPr>
        <w:autoSpaceDE w:val="0"/>
        <w:autoSpaceDN w:val="0"/>
        <w:spacing w:line="360" w:lineRule="auto"/>
        <w:ind w:firstLineChars="200" w:firstLine="480"/>
        <w:textAlignment w:val="bottom"/>
        <w:rPr>
          <w:bCs/>
          <w:sz w:val="24"/>
        </w:rPr>
      </w:pPr>
      <w:r>
        <w:rPr>
          <w:bCs/>
          <w:sz w:val="24"/>
        </w:rPr>
        <w:t>一、估值日</w:t>
      </w:r>
    </w:p>
    <w:p w14:paraId="0272469F" w14:textId="77777777" w:rsidR="003568C2" w:rsidRDefault="00695B03">
      <w:pPr>
        <w:autoSpaceDE w:val="0"/>
        <w:autoSpaceDN w:val="0"/>
        <w:spacing w:line="360" w:lineRule="auto"/>
        <w:ind w:firstLineChars="200" w:firstLine="480"/>
        <w:textAlignment w:val="bottom"/>
        <w:rPr>
          <w:bCs/>
          <w:sz w:val="24"/>
        </w:rPr>
      </w:pPr>
      <w:r>
        <w:rPr>
          <w:bCs/>
          <w:sz w:val="24"/>
        </w:rPr>
        <w:t>本基金的估值日为本基金相关的证券交易场所的交易日以及国家法律法规规定需要对外披露基金净值的非交易日。</w:t>
      </w:r>
    </w:p>
    <w:p w14:paraId="750BF2D6" w14:textId="77777777" w:rsidR="003568C2" w:rsidRDefault="00695B03">
      <w:pPr>
        <w:autoSpaceDE w:val="0"/>
        <w:autoSpaceDN w:val="0"/>
        <w:spacing w:line="360" w:lineRule="auto"/>
        <w:ind w:firstLineChars="200" w:firstLine="480"/>
        <w:textAlignment w:val="bottom"/>
        <w:rPr>
          <w:bCs/>
          <w:sz w:val="24"/>
        </w:rPr>
      </w:pPr>
      <w:r>
        <w:rPr>
          <w:bCs/>
          <w:sz w:val="24"/>
        </w:rPr>
        <w:t>二、估值对象</w:t>
      </w:r>
    </w:p>
    <w:p w14:paraId="666FFAF9" w14:textId="77777777" w:rsidR="003568C2" w:rsidRDefault="00695B03">
      <w:pPr>
        <w:autoSpaceDE w:val="0"/>
        <w:autoSpaceDN w:val="0"/>
        <w:spacing w:line="360" w:lineRule="auto"/>
        <w:ind w:firstLineChars="200" w:firstLine="480"/>
        <w:textAlignment w:val="bottom"/>
        <w:rPr>
          <w:bCs/>
          <w:sz w:val="24"/>
        </w:rPr>
      </w:pPr>
      <w:r>
        <w:rPr>
          <w:bCs/>
          <w:sz w:val="24"/>
        </w:rPr>
        <w:t>基金所拥有的股票、</w:t>
      </w:r>
      <w:r>
        <w:rPr>
          <w:rFonts w:asciiTheme="minorEastAsia" w:hAnsiTheme="minorEastAsia" w:cs="Times New Roman" w:hint="eastAsia"/>
          <w:bCs/>
          <w:sz w:val="24"/>
          <w:szCs w:val="24"/>
        </w:rPr>
        <w:t>存托凭证</w:t>
      </w:r>
      <w:r w:rsidRPr="00C80148">
        <w:rPr>
          <w:rFonts w:asciiTheme="minorEastAsia" w:hAnsiTheme="minorEastAsia" w:hint="eastAsia"/>
          <w:sz w:val="24"/>
        </w:rPr>
        <w:t>、</w:t>
      </w:r>
      <w:r>
        <w:rPr>
          <w:rFonts w:hint="eastAsia"/>
          <w:bCs/>
          <w:sz w:val="24"/>
        </w:rPr>
        <w:t>股指期货合约、</w:t>
      </w:r>
      <w:r>
        <w:rPr>
          <w:bCs/>
          <w:sz w:val="24"/>
        </w:rPr>
        <w:t>权证、债券和银行存款本息、应收款项</w:t>
      </w:r>
      <w:r>
        <w:rPr>
          <w:rFonts w:hint="eastAsia"/>
          <w:bCs/>
          <w:sz w:val="24"/>
        </w:rPr>
        <w:t>、</w:t>
      </w:r>
      <w:r>
        <w:rPr>
          <w:bCs/>
          <w:sz w:val="24"/>
        </w:rPr>
        <w:t>其它投资等资产及负债。</w:t>
      </w:r>
    </w:p>
    <w:p w14:paraId="70FBFD58" w14:textId="77777777" w:rsidR="003568C2" w:rsidRDefault="00695B03">
      <w:pPr>
        <w:autoSpaceDE w:val="0"/>
        <w:autoSpaceDN w:val="0"/>
        <w:spacing w:line="360" w:lineRule="auto"/>
        <w:ind w:firstLineChars="200" w:firstLine="480"/>
        <w:textAlignment w:val="bottom"/>
        <w:rPr>
          <w:bCs/>
          <w:sz w:val="24"/>
        </w:rPr>
      </w:pPr>
      <w:r>
        <w:rPr>
          <w:bCs/>
          <w:sz w:val="24"/>
        </w:rPr>
        <w:t>三、估值方法</w:t>
      </w:r>
    </w:p>
    <w:p w14:paraId="0E32FF79" w14:textId="77777777" w:rsidR="003568C2" w:rsidRDefault="00695B03">
      <w:pPr>
        <w:autoSpaceDE w:val="0"/>
        <w:autoSpaceDN w:val="0"/>
        <w:spacing w:line="360" w:lineRule="auto"/>
        <w:ind w:firstLineChars="200" w:firstLine="480"/>
        <w:textAlignment w:val="bottom"/>
        <w:rPr>
          <w:bCs/>
          <w:sz w:val="24"/>
          <w:szCs w:val="24"/>
        </w:rPr>
      </w:pPr>
      <w:r>
        <w:rPr>
          <w:bCs/>
          <w:sz w:val="24"/>
        </w:rPr>
        <w:t>1</w:t>
      </w:r>
      <w:r>
        <w:rPr>
          <w:bCs/>
          <w:sz w:val="24"/>
        </w:rPr>
        <w:t>、</w:t>
      </w:r>
      <w:r>
        <w:rPr>
          <w:rFonts w:hint="eastAsia"/>
          <w:bCs/>
          <w:sz w:val="24"/>
        </w:rPr>
        <w:t>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557F8B04" w14:textId="77777777" w:rsidR="003568C2" w:rsidRDefault="00695B03">
      <w:pPr>
        <w:autoSpaceDE w:val="0"/>
        <w:autoSpaceDN w:val="0"/>
        <w:spacing w:line="360" w:lineRule="auto"/>
        <w:ind w:firstLineChars="200" w:firstLine="480"/>
        <w:textAlignment w:val="bottom"/>
        <w:rPr>
          <w:bCs/>
          <w:sz w:val="24"/>
          <w:szCs w:val="24"/>
        </w:rPr>
      </w:pPr>
      <w:r>
        <w:rPr>
          <w:rFonts w:hint="eastAsia"/>
          <w:bCs/>
          <w:sz w:val="24"/>
          <w:szCs w:val="24"/>
        </w:rPr>
        <w:t>2</w:t>
      </w:r>
      <w:r>
        <w:rPr>
          <w:rFonts w:hint="eastAsia"/>
          <w:bCs/>
          <w:sz w:val="24"/>
          <w:szCs w:val="24"/>
        </w:rPr>
        <w:t>、交易所市场交易的固定收益品种的估值</w:t>
      </w:r>
    </w:p>
    <w:p w14:paraId="1904EBED" w14:textId="77777777" w:rsidR="003568C2" w:rsidRDefault="00695B03">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1</w:t>
      </w:r>
      <w:r>
        <w:rPr>
          <w:rFonts w:hint="eastAsia"/>
          <w:bCs/>
          <w:sz w:val="24"/>
          <w:szCs w:val="24"/>
        </w:rPr>
        <w:t>）对在交易所市场上市交易或挂牌转让的固定收益品种，选取第三方估值机构提供的相应品种当日的估值净价进行估值；</w:t>
      </w:r>
    </w:p>
    <w:p w14:paraId="6CDBA3E9" w14:textId="77777777" w:rsidR="003568C2" w:rsidRDefault="00695B03">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2</w:t>
      </w:r>
      <w:r>
        <w:rPr>
          <w:rFonts w:hint="eastAsia"/>
          <w:bCs/>
          <w:sz w:val="24"/>
          <w:szCs w:val="24"/>
        </w:rPr>
        <w:t>）对在交易所市场上市交易的可转换债券，按估值日收盘价减去可转换债券收盘价中所含债券应收利息后得到的净价进行估值；</w:t>
      </w:r>
      <w:r>
        <w:rPr>
          <w:bCs/>
          <w:sz w:val="24"/>
        </w:rPr>
        <w:t>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p>
    <w:p w14:paraId="412C000E" w14:textId="77777777" w:rsidR="003568C2" w:rsidRDefault="00695B03">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3</w:t>
      </w:r>
      <w:r>
        <w:rPr>
          <w:rFonts w:hint="eastAsia"/>
          <w:bCs/>
          <w:sz w:val="24"/>
          <w:szCs w:val="24"/>
        </w:rPr>
        <w:t>）对在交易所市场挂牌转让的资产支持证券，采用估值技术确定公允价值，在估值技术难以可靠计量公允价值的情况下，按成本估值；</w:t>
      </w:r>
    </w:p>
    <w:p w14:paraId="500AEDD4" w14:textId="77777777" w:rsidR="003568C2" w:rsidRDefault="00695B03">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4</w:t>
      </w:r>
      <w:r>
        <w:rPr>
          <w:rFonts w:hint="eastAsia"/>
          <w:bCs/>
          <w:sz w:val="24"/>
          <w:szCs w:val="24"/>
        </w:rPr>
        <w:t>）对在交易所市场发行未上市或未挂牌转让的固定收益品种，采用估值技术确定公允价值，在估值技术难以可靠计量公允价值的情况下，按成本估值。</w:t>
      </w:r>
    </w:p>
    <w:p w14:paraId="4E52C890" w14:textId="77777777" w:rsidR="003568C2" w:rsidRDefault="00695B03">
      <w:pPr>
        <w:autoSpaceDE w:val="0"/>
        <w:autoSpaceDN w:val="0"/>
        <w:spacing w:line="360" w:lineRule="auto"/>
        <w:ind w:firstLineChars="200" w:firstLine="480"/>
        <w:textAlignment w:val="bottom"/>
        <w:rPr>
          <w:bCs/>
          <w:sz w:val="24"/>
          <w:szCs w:val="24"/>
        </w:rPr>
      </w:pPr>
      <w:r>
        <w:rPr>
          <w:rFonts w:hint="eastAsia"/>
          <w:bCs/>
          <w:sz w:val="24"/>
          <w:szCs w:val="24"/>
        </w:rPr>
        <w:t>3</w:t>
      </w:r>
      <w:r>
        <w:rPr>
          <w:rFonts w:hint="eastAsia"/>
          <w:bCs/>
          <w:sz w:val="24"/>
          <w:szCs w:val="24"/>
        </w:rPr>
        <w:t>、银行间市场交易的固定收益品种的估值</w:t>
      </w:r>
    </w:p>
    <w:p w14:paraId="58E52164" w14:textId="77777777" w:rsidR="003568C2" w:rsidRDefault="00695B03">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1</w:t>
      </w:r>
      <w:r>
        <w:rPr>
          <w:rFonts w:hint="eastAsia"/>
          <w:bCs/>
          <w:sz w:val="24"/>
          <w:szCs w:val="24"/>
        </w:rPr>
        <w:t>）银行间市场交易的固定收益品种，选取第三方估值机构提供的相应品</w:t>
      </w:r>
      <w:r>
        <w:rPr>
          <w:rFonts w:hint="eastAsia"/>
          <w:bCs/>
          <w:sz w:val="24"/>
          <w:szCs w:val="24"/>
        </w:rPr>
        <w:lastRenderedPageBreak/>
        <w:t>种当日的估值净价进行估值。</w:t>
      </w:r>
    </w:p>
    <w:p w14:paraId="693ED470" w14:textId="77777777" w:rsidR="003568C2" w:rsidRDefault="00695B03">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2</w:t>
      </w:r>
      <w:r>
        <w:rPr>
          <w:rFonts w:hint="eastAsia"/>
          <w:bCs/>
          <w:sz w:val="24"/>
          <w:szCs w:val="24"/>
        </w:rPr>
        <w:t>）对银行间市场未上市，且第三方估值机构未提供估值价格的固定收益品种，按成本估值。</w:t>
      </w:r>
    </w:p>
    <w:p w14:paraId="2A68C819" w14:textId="77777777" w:rsidR="003568C2" w:rsidRDefault="00695B03">
      <w:pPr>
        <w:autoSpaceDE w:val="0"/>
        <w:autoSpaceDN w:val="0"/>
        <w:spacing w:line="360" w:lineRule="auto"/>
        <w:ind w:firstLineChars="200" w:firstLine="480"/>
        <w:textAlignment w:val="bottom"/>
        <w:rPr>
          <w:bCs/>
          <w:sz w:val="24"/>
        </w:rPr>
      </w:pPr>
      <w:r>
        <w:rPr>
          <w:rFonts w:hint="eastAsia"/>
          <w:bCs/>
          <w:sz w:val="24"/>
        </w:rPr>
        <w:t>4</w:t>
      </w:r>
      <w:r>
        <w:rPr>
          <w:bCs/>
          <w:sz w:val="24"/>
        </w:rPr>
        <w:t>、处于未上市期间的有价证券应区分如下情况处理：</w:t>
      </w:r>
    </w:p>
    <w:p w14:paraId="10D120C8" w14:textId="77777777" w:rsidR="003568C2" w:rsidRDefault="00695B03">
      <w:pPr>
        <w:autoSpaceDE w:val="0"/>
        <w:autoSpaceDN w:val="0"/>
        <w:spacing w:line="360" w:lineRule="auto"/>
        <w:ind w:firstLineChars="200" w:firstLine="480"/>
        <w:textAlignment w:val="bottom"/>
        <w:rPr>
          <w:bCs/>
          <w:sz w:val="24"/>
        </w:rPr>
      </w:pPr>
      <w:r>
        <w:rPr>
          <w:bCs/>
          <w:sz w:val="24"/>
        </w:rPr>
        <w:t>（</w:t>
      </w:r>
      <w:r>
        <w:rPr>
          <w:bCs/>
          <w:sz w:val="24"/>
        </w:rPr>
        <w:t>1</w:t>
      </w:r>
      <w:r>
        <w:rPr>
          <w:bCs/>
          <w:sz w:val="24"/>
        </w:rPr>
        <w:t>）送股、转增股、配股和公开增发的新股，按估值日在证券交易所挂牌的同一股票的估值方法估值；该日无交易的，以最近一日的市价（收盘价）估值；</w:t>
      </w:r>
    </w:p>
    <w:p w14:paraId="41E346E3" w14:textId="77777777" w:rsidR="003568C2" w:rsidRDefault="00695B03">
      <w:pPr>
        <w:autoSpaceDE w:val="0"/>
        <w:autoSpaceDN w:val="0"/>
        <w:spacing w:line="360" w:lineRule="auto"/>
        <w:ind w:firstLineChars="200" w:firstLine="480"/>
        <w:textAlignment w:val="bottom"/>
        <w:rPr>
          <w:bCs/>
          <w:sz w:val="24"/>
        </w:rPr>
      </w:pPr>
      <w:r>
        <w:rPr>
          <w:bCs/>
          <w:sz w:val="24"/>
        </w:rPr>
        <w:t>（</w:t>
      </w:r>
      <w:r>
        <w:rPr>
          <w:bCs/>
          <w:sz w:val="24"/>
        </w:rPr>
        <w:t>2</w:t>
      </w:r>
      <w:r>
        <w:rPr>
          <w:bCs/>
          <w:sz w:val="24"/>
        </w:rPr>
        <w:t>）首次公开发行未上市的股票、债券和权证，采用估值技术确定公允价值，在估值技术难以可靠计量公允价值的情况下，按成本估值</w:t>
      </w:r>
      <w:r>
        <w:rPr>
          <w:rFonts w:hint="eastAsia"/>
          <w:bCs/>
          <w:sz w:val="24"/>
        </w:rPr>
        <w:t>；</w:t>
      </w:r>
    </w:p>
    <w:p w14:paraId="47234F13" w14:textId="77777777" w:rsidR="003568C2" w:rsidRDefault="00695B03">
      <w:pPr>
        <w:autoSpaceDE w:val="0"/>
        <w:autoSpaceDN w:val="0"/>
        <w:spacing w:line="360" w:lineRule="auto"/>
        <w:ind w:firstLineChars="200" w:firstLine="480"/>
        <w:textAlignment w:val="bottom"/>
        <w:rPr>
          <w:bCs/>
          <w:sz w:val="24"/>
        </w:rPr>
      </w:pPr>
      <w:r>
        <w:rPr>
          <w:bCs/>
          <w:sz w:val="24"/>
        </w:rPr>
        <w:t>（</w:t>
      </w:r>
      <w:r>
        <w:rPr>
          <w:bCs/>
          <w:sz w:val="24"/>
        </w:rPr>
        <w:t>3</w:t>
      </w:r>
      <w:r>
        <w:rPr>
          <w:bCs/>
          <w:sz w:val="24"/>
        </w:rPr>
        <w:t>）</w:t>
      </w:r>
      <w:r>
        <w:rPr>
          <w:rFonts w:hint="eastAsia"/>
          <w:bCs/>
          <w:sz w:val="24"/>
        </w:rPr>
        <w:t>流通受限的股票，包括非公开发行股票、首次公开发行股票时公司股东公开发售股份、通过大宗交易取得的带限售期的股票等（不包括停牌、新发行未上市、回购交易中的质押券等流通受限股票），按监管机构或行业协会有关规定确定公允价值</w:t>
      </w:r>
    </w:p>
    <w:p w14:paraId="309D7939" w14:textId="77777777" w:rsidR="003568C2" w:rsidRDefault="00695B03">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、同一债券同时在两个或两个以上市场交易的，按债券所处的市场分别估值。</w:t>
      </w:r>
    </w:p>
    <w:p w14:paraId="24405A13" w14:textId="77777777" w:rsidR="003568C2" w:rsidRDefault="00695B03">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、本基金投资股指期货合约，一般以估值当日结算价进行估值，估值当日无结算价的，且最近交易日后经济环境未发生重大变化的，采用最近交易日结算价估值。</w:t>
      </w:r>
    </w:p>
    <w:p w14:paraId="53CC40A0" w14:textId="77777777" w:rsidR="003568C2" w:rsidRDefault="00695B03">
      <w:pPr>
        <w:autoSpaceDE w:val="0"/>
        <w:autoSpaceDN w:val="0"/>
        <w:spacing w:line="360" w:lineRule="auto"/>
        <w:ind w:firstLineChars="200" w:firstLine="480"/>
        <w:textAlignment w:val="bottom"/>
        <w:rPr>
          <w:bCs/>
          <w:sz w:val="24"/>
        </w:rPr>
      </w:pPr>
      <w:r>
        <w:rPr>
          <w:rFonts w:hint="eastAsia"/>
          <w:bCs/>
          <w:sz w:val="24"/>
        </w:rPr>
        <w:t>7</w:t>
      </w:r>
      <w:r>
        <w:rPr>
          <w:rFonts w:hint="eastAsia"/>
          <w:bCs/>
          <w:sz w:val="24"/>
        </w:rPr>
        <w:t>、中小企业私募债券，采用估值技术确定公允价值。在估值技术难以可靠计量公允价值的情况下，按成本估值。</w:t>
      </w:r>
    </w:p>
    <w:p w14:paraId="5DD81D07" w14:textId="77777777" w:rsidR="003568C2" w:rsidRDefault="00695B03">
      <w:pPr>
        <w:autoSpaceDE w:val="0"/>
        <w:autoSpaceDN w:val="0"/>
        <w:spacing w:line="360" w:lineRule="auto"/>
        <w:ind w:firstLineChars="200" w:firstLine="480"/>
        <w:textAlignment w:val="bottom"/>
        <w:rPr>
          <w:bCs/>
          <w:sz w:val="24"/>
        </w:rPr>
      </w:pPr>
      <w:r>
        <w:rPr>
          <w:rFonts w:hint="eastAsia"/>
          <w:bCs/>
          <w:sz w:val="24"/>
        </w:rPr>
        <w:t>8</w:t>
      </w:r>
      <w:r>
        <w:rPr>
          <w:rFonts w:hint="eastAsia"/>
          <w:bCs/>
          <w:sz w:val="24"/>
        </w:rPr>
        <w:t>、当本基金发生大额申购或赎回情形时，基金管理人可以对本基金采用摆动定价机制，以确保基金估值的公平性。</w:t>
      </w:r>
    </w:p>
    <w:p w14:paraId="46DE8CC1" w14:textId="77777777" w:rsidR="003568C2" w:rsidRDefault="00695B03">
      <w:pPr>
        <w:autoSpaceDE w:val="0"/>
        <w:autoSpaceDN w:val="0"/>
        <w:spacing w:line="360" w:lineRule="auto"/>
        <w:ind w:firstLineChars="200" w:firstLine="480"/>
        <w:textAlignment w:val="bottom"/>
        <w:rPr>
          <w:bCs/>
          <w:sz w:val="24"/>
        </w:rPr>
      </w:pPr>
      <w:r>
        <w:rPr>
          <w:rFonts w:hint="eastAsia"/>
          <w:bCs/>
          <w:sz w:val="24"/>
        </w:rPr>
        <w:t>9</w:t>
      </w:r>
      <w:r>
        <w:rPr>
          <w:bCs/>
          <w:sz w:val="24"/>
        </w:rPr>
        <w:t>、</w:t>
      </w:r>
      <w:r>
        <w:rPr>
          <w:rFonts w:hint="eastAsia"/>
          <w:bCs/>
          <w:sz w:val="24"/>
        </w:rPr>
        <w:t>本基金投资存托凭证的估值核算，依照境内上市交易的股票执行。</w:t>
      </w:r>
    </w:p>
    <w:p w14:paraId="62CAA193" w14:textId="77777777" w:rsidR="003568C2" w:rsidRDefault="00695B03">
      <w:pPr>
        <w:autoSpaceDE w:val="0"/>
        <w:autoSpaceDN w:val="0"/>
        <w:spacing w:line="360" w:lineRule="auto"/>
        <w:ind w:firstLineChars="200" w:firstLine="480"/>
        <w:textAlignment w:val="bottom"/>
        <w:rPr>
          <w:bCs/>
          <w:sz w:val="24"/>
        </w:rPr>
      </w:pPr>
      <w:r>
        <w:rPr>
          <w:rFonts w:hint="eastAsia"/>
          <w:bCs/>
          <w:sz w:val="24"/>
        </w:rPr>
        <w:t>10</w:t>
      </w:r>
      <w:r>
        <w:rPr>
          <w:rFonts w:hint="eastAsia"/>
          <w:bCs/>
          <w:sz w:val="24"/>
        </w:rPr>
        <w:t>、</w:t>
      </w:r>
      <w:r>
        <w:rPr>
          <w:bCs/>
          <w:sz w:val="24"/>
        </w:rPr>
        <w:t>如有确凿证据表明按上述方法进行估值不能客观反映其公允价值的，基金管理人可根据具体情况与基金托管人商定后，按最能反映公允价值的价格估值。</w:t>
      </w:r>
    </w:p>
    <w:p w14:paraId="12A57FF6" w14:textId="77777777" w:rsidR="003568C2" w:rsidRDefault="00695B03">
      <w:pPr>
        <w:autoSpaceDE w:val="0"/>
        <w:autoSpaceDN w:val="0"/>
        <w:spacing w:line="360" w:lineRule="auto"/>
        <w:ind w:firstLineChars="200" w:firstLine="480"/>
        <w:textAlignment w:val="bottom"/>
        <w:rPr>
          <w:bCs/>
          <w:sz w:val="24"/>
        </w:rPr>
      </w:pPr>
      <w:r>
        <w:rPr>
          <w:bCs/>
          <w:sz w:val="24"/>
        </w:rPr>
        <w:t>1</w:t>
      </w:r>
      <w:r>
        <w:rPr>
          <w:rFonts w:hint="eastAsia"/>
          <w:bCs/>
          <w:sz w:val="24"/>
        </w:rPr>
        <w:t>1</w:t>
      </w:r>
      <w:r>
        <w:rPr>
          <w:bCs/>
          <w:sz w:val="24"/>
        </w:rPr>
        <w:t>、相关法律法规以及监管部门有强制规定的，从其规定。如有新增事项，按国家最新规定估值。</w:t>
      </w:r>
    </w:p>
    <w:p w14:paraId="722AC7FF" w14:textId="77777777" w:rsidR="003568C2" w:rsidRDefault="00695B03">
      <w:pPr>
        <w:autoSpaceDE w:val="0"/>
        <w:autoSpaceDN w:val="0"/>
        <w:spacing w:line="360" w:lineRule="auto"/>
        <w:ind w:firstLineChars="200" w:firstLine="480"/>
        <w:textAlignment w:val="bottom"/>
        <w:rPr>
          <w:sz w:val="24"/>
        </w:rPr>
      </w:pPr>
      <w:r>
        <w:rPr>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6E477459" w14:textId="77777777" w:rsidR="003568C2" w:rsidRDefault="00695B03">
      <w:pPr>
        <w:autoSpaceDE w:val="0"/>
        <w:autoSpaceDN w:val="0"/>
        <w:spacing w:line="360" w:lineRule="auto"/>
        <w:ind w:firstLineChars="200" w:firstLine="480"/>
        <w:textAlignment w:val="bottom"/>
        <w:rPr>
          <w:bCs/>
          <w:sz w:val="24"/>
        </w:rPr>
      </w:pPr>
      <w:r>
        <w:rPr>
          <w:bCs/>
          <w:sz w:val="24"/>
        </w:rPr>
        <w:lastRenderedPageBreak/>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46477E21" w14:textId="77777777" w:rsidR="003568C2" w:rsidRDefault="00695B03">
      <w:pPr>
        <w:autoSpaceDE w:val="0"/>
        <w:autoSpaceDN w:val="0"/>
        <w:spacing w:line="360" w:lineRule="auto"/>
        <w:ind w:firstLineChars="200" w:firstLine="480"/>
        <w:textAlignment w:val="bottom"/>
        <w:rPr>
          <w:bCs/>
          <w:sz w:val="24"/>
        </w:rPr>
      </w:pPr>
      <w:r>
        <w:rPr>
          <w:bCs/>
          <w:sz w:val="24"/>
        </w:rPr>
        <w:t>四、估值程序</w:t>
      </w:r>
    </w:p>
    <w:p w14:paraId="3FBEA54F" w14:textId="77777777" w:rsidR="003568C2" w:rsidRDefault="00695B03">
      <w:pPr>
        <w:autoSpaceDE w:val="0"/>
        <w:autoSpaceDN w:val="0"/>
        <w:spacing w:line="360" w:lineRule="auto"/>
        <w:ind w:firstLineChars="200" w:firstLine="480"/>
        <w:textAlignment w:val="bottom"/>
        <w:rPr>
          <w:bCs/>
          <w:sz w:val="24"/>
        </w:rPr>
      </w:pPr>
      <w:r>
        <w:rPr>
          <w:bCs/>
          <w:sz w:val="24"/>
        </w:rPr>
        <w:t>1</w:t>
      </w:r>
      <w:r>
        <w:rPr>
          <w:bCs/>
          <w:sz w:val="24"/>
        </w:rPr>
        <w:t>、</w:t>
      </w:r>
      <w:r>
        <w:rPr>
          <w:rFonts w:hint="eastAsia"/>
          <w:bCs/>
          <w:sz w:val="24"/>
        </w:rPr>
        <w:t>各类</w:t>
      </w:r>
      <w:r>
        <w:rPr>
          <w:bCs/>
          <w:sz w:val="24"/>
        </w:rPr>
        <w:t>基金份额净值是按照每个工作日闭市后，</w:t>
      </w:r>
      <w:r>
        <w:rPr>
          <w:rFonts w:hint="eastAsia"/>
          <w:bCs/>
          <w:sz w:val="24"/>
        </w:rPr>
        <w:t>该类</w:t>
      </w:r>
      <w:r>
        <w:rPr>
          <w:bCs/>
          <w:sz w:val="24"/>
        </w:rPr>
        <w:t>基金资产净值除以当日</w:t>
      </w:r>
      <w:r>
        <w:rPr>
          <w:rFonts w:hint="eastAsia"/>
          <w:bCs/>
          <w:sz w:val="24"/>
        </w:rPr>
        <w:t>该类</w:t>
      </w:r>
      <w:r>
        <w:rPr>
          <w:bCs/>
          <w:sz w:val="24"/>
        </w:rPr>
        <w:t>基金份额的余额数量计算，精确到</w:t>
      </w:r>
      <w:r>
        <w:rPr>
          <w:rFonts w:hint="eastAsia"/>
          <w:bCs/>
          <w:sz w:val="24"/>
        </w:rPr>
        <w:t>0.0001</w:t>
      </w:r>
      <w:r>
        <w:rPr>
          <w:bCs/>
          <w:sz w:val="24"/>
        </w:rPr>
        <w:t>元，小数点后第</w:t>
      </w:r>
      <w:r>
        <w:rPr>
          <w:rFonts w:hint="eastAsia"/>
          <w:bCs/>
          <w:sz w:val="24"/>
        </w:rPr>
        <w:t>5</w:t>
      </w:r>
      <w:r>
        <w:rPr>
          <w:bCs/>
          <w:sz w:val="24"/>
        </w:rPr>
        <w:t>位四舍五入。国家另有规定的，从其规定。</w:t>
      </w:r>
    </w:p>
    <w:p w14:paraId="0FD8A211" w14:textId="77777777" w:rsidR="003568C2" w:rsidRDefault="00695B03">
      <w:pPr>
        <w:autoSpaceDE w:val="0"/>
        <w:autoSpaceDN w:val="0"/>
        <w:spacing w:line="360" w:lineRule="auto"/>
        <w:ind w:firstLineChars="200" w:firstLine="480"/>
        <w:textAlignment w:val="bottom"/>
        <w:rPr>
          <w:bCs/>
          <w:sz w:val="24"/>
        </w:rPr>
      </w:pPr>
      <w:r>
        <w:rPr>
          <w:rFonts w:hint="eastAsia"/>
          <w:bCs/>
          <w:sz w:val="24"/>
        </w:rPr>
        <w:t>每个工作日计算基金资产净值及两类基金份额净值，并按规定公告</w:t>
      </w:r>
      <w:r>
        <w:rPr>
          <w:bCs/>
          <w:sz w:val="24"/>
        </w:rPr>
        <w:t>。</w:t>
      </w:r>
    </w:p>
    <w:p w14:paraId="04CE1BE7" w14:textId="77777777" w:rsidR="003568C2" w:rsidRDefault="00695B03">
      <w:pPr>
        <w:autoSpaceDE w:val="0"/>
        <w:autoSpaceDN w:val="0"/>
        <w:spacing w:line="360" w:lineRule="auto"/>
        <w:ind w:firstLineChars="200" w:firstLine="480"/>
        <w:textAlignment w:val="bottom"/>
        <w:rPr>
          <w:bCs/>
          <w:sz w:val="24"/>
        </w:rPr>
      </w:pPr>
      <w:r>
        <w:rPr>
          <w:bCs/>
          <w:sz w:val="24"/>
        </w:rPr>
        <w:t>2</w:t>
      </w:r>
      <w:r>
        <w:rPr>
          <w:bCs/>
          <w:sz w:val="24"/>
        </w:rPr>
        <w:t>、基金管理人应每个工作日对基金资产估值。但基金管理人根据法律法规或本基金合同的规定暂停估值时除外。基金管理人每个工作日对基金资产估值后，将</w:t>
      </w:r>
      <w:r>
        <w:rPr>
          <w:rFonts w:hint="eastAsia"/>
          <w:bCs/>
          <w:sz w:val="24"/>
        </w:rPr>
        <w:t>两类</w:t>
      </w:r>
      <w:r>
        <w:rPr>
          <w:bCs/>
          <w:sz w:val="24"/>
        </w:rPr>
        <w:t>基金份额净值结果发送基金托管人，经基金托管人复核无误后，由基金管理人对外公布。</w:t>
      </w:r>
    </w:p>
    <w:p w14:paraId="72112975" w14:textId="77777777" w:rsidR="003568C2" w:rsidRDefault="00695B03">
      <w:pPr>
        <w:autoSpaceDE w:val="0"/>
        <w:autoSpaceDN w:val="0"/>
        <w:spacing w:line="360" w:lineRule="auto"/>
        <w:ind w:firstLineChars="200" w:firstLine="480"/>
        <w:textAlignment w:val="bottom"/>
        <w:rPr>
          <w:bCs/>
          <w:sz w:val="24"/>
        </w:rPr>
      </w:pPr>
      <w:r>
        <w:rPr>
          <w:bCs/>
          <w:sz w:val="24"/>
        </w:rPr>
        <w:t>五、估值错误的处理</w:t>
      </w:r>
    </w:p>
    <w:p w14:paraId="177064B8" w14:textId="77777777" w:rsidR="003568C2" w:rsidRDefault="00695B03">
      <w:pPr>
        <w:autoSpaceDE w:val="0"/>
        <w:autoSpaceDN w:val="0"/>
        <w:spacing w:line="360" w:lineRule="auto"/>
        <w:ind w:firstLineChars="200" w:firstLine="480"/>
        <w:textAlignment w:val="bottom"/>
        <w:rPr>
          <w:bCs/>
          <w:sz w:val="24"/>
        </w:rPr>
      </w:pPr>
      <w:r>
        <w:rPr>
          <w:bCs/>
          <w:sz w:val="24"/>
        </w:rPr>
        <w:t>基金管理人和基金托管人将采取必要、适当、合理的措施确保基金资产估值的准确性、及时性。当基金份额净值小数点后</w:t>
      </w:r>
      <w:r>
        <w:rPr>
          <w:rFonts w:hint="eastAsia"/>
          <w:bCs/>
          <w:sz w:val="24"/>
        </w:rPr>
        <w:t>4</w:t>
      </w:r>
      <w:r>
        <w:rPr>
          <w:bCs/>
          <w:sz w:val="24"/>
        </w:rPr>
        <w:t>位以内</w:t>
      </w:r>
      <w:r>
        <w:rPr>
          <w:rFonts w:hint="eastAsia"/>
          <w:bCs/>
          <w:sz w:val="24"/>
        </w:rPr>
        <w:t>（</w:t>
      </w:r>
      <w:r>
        <w:rPr>
          <w:bCs/>
          <w:sz w:val="24"/>
        </w:rPr>
        <w:t>含第</w:t>
      </w:r>
      <w:r>
        <w:rPr>
          <w:rFonts w:hint="eastAsia"/>
          <w:bCs/>
          <w:sz w:val="24"/>
        </w:rPr>
        <w:t>4</w:t>
      </w:r>
      <w:r>
        <w:rPr>
          <w:bCs/>
          <w:sz w:val="24"/>
        </w:rPr>
        <w:t>位</w:t>
      </w:r>
      <w:r>
        <w:rPr>
          <w:rFonts w:hint="eastAsia"/>
          <w:bCs/>
          <w:sz w:val="24"/>
        </w:rPr>
        <w:t>）</w:t>
      </w:r>
      <w:r>
        <w:rPr>
          <w:bCs/>
          <w:sz w:val="24"/>
        </w:rPr>
        <w:t>发生估值错误时，视为基金份额净值错误。</w:t>
      </w:r>
    </w:p>
    <w:p w14:paraId="4DD49A05" w14:textId="77777777" w:rsidR="003568C2" w:rsidRDefault="00695B03">
      <w:pPr>
        <w:autoSpaceDE w:val="0"/>
        <w:autoSpaceDN w:val="0"/>
        <w:spacing w:line="360" w:lineRule="auto"/>
        <w:ind w:firstLineChars="200" w:firstLine="480"/>
        <w:textAlignment w:val="bottom"/>
        <w:rPr>
          <w:bCs/>
          <w:sz w:val="24"/>
        </w:rPr>
      </w:pPr>
      <w:r>
        <w:rPr>
          <w:bCs/>
          <w:sz w:val="24"/>
        </w:rPr>
        <w:t>本基金合同的当事人应按照以下约定处理：</w:t>
      </w:r>
    </w:p>
    <w:p w14:paraId="70258DFA" w14:textId="77777777" w:rsidR="003568C2" w:rsidRDefault="00695B03">
      <w:pPr>
        <w:autoSpaceDE w:val="0"/>
        <w:autoSpaceDN w:val="0"/>
        <w:spacing w:line="360" w:lineRule="auto"/>
        <w:ind w:firstLineChars="200" w:firstLine="480"/>
        <w:textAlignment w:val="bottom"/>
        <w:rPr>
          <w:bCs/>
          <w:sz w:val="24"/>
        </w:rPr>
      </w:pPr>
      <w:r>
        <w:rPr>
          <w:bCs/>
          <w:sz w:val="24"/>
        </w:rPr>
        <w:t>1</w:t>
      </w:r>
      <w:r>
        <w:rPr>
          <w:bCs/>
          <w:sz w:val="24"/>
        </w:rPr>
        <w:t>、估值错误类型</w:t>
      </w:r>
    </w:p>
    <w:p w14:paraId="6BC499B1" w14:textId="77777777" w:rsidR="003568C2" w:rsidRDefault="00695B03">
      <w:pPr>
        <w:autoSpaceDE w:val="0"/>
        <w:autoSpaceDN w:val="0"/>
        <w:spacing w:line="360" w:lineRule="auto"/>
        <w:ind w:firstLineChars="200" w:firstLine="480"/>
        <w:textAlignment w:val="bottom"/>
        <w:rPr>
          <w:bCs/>
          <w:sz w:val="24"/>
        </w:rPr>
      </w:pPr>
      <w:r>
        <w:rPr>
          <w:bCs/>
          <w:sz w:val="24"/>
        </w:rPr>
        <w:t>本基金运作过程中，如果由于基金管理人或基金托管人、或登记机构、或销售机构、或投资人自身的过错造成估值错误，导致其他当事人遭受损失的，过错的责任人应当对由于该估值错误遭受损失当事人</w:t>
      </w:r>
      <w:r>
        <w:rPr>
          <w:rFonts w:hint="eastAsia"/>
          <w:bCs/>
          <w:sz w:val="24"/>
        </w:rPr>
        <w:t>（“</w:t>
      </w:r>
      <w:r>
        <w:rPr>
          <w:bCs/>
          <w:sz w:val="24"/>
        </w:rPr>
        <w:t>受损方</w:t>
      </w:r>
      <w:r>
        <w:rPr>
          <w:rFonts w:hint="eastAsia"/>
          <w:bCs/>
          <w:sz w:val="24"/>
        </w:rPr>
        <w:t>”）</w:t>
      </w:r>
      <w:r>
        <w:rPr>
          <w:bCs/>
          <w:sz w:val="24"/>
        </w:rPr>
        <w:t>的直接损失按下述</w:t>
      </w:r>
      <w:r>
        <w:rPr>
          <w:rFonts w:hint="eastAsia"/>
          <w:bCs/>
          <w:sz w:val="24"/>
        </w:rPr>
        <w:t>“</w:t>
      </w:r>
      <w:r>
        <w:rPr>
          <w:bCs/>
          <w:sz w:val="24"/>
        </w:rPr>
        <w:t>估值错误处理原则</w:t>
      </w:r>
      <w:r>
        <w:rPr>
          <w:rFonts w:hint="eastAsia"/>
          <w:bCs/>
          <w:sz w:val="24"/>
        </w:rPr>
        <w:t>”</w:t>
      </w:r>
      <w:r>
        <w:rPr>
          <w:bCs/>
          <w:sz w:val="24"/>
        </w:rPr>
        <w:t>给予赔偿，承担赔偿责任。</w:t>
      </w:r>
    </w:p>
    <w:p w14:paraId="70490E77" w14:textId="77777777" w:rsidR="003568C2" w:rsidRDefault="00695B03">
      <w:pPr>
        <w:autoSpaceDE w:val="0"/>
        <w:autoSpaceDN w:val="0"/>
        <w:spacing w:line="360" w:lineRule="auto"/>
        <w:ind w:firstLineChars="200" w:firstLine="480"/>
        <w:textAlignment w:val="bottom"/>
        <w:rPr>
          <w:bCs/>
          <w:sz w:val="24"/>
        </w:rPr>
      </w:pPr>
      <w:r>
        <w:rPr>
          <w:bCs/>
          <w:sz w:val="24"/>
        </w:rPr>
        <w:t>上述估值错误的主要类型包括但不限于：资料申报差错、数据传输差错、数据计算差错、系统故障差错、下达指令差错等。</w:t>
      </w:r>
    </w:p>
    <w:p w14:paraId="3DBCCC1D" w14:textId="77777777" w:rsidR="003568C2" w:rsidRDefault="00695B03">
      <w:pPr>
        <w:autoSpaceDE w:val="0"/>
        <w:autoSpaceDN w:val="0"/>
        <w:spacing w:line="360" w:lineRule="auto"/>
        <w:ind w:firstLineChars="200" w:firstLine="480"/>
        <w:textAlignment w:val="bottom"/>
        <w:rPr>
          <w:bCs/>
          <w:sz w:val="24"/>
        </w:rPr>
      </w:pPr>
      <w:r>
        <w:rPr>
          <w:bCs/>
          <w:sz w:val="24"/>
        </w:rPr>
        <w:t>2</w:t>
      </w:r>
      <w:r>
        <w:rPr>
          <w:bCs/>
          <w:sz w:val="24"/>
        </w:rPr>
        <w:t>、估值错误处理原则</w:t>
      </w:r>
    </w:p>
    <w:p w14:paraId="0EEF4922" w14:textId="77777777" w:rsidR="003568C2" w:rsidRDefault="00695B03">
      <w:pPr>
        <w:autoSpaceDE w:val="0"/>
        <w:autoSpaceDN w:val="0"/>
        <w:spacing w:line="360" w:lineRule="auto"/>
        <w:ind w:firstLineChars="200" w:firstLine="480"/>
        <w:textAlignment w:val="bottom"/>
        <w:rPr>
          <w:bCs/>
          <w:sz w:val="24"/>
        </w:rPr>
      </w:pPr>
      <w:r>
        <w:rPr>
          <w:bCs/>
          <w:sz w:val="24"/>
        </w:rPr>
        <w:t>（</w:t>
      </w:r>
      <w:r>
        <w:rPr>
          <w:bCs/>
          <w:sz w:val="24"/>
        </w:rPr>
        <w:t>1</w:t>
      </w:r>
      <w:r>
        <w:rPr>
          <w:bCs/>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w:t>
      </w:r>
      <w:r>
        <w:rPr>
          <w:bCs/>
          <w:sz w:val="24"/>
        </w:rPr>
        <w:lastRenderedPageBreak/>
        <w:t>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0CD5539A" w14:textId="77777777" w:rsidR="003568C2" w:rsidRDefault="00695B03">
      <w:pPr>
        <w:autoSpaceDE w:val="0"/>
        <w:autoSpaceDN w:val="0"/>
        <w:spacing w:line="360" w:lineRule="auto"/>
        <w:ind w:firstLineChars="200" w:firstLine="480"/>
        <w:textAlignment w:val="bottom"/>
        <w:rPr>
          <w:bCs/>
          <w:sz w:val="24"/>
        </w:rPr>
      </w:pPr>
      <w:r>
        <w:rPr>
          <w:bCs/>
          <w:sz w:val="24"/>
        </w:rPr>
        <w:t>（</w:t>
      </w:r>
      <w:r>
        <w:rPr>
          <w:rFonts w:hint="eastAsia"/>
          <w:bCs/>
          <w:sz w:val="24"/>
        </w:rPr>
        <w:t>2</w:t>
      </w:r>
      <w:r>
        <w:rPr>
          <w:bCs/>
          <w:sz w:val="24"/>
        </w:rPr>
        <w:t>）估值错误的责任方对有关当事人的直接损失负责，不对间接损失负责，并且仅对估值错误的有关直接当事人负责，不对第三方负责。</w:t>
      </w:r>
    </w:p>
    <w:p w14:paraId="6EF501E6" w14:textId="77777777" w:rsidR="003568C2" w:rsidRDefault="00695B03">
      <w:pPr>
        <w:autoSpaceDE w:val="0"/>
        <w:autoSpaceDN w:val="0"/>
        <w:spacing w:line="360" w:lineRule="auto"/>
        <w:ind w:firstLineChars="200" w:firstLine="480"/>
        <w:textAlignment w:val="bottom"/>
        <w:rPr>
          <w:bCs/>
          <w:sz w:val="24"/>
        </w:rPr>
      </w:pPr>
      <w:r>
        <w:rPr>
          <w:bCs/>
          <w:sz w:val="24"/>
        </w:rPr>
        <w:t>（</w:t>
      </w:r>
      <w:r>
        <w:rPr>
          <w:rFonts w:hint="eastAsia"/>
          <w:bCs/>
          <w:sz w:val="24"/>
        </w:rPr>
        <w:t>3</w:t>
      </w:r>
      <w:r>
        <w:rPr>
          <w:bCs/>
          <w:sz w:val="24"/>
        </w:rPr>
        <w:t>）因估值错误而获得不当得利的当事人负有及时返还不当得利的义务。但估值错误责任方仍应对估值错误负责。如果由于获得不当得利的当事人不返还或不全部返还不当得利造成其他当事人的利益损失</w:t>
      </w:r>
      <w:r>
        <w:rPr>
          <w:rFonts w:hint="eastAsia"/>
          <w:bCs/>
          <w:sz w:val="24"/>
        </w:rPr>
        <w:t>（“</w:t>
      </w:r>
      <w:r>
        <w:rPr>
          <w:bCs/>
          <w:sz w:val="24"/>
        </w:rPr>
        <w:t>受损方</w:t>
      </w:r>
      <w:r>
        <w:rPr>
          <w:rFonts w:hint="eastAsia"/>
          <w:bCs/>
          <w:sz w:val="24"/>
        </w:rPr>
        <w:t>”）</w:t>
      </w:r>
      <w:r>
        <w:rPr>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4856D548" w14:textId="77777777" w:rsidR="003568C2" w:rsidRDefault="00695B03">
      <w:pPr>
        <w:autoSpaceDE w:val="0"/>
        <w:autoSpaceDN w:val="0"/>
        <w:spacing w:line="360" w:lineRule="auto"/>
        <w:ind w:firstLineChars="200" w:firstLine="480"/>
        <w:textAlignment w:val="bottom"/>
        <w:rPr>
          <w:bCs/>
          <w:sz w:val="24"/>
        </w:rPr>
      </w:pPr>
      <w:r>
        <w:rPr>
          <w:bCs/>
          <w:sz w:val="24"/>
        </w:rPr>
        <w:t>（</w:t>
      </w:r>
      <w:r>
        <w:rPr>
          <w:rFonts w:hint="eastAsia"/>
          <w:bCs/>
          <w:sz w:val="24"/>
        </w:rPr>
        <w:t>4</w:t>
      </w:r>
      <w:r>
        <w:rPr>
          <w:bCs/>
          <w:sz w:val="24"/>
        </w:rPr>
        <w:t>）估值错误调整采用尽量恢复至假设未发生估值错误的正确情形的方式。</w:t>
      </w:r>
    </w:p>
    <w:p w14:paraId="46410765" w14:textId="77777777" w:rsidR="003568C2" w:rsidRDefault="00695B03">
      <w:pPr>
        <w:autoSpaceDE w:val="0"/>
        <w:autoSpaceDN w:val="0"/>
        <w:spacing w:line="360" w:lineRule="auto"/>
        <w:ind w:firstLineChars="200" w:firstLine="480"/>
        <w:textAlignment w:val="bottom"/>
        <w:rPr>
          <w:bCs/>
          <w:sz w:val="24"/>
        </w:rPr>
      </w:pPr>
      <w:r>
        <w:rPr>
          <w:bCs/>
          <w:sz w:val="24"/>
        </w:rPr>
        <w:t>3</w:t>
      </w:r>
      <w:r>
        <w:rPr>
          <w:bCs/>
          <w:sz w:val="24"/>
        </w:rPr>
        <w:t>、估值错误处理程序</w:t>
      </w:r>
    </w:p>
    <w:p w14:paraId="47C5782C" w14:textId="77777777" w:rsidR="003568C2" w:rsidRDefault="00695B03">
      <w:pPr>
        <w:autoSpaceDE w:val="0"/>
        <w:autoSpaceDN w:val="0"/>
        <w:spacing w:line="360" w:lineRule="auto"/>
        <w:ind w:firstLineChars="200" w:firstLine="480"/>
        <w:textAlignment w:val="bottom"/>
        <w:rPr>
          <w:bCs/>
          <w:sz w:val="24"/>
        </w:rPr>
      </w:pPr>
      <w:r>
        <w:rPr>
          <w:bCs/>
          <w:sz w:val="24"/>
        </w:rPr>
        <w:t>估值错误被发现后，有关的当事人应当及时进行处理，处理的程序如下：</w:t>
      </w:r>
    </w:p>
    <w:p w14:paraId="7D9FF896" w14:textId="77777777" w:rsidR="003568C2" w:rsidRDefault="00695B03">
      <w:pPr>
        <w:autoSpaceDE w:val="0"/>
        <w:autoSpaceDN w:val="0"/>
        <w:spacing w:line="360" w:lineRule="auto"/>
        <w:ind w:firstLineChars="200" w:firstLine="480"/>
        <w:textAlignment w:val="bottom"/>
        <w:rPr>
          <w:bCs/>
          <w:sz w:val="24"/>
        </w:rPr>
      </w:pPr>
      <w:r>
        <w:rPr>
          <w:bCs/>
          <w:sz w:val="24"/>
        </w:rPr>
        <w:t>（</w:t>
      </w:r>
      <w:r>
        <w:rPr>
          <w:bCs/>
          <w:sz w:val="24"/>
        </w:rPr>
        <w:t>1</w:t>
      </w:r>
      <w:r>
        <w:rPr>
          <w:bCs/>
          <w:sz w:val="24"/>
        </w:rPr>
        <w:t>）查明估值错误发生的原因，列明所有的当事人，并根据估值错误发生的原因确定估值错误的责任方；</w:t>
      </w:r>
    </w:p>
    <w:p w14:paraId="7D109311" w14:textId="77777777" w:rsidR="003568C2" w:rsidRDefault="00695B03">
      <w:pPr>
        <w:autoSpaceDE w:val="0"/>
        <w:autoSpaceDN w:val="0"/>
        <w:spacing w:line="360" w:lineRule="auto"/>
        <w:ind w:firstLineChars="200" w:firstLine="480"/>
        <w:textAlignment w:val="bottom"/>
        <w:rPr>
          <w:bCs/>
          <w:sz w:val="24"/>
        </w:rPr>
      </w:pPr>
      <w:r>
        <w:rPr>
          <w:bCs/>
          <w:sz w:val="24"/>
        </w:rPr>
        <w:t>（</w:t>
      </w:r>
      <w:r>
        <w:rPr>
          <w:rFonts w:hint="eastAsia"/>
          <w:bCs/>
          <w:sz w:val="24"/>
        </w:rPr>
        <w:t>2</w:t>
      </w:r>
      <w:r>
        <w:rPr>
          <w:bCs/>
          <w:sz w:val="24"/>
        </w:rPr>
        <w:t>）根据估值错误处理原则或当事人协商的方法对因估值错误造成的损失进行评估；</w:t>
      </w:r>
    </w:p>
    <w:p w14:paraId="7FE6E7B0" w14:textId="77777777" w:rsidR="003568C2" w:rsidRDefault="00695B03">
      <w:pPr>
        <w:autoSpaceDE w:val="0"/>
        <w:autoSpaceDN w:val="0"/>
        <w:spacing w:line="360" w:lineRule="auto"/>
        <w:ind w:firstLineChars="200" w:firstLine="480"/>
        <w:textAlignment w:val="bottom"/>
        <w:rPr>
          <w:bCs/>
          <w:sz w:val="24"/>
        </w:rPr>
      </w:pPr>
      <w:r>
        <w:rPr>
          <w:bCs/>
          <w:sz w:val="24"/>
        </w:rPr>
        <w:t>（</w:t>
      </w:r>
      <w:r>
        <w:rPr>
          <w:rFonts w:hint="eastAsia"/>
          <w:bCs/>
          <w:sz w:val="24"/>
        </w:rPr>
        <w:t>3</w:t>
      </w:r>
      <w:r>
        <w:rPr>
          <w:bCs/>
          <w:sz w:val="24"/>
        </w:rPr>
        <w:t>）根据估值错误处理原则或当事人协商的方法由估值错误的责任方进行更正和赔偿损失；</w:t>
      </w:r>
    </w:p>
    <w:p w14:paraId="58533629" w14:textId="77777777" w:rsidR="003568C2" w:rsidRDefault="00695B03">
      <w:pPr>
        <w:autoSpaceDE w:val="0"/>
        <w:autoSpaceDN w:val="0"/>
        <w:spacing w:line="360" w:lineRule="auto"/>
        <w:ind w:firstLineChars="200" w:firstLine="480"/>
        <w:textAlignment w:val="bottom"/>
        <w:rPr>
          <w:bCs/>
          <w:sz w:val="24"/>
        </w:rPr>
      </w:pPr>
      <w:r>
        <w:rPr>
          <w:bCs/>
          <w:sz w:val="24"/>
        </w:rPr>
        <w:t>（</w:t>
      </w:r>
      <w:r>
        <w:rPr>
          <w:rFonts w:hint="eastAsia"/>
          <w:bCs/>
          <w:sz w:val="24"/>
        </w:rPr>
        <w:t>4</w:t>
      </w:r>
      <w:r>
        <w:rPr>
          <w:bCs/>
          <w:sz w:val="24"/>
        </w:rPr>
        <w:t>）根据估值错误处理的方法，需要修改基金登记机构交易数据的，由基金登记机构进行更正，并就估值错误的更正向有关当事人进行确认。</w:t>
      </w:r>
    </w:p>
    <w:p w14:paraId="0B519A0A" w14:textId="77777777" w:rsidR="003568C2" w:rsidRDefault="00695B03">
      <w:pPr>
        <w:autoSpaceDE w:val="0"/>
        <w:autoSpaceDN w:val="0"/>
        <w:spacing w:line="360" w:lineRule="auto"/>
        <w:ind w:firstLineChars="200" w:firstLine="480"/>
        <w:textAlignment w:val="bottom"/>
        <w:rPr>
          <w:bCs/>
          <w:sz w:val="24"/>
        </w:rPr>
      </w:pPr>
      <w:r>
        <w:rPr>
          <w:bCs/>
          <w:sz w:val="24"/>
        </w:rPr>
        <w:t>4</w:t>
      </w:r>
      <w:r>
        <w:rPr>
          <w:bCs/>
          <w:sz w:val="24"/>
        </w:rPr>
        <w:t>、基金份额净值估值错误处理的方法如下：</w:t>
      </w:r>
    </w:p>
    <w:p w14:paraId="548F2EA0" w14:textId="77777777" w:rsidR="003568C2" w:rsidRDefault="00695B03">
      <w:pPr>
        <w:autoSpaceDE w:val="0"/>
        <w:autoSpaceDN w:val="0"/>
        <w:spacing w:line="360" w:lineRule="auto"/>
        <w:ind w:firstLineChars="200" w:firstLine="480"/>
        <w:textAlignment w:val="bottom"/>
        <w:rPr>
          <w:bCs/>
          <w:sz w:val="24"/>
        </w:rPr>
      </w:pPr>
      <w:r>
        <w:rPr>
          <w:bCs/>
          <w:sz w:val="24"/>
        </w:rPr>
        <w:t>（</w:t>
      </w:r>
      <w:r>
        <w:rPr>
          <w:bCs/>
          <w:sz w:val="24"/>
        </w:rPr>
        <w:t>1</w:t>
      </w:r>
      <w:r>
        <w:rPr>
          <w:bCs/>
          <w:sz w:val="24"/>
        </w:rPr>
        <w:t>）基金份额净值计算出现错误时，基金管理人应当立即予以纠正，通报基金托管人，并采取合理的措施防止损失进一步扩大。</w:t>
      </w:r>
    </w:p>
    <w:p w14:paraId="13FC846C" w14:textId="77777777" w:rsidR="003568C2" w:rsidRDefault="00695B03">
      <w:pPr>
        <w:autoSpaceDE w:val="0"/>
        <w:autoSpaceDN w:val="0"/>
        <w:spacing w:line="360" w:lineRule="auto"/>
        <w:ind w:firstLineChars="200" w:firstLine="480"/>
        <w:textAlignment w:val="bottom"/>
        <w:rPr>
          <w:bCs/>
          <w:sz w:val="24"/>
        </w:rPr>
      </w:pPr>
      <w:r>
        <w:rPr>
          <w:bCs/>
          <w:sz w:val="24"/>
        </w:rPr>
        <w:t>（</w:t>
      </w:r>
      <w:r>
        <w:rPr>
          <w:rFonts w:hint="eastAsia"/>
          <w:bCs/>
          <w:sz w:val="24"/>
        </w:rPr>
        <w:t>2</w:t>
      </w:r>
      <w:r>
        <w:rPr>
          <w:bCs/>
          <w:sz w:val="24"/>
        </w:rPr>
        <w:t>）错误偏差达到基金份额净值的</w:t>
      </w:r>
      <w:r>
        <w:rPr>
          <w:bCs/>
          <w:sz w:val="24"/>
        </w:rPr>
        <w:t>0.25%</w:t>
      </w:r>
      <w:r>
        <w:rPr>
          <w:bCs/>
          <w:sz w:val="24"/>
        </w:rPr>
        <w:t>时，基金管理人应当通报基金托管人并报中国证监会备案；错误偏差达到基金份额净值的</w:t>
      </w:r>
      <w:r>
        <w:rPr>
          <w:bCs/>
          <w:sz w:val="24"/>
        </w:rPr>
        <w:t>0.5%</w:t>
      </w:r>
      <w:r>
        <w:rPr>
          <w:bCs/>
          <w:sz w:val="24"/>
        </w:rPr>
        <w:t>时，基金管理人应当</w:t>
      </w:r>
      <w:r>
        <w:rPr>
          <w:bCs/>
          <w:sz w:val="24"/>
        </w:rPr>
        <w:lastRenderedPageBreak/>
        <w:t>公告。</w:t>
      </w:r>
    </w:p>
    <w:p w14:paraId="5970E3F9" w14:textId="77777777" w:rsidR="003568C2" w:rsidRDefault="00695B03">
      <w:pPr>
        <w:spacing w:line="360" w:lineRule="auto"/>
        <w:ind w:firstLineChars="200" w:firstLine="480"/>
        <w:rPr>
          <w:bCs/>
          <w:sz w:val="24"/>
        </w:rPr>
      </w:pPr>
      <w:r>
        <w:rPr>
          <w:rFonts w:hint="eastAsia"/>
          <w:bCs/>
          <w:sz w:val="24"/>
        </w:rPr>
        <w:t>（</w:t>
      </w:r>
      <w:r>
        <w:rPr>
          <w:rFonts w:hint="eastAsia"/>
          <w:bCs/>
          <w:sz w:val="24"/>
        </w:rPr>
        <w:t>3</w:t>
      </w:r>
      <w:r>
        <w:rPr>
          <w:rFonts w:hint="eastAsia"/>
          <w:bCs/>
          <w:sz w:val="24"/>
        </w:rPr>
        <w:t>）当基金份额净值计算差错给基金和基金份额持有人造成损失需要进行赔偿时，基金管理人和基金托管人应根据实际情况界定双方承担的责任，经确认后按以下条款进行赔偿：</w:t>
      </w:r>
    </w:p>
    <w:p w14:paraId="5AE69EE6" w14:textId="77777777" w:rsidR="003568C2" w:rsidRDefault="00695B03">
      <w:pPr>
        <w:spacing w:line="360" w:lineRule="auto"/>
        <w:ind w:firstLineChars="200" w:firstLine="480"/>
        <w:rPr>
          <w:bCs/>
          <w:sz w:val="24"/>
        </w:rPr>
      </w:pPr>
      <w:r>
        <w:rPr>
          <w:rFonts w:hint="eastAsia"/>
          <w:bCs/>
          <w:sz w:val="24"/>
        </w:rPr>
        <w:t>①本基金的基金会计责任方由基金管理人担任，与本基金有关的会计问题，如经双方在平等基础上充分讨论后，尚不能达成一致时，按基金管理人的建议执行，由此给基金份额持有人和基金财产造成的损失，由基金管理人负责赔付。</w:t>
      </w:r>
    </w:p>
    <w:p w14:paraId="5C6AB66B" w14:textId="77777777" w:rsidR="003568C2" w:rsidRDefault="00695B03">
      <w:pPr>
        <w:spacing w:line="360" w:lineRule="auto"/>
        <w:ind w:firstLineChars="200" w:firstLine="480"/>
        <w:rPr>
          <w:bCs/>
          <w:sz w:val="24"/>
        </w:rPr>
      </w:pPr>
      <w:r>
        <w:rPr>
          <w:rFonts w:hint="eastAsia"/>
          <w:bCs/>
          <w:sz w:val="24"/>
        </w:rPr>
        <w:t>②若基金管理人计算的基金份额净值已由基金托管人复核确认后公告，由此给基金份额持有人造成损失的，应根据法律法规的规定对投资者或基金支付赔偿金，就实际向投资者或基金支付的赔偿金额，基金管理人与基金托管人按照过错程度各自承担相应的责任。</w:t>
      </w:r>
    </w:p>
    <w:p w14:paraId="04E5110C" w14:textId="77777777" w:rsidR="003568C2" w:rsidRDefault="00695B03">
      <w:pPr>
        <w:spacing w:line="360" w:lineRule="auto"/>
        <w:ind w:firstLineChars="200" w:firstLine="480"/>
        <w:rPr>
          <w:bCs/>
          <w:sz w:val="24"/>
        </w:rPr>
      </w:pPr>
      <w:r>
        <w:rPr>
          <w:rFonts w:hint="eastAsia"/>
          <w:bCs/>
          <w:sz w:val="24"/>
        </w:rPr>
        <w:t>③如基金管理人和基金托管人对基金份额净值的计算结果，虽然多次重新计算和核对，尚不能达成一致时，为避免不能按时公布基金份额净值的情形，以基金管理人的计算结果对外公布，由此给基金份额持有人和基金造成的损失，由基金管理人负责赔付。</w:t>
      </w:r>
    </w:p>
    <w:p w14:paraId="62CBBB98" w14:textId="77777777" w:rsidR="003568C2" w:rsidRDefault="00695B03">
      <w:pPr>
        <w:spacing w:line="360" w:lineRule="auto"/>
        <w:ind w:firstLineChars="200" w:firstLine="480"/>
        <w:rPr>
          <w:bCs/>
          <w:sz w:val="24"/>
        </w:rPr>
      </w:pPr>
      <w:r>
        <w:rPr>
          <w:rFonts w:hint="eastAsia"/>
          <w:bCs/>
          <w:sz w:val="24"/>
        </w:rPr>
        <w:t>④由于基金管理人提供的信息错误（包括但不限于基金申购或赎回金额等），进而导致基金份额净值计算错误而引起的基金份额持有人和基金财产的损失，由基金管理人负责赔付。</w:t>
      </w:r>
      <w:r>
        <w:rPr>
          <w:rFonts w:hint="eastAsia"/>
          <w:bCs/>
          <w:sz w:val="24"/>
        </w:rPr>
        <w:t xml:space="preserve"> </w:t>
      </w:r>
    </w:p>
    <w:p w14:paraId="3CE8A5F0" w14:textId="77777777" w:rsidR="003568C2" w:rsidRDefault="00695B03">
      <w:pPr>
        <w:spacing w:line="360" w:lineRule="auto"/>
        <w:ind w:firstLineChars="200" w:firstLine="480"/>
        <w:rPr>
          <w:bCs/>
          <w:sz w:val="24"/>
        </w:rPr>
      </w:pPr>
      <w:r>
        <w:rPr>
          <w:rFonts w:hint="eastAsia"/>
          <w:bCs/>
          <w:sz w:val="24"/>
        </w:rPr>
        <w:t>（</w:t>
      </w:r>
      <w:r>
        <w:rPr>
          <w:rFonts w:hint="eastAsia"/>
          <w:bCs/>
          <w:sz w:val="24"/>
        </w:rPr>
        <w:t>4</w:t>
      </w:r>
      <w:r>
        <w:rPr>
          <w:rFonts w:hint="eastAsia"/>
          <w:bCs/>
          <w:sz w:val="24"/>
        </w:rPr>
        <w:t>）</w:t>
      </w:r>
      <w:r>
        <w:rPr>
          <w:bCs/>
          <w:sz w:val="24"/>
        </w:rPr>
        <w:t>前述内容如法律法规</w:t>
      </w:r>
      <w:r>
        <w:rPr>
          <w:rFonts w:hint="eastAsia"/>
          <w:bCs/>
          <w:sz w:val="24"/>
        </w:rPr>
        <w:t>或者监管部门</w:t>
      </w:r>
      <w:r>
        <w:rPr>
          <w:bCs/>
          <w:sz w:val="24"/>
        </w:rPr>
        <w:t>另有规定的，从其规定。</w:t>
      </w:r>
      <w:r>
        <w:rPr>
          <w:rFonts w:hint="eastAsia"/>
          <w:bCs/>
          <w:sz w:val="24"/>
        </w:rPr>
        <w:t>如果行业另有通行做法，基金管理人和基金托管人应本着平等和保护基金份额持有人利益的原则进行协商。</w:t>
      </w:r>
    </w:p>
    <w:p w14:paraId="4432BB5C" w14:textId="77777777" w:rsidR="003568C2" w:rsidRDefault="00695B03">
      <w:pPr>
        <w:spacing w:line="360" w:lineRule="auto"/>
        <w:ind w:firstLineChars="200" w:firstLine="480"/>
        <w:rPr>
          <w:bCs/>
          <w:sz w:val="24"/>
        </w:rPr>
      </w:pPr>
      <w:r>
        <w:rPr>
          <w:bCs/>
          <w:sz w:val="24"/>
        </w:rPr>
        <w:t>六、暂停估值的情形</w:t>
      </w:r>
    </w:p>
    <w:p w14:paraId="694A83B9" w14:textId="77777777" w:rsidR="003568C2" w:rsidRDefault="00695B03">
      <w:pPr>
        <w:autoSpaceDE w:val="0"/>
        <w:autoSpaceDN w:val="0"/>
        <w:spacing w:line="360" w:lineRule="auto"/>
        <w:ind w:firstLineChars="200" w:firstLine="480"/>
        <w:textAlignment w:val="bottom"/>
        <w:rPr>
          <w:bCs/>
          <w:sz w:val="24"/>
        </w:rPr>
      </w:pPr>
      <w:r>
        <w:rPr>
          <w:bCs/>
          <w:sz w:val="24"/>
        </w:rPr>
        <w:t>1</w:t>
      </w:r>
      <w:r>
        <w:rPr>
          <w:bCs/>
          <w:sz w:val="24"/>
        </w:rPr>
        <w:t>、基金投资所涉及的证券</w:t>
      </w:r>
      <w:r>
        <w:rPr>
          <w:rFonts w:hint="eastAsia"/>
          <w:bCs/>
          <w:sz w:val="24"/>
        </w:rPr>
        <w:t>、期货</w:t>
      </w:r>
      <w:r>
        <w:rPr>
          <w:bCs/>
          <w:sz w:val="24"/>
        </w:rPr>
        <w:t>交易市场遇法定节假日或因其他原因暂停营业时；</w:t>
      </w:r>
    </w:p>
    <w:p w14:paraId="6AAC3F19" w14:textId="77777777" w:rsidR="003568C2" w:rsidRDefault="00695B03">
      <w:pPr>
        <w:autoSpaceDE w:val="0"/>
        <w:autoSpaceDN w:val="0"/>
        <w:spacing w:line="360" w:lineRule="auto"/>
        <w:ind w:firstLineChars="200" w:firstLine="480"/>
        <w:textAlignment w:val="bottom"/>
        <w:rPr>
          <w:bCs/>
          <w:sz w:val="24"/>
        </w:rPr>
      </w:pPr>
      <w:r>
        <w:rPr>
          <w:bCs/>
          <w:sz w:val="24"/>
        </w:rPr>
        <w:t>2</w:t>
      </w:r>
      <w:r>
        <w:rPr>
          <w:bCs/>
          <w:sz w:val="24"/>
        </w:rPr>
        <w:t>、因不可抗力致使基金管理人、基金托管人无法准确评估基金资产价值时；</w:t>
      </w:r>
    </w:p>
    <w:p w14:paraId="6CFD9BB0" w14:textId="77777777" w:rsidR="003568C2" w:rsidRDefault="00695B03">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、当前一估值日基金资产净值</w:t>
      </w:r>
      <w:r>
        <w:rPr>
          <w:rFonts w:hint="eastAsia"/>
          <w:bCs/>
          <w:sz w:val="24"/>
        </w:rPr>
        <w:t>50%</w:t>
      </w:r>
      <w:r>
        <w:rPr>
          <w:rFonts w:hint="eastAsia"/>
          <w:bCs/>
          <w:sz w:val="24"/>
        </w:rPr>
        <w:t>以上的资产出现无可参考的活跃市场价格且采用估值技术仍导致公允价值存在重大不确定性时，经与基金托管人协商一致的；</w:t>
      </w:r>
    </w:p>
    <w:p w14:paraId="584AA792" w14:textId="77777777" w:rsidR="003568C2" w:rsidRDefault="00695B03">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w:t>
      </w:r>
      <w:r>
        <w:rPr>
          <w:bCs/>
          <w:sz w:val="24"/>
        </w:rPr>
        <w:t>中国证监会和基金合同认定的其它情形。</w:t>
      </w:r>
    </w:p>
    <w:p w14:paraId="430B76F6" w14:textId="77777777" w:rsidR="003568C2" w:rsidRDefault="00695B03">
      <w:pPr>
        <w:autoSpaceDE w:val="0"/>
        <w:autoSpaceDN w:val="0"/>
        <w:spacing w:line="360" w:lineRule="auto"/>
        <w:ind w:firstLineChars="200" w:firstLine="480"/>
        <w:textAlignment w:val="bottom"/>
        <w:rPr>
          <w:bCs/>
          <w:sz w:val="24"/>
        </w:rPr>
      </w:pPr>
      <w:r>
        <w:rPr>
          <w:bCs/>
          <w:sz w:val="24"/>
        </w:rPr>
        <w:lastRenderedPageBreak/>
        <w:t>七、基金净值的确认</w:t>
      </w:r>
    </w:p>
    <w:p w14:paraId="29DF9CED" w14:textId="77777777" w:rsidR="003568C2" w:rsidRDefault="00695B03">
      <w:pPr>
        <w:autoSpaceDE w:val="0"/>
        <w:autoSpaceDN w:val="0"/>
        <w:spacing w:line="360" w:lineRule="auto"/>
        <w:ind w:firstLineChars="200" w:firstLine="480"/>
        <w:textAlignment w:val="bottom"/>
        <w:rPr>
          <w:bCs/>
          <w:sz w:val="24"/>
        </w:rPr>
      </w:pPr>
      <w:r>
        <w:rPr>
          <w:bCs/>
          <w:sz w:val="24"/>
        </w:rPr>
        <w:t>用于基金信息披露的基金资产净值和</w:t>
      </w:r>
      <w:r>
        <w:rPr>
          <w:rFonts w:hint="eastAsia"/>
          <w:bCs/>
          <w:sz w:val="24"/>
        </w:rPr>
        <w:t>两类</w:t>
      </w:r>
      <w:r>
        <w:rPr>
          <w:bCs/>
          <w:sz w:val="24"/>
        </w:rPr>
        <w:t>基金份额净值由基金管理人负责计算，基金托管人负责进行复核。基金管理人应于每个开放日交易结束后计算当日的基金资产净值和</w:t>
      </w:r>
      <w:r>
        <w:rPr>
          <w:rFonts w:hint="eastAsia"/>
          <w:bCs/>
          <w:sz w:val="24"/>
        </w:rPr>
        <w:t>两类</w:t>
      </w:r>
      <w:r>
        <w:rPr>
          <w:bCs/>
          <w:sz w:val="24"/>
        </w:rPr>
        <w:t>基金份额净值并发送给基金托管人。基金托管人对净值计算结果复核确认后发送给基金管理人，由基金管理人对基金净值</w:t>
      </w:r>
      <w:r>
        <w:rPr>
          <w:rFonts w:hint="eastAsia"/>
          <w:bCs/>
          <w:sz w:val="24"/>
        </w:rPr>
        <w:t>按约定</w:t>
      </w:r>
      <w:r>
        <w:rPr>
          <w:bCs/>
          <w:sz w:val="24"/>
        </w:rPr>
        <w:t>予以公布。</w:t>
      </w:r>
    </w:p>
    <w:p w14:paraId="0293F69C"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八、特殊情况的处理</w:t>
      </w:r>
    </w:p>
    <w:p w14:paraId="01686F3B" w14:textId="77777777" w:rsidR="003568C2" w:rsidRDefault="00695B03">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、基金管理人或基金托管人按估值方法的第</w:t>
      </w:r>
      <w:r>
        <w:rPr>
          <w:rFonts w:hint="eastAsia"/>
          <w:bCs/>
          <w:sz w:val="24"/>
        </w:rPr>
        <w:t>10</w:t>
      </w:r>
      <w:r>
        <w:rPr>
          <w:rFonts w:hint="eastAsia"/>
          <w:bCs/>
          <w:sz w:val="24"/>
        </w:rPr>
        <w:t>项进行估值时，所造成的误差不作为基金资产估值错误处理。</w:t>
      </w:r>
    </w:p>
    <w:p w14:paraId="1E7FD286" w14:textId="77777777" w:rsidR="003568C2" w:rsidRDefault="00695B03">
      <w:pPr>
        <w:widowControl/>
        <w:spacing w:line="360" w:lineRule="auto"/>
        <w:ind w:firstLineChars="200" w:firstLine="480"/>
        <w:jc w:val="left"/>
        <w:rPr>
          <w:rFonts w:asciiTheme="minorEastAsia" w:hAnsiTheme="minorEastAsia" w:cs="Times New Roman"/>
          <w:bCs/>
          <w:sz w:val="24"/>
          <w:szCs w:val="24"/>
        </w:rPr>
      </w:pPr>
      <w:r>
        <w:rPr>
          <w:rFonts w:hint="eastAsia"/>
          <w:bCs/>
          <w:sz w:val="24"/>
        </w:rPr>
        <w:t>2</w:t>
      </w:r>
      <w:r>
        <w:rPr>
          <w:rFonts w:hint="eastAsia"/>
          <w:bCs/>
          <w:sz w:val="24"/>
        </w:rPr>
        <w:t>、由于不可抗力原因，或由于证券、期货交易所或登记结算公司发送的数据错误等原因，基金管理人和基金托管人虽然已经采取必要、适当、合理的措施进行检查，但是未能发现该错误的，由此造成的基金资产估值错误，基金管理人和基金托管人可以免除赔偿责任。但基金管理人和基金托管人应当积极采取必要的措施消除或减轻由此造成的影响</w:t>
      </w:r>
      <w:r>
        <w:rPr>
          <w:rFonts w:asciiTheme="minorEastAsia" w:hAnsiTheme="minorEastAsia" w:cs="Times New Roman" w:hint="eastAsia"/>
          <w:bCs/>
          <w:sz w:val="24"/>
          <w:szCs w:val="24"/>
        </w:rPr>
        <w:t>。</w:t>
      </w:r>
      <w:bookmarkStart w:id="248" w:name="_Toc416264548"/>
      <w:bookmarkStart w:id="249" w:name="_Toc263092320"/>
      <w:bookmarkEnd w:id="233"/>
      <w:bookmarkEnd w:id="234"/>
      <w:bookmarkEnd w:id="235"/>
      <w:bookmarkEnd w:id="236"/>
      <w:bookmarkEnd w:id="237"/>
      <w:bookmarkEnd w:id="238"/>
      <w:bookmarkEnd w:id="239"/>
      <w:bookmarkEnd w:id="240"/>
      <w:bookmarkEnd w:id="241"/>
      <w:bookmarkEnd w:id="242"/>
      <w:bookmarkEnd w:id="243"/>
      <w:bookmarkEnd w:id="244"/>
      <w:r>
        <w:rPr>
          <w:rFonts w:asciiTheme="minorEastAsia" w:hAnsiTheme="minorEastAsia" w:cs="Times New Roman"/>
          <w:bCs/>
          <w:sz w:val="24"/>
          <w:szCs w:val="24"/>
        </w:rPr>
        <w:br w:type="page"/>
      </w:r>
    </w:p>
    <w:p w14:paraId="28BC2FF9" w14:textId="77777777" w:rsidR="003568C2" w:rsidRDefault="00695B03">
      <w:pPr>
        <w:pStyle w:val="1"/>
        <w:jc w:val="center"/>
        <w:rPr>
          <w:sz w:val="30"/>
          <w:szCs w:val="30"/>
        </w:rPr>
      </w:pPr>
      <w:bookmarkStart w:id="250" w:name="_Toc15892925"/>
      <w:r>
        <w:rPr>
          <w:rFonts w:hint="eastAsia"/>
          <w:sz w:val="30"/>
          <w:szCs w:val="30"/>
        </w:rPr>
        <w:lastRenderedPageBreak/>
        <w:t>第十二部分</w:t>
      </w:r>
      <w:r>
        <w:rPr>
          <w:sz w:val="30"/>
          <w:szCs w:val="30"/>
        </w:rPr>
        <w:t xml:space="preserve">  </w:t>
      </w:r>
      <w:r>
        <w:rPr>
          <w:rFonts w:hint="eastAsia"/>
          <w:sz w:val="30"/>
          <w:szCs w:val="30"/>
        </w:rPr>
        <w:t>基金的收益分配</w:t>
      </w:r>
      <w:bookmarkEnd w:id="248"/>
      <w:bookmarkEnd w:id="249"/>
      <w:bookmarkEnd w:id="250"/>
    </w:p>
    <w:p w14:paraId="56892D39" w14:textId="77777777" w:rsidR="003568C2" w:rsidRDefault="00695B03">
      <w:pPr>
        <w:autoSpaceDE w:val="0"/>
        <w:autoSpaceDN w:val="0"/>
        <w:spacing w:line="360" w:lineRule="auto"/>
        <w:ind w:firstLineChars="200" w:firstLine="480"/>
        <w:textAlignment w:val="bottom"/>
        <w:rPr>
          <w:bCs/>
          <w:sz w:val="24"/>
        </w:rPr>
      </w:pPr>
      <w:bookmarkStart w:id="251" w:name="_Toc147463128"/>
      <w:bookmarkStart w:id="252" w:name="_Toc21073401"/>
      <w:bookmarkStart w:id="253" w:name="_Toc12357181"/>
      <w:bookmarkStart w:id="254" w:name="_Toc214873602"/>
      <w:bookmarkStart w:id="255" w:name="_Toc416264549"/>
      <w:bookmarkStart w:id="256" w:name="_Toc263092321"/>
      <w:bookmarkStart w:id="257" w:name="_Toc139991744"/>
      <w:bookmarkStart w:id="258" w:name="_Toc871"/>
      <w:bookmarkStart w:id="259" w:name="_Toc31917"/>
      <w:bookmarkStart w:id="260" w:name="_Toc141703894"/>
      <w:bookmarkStart w:id="261" w:name="_Toc2623"/>
      <w:bookmarkStart w:id="262" w:name="_Toc352229760"/>
      <w:bookmarkStart w:id="263" w:name="_Toc17782"/>
      <w:bookmarkStart w:id="264" w:name="_Toc19714"/>
      <w:bookmarkStart w:id="265" w:name="_Toc7802"/>
      <w:bookmarkStart w:id="266" w:name="_Toc27832"/>
      <w:r>
        <w:rPr>
          <w:bCs/>
          <w:sz w:val="24"/>
        </w:rPr>
        <w:t>一、基金利润的构成</w:t>
      </w:r>
    </w:p>
    <w:p w14:paraId="6798CA05" w14:textId="77777777" w:rsidR="003568C2" w:rsidRDefault="00695B03">
      <w:pPr>
        <w:autoSpaceDE w:val="0"/>
        <w:autoSpaceDN w:val="0"/>
        <w:spacing w:line="360" w:lineRule="auto"/>
        <w:ind w:firstLineChars="200" w:firstLine="480"/>
        <w:textAlignment w:val="bottom"/>
        <w:rPr>
          <w:bCs/>
          <w:sz w:val="24"/>
        </w:rPr>
      </w:pPr>
      <w:r>
        <w:rPr>
          <w:bCs/>
          <w:sz w:val="24"/>
        </w:rPr>
        <w:t>基金利润指基金利息收入、投资收益、公允价值变动收益和其他收入扣除相关费用后的余额，基金已实现收益指基金利润减去公允价值变动收益后的余额。</w:t>
      </w:r>
    </w:p>
    <w:p w14:paraId="6B8B0FF5" w14:textId="77777777" w:rsidR="003568C2" w:rsidRDefault="00695B03">
      <w:pPr>
        <w:autoSpaceDE w:val="0"/>
        <w:autoSpaceDN w:val="0"/>
        <w:spacing w:line="360" w:lineRule="auto"/>
        <w:ind w:firstLineChars="200" w:firstLine="480"/>
        <w:textAlignment w:val="bottom"/>
        <w:rPr>
          <w:bCs/>
          <w:sz w:val="24"/>
        </w:rPr>
      </w:pPr>
      <w:r>
        <w:rPr>
          <w:bCs/>
          <w:sz w:val="24"/>
        </w:rPr>
        <w:t>二、基金可供分配利润</w:t>
      </w:r>
    </w:p>
    <w:p w14:paraId="50F02AA8" w14:textId="77777777" w:rsidR="003568C2" w:rsidRDefault="00695B03">
      <w:pPr>
        <w:autoSpaceDE w:val="0"/>
        <w:autoSpaceDN w:val="0"/>
        <w:spacing w:line="360" w:lineRule="auto"/>
        <w:ind w:firstLineChars="200" w:firstLine="480"/>
        <w:textAlignment w:val="bottom"/>
        <w:rPr>
          <w:bCs/>
          <w:sz w:val="24"/>
        </w:rPr>
      </w:pPr>
      <w:r>
        <w:rPr>
          <w:bCs/>
          <w:sz w:val="24"/>
        </w:rPr>
        <w:t>基金可供分配利润指截至收益分配基准日基金未分配利润与未分配利润中已实现收益的孰低数。</w:t>
      </w:r>
    </w:p>
    <w:p w14:paraId="28A1443A" w14:textId="77777777" w:rsidR="003568C2" w:rsidRDefault="00695B03">
      <w:pPr>
        <w:autoSpaceDE w:val="0"/>
        <w:autoSpaceDN w:val="0"/>
        <w:spacing w:line="360" w:lineRule="auto"/>
        <w:ind w:firstLineChars="200" w:firstLine="480"/>
        <w:textAlignment w:val="bottom"/>
        <w:rPr>
          <w:bCs/>
          <w:sz w:val="24"/>
        </w:rPr>
      </w:pPr>
      <w:r>
        <w:rPr>
          <w:bCs/>
          <w:sz w:val="24"/>
        </w:rPr>
        <w:t>三、基金收益分配原则</w:t>
      </w:r>
    </w:p>
    <w:p w14:paraId="4DC32CB4" w14:textId="77777777" w:rsidR="003568C2" w:rsidRDefault="00695B03">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、在符合有关基金分红条件的前提下，本基金管理人可以根据实际情况进行收益分配，具体分配方案以公告为准，若《基金合同》生效不满</w:t>
      </w:r>
      <w:r>
        <w:rPr>
          <w:rFonts w:hint="eastAsia"/>
          <w:bCs/>
          <w:sz w:val="24"/>
        </w:rPr>
        <w:t>3</w:t>
      </w:r>
      <w:r>
        <w:rPr>
          <w:rFonts w:hint="eastAsia"/>
          <w:bCs/>
          <w:sz w:val="24"/>
        </w:rPr>
        <w:t>个月可不进行收益分配；</w:t>
      </w:r>
    </w:p>
    <w:p w14:paraId="5396C1BE" w14:textId="77777777" w:rsidR="003568C2" w:rsidRDefault="00695B03">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、本基金收益分配方式分两种：现金分红与红利再投资，投资者可选择现金红利或将现金红利自动转为相应类别基金份额进行再投资；若投资者不选择，本基金默认的收益分配方式是现金分红；</w:t>
      </w:r>
    </w:p>
    <w:p w14:paraId="59937362" w14:textId="77777777" w:rsidR="003568C2" w:rsidRDefault="00695B03">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、基金收益分配后基金份额净值不能低于面值，即基金收益分配基准日的基金份额净值减去每单位基金份额收益分配金额后不能低于面值；</w:t>
      </w:r>
    </w:p>
    <w:p w14:paraId="08BE5CE2" w14:textId="77777777" w:rsidR="003568C2" w:rsidRDefault="00695B03">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w:t>
      </w:r>
      <w:r>
        <w:rPr>
          <w:rFonts w:hint="eastAsia"/>
          <w:bCs/>
          <w:sz w:val="24"/>
        </w:rPr>
        <w:t xml:space="preserve">A </w:t>
      </w:r>
      <w:r>
        <w:rPr>
          <w:rFonts w:hint="eastAsia"/>
          <w:bCs/>
          <w:sz w:val="24"/>
        </w:rPr>
        <w:t>类基金份额和</w:t>
      </w:r>
      <w:r>
        <w:rPr>
          <w:rFonts w:hint="eastAsia"/>
          <w:bCs/>
          <w:sz w:val="24"/>
        </w:rPr>
        <w:t>C</w:t>
      </w:r>
      <w:r>
        <w:rPr>
          <w:rFonts w:hint="eastAsia"/>
          <w:bCs/>
          <w:sz w:val="24"/>
        </w:rPr>
        <w:t>类基金份额之间由于</w:t>
      </w:r>
      <w:r>
        <w:rPr>
          <w:rFonts w:hint="eastAsia"/>
          <w:bCs/>
          <w:sz w:val="24"/>
        </w:rPr>
        <w:t>A</w:t>
      </w:r>
      <w:r>
        <w:rPr>
          <w:rFonts w:hint="eastAsia"/>
          <w:bCs/>
          <w:sz w:val="24"/>
        </w:rPr>
        <w:t>类基金份额不收取而</w:t>
      </w:r>
      <w:r>
        <w:rPr>
          <w:rFonts w:hint="eastAsia"/>
          <w:bCs/>
          <w:sz w:val="24"/>
        </w:rPr>
        <w:t>C</w:t>
      </w:r>
      <w:r>
        <w:rPr>
          <w:rFonts w:hint="eastAsia"/>
          <w:bCs/>
          <w:sz w:val="24"/>
        </w:rPr>
        <w:t>类基金份额收取销售服务费将导致在可供分配利润上有所不同；本基金同一类别的每份基金份额享有同等分配权；</w:t>
      </w:r>
    </w:p>
    <w:p w14:paraId="09FDFB42" w14:textId="77777777" w:rsidR="003568C2" w:rsidRDefault="00695B03">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、法律法规或监管机关另有规定的，从其规定。</w:t>
      </w:r>
    </w:p>
    <w:p w14:paraId="6F9CCC72"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在对基金份额持有人利益无实质不利影响的前提下，基金管理人可与基金托管人协商一致后调整基金收益分配原则和支付方式，不需召开基金份额持有人大会。</w:t>
      </w:r>
    </w:p>
    <w:p w14:paraId="6D5C1777" w14:textId="77777777" w:rsidR="003568C2" w:rsidRDefault="00695B03">
      <w:pPr>
        <w:autoSpaceDE w:val="0"/>
        <w:autoSpaceDN w:val="0"/>
        <w:spacing w:line="360" w:lineRule="auto"/>
        <w:ind w:firstLineChars="200" w:firstLine="480"/>
        <w:textAlignment w:val="bottom"/>
        <w:rPr>
          <w:bCs/>
          <w:sz w:val="24"/>
        </w:rPr>
      </w:pPr>
      <w:r>
        <w:rPr>
          <w:bCs/>
          <w:sz w:val="24"/>
        </w:rPr>
        <w:t>四、收益分配方案</w:t>
      </w:r>
    </w:p>
    <w:p w14:paraId="00FD195C" w14:textId="77777777" w:rsidR="003568C2" w:rsidRDefault="00695B03">
      <w:pPr>
        <w:autoSpaceDE w:val="0"/>
        <w:autoSpaceDN w:val="0"/>
        <w:spacing w:line="360" w:lineRule="auto"/>
        <w:ind w:firstLineChars="200" w:firstLine="480"/>
        <w:textAlignment w:val="bottom"/>
        <w:rPr>
          <w:bCs/>
          <w:sz w:val="24"/>
        </w:rPr>
      </w:pPr>
      <w:r>
        <w:rPr>
          <w:bCs/>
          <w:sz w:val="24"/>
        </w:rPr>
        <w:t>基金收益分配方案中应载明截止收益分配基准日的可供分配利润、基金收益分配对象、分配时间、分配数额及比例、分配方式等内容。</w:t>
      </w:r>
    </w:p>
    <w:p w14:paraId="08C28BE8" w14:textId="77777777" w:rsidR="003568C2" w:rsidRDefault="00695B03">
      <w:pPr>
        <w:autoSpaceDE w:val="0"/>
        <w:autoSpaceDN w:val="0"/>
        <w:spacing w:line="360" w:lineRule="auto"/>
        <w:ind w:firstLineChars="200" w:firstLine="480"/>
        <w:textAlignment w:val="bottom"/>
        <w:rPr>
          <w:bCs/>
          <w:sz w:val="24"/>
        </w:rPr>
      </w:pPr>
      <w:r>
        <w:rPr>
          <w:bCs/>
          <w:sz w:val="24"/>
        </w:rPr>
        <w:t>五、收益分配方案的确定、公告与实施</w:t>
      </w:r>
    </w:p>
    <w:p w14:paraId="2A7E0093" w14:textId="77777777" w:rsidR="003568C2" w:rsidRDefault="00695B03">
      <w:pPr>
        <w:autoSpaceDE w:val="0"/>
        <w:autoSpaceDN w:val="0"/>
        <w:spacing w:line="360" w:lineRule="auto"/>
        <w:ind w:firstLineChars="200" w:firstLine="480"/>
        <w:textAlignment w:val="bottom"/>
        <w:rPr>
          <w:bCs/>
          <w:sz w:val="24"/>
        </w:rPr>
      </w:pPr>
      <w:r>
        <w:rPr>
          <w:bCs/>
          <w:sz w:val="24"/>
        </w:rPr>
        <w:t>本基金收益分配方案由基金管理人拟定，并由基金托管人复核，</w:t>
      </w:r>
      <w:r>
        <w:rPr>
          <w:rFonts w:hint="eastAsia"/>
          <w:bCs/>
          <w:sz w:val="24"/>
        </w:rPr>
        <w:t>依据相关规定</w:t>
      </w:r>
      <w:r>
        <w:rPr>
          <w:bCs/>
          <w:sz w:val="24"/>
        </w:rPr>
        <w:t>在指定媒介公告。</w:t>
      </w:r>
    </w:p>
    <w:p w14:paraId="3EE8DCB5" w14:textId="77777777" w:rsidR="003568C2" w:rsidRDefault="00695B03">
      <w:pPr>
        <w:autoSpaceDE w:val="0"/>
        <w:autoSpaceDN w:val="0"/>
        <w:spacing w:line="360" w:lineRule="auto"/>
        <w:ind w:firstLineChars="200" w:firstLine="480"/>
        <w:textAlignment w:val="bottom"/>
        <w:rPr>
          <w:bCs/>
          <w:sz w:val="24"/>
        </w:rPr>
      </w:pPr>
      <w:r>
        <w:rPr>
          <w:bCs/>
          <w:sz w:val="24"/>
        </w:rPr>
        <w:lastRenderedPageBreak/>
        <w:t>基金红利发放日距离收益分配基准日（即可供分配利润计算截止日）的时间不得超过</w:t>
      </w:r>
      <w:r>
        <w:rPr>
          <w:bCs/>
          <w:sz w:val="24"/>
        </w:rPr>
        <w:t>15</w:t>
      </w:r>
      <w:r>
        <w:rPr>
          <w:bCs/>
          <w:sz w:val="24"/>
        </w:rPr>
        <w:t>个工作日。</w:t>
      </w:r>
    </w:p>
    <w:p w14:paraId="0667F106" w14:textId="77777777" w:rsidR="003568C2" w:rsidRDefault="00695B03">
      <w:pPr>
        <w:autoSpaceDE w:val="0"/>
        <w:autoSpaceDN w:val="0"/>
        <w:spacing w:line="360" w:lineRule="auto"/>
        <w:ind w:firstLineChars="200" w:firstLine="480"/>
        <w:textAlignment w:val="bottom"/>
        <w:rPr>
          <w:bCs/>
          <w:sz w:val="24"/>
        </w:rPr>
      </w:pPr>
      <w:r>
        <w:rPr>
          <w:bCs/>
          <w:sz w:val="24"/>
        </w:rPr>
        <w:t>六、基金收益分配中发生的费用</w:t>
      </w:r>
    </w:p>
    <w:p w14:paraId="5C962621" w14:textId="77777777" w:rsidR="003568C2" w:rsidRDefault="00695B03">
      <w:pPr>
        <w:adjustRightInd w:val="0"/>
        <w:snapToGrid w:val="0"/>
        <w:spacing w:line="360" w:lineRule="auto"/>
        <w:ind w:firstLineChars="200" w:firstLine="480"/>
        <w:rPr>
          <w:bCs/>
          <w:sz w:val="24"/>
        </w:rPr>
      </w:pPr>
      <w:r>
        <w:rPr>
          <w:bCs/>
          <w:sz w:val="24"/>
        </w:rPr>
        <w:t>基金收益分配时所发生的银行转账或其他手续费用由投资者自行承担。当投资者的现金红利小于一定金额，不足</w:t>
      </w:r>
      <w:r>
        <w:rPr>
          <w:rFonts w:hint="eastAsia"/>
          <w:bCs/>
          <w:sz w:val="24"/>
        </w:rPr>
        <w:t>以</w:t>
      </w:r>
      <w:r>
        <w:rPr>
          <w:bCs/>
          <w:sz w:val="24"/>
        </w:rPr>
        <w:t>支付银行转账或其他手续费用时，基金登记机构可将基金份额持有人的现金红利自动转为</w:t>
      </w:r>
      <w:r>
        <w:rPr>
          <w:rFonts w:hint="eastAsia"/>
          <w:bCs/>
          <w:sz w:val="24"/>
        </w:rPr>
        <w:t>相应类别</w:t>
      </w:r>
      <w:r>
        <w:rPr>
          <w:bCs/>
          <w:sz w:val="24"/>
        </w:rPr>
        <w:t>基金份额。红利再投资的计算方法，依照《业务规则》执行。</w:t>
      </w:r>
      <w:r>
        <w:rPr>
          <w:bCs/>
          <w:sz w:val="24"/>
        </w:rPr>
        <w:br w:type="page"/>
      </w:r>
    </w:p>
    <w:p w14:paraId="0741AD9D" w14:textId="77777777" w:rsidR="003568C2" w:rsidRDefault="00695B03">
      <w:pPr>
        <w:pStyle w:val="1"/>
        <w:jc w:val="center"/>
        <w:rPr>
          <w:sz w:val="30"/>
          <w:szCs w:val="30"/>
        </w:rPr>
      </w:pPr>
      <w:bookmarkStart w:id="267" w:name="_Toc15892926"/>
      <w:r>
        <w:rPr>
          <w:rFonts w:hint="eastAsia"/>
          <w:sz w:val="30"/>
          <w:szCs w:val="30"/>
        </w:rPr>
        <w:lastRenderedPageBreak/>
        <w:t>第十三部分</w:t>
      </w:r>
      <w:r>
        <w:rPr>
          <w:sz w:val="30"/>
          <w:szCs w:val="30"/>
        </w:rPr>
        <w:t xml:space="preserve">  </w:t>
      </w:r>
      <w:r>
        <w:rPr>
          <w:rFonts w:hint="eastAsia"/>
          <w:sz w:val="30"/>
          <w:szCs w:val="30"/>
        </w:rPr>
        <w:t>基金费用与税收</w:t>
      </w:r>
      <w:bookmarkEnd w:id="251"/>
      <w:bookmarkEnd w:id="252"/>
      <w:bookmarkEnd w:id="253"/>
      <w:bookmarkEnd w:id="254"/>
      <w:bookmarkEnd w:id="255"/>
      <w:bookmarkEnd w:id="256"/>
      <w:bookmarkEnd w:id="267"/>
    </w:p>
    <w:p w14:paraId="7DAE098B" w14:textId="77777777" w:rsidR="003568C2" w:rsidRDefault="00695B03">
      <w:pPr>
        <w:autoSpaceDE w:val="0"/>
        <w:autoSpaceDN w:val="0"/>
        <w:spacing w:line="360" w:lineRule="auto"/>
        <w:ind w:firstLineChars="200" w:firstLine="480"/>
        <w:textAlignment w:val="bottom"/>
        <w:rPr>
          <w:bCs/>
          <w:sz w:val="24"/>
        </w:rPr>
      </w:pPr>
      <w:bookmarkStart w:id="268" w:name="_Toc214873603"/>
      <w:bookmarkStart w:id="269" w:name="_Toc416264550"/>
      <w:bookmarkStart w:id="270" w:name="_Toc263092322"/>
      <w:bookmarkStart w:id="271" w:name="_Toc32046"/>
      <w:bookmarkStart w:id="272" w:name="_Toc15779"/>
      <w:bookmarkStart w:id="273" w:name="_Toc12105"/>
      <w:bookmarkStart w:id="274" w:name="_Toc139991745"/>
      <w:bookmarkStart w:id="275" w:name="_Toc3365"/>
      <w:bookmarkStart w:id="276" w:name="_Toc13987"/>
      <w:bookmarkStart w:id="277" w:name="_Toc6493"/>
      <w:bookmarkStart w:id="278" w:name="_Toc141703895"/>
      <w:bookmarkStart w:id="279" w:name="_Toc32041"/>
      <w:bookmarkStart w:id="280" w:name="_Toc19752"/>
      <w:bookmarkStart w:id="281" w:name="_Toc19706"/>
      <w:bookmarkStart w:id="282" w:name="_Toc32227"/>
      <w:bookmarkStart w:id="283" w:name="_Toc24601"/>
      <w:bookmarkStart w:id="284" w:name="_Toc352229761"/>
      <w:bookmarkEnd w:id="257"/>
      <w:bookmarkEnd w:id="258"/>
      <w:bookmarkEnd w:id="259"/>
      <w:bookmarkEnd w:id="260"/>
      <w:bookmarkEnd w:id="261"/>
      <w:bookmarkEnd w:id="262"/>
      <w:bookmarkEnd w:id="263"/>
      <w:bookmarkEnd w:id="264"/>
      <w:bookmarkEnd w:id="265"/>
      <w:bookmarkEnd w:id="266"/>
      <w:r>
        <w:rPr>
          <w:bCs/>
          <w:sz w:val="24"/>
        </w:rPr>
        <w:t>一、基金费用的种类</w:t>
      </w:r>
    </w:p>
    <w:p w14:paraId="18B10B77" w14:textId="77777777" w:rsidR="003568C2" w:rsidRDefault="00695B03">
      <w:pPr>
        <w:autoSpaceDE w:val="0"/>
        <w:autoSpaceDN w:val="0"/>
        <w:spacing w:line="360" w:lineRule="auto"/>
        <w:ind w:firstLineChars="200" w:firstLine="480"/>
        <w:textAlignment w:val="bottom"/>
        <w:rPr>
          <w:bCs/>
          <w:sz w:val="24"/>
        </w:rPr>
      </w:pPr>
      <w:r>
        <w:rPr>
          <w:bCs/>
          <w:sz w:val="24"/>
        </w:rPr>
        <w:t>1</w:t>
      </w:r>
      <w:r>
        <w:rPr>
          <w:bCs/>
          <w:sz w:val="24"/>
        </w:rPr>
        <w:t>、基金管理人的管理费；</w:t>
      </w:r>
    </w:p>
    <w:p w14:paraId="5B119258" w14:textId="77777777" w:rsidR="003568C2" w:rsidRDefault="00695B03">
      <w:pPr>
        <w:autoSpaceDE w:val="0"/>
        <w:autoSpaceDN w:val="0"/>
        <w:spacing w:line="360" w:lineRule="auto"/>
        <w:ind w:firstLineChars="200" w:firstLine="480"/>
        <w:textAlignment w:val="bottom"/>
        <w:rPr>
          <w:bCs/>
          <w:sz w:val="24"/>
        </w:rPr>
      </w:pPr>
      <w:r>
        <w:rPr>
          <w:bCs/>
          <w:sz w:val="24"/>
        </w:rPr>
        <w:t>2</w:t>
      </w:r>
      <w:r>
        <w:rPr>
          <w:bCs/>
          <w:sz w:val="24"/>
        </w:rPr>
        <w:t>、基金托管人的托管费；</w:t>
      </w:r>
    </w:p>
    <w:p w14:paraId="4C282A10" w14:textId="77777777" w:rsidR="003568C2" w:rsidRDefault="00695B03">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w:t>
      </w:r>
      <w:r>
        <w:rPr>
          <w:rFonts w:hint="eastAsia"/>
          <w:bCs/>
          <w:sz w:val="24"/>
        </w:rPr>
        <w:t>C</w:t>
      </w:r>
      <w:r>
        <w:rPr>
          <w:rFonts w:hint="eastAsia"/>
          <w:bCs/>
          <w:sz w:val="24"/>
        </w:rPr>
        <w:t>类基金份额</w:t>
      </w:r>
      <w:r>
        <w:rPr>
          <w:bCs/>
          <w:sz w:val="24"/>
        </w:rPr>
        <w:t>的</w:t>
      </w:r>
      <w:r>
        <w:rPr>
          <w:rFonts w:hint="eastAsia"/>
          <w:bCs/>
          <w:sz w:val="24"/>
        </w:rPr>
        <w:t>销售服务费；</w:t>
      </w:r>
    </w:p>
    <w:p w14:paraId="3BE27776" w14:textId="77777777" w:rsidR="003568C2" w:rsidRDefault="00695B03">
      <w:pPr>
        <w:autoSpaceDE w:val="0"/>
        <w:autoSpaceDN w:val="0"/>
        <w:spacing w:line="360" w:lineRule="auto"/>
        <w:ind w:firstLineChars="200" w:firstLine="480"/>
        <w:textAlignment w:val="bottom"/>
        <w:rPr>
          <w:bCs/>
          <w:sz w:val="24"/>
        </w:rPr>
      </w:pPr>
      <w:r>
        <w:rPr>
          <w:kern w:val="0"/>
          <w:sz w:val="24"/>
          <w:szCs w:val="24"/>
        </w:rPr>
        <w:t>4</w:t>
      </w:r>
      <w:r>
        <w:rPr>
          <w:rFonts w:ascii="宋体" w:cs="宋体" w:hint="eastAsia"/>
          <w:kern w:val="0"/>
          <w:sz w:val="24"/>
          <w:szCs w:val="24"/>
        </w:rPr>
        <w:t>、基金合同生效后的标的指数许可使用费；</w:t>
      </w:r>
    </w:p>
    <w:p w14:paraId="7A0DC6ED" w14:textId="77777777" w:rsidR="003568C2" w:rsidRDefault="00695B03">
      <w:pPr>
        <w:autoSpaceDE w:val="0"/>
        <w:autoSpaceDN w:val="0"/>
        <w:spacing w:line="360" w:lineRule="auto"/>
        <w:ind w:firstLineChars="200" w:firstLine="480"/>
        <w:textAlignment w:val="bottom"/>
        <w:rPr>
          <w:bCs/>
          <w:sz w:val="24"/>
        </w:rPr>
      </w:pPr>
      <w:r>
        <w:rPr>
          <w:bCs/>
          <w:sz w:val="24"/>
        </w:rPr>
        <w:t>5</w:t>
      </w:r>
      <w:r>
        <w:rPr>
          <w:bCs/>
          <w:sz w:val="24"/>
        </w:rPr>
        <w:t>、《基金合同》生效后与基金相关的信息披露费用；</w:t>
      </w:r>
    </w:p>
    <w:p w14:paraId="7D9562DC" w14:textId="77777777" w:rsidR="003568C2" w:rsidRDefault="00695B03">
      <w:pPr>
        <w:autoSpaceDE w:val="0"/>
        <w:autoSpaceDN w:val="0"/>
        <w:spacing w:line="360" w:lineRule="auto"/>
        <w:ind w:firstLineChars="200" w:firstLine="480"/>
        <w:textAlignment w:val="bottom"/>
        <w:rPr>
          <w:bCs/>
          <w:sz w:val="24"/>
        </w:rPr>
      </w:pPr>
      <w:r>
        <w:rPr>
          <w:bCs/>
          <w:sz w:val="24"/>
        </w:rPr>
        <w:t>6</w:t>
      </w:r>
      <w:r>
        <w:rPr>
          <w:bCs/>
          <w:sz w:val="24"/>
        </w:rPr>
        <w:t>、《基金合同》生效后与基金相关的会计师费、律师费</w:t>
      </w:r>
      <w:r>
        <w:rPr>
          <w:rFonts w:hint="eastAsia"/>
          <w:bCs/>
          <w:sz w:val="24"/>
        </w:rPr>
        <w:t>、</w:t>
      </w:r>
      <w:r>
        <w:rPr>
          <w:bCs/>
          <w:sz w:val="24"/>
        </w:rPr>
        <w:t>诉讼费</w:t>
      </w:r>
      <w:r>
        <w:rPr>
          <w:rFonts w:hint="eastAsia"/>
          <w:bCs/>
          <w:sz w:val="24"/>
        </w:rPr>
        <w:t>和仲裁费</w:t>
      </w:r>
      <w:r>
        <w:rPr>
          <w:bCs/>
          <w:sz w:val="24"/>
        </w:rPr>
        <w:t>；</w:t>
      </w:r>
    </w:p>
    <w:p w14:paraId="66FEA05C" w14:textId="77777777" w:rsidR="003568C2" w:rsidRDefault="00695B03">
      <w:pPr>
        <w:autoSpaceDE w:val="0"/>
        <w:autoSpaceDN w:val="0"/>
        <w:spacing w:line="360" w:lineRule="auto"/>
        <w:ind w:firstLineChars="200" w:firstLine="480"/>
        <w:textAlignment w:val="bottom"/>
        <w:rPr>
          <w:bCs/>
          <w:sz w:val="24"/>
        </w:rPr>
      </w:pPr>
      <w:r>
        <w:rPr>
          <w:bCs/>
          <w:sz w:val="24"/>
        </w:rPr>
        <w:t>7</w:t>
      </w:r>
      <w:r>
        <w:rPr>
          <w:bCs/>
          <w:sz w:val="24"/>
        </w:rPr>
        <w:t>、基金份额持有人大会费用；</w:t>
      </w:r>
    </w:p>
    <w:p w14:paraId="515ACECD" w14:textId="77777777" w:rsidR="003568C2" w:rsidRDefault="00695B03">
      <w:pPr>
        <w:autoSpaceDE w:val="0"/>
        <w:autoSpaceDN w:val="0"/>
        <w:spacing w:line="360" w:lineRule="auto"/>
        <w:ind w:firstLineChars="200" w:firstLine="480"/>
        <w:textAlignment w:val="bottom"/>
        <w:rPr>
          <w:bCs/>
          <w:sz w:val="24"/>
        </w:rPr>
      </w:pPr>
      <w:r>
        <w:rPr>
          <w:bCs/>
          <w:sz w:val="24"/>
        </w:rPr>
        <w:t>8</w:t>
      </w:r>
      <w:r>
        <w:rPr>
          <w:bCs/>
          <w:sz w:val="24"/>
        </w:rPr>
        <w:t>、基金的证券</w:t>
      </w:r>
      <w:r>
        <w:rPr>
          <w:rFonts w:hint="eastAsia"/>
          <w:bCs/>
          <w:sz w:val="24"/>
        </w:rPr>
        <w:t>、期货</w:t>
      </w:r>
      <w:r>
        <w:rPr>
          <w:bCs/>
          <w:sz w:val="24"/>
        </w:rPr>
        <w:t>交易费用；</w:t>
      </w:r>
    </w:p>
    <w:p w14:paraId="23BC5F19" w14:textId="77777777" w:rsidR="003568C2" w:rsidRDefault="00695B03">
      <w:pPr>
        <w:autoSpaceDE w:val="0"/>
        <w:autoSpaceDN w:val="0"/>
        <w:spacing w:line="360" w:lineRule="auto"/>
        <w:ind w:firstLineChars="200" w:firstLine="480"/>
        <w:textAlignment w:val="bottom"/>
        <w:rPr>
          <w:bCs/>
          <w:sz w:val="24"/>
        </w:rPr>
      </w:pPr>
      <w:r>
        <w:rPr>
          <w:bCs/>
          <w:sz w:val="24"/>
        </w:rPr>
        <w:t>9</w:t>
      </w:r>
      <w:r>
        <w:rPr>
          <w:bCs/>
          <w:sz w:val="24"/>
        </w:rPr>
        <w:t>、基金的银行汇划费用；</w:t>
      </w:r>
    </w:p>
    <w:p w14:paraId="0C9906A5" w14:textId="77777777" w:rsidR="003568C2" w:rsidRDefault="00695B03">
      <w:pPr>
        <w:autoSpaceDE w:val="0"/>
        <w:autoSpaceDN w:val="0"/>
        <w:spacing w:line="360" w:lineRule="auto"/>
        <w:ind w:firstLineChars="200" w:firstLine="480"/>
        <w:textAlignment w:val="bottom"/>
        <w:rPr>
          <w:bCs/>
          <w:sz w:val="24"/>
        </w:rPr>
      </w:pPr>
      <w:r>
        <w:rPr>
          <w:bCs/>
          <w:sz w:val="24"/>
        </w:rPr>
        <w:t>10</w:t>
      </w:r>
      <w:r>
        <w:rPr>
          <w:bCs/>
          <w:sz w:val="24"/>
        </w:rPr>
        <w:t>、</w:t>
      </w:r>
      <w:r>
        <w:rPr>
          <w:rFonts w:hint="eastAsia"/>
          <w:bCs/>
          <w:sz w:val="24"/>
        </w:rPr>
        <w:t>基金的账户开户费用、账户维护费用；</w:t>
      </w:r>
    </w:p>
    <w:p w14:paraId="65A0A322" w14:textId="77777777" w:rsidR="003568C2" w:rsidRDefault="00695B03">
      <w:pPr>
        <w:autoSpaceDE w:val="0"/>
        <w:autoSpaceDN w:val="0"/>
        <w:spacing w:line="360" w:lineRule="auto"/>
        <w:ind w:firstLineChars="200" w:firstLine="480"/>
        <w:textAlignment w:val="bottom"/>
        <w:rPr>
          <w:bCs/>
          <w:sz w:val="24"/>
        </w:rPr>
      </w:pPr>
      <w:r>
        <w:rPr>
          <w:bCs/>
          <w:sz w:val="24"/>
        </w:rPr>
        <w:t>11</w:t>
      </w:r>
      <w:r>
        <w:rPr>
          <w:rFonts w:hint="eastAsia"/>
          <w:bCs/>
          <w:sz w:val="24"/>
        </w:rPr>
        <w:t>、</w:t>
      </w:r>
      <w:r>
        <w:rPr>
          <w:bCs/>
          <w:sz w:val="24"/>
        </w:rPr>
        <w:t>按照国家有关规定和《基金合同》约定，可以在基金财产中列支的其他费用。</w:t>
      </w:r>
    </w:p>
    <w:p w14:paraId="5E9F3C39" w14:textId="77777777" w:rsidR="003568C2" w:rsidRDefault="00695B03">
      <w:pPr>
        <w:autoSpaceDE w:val="0"/>
        <w:autoSpaceDN w:val="0"/>
        <w:spacing w:line="360" w:lineRule="auto"/>
        <w:ind w:firstLineChars="200" w:firstLine="480"/>
        <w:textAlignment w:val="bottom"/>
        <w:rPr>
          <w:bCs/>
          <w:sz w:val="24"/>
        </w:rPr>
      </w:pPr>
      <w:r>
        <w:rPr>
          <w:bCs/>
          <w:sz w:val="24"/>
        </w:rPr>
        <w:t>二、基金费用计提方法、计提标准和支付方式</w:t>
      </w:r>
    </w:p>
    <w:p w14:paraId="1DD62DA0" w14:textId="77777777" w:rsidR="003568C2" w:rsidRDefault="00695B03">
      <w:pPr>
        <w:autoSpaceDE w:val="0"/>
        <w:autoSpaceDN w:val="0"/>
        <w:spacing w:line="360" w:lineRule="auto"/>
        <w:ind w:firstLineChars="200" w:firstLine="480"/>
        <w:textAlignment w:val="bottom"/>
        <w:rPr>
          <w:bCs/>
          <w:sz w:val="24"/>
        </w:rPr>
      </w:pPr>
      <w:r>
        <w:rPr>
          <w:bCs/>
          <w:sz w:val="24"/>
        </w:rPr>
        <w:t>1</w:t>
      </w:r>
      <w:r>
        <w:rPr>
          <w:bCs/>
          <w:sz w:val="24"/>
        </w:rPr>
        <w:t>、基金管理人的管理费</w:t>
      </w:r>
      <w:r>
        <w:rPr>
          <w:bCs/>
          <w:sz w:val="24"/>
        </w:rPr>
        <w:t xml:space="preserve"> </w:t>
      </w:r>
    </w:p>
    <w:p w14:paraId="3CA12193" w14:textId="77777777" w:rsidR="003568C2" w:rsidRDefault="00695B03">
      <w:pPr>
        <w:autoSpaceDE w:val="0"/>
        <w:autoSpaceDN w:val="0"/>
        <w:spacing w:line="360" w:lineRule="auto"/>
        <w:ind w:firstLineChars="200" w:firstLine="480"/>
        <w:textAlignment w:val="bottom"/>
        <w:rPr>
          <w:bCs/>
          <w:sz w:val="24"/>
        </w:rPr>
      </w:pPr>
      <w:r>
        <w:rPr>
          <w:bCs/>
          <w:sz w:val="24"/>
        </w:rPr>
        <w:t>本基金的管理费按前一日基金资产净值的</w:t>
      </w:r>
      <w:r>
        <w:rPr>
          <w:rFonts w:hint="eastAsia"/>
          <w:bCs/>
          <w:sz w:val="24"/>
        </w:rPr>
        <w:t>0.6</w:t>
      </w:r>
      <w:r>
        <w:rPr>
          <w:bCs/>
          <w:sz w:val="24"/>
        </w:rPr>
        <w:t>%</w:t>
      </w:r>
      <w:r>
        <w:rPr>
          <w:bCs/>
          <w:sz w:val="24"/>
        </w:rPr>
        <w:t>年费率计提。管理费的计算方法如下：</w:t>
      </w:r>
    </w:p>
    <w:p w14:paraId="0C91E510" w14:textId="77777777" w:rsidR="003568C2" w:rsidRDefault="00695B03">
      <w:pPr>
        <w:autoSpaceDE w:val="0"/>
        <w:autoSpaceDN w:val="0"/>
        <w:spacing w:line="360" w:lineRule="auto"/>
        <w:ind w:firstLineChars="200" w:firstLine="480"/>
        <w:textAlignment w:val="bottom"/>
        <w:rPr>
          <w:bCs/>
          <w:sz w:val="24"/>
        </w:rPr>
      </w:pPr>
      <w:r>
        <w:rPr>
          <w:bCs/>
          <w:sz w:val="24"/>
        </w:rPr>
        <w:t>H</w:t>
      </w:r>
      <w:r>
        <w:rPr>
          <w:bCs/>
          <w:sz w:val="24"/>
        </w:rPr>
        <w:t>＝</w:t>
      </w:r>
      <w:r>
        <w:rPr>
          <w:bCs/>
          <w:sz w:val="24"/>
        </w:rPr>
        <w:t>E×</w:t>
      </w:r>
      <w:r>
        <w:rPr>
          <w:rFonts w:hint="eastAsia"/>
          <w:bCs/>
          <w:sz w:val="24"/>
        </w:rPr>
        <w:t>0.6</w:t>
      </w:r>
      <w:r>
        <w:rPr>
          <w:bCs/>
          <w:sz w:val="24"/>
        </w:rPr>
        <w:t>%÷</w:t>
      </w:r>
      <w:r>
        <w:rPr>
          <w:bCs/>
          <w:sz w:val="24"/>
        </w:rPr>
        <w:t>当年天数</w:t>
      </w:r>
    </w:p>
    <w:p w14:paraId="540D566D" w14:textId="77777777" w:rsidR="003568C2" w:rsidRDefault="00695B03">
      <w:pPr>
        <w:autoSpaceDE w:val="0"/>
        <w:autoSpaceDN w:val="0"/>
        <w:spacing w:line="360" w:lineRule="auto"/>
        <w:ind w:firstLineChars="200" w:firstLine="480"/>
        <w:textAlignment w:val="bottom"/>
        <w:rPr>
          <w:bCs/>
          <w:sz w:val="24"/>
        </w:rPr>
      </w:pPr>
      <w:r>
        <w:rPr>
          <w:bCs/>
          <w:sz w:val="24"/>
        </w:rPr>
        <w:t>H</w:t>
      </w:r>
      <w:r>
        <w:rPr>
          <w:bCs/>
          <w:sz w:val="24"/>
        </w:rPr>
        <w:t>为每日应计提的基金管理费</w:t>
      </w:r>
    </w:p>
    <w:p w14:paraId="1EB9759B" w14:textId="77777777" w:rsidR="003568C2" w:rsidRDefault="00695B03">
      <w:pPr>
        <w:autoSpaceDE w:val="0"/>
        <w:autoSpaceDN w:val="0"/>
        <w:spacing w:line="360" w:lineRule="auto"/>
        <w:ind w:firstLineChars="200" w:firstLine="480"/>
        <w:textAlignment w:val="bottom"/>
        <w:rPr>
          <w:bCs/>
          <w:sz w:val="24"/>
        </w:rPr>
      </w:pPr>
      <w:r>
        <w:rPr>
          <w:bCs/>
          <w:sz w:val="24"/>
        </w:rPr>
        <w:t>E</w:t>
      </w:r>
      <w:r>
        <w:rPr>
          <w:bCs/>
          <w:sz w:val="24"/>
        </w:rPr>
        <w:t>为前一日的基金资产净值</w:t>
      </w:r>
    </w:p>
    <w:p w14:paraId="4BE18543" w14:textId="77777777" w:rsidR="003568C2" w:rsidRDefault="00695B03">
      <w:pPr>
        <w:autoSpaceDE w:val="0"/>
        <w:autoSpaceDN w:val="0"/>
        <w:spacing w:line="360" w:lineRule="auto"/>
        <w:ind w:firstLineChars="200" w:firstLine="480"/>
        <w:textAlignment w:val="bottom"/>
        <w:rPr>
          <w:bCs/>
          <w:sz w:val="24"/>
        </w:rPr>
      </w:pPr>
      <w:r>
        <w:rPr>
          <w:bCs/>
          <w:sz w:val="24"/>
        </w:rPr>
        <w:t>基金管理费每日计算，逐日累计至每月月末，按月支付</w:t>
      </w:r>
      <w:r>
        <w:rPr>
          <w:rFonts w:hint="eastAsia"/>
          <w:bCs/>
          <w:sz w:val="24"/>
        </w:rPr>
        <w:t>，经基金管理人与基金托管人双方核对无误后，基金托管人</w:t>
      </w:r>
      <w:r>
        <w:rPr>
          <w:rFonts w:hint="eastAsia"/>
          <w:bCs/>
          <w:sz w:val="24"/>
          <w:szCs w:val="24"/>
        </w:rPr>
        <w:t>按照</w:t>
      </w:r>
      <w:r>
        <w:rPr>
          <w:rFonts w:ascii="宋体" w:hAnsi="宋体" w:hint="eastAsia"/>
          <w:sz w:val="24"/>
          <w:szCs w:val="24"/>
        </w:rPr>
        <w:t>与基金管理人协商一致的方式</w:t>
      </w:r>
      <w:r>
        <w:rPr>
          <w:rFonts w:hint="eastAsia"/>
          <w:bCs/>
          <w:sz w:val="24"/>
        </w:rPr>
        <w:t>于次月前</w:t>
      </w:r>
      <w:r>
        <w:rPr>
          <w:rFonts w:hint="eastAsia"/>
          <w:bCs/>
          <w:sz w:val="24"/>
        </w:rPr>
        <w:t>5</w:t>
      </w:r>
      <w:r>
        <w:rPr>
          <w:rFonts w:hint="eastAsia"/>
          <w:bCs/>
          <w:sz w:val="24"/>
        </w:rPr>
        <w:t>个工作日内从基金财产中一次性支付给基金管理人。若遇法定节假日、公休假等，支付日期顺延。</w:t>
      </w:r>
    </w:p>
    <w:p w14:paraId="25C23FE5" w14:textId="77777777" w:rsidR="003568C2" w:rsidRDefault="00695B03">
      <w:pPr>
        <w:autoSpaceDE w:val="0"/>
        <w:autoSpaceDN w:val="0"/>
        <w:spacing w:line="360" w:lineRule="auto"/>
        <w:ind w:firstLineChars="200" w:firstLine="480"/>
        <w:textAlignment w:val="bottom"/>
        <w:rPr>
          <w:bCs/>
          <w:sz w:val="24"/>
        </w:rPr>
      </w:pPr>
      <w:r>
        <w:rPr>
          <w:bCs/>
          <w:sz w:val="24"/>
        </w:rPr>
        <w:t>2</w:t>
      </w:r>
      <w:r>
        <w:rPr>
          <w:bCs/>
          <w:sz w:val="24"/>
        </w:rPr>
        <w:t>、基金托管人的托管费</w:t>
      </w:r>
    </w:p>
    <w:p w14:paraId="281A04E4" w14:textId="77777777" w:rsidR="003568C2" w:rsidRDefault="00695B03">
      <w:pPr>
        <w:autoSpaceDE w:val="0"/>
        <w:autoSpaceDN w:val="0"/>
        <w:spacing w:line="360" w:lineRule="auto"/>
        <w:ind w:firstLineChars="200" w:firstLine="480"/>
        <w:textAlignment w:val="bottom"/>
        <w:rPr>
          <w:bCs/>
          <w:sz w:val="24"/>
        </w:rPr>
      </w:pPr>
      <w:r>
        <w:rPr>
          <w:bCs/>
          <w:sz w:val="24"/>
        </w:rPr>
        <w:t>本基金的托管费按前一日基金资产净值的</w:t>
      </w:r>
      <w:r>
        <w:rPr>
          <w:rFonts w:hint="eastAsia"/>
          <w:bCs/>
          <w:sz w:val="24"/>
        </w:rPr>
        <w:t>0.1</w:t>
      </w:r>
      <w:r>
        <w:rPr>
          <w:bCs/>
          <w:sz w:val="24"/>
        </w:rPr>
        <w:t>%</w:t>
      </w:r>
      <w:r>
        <w:rPr>
          <w:bCs/>
          <w:sz w:val="24"/>
        </w:rPr>
        <w:t>的年费率计提。托管费的计算方法如下：</w:t>
      </w:r>
    </w:p>
    <w:p w14:paraId="093A6A5C" w14:textId="77777777" w:rsidR="003568C2" w:rsidRDefault="00695B03">
      <w:pPr>
        <w:autoSpaceDE w:val="0"/>
        <w:autoSpaceDN w:val="0"/>
        <w:spacing w:line="360" w:lineRule="auto"/>
        <w:ind w:firstLineChars="200" w:firstLine="480"/>
        <w:textAlignment w:val="bottom"/>
        <w:rPr>
          <w:bCs/>
          <w:sz w:val="24"/>
        </w:rPr>
      </w:pPr>
      <w:r>
        <w:rPr>
          <w:bCs/>
          <w:sz w:val="24"/>
        </w:rPr>
        <w:t>H</w:t>
      </w:r>
      <w:r>
        <w:rPr>
          <w:bCs/>
          <w:sz w:val="24"/>
        </w:rPr>
        <w:t>＝</w:t>
      </w:r>
      <w:r>
        <w:rPr>
          <w:bCs/>
          <w:sz w:val="24"/>
        </w:rPr>
        <w:t>E×</w:t>
      </w:r>
      <w:r>
        <w:rPr>
          <w:rFonts w:hint="eastAsia"/>
          <w:bCs/>
          <w:sz w:val="24"/>
        </w:rPr>
        <w:t>0.1%</w:t>
      </w:r>
      <w:r>
        <w:rPr>
          <w:bCs/>
          <w:sz w:val="24"/>
        </w:rPr>
        <w:t>÷</w:t>
      </w:r>
      <w:r>
        <w:rPr>
          <w:bCs/>
          <w:sz w:val="24"/>
        </w:rPr>
        <w:t>当年天数</w:t>
      </w:r>
    </w:p>
    <w:p w14:paraId="210F027F" w14:textId="77777777" w:rsidR="003568C2" w:rsidRDefault="00695B03">
      <w:pPr>
        <w:autoSpaceDE w:val="0"/>
        <w:autoSpaceDN w:val="0"/>
        <w:spacing w:line="360" w:lineRule="auto"/>
        <w:ind w:firstLineChars="200" w:firstLine="480"/>
        <w:textAlignment w:val="bottom"/>
        <w:rPr>
          <w:bCs/>
          <w:sz w:val="24"/>
        </w:rPr>
      </w:pPr>
      <w:r>
        <w:rPr>
          <w:bCs/>
          <w:sz w:val="24"/>
        </w:rPr>
        <w:lastRenderedPageBreak/>
        <w:t>H</w:t>
      </w:r>
      <w:r>
        <w:rPr>
          <w:bCs/>
          <w:sz w:val="24"/>
        </w:rPr>
        <w:t>为每日应计提的基金托管费</w:t>
      </w:r>
    </w:p>
    <w:p w14:paraId="57DF8905" w14:textId="77777777" w:rsidR="003568C2" w:rsidRDefault="00695B03">
      <w:pPr>
        <w:autoSpaceDE w:val="0"/>
        <w:autoSpaceDN w:val="0"/>
        <w:spacing w:line="360" w:lineRule="auto"/>
        <w:ind w:firstLineChars="200" w:firstLine="480"/>
        <w:textAlignment w:val="bottom"/>
        <w:rPr>
          <w:bCs/>
          <w:sz w:val="24"/>
        </w:rPr>
      </w:pPr>
      <w:r>
        <w:rPr>
          <w:bCs/>
          <w:sz w:val="24"/>
        </w:rPr>
        <w:t>E</w:t>
      </w:r>
      <w:r>
        <w:rPr>
          <w:bCs/>
          <w:sz w:val="24"/>
        </w:rPr>
        <w:t>为前一日的基金资产净值</w:t>
      </w:r>
    </w:p>
    <w:p w14:paraId="35985836"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基金托管费每日计算，逐日累计至每月月末，按月支付，经基金管理人与基金托管人双方核对无误后，</w:t>
      </w:r>
      <w:r>
        <w:rPr>
          <w:bCs/>
          <w:sz w:val="24"/>
        </w:rPr>
        <w:t>基金托管人</w:t>
      </w:r>
      <w:r>
        <w:rPr>
          <w:rFonts w:hint="eastAsia"/>
          <w:bCs/>
          <w:sz w:val="24"/>
          <w:szCs w:val="24"/>
        </w:rPr>
        <w:t>按照</w:t>
      </w:r>
      <w:r>
        <w:rPr>
          <w:rFonts w:ascii="宋体" w:hAnsi="宋体" w:hint="eastAsia"/>
          <w:sz w:val="24"/>
          <w:szCs w:val="24"/>
        </w:rPr>
        <w:t>与基金管理人协商一致的方式</w:t>
      </w:r>
      <w:r>
        <w:rPr>
          <w:rFonts w:hint="eastAsia"/>
          <w:bCs/>
          <w:sz w:val="24"/>
        </w:rPr>
        <w:t>于次月前</w:t>
      </w:r>
      <w:r>
        <w:rPr>
          <w:rFonts w:hint="eastAsia"/>
          <w:bCs/>
          <w:sz w:val="24"/>
        </w:rPr>
        <w:t>5</w:t>
      </w:r>
      <w:r>
        <w:rPr>
          <w:rFonts w:hint="eastAsia"/>
          <w:bCs/>
          <w:sz w:val="24"/>
        </w:rPr>
        <w:t>个工作日内从基金财产中一次性支取。若遇法定节假日、公休日等，支付日期顺延。</w:t>
      </w:r>
    </w:p>
    <w:p w14:paraId="307CEFD4" w14:textId="77777777" w:rsidR="003568C2" w:rsidRDefault="00695B03">
      <w:pPr>
        <w:autoSpaceDE w:val="0"/>
        <w:autoSpaceDN w:val="0"/>
        <w:spacing w:line="360" w:lineRule="auto"/>
        <w:ind w:firstLineChars="200" w:firstLine="480"/>
        <w:textAlignment w:val="bottom"/>
        <w:rPr>
          <w:bCs/>
          <w:sz w:val="24"/>
        </w:rPr>
      </w:pPr>
      <w:r>
        <w:rPr>
          <w:bCs/>
          <w:sz w:val="24"/>
        </w:rPr>
        <w:t>3</w:t>
      </w:r>
      <w:r>
        <w:rPr>
          <w:rFonts w:hint="eastAsia"/>
          <w:bCs/>
          <w:sz w:val="24"/>
        </w:rPr>
        <w:t>、</w:t>
      </w:r>
      <w:r>
        <w:rPr>
          <w:rFonts w:hint="eastAsia"/>
          <w:bCs/>
          <w:sz w:val="24"/>
        </w:rPr>
        <w:t>C</w:t>
      </w:r>
      <w:r>
        <w:rPr>
          <w:rFonts w:hint="eastAsia"/>
          <w:bCs/>
          <w:sz w:val="24"/>
        </w:rPr>
        <w:t>类基金份额</w:t>
      </w:r>
      <w:r>
        <w:rPr>
          <w:bCs/>
          <w:sz w:val="24"/>
        </w:rPr>
        <w:t>的</w:t>
      </w:r>
      <w:r>
        <w:rPr>
          <w:rFonts w:hint="eastAsia"/>
          <w:bCs/>
          <w:sz w:val="24"/>
        </w:rPr>
        <w:t>销售服务费</w:t>
      </w:r>
    </w:p>
    <w:p w14:paraId="4409542F" w14:textId="77777777" w:rsidR="003568C2" w:rsidRDefault="00695B03">
      <w:pPr>
        <w:autoSpaceDE w:val="0"/>
        <w:autoSpaceDN w:val="0"/>
        <w:spacing w:line="360" w:lineRule="auto"/>
        <w:ind w:firstLineChars="200" w:firstLine="480"/>
        <w:textAlignment w:val="bottom"/>
        <w:rPr>
          <w:bCs/>
          <w:sz w:val="24"/>
        </w:rPr>
      </w:pPr>
      <w:r>
        <w:rPr>
          <w:rFonts w:hint="eastAsia"/>
          <w:bCs/>
          <w:sz w:val="24"/>
        </w:rPr>
        <w:t>本基金</w:t>
      </w:r>
      <w:r>
        <w:rPr>
          <w:rFonts w:hint="eastAsia"/>
          <w:bCs/>
          <w:sz w:val="24"/>
        </w:rPr>
        <w:t>A</w:t>
      </w:r>
      <w:r>
        <w:rPr>
          <w:rFonts w:hint="eastAsia"/>
          <w:bCs/>
          <w:sz w:val="24"/>
        </w:rPr>
        <w:t>类基金份额不收取销售服务费，</w:t>
      </w:r>
      <w:r>
        <w:rPr>
          <w:bCs/>
          <w:sz w:val="24"/>
        </w:rPr>
        <w:t>C</w:t>
      </w:r>
      <w:r>
        <w:rPr>
          <w:rFonts w:hint="eastAsia"/>
          <w:bCs/>
          <w:sz w:val="24"/>
        </w:rPr>
        <w:t>类基金份额的销售服务费年费率为</w:t>
      </w:r>
      <w:r>
        <w:rPr>
          <w:bCs/>
          <w:sz w:val="24"/>
        </w:rPr>
        <w:t>0.</w:t>
      </w:r>
      <w:r>
        <w:rPr>
          <w:rFonts w:hint="eastAsia"/>
          <w:bCs/>
          <w:sz w:val="24"/>
        </w:rPr>
        <w:t>1</w:t>
      </w:r>
      <w:r>
        <w:rPr>
          <w:bCs/>
          <w:sz w:val="24"/>
        </w:rPr>
        <w:t>%</w:t>
      </w:r>
      <w:r>
        <w:rPr>
          <w:rFonts w:hint="eastAsia"/>
          <w:bCs/>
          <w:sz w:val="24"/>
        </w:rPr>
        <w:t>。</w:t>
      </w:r>
    </w:p>
    <w:p w14:paraId="34EF6372" w14:textId="77777777" w:rsidR="003568C2" w:rsidRDefault="00695B03">
      <w:pPr>
        <w:autoSpaceDE w:val="0"/>
        <w:autoSpaceDN w:val="0"/>
        <w:spacing w:line="360" w:lineRule="auto"/>
        <w:ind w:firstLineChars="200" w:firstLine="480"/>
        <w:textAlignment w:val="bottom"/>
        <w:rPr>
          <w:bCs/>
          <w:sz w:val="24"/>
        </w:rPr>
      </w:pPr>
      <w:r>
        <w:rPr>
          <w:rFonts w:hint="eastAsia"/>
          <w:bCs/>
          <w:sz w:val="24"/>
        </w:rPr>
        <w:t>本基金销售服务费将专门用于本基金的销售与基金份额持有人服务，销售服务费计提的计算公式如下：</w:t>
      </w:r>
      <w:r>
        <w:rPr>
          <w:bCs/>
          <w:sz w:val="24"/>
        </w:rPr>
        <w:t xml:space="preserve"> </w:t>
      </w:r>
    </w:p>
    <w:p w14:paraId="5EC6D41E" w14:textId="77777777" w:rsidR="003568C2" w:rsidRDefault="00695B03">
      <w:pPr>
        <w:autoSpaceDE w:val="0"/>
        <w:autoSpaceDN w:val="0"/>
        <w:spacing w:line="360" w:lineRule="auto"/>
        <w:ind w:firstLineChars="200" w:firstLine="480"/>
        <w:textAlignment w:val="bottom"/>
        <w:rPr>
          <w:bCs/>
          <w:sz w:val="24"/>
        </w:rPr>
      </w:pPr>
      <w:r>
        <w:rPr>
          <w:bCs/>
          <w:sz w:val="24"/>
        </w:rPr>
        <w:t>H=E</w:t>
      </w:r>
      <w:r>
        <w:rPr>
          <w:rFonts w:hint="eastAsia"/>
          <w:bCs/>
          <w:sz w:val="24"/>
        </w:rPr>
        <w:t>×</w:t>
      </w:r>
      <w:r>
        <w:rPr>
          <w:bCs/>
          <w:sz w:val="24"/>
        </w:rPr>
        <w:t>0.</w:t>
      </w:r>
      <w:r>
        <w:rPr>
          <w:rFonts w:hint="eastAsia"/>
          <w:bCs/>
          <w:sz w:val="24"/>
        </w:rPr>
        <w:t>1</w:t>
      </w:r>
      <w:r>
        <w:rPr>
          <w:bCs/>
          <w:sz w:val="24"/>
        </w:rPr>
        <w:t>%</w:t>
      </w:r>
      <w:r>
        <w:rPr>
          <w:rFonts w:hint="eastAsia"/>
          <w:bCs/>
          <w:sz w:val="24"/>
        </w:rPr>
        <w:t>÷当年天数</w:t>
      </w:r>
    </w:p>
    <w:p w14:paraId="0CC47C96" w14:textId="77777777" w:rsidR="003568C2" w:rsidRDefault="00695B03">
      <w:pPr>
        <w:autoSpaceDE w:val="0"/>
        <w:autoSpaceDN w:val="0"/>
        <w:spacing w:line="360" w:lineRule="auto"/>
        <w:ind w:firstLineChars="200" w:firstLine="480"/>
        <w:textAlignment w:val="bottom"/>
        <w:rPr>
          <w:bCs/>
          <w:sz w:val="24"/>
        </w:rPr>
      </w:pPr>
      <w:r>
        <w:rPr>
          <w:bCs/>
          <w:sz w:val="24"/>
        </w:rPr>
        <w:t>H</w:t>
      </w:r>
      <w:r>
        <w:rPr>
          <w:rFonts w:hint="eastAsia"/>
          <w:bCs/>
          <w:sz w:val="24"/>
        </w:rPr>
        <w:t>为</w:t>
      </w:r>
      <w:r>
        <w:rPr>
          <w:bCs/>
          <w:sz w:val="24"/>
        </w:rPr>
        <w:t>C</w:t>
      </w:r>
      <w:r>
        <w:rPr>
          <w:rFonts w:hint="eastAsia"/>
          <w:bCs/>
          <w:sz w:val="24"/>
        </w:rPr>
        <w:t>类基金份额每日应计提的销售服务费</w:t>
      </w:r>
    </w:p>
    <w:p w14:paraId="68EC395E" w14:textId="77777777" w:rsidR="003568C2" w:rsidRDefault="00695B03">
      <w:pPr>
        <w:autoSpaceDE w:val="0"/>
        <w:autoSpaceDN w:val="0"/>
        <w:spacing w:line="360" w:lineRule="auto"/>
        <w:ind w:firstLineChars="200" w:firstLine="480"/>
        <w:textAlignment w:val="bottom"/>
        <w:rPr>
          <w:bCs/>
          <w:sz w:val="24"/>
        </w:rPr>
      </w:pPr>
      <w:r>
        <w:rPr>
          <w:bCs/>
          <w:sz w:val="24"/>
        </w:rPr>
        <w:t>E</w:t>
      </w:r>
      <w:r>
        <w:rPr>
          <w:rFonts w:hint="eastAsia"/>
          <w:bCs/>
          <w:sz w:val="24"/>
        </w:rPr>
        <w:t>为</w:t>
      </w:r>
      <w:r>
        <w:rPr>
          <w:bCs/>
          <w:sz w:val="24"/>
        </w:rPr>
        <w:t>C</w:t>
      </w:r>
      <w:r>
        <w:rPr>
          <w:rFonts w:hint="eastAsia"/>
          <w:bCs/>
          <w:sz w:val="24"/>
        </w:rPr>
        <w:t>类基金份额前一日基金资产净值</w:t>
      </w:r>
    </w:p>
    <w:p w14:paraId="4961B1CD"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基金销售服务费每日计算，逐日累计至每月月末，按月支付。经基金管理人与托管人双方核对无误后，基金托管人按照与基金管理人协商一致的方式于次月前</w:t>
      </w:r>
      <w:r>
        <w:rPr>
          <w:rFonts w:hint="eastAsia"/>
          <w:bCs/>
          <w:sz w:val="24"/>
        </w:rPr>
        <w:t>5</w:t>
      </w:r>
      <w:r>
        <w:rPr>
          <w:rFonts w:hint="eastAsia"/>
          <w:bCs/>
          <w:sz w:val="24"/>
        </w:rPr>
        <w:t>个工作日内从基金财产中一次性支付给基金管理人。若遇法定节假日、公休假等，支付日期顺延。</w:t>
      </w:r>
    </w:p>
    <w:p w14:paraId="43EED978" w14:textId="77777777" w:rsidR="003568C2" w:rsidRDefault="00695B03">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、标的指数许可使用费</w:t>
      </w:r>
    </w:p>
    <w:p w14:paraId="3D199BD2" w14:textId="77777777" w:rsidR="003568C2" w:rsidRDefault="00695B03">
      <w:pPr>
        <w:autoSpaceDE w:val="0"/>
        <w:autoSpaceDN w:val="0"/>
        <w:spacing w:line="360" w:lineRule="auto"/>
        <w:ind w:firstLineChars="200" w:firstLine="480"/>
        <w:textAlignment w:val="bottom"/>
        <w:rPr>
          <w:bCs/>
          <w:sz w:val="24"/>
        </w:rPr>
      </w:pPr>
      <w:r>
        <w:rPr>
          <w:rFonts w:hint="eastAsia"/>
          <w:bCs/>
          <w:sz w:val="24"/>
        </w:rPr>
        <w:t>本基金的标的指数许可使用费按前一日基金资产净值的</w:t>
      </w:r>
      <w:r>
        <w:rPr>
          <w:rFonts w:hint="eastAsia"/>
          <w:bCs/>
          <w:sz w:val="24"/>
        </w:rPr>
        <w:t>0.016%</w:t>
      </w:r>
      <w:r>
        <w:rPr>
          <w:rFonts w:hint="eastAsia"/>
          <w:bCs/>
          <w:sz w:val="24"/>
        </w:rPr>
        <w:t>的年费率计提。标的指数许可使用费的计算方法如下：</w:t>
      </w:r>
    </w:p>
    <w:p w14:paraId="1A7BAF38" w14:textId="77777777" w:rsidR="003568C2" w:rsidRDefault="00695B03">
      <w:pPr>
        <w:autoSpaceDE w:val="0"/>
        <w:autoSpaceDN w:val="0"/>
        <w:spacing w:line="360" w:lineRule="auto"/>
        <w:ind w:firstLineChars="200" w:firstLine="480"/>
        <w:textAlignment w:val="bottom"/>
        <w:rPr>
          <w:bCs/>
          <w:sz w:val="24"/>
        </w:rPr>
      </w:pPr>
      <w:r>
        <w:rPr>
          <w:rFonts w:hint="eastAsia"/>
          <w:bCs/>
          <w:sz w:val="24"/>
        </w:rPr>
        <w:t>H=E</w:t>
      </w:r>
      <w:r>
        <w:rPr>
          <w:rFonts w:hint="eastAsia"/>
          <w:bCs/>
          <w:sz w:val="24"/>
        </w:rPr>
        <w:t>×</w:t>
      </w:r>
      <w:r>
        <w:rPr>
          <w:rFonts w:hint="eastAsia"/>
          <w:bCs/>
          <w:sz w:val="24"/>
        </w:rPr>
        <w:t>0.016%</w:t>
      </w:r>
      <w:r>
        <w:rPr>
          <w:rFonts w:hint="eastAsia"/>
          <w:bCs/>
          <w:sz w:val="24"/>
        </w:rPr>
        <w:t>÷当年天数</w:t>
      </w:r>
    </w:p>
    <w:p w14:paraId="15FDA85A" w14:textId="77777777" w:rsidR="003568C2" w:rsidRDefault="00695B03">
      <w:pPr>
        <w:autoSpaceDE w:val="0"/>
        <w:autoSpaceDN w:val="0"/>
        <w:spacing w:line="360" w:lineRule="auto"/>
        <w:ind w:firstLineChars="200" w:firstLine="480"/>
        <w:textAlignment w:val="bottom"/>
        <w:rPr>
          <w:bCs/>
          <w:sz w:val="24"/>
        </w:rPr>
      </w:pPr>
      <w:r>
        <w:rPr>
          <w:rFonts w:hint="eastAsia"/>
          <w:bCs/>
          <w:sz w:val="24"/>
        </w:rPr>
        <w:t xml:space="preserve">H </w:t>
      </w:r>
      <w:r>
        <w:rPr>
          <w:rFonts w:hint="eastAsia"/>
          <w:bCs/>
          <w:sz w:val="24"/>
        </w:rPr>
        <w:t>为每日应计提的标的指数许可使用费</w:t>
      </w:r>
    </w:p>
    <w:p w14:paraId="3F30303B" w14:textId="77777777" w:rsidR="003568C2" w:rsidRDefault="00695B03">
      <w:pPr>
        <w:autoSpaceDE w:val="0"/>
        <w:autoSpaceDN w:val="0"/>
        <w:spacing w:line="360" w:lineRule="auto"/>
        <w:ind w:firstLineChars="200" w:firstLine="480"/>
        <w:textAlignment w:val="bottom"/>
        <w:rPr>
          <w:bCs/>
          <w:sz w:val="24"/>
        </w:rPr>
      </w:pPr>
      <w:r>
        <w:rPr>
          <w:rFonts w:hint="eastAsia"/>
          <w:bCs/>
          <w:sz w:val="24"/>
        </w:rPr>
        <w:t xml:space="preserve">E </w:t>
      </w:r>
      <w:r>
        <w:rPr>
          <w:rFonts w:hint="eastAsia"/>
          <w:bCs/>
          <w:sz w:val="24"/>
        </w:rPr>
        <w:t>为前一日的基金资产净值</w:t>
      </w:r>
    </w:p>
    <w:p w14:paraId="36B70F5E" w14:textId="77777777" w:rsidR="003568C2" w:rsidRDefault="00695B03">
      <w:pPr>
        <w:autoSpaceDE w:val="0"/>
        <w:autoSpaceDN w:val="0"/>
        <w:spacing w:line="360" w:lineRule="auto"/>
        <w:ind w:firstLineChars="200" w:firstLine="480"/>
        <w:textAlignment w:val="bottom"/>
        <w:rPr>
          <w:bCs/>
          <w:sz w:val="24"/>
        </w:rPr>
      </w:pPr>
      <w:r>
        <w:rPr>
          <w:rFonts w:hint="eastAsia"/>
          <w:bCs/>
          <w:sz w:val="24"/>
        </w:rPr>
        <w:t>标的指数许可使用费每日计算，逐日累计至每季季末，按季支付（当季不足</w:t>
      </w:r>
      <w:r>
        <w:rPr>
          <w:rFonts w:hint="eastAsia"/>
          <w:bCs/>
          <w:sz w:val="24"/>
        </w:rPr>
        <w:t xml:space="preserve">50,000 </w:t>
      </w:r>
      <w:r>
        <w:rPr>
          <w:rFonts w:hint="eastAsia"/>
          <w:bCs/>
          <w:sz w:val="24"/>
        </w:rPr>
        <w:t>元的，按</w:t>
      </w:r>
      <w:r>
        <w:rPr>
          <w:rFonts w:hint="eastAsia"/>
          <w:bCs/>
          <w:sz w:val="24"/>
        </w:rPr>
        <w:t xml:space="preserve">50,000 </w:t>
      </w:r>
      <w:r>
        <w:rPr>
          <w:rFonts w:hint="eastAsia"/>
          <w:bCs/>
          <w:sz w:val="24"/>
        </w:rPr>
        <w:t>元计算），计费期间不足一季度的，根据实际天数按比例计算。由基金管理人向基金托管人发送标的指数许可使用费划款指令，基金托管人复核后于次季前</w:t>
      </w:r>
      <w:r>
        <w:rPr>
          <w:rFonts w:hint="eastAsia"/>
          <w:bCs/>
          <w:sz w:val="24"/>
        </w:rPr>
        <w:t xml:space="preserve"> 10 </w:t>
      </w:r>
      <w:r>
        <w:rPr>
          <w:rFonts w:hint="eastAsia"/>
          <w:bCs/>
          <w:sz w:val="24"/>
        </w:rPr>
        <w:t>个工作日内从基金财产中一次性支付给标的指数供应商。若遇法定节假日、公休日等，支付日期顺延。</w:t>
      </w:r>
    </w:p>
    <w:p w14:paraId="27D54B03" w14:textId="77777777" w:rsidR="003568C2" w:rsidRDefault="00695B03">
      <w:pPr>
        <w:autoSpaceDE w:val="0"/>
        <w:autoSpaceDN w:val="0"/>
        <w:spacing w:line="360" w:lineRule="auto"/>
        <w:ind w:firstLineChars="200" w:firstLine="480"/>
        <w:textAlignment w:val="bottom"/>
        <w:rPr>
          <w:bCs/>
          <w:sz w:val="24"/>
        </w:rPr>
      </w:pPr>
      <w:r>
        <w:rPr>
          <w:rFonts w:hint="eastAsia"/>
          <w:bCs/>
          <w:sz w:val="24"/>
        </w:rPr>
        <w:lastRenderedPageBreak/>
        <w:t>标的指数供应商根据相应指数许可协议变更标的指数许可使用费率和计算方式时，基金管理人需依照有关规定最迟于新的费率和计费方式实施日前</w:t>
      </w:r>
      <w:r>
        <w:rPr>
          <w:rFonts w:hint="eastAsia"/>
          <w:bCs/>
          <w:sz w:val="24"/>
        </w:rPr>
        <w:t xml:space="preserve"> 2 </w:t>
      </w:r>
      <w:r>
        <w:rPr>
          <w:rFonts w:hint="eastAsia"/>
          <w:bCs/>
          <w:sz w:val="24"/>
        </w:rPr>
        <w:t>日在指定媒介公告并书面通知托管人。</w:t>
      </w:r>
    </w:p>
    <w:p w14:paraId="3CAB7EF8" w14:textId="77777777" w:rsidR="003568C2" w:rsidRDefault="00695B03">
      <w:pPr>
        <w:autoSpaceDE w:val="0"/>
        <w:autoSpaceDN w:val="0"/>
        <w:spacing w:line="360" w:lineRule="auto"/>
        <w:ind w:firstLineChars="200" w:firstLine="480"/>
        <w:textAlignment w:val="bottom"/>
        <w:rPr>
          <w:bCs/>
          <w:sz w:val="24"/>
        </w:rPr>
      </w:pPr>
      <w:r>
        <w:rPr>
          <w:bCs/>
          <w:sz w:val="24"/>
        </w:rPr>
        <w:t>上述</w:t>
      </w:r>
      <w:r>
        <w:rPr>
          <w:rFonts w:hint="eastAsia"/>
          <w:bCs/>
          <w:sz w:val="24"/>
        </w:rPr>
        <w:t>“</w:t>
      </w:r>
      <w:r>
        <w:rPr>
          <w:bCs/>
          <w:sz w:val="24"/>
        </w:rPr>
        <w:t>一、基金费用的种类</w:t>
      </w:r>
      <w:r>
        <w:rPr>
          <w:rFonts w:hint="eastAsia"/>
          <w:bCs/>
          <w:sz w:val="24"/>
        </w:rPr>
        <w:t>”</w:t>
      </w:r>
      <w:r>
        <w:rPr>
          <w:bCs/>
          <w:sz w:val="24"/>
        </w:rPr>
        <w:t>中第</w:t>
      </w:r>
      <w:r>
        <w:rPr>
          <w:bCs/>
          <w:sz w:val="24"/>
        </w:rPr>
        <w:t>5</w:t>
      </w:r>
      <w:r>
        <w:rPr>
          <w:bCs/>
          <w:sz w:val="24"/>
        </w:rPr>
        <w:t>－</w:t>
      </w:r>
      <w:r>
        <w:rPr>
          <w:rFonts w:hint="eastAsia"/>
          <w:bCs/>
          <w:sz w:val="24"/>
        </w:rPr>
        <w:t>11</w:t>
      </w:r>
      <w:r>
        <w:rPr>
          <w:bCs/>
          <w:sz w:val="24"/>
        </w:rPr>
        <w:t>项费用，根据有关法规及相应协议规定，按费用实际支出金额列入当期费用，由基金托管人从基金财产中支付。</w:t>
      </w:r>
    </w:p>
    <w:p w14:paraId="1A32B182" w14:textId="77777777" w:rsidR="003568C2" w:rsidRDefault="00695B03">
      <w:pPr>
        <w:autoSpaceDE w:val="0"/>
        <w:autoSpaceDN w:val="0"/>
        <w:spacing w:line="360" w:lineRule="auto"/>
        <w:ind w:firstLineChars="200" w:firstLine="480"/>
        <w:textAlignment w:val="bottom"/>
        <w:rPr>
          <w:bCs/>
          <w:sz w:val="24"/>
        </w:rPr>
      </w:pPr>
      <w:r>
        <w:rPr>
          <w:bCs/>
          <w:sz w:val="24"/>
        </w:rPr>
        <w:t>三、不列入基金费用的项目</w:t>
      </w:r>
    </w:p>
    <w:p w14:paraId="25D091A9" w14:textId="77777777" w:rsidR="003568C2" w:rsidRDefault="00695B03">
      <w:pPr>
        <w:autoSpaceDE w:val="0"/>
        <w:autoSpaceDN w:val="0"/>
        <w:spacing w:line="360" w:lineRule="auto"/>
        <w:ind w:firstLineChars="200" w:firstLine="480"/>
        <w:textAlignment w:val="bottom"/>
        <w:rPr>
          <w:bCs/>
          <w:sz w:val="24"/>
        </w:rPr>
      </w:pPr>
      <w:r>
        <w:rPr>
          <w:bCs/>
          <w:sz w:val="24"/>
        </w:rPr>
        <w:t>下列费用不列入基金费用：</w:t>
      </w:r>
    </w:p>
    <w:p w14:paraId="4D70B42B" w14:textId="77777777" w:rsidR="003568C2" w:rsidRDefault="00695B03">
      <w:pPr>
        <w:autoSpaceDE w:val="0"/>
        <w:autoSpaceDN w:val="0"/>
        <w:spacing w:line="360" w:lineRule="auto"/>
        <w:ind w:firstLineChars="200" w:firstLine="480"/>
        <w:textAlignment w:val="bottom"/>
        <w:rPr>
          <w:bCs/>
          <w:sz w:val="24"/>
        </w:rPr>
      </w:pPr>
      <w:r>
        <w:rPr>
          <w:bCs/>
          <w:sz w:val="24"/>
        </w:rPr>
        <w:t>1</w:t>
      </w:r>
      <w:r>
        <w:rPr>
          <w:bCs/>
          <w:sz w:val="24"/>
        </w:rPr>
        <w:t>、基金管理人和基金托管人因未履行或未完全履行义务导致的费用支出或基金财产的损失；</w:t>
      </w:r>
    </w:p>
    <w:p w14:paraId="77BCC32A" w14:textId="77777777" w:rsidR="003568C2" w:rsidRDefault="00695B03">
      <w:pPr>
        <w:autoSpaceDE w:val="0"/>
        <w:autoSpaceDN w:val="0"/>
        <w:spacing w:line="360" w:lineRule="auto"/>
        <w:ind w:firstLineChars="200" w:firstLine="480"/>
        <w:textAlignment w:val="bottom"/>
        <w:rPr>
          <w:bCs/>
          <w:sz w:val="24"/>
        </w:rPr>
      </w:pPr>
      <w:r>
        <w:rPr>
          <w:bCs/>
          <w:sz w:val="24"/>
        </w:rPr>
        <w:t>2</w:t>
      </w:r>
      <w:r>
        <w:rPr>
          <w:bCs/>
          <w:sz w:val="24"/>
        </w:rPr>
        <w:t>、基金管理人和基金托管人处理与基金运作无关的事项发生的费用；</w:t>
      </w:r>
    </w:p>
    <w:p w14:paraId="1F981187" w14:textId="77777777" w:rsidR="003568C2" w:rsidRDefault="00695B03">
      <w:pPr>
        <w:autoSpaceDE w:val="0"/>
        <w:autoSpaceDN w:val="0"/>
        <w:spacing w:line="360" w:lineRule="auto"/>
        <w:ind w:firstLineChars="200" w:firstLine="480"/>
        <w:textAlignment w:val="bottom"/>
        <w:rPr>
          <w:bCs/>
          <w:sz w:val="24"/>
        </w:rPr>
      </w:pPr>
      <w:r>
        <w:rPr>
          <w:bCs/>
          <w:sz w:val="24"/>
        </w:rPr>
        <w:t>3</w:t>
      </w:r>
      <w:r>
        <w:rPr>
          <w:bCs/>
          <w:sz w:val="24"/>
        </w:rPr>
        <w:t>、《基金合同》生效前的相关费用；</w:t>
      </w:r>
    </w:p>
    <w:p w14:paraId="27E537D8" w14:textId="77777777" w:rsidR="003568C2" w:rsidRDefault="00695B03">
      <w:pPr>
        <w:autoSpaceDE w:val="0"/>
        <w:autoSpaceDN w:val="0"/>
        <w:spacing w:line="360" w:lineRule="auto"/>
        <w:ind w:firstLineChars="200" w:firstLine="480"/>
        <w:textAlignment w:val="bottom"/>
        <w:rPr>
          <w:bCs/>
          <w:sz w:val="24"/>
        </w:rPr>
      </w:pPr>
      <w:r>
        <w:rPr>
          <w:bCs/>
          <w:sz w:val="24"/>
        </w:rPr>
        <w:t>4</w:t>
      </w:r>
      <w:r>
        <w:rPr>
          <w:bCs/>
          <w:sz w:val="24"/>
        </w:rPr>
        <w:t>、其他根据相关法律法规及中国证监会的有关规定不得列入基金费用的项目。</w:t>
      </w:r>
      <w:bookmarkStart w:id="285" w:name="_Hlt88827255"/>
      <w:bookmarkEnd w:id="285"/>
    </w:p>
    <w:p w14:paraId="1F9C1E1B"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四</w:t>
      </w:r>
      <w:r>
        <w:rPr>
          <w:bCs/>
          <w:sz w:val="24"/>
        </w:rPr>
        <w:t>、基金税收</w:t>
      </w:r>
    </w:p>
    <w:p w14:paraId="433BB3F8" w14:textId="77777777" w:rsidR="003568C2" w:rsidRDefault="00695B03">
      <w:pPr>
        <w:autoSpaceDE w:val="0"/>
        <w:autoSpaceDN w:val="0"/>
        <w:spacing w:line="360" w:lineRule="auto"/>
        <w:ind w:firstLineChars="200" w:firstLine="480"/>
        <w:textAlignment w:val="bottom"/>
        <w:rPr>
          <w:bCs/>
          <w:sz w:val="24"/>
        </w:rPr>
      </w:pPr>
      <w:r>
        <w:rPr>
          <w:bCs/>
          <w:sz w:val="24"/>
        </w:rPr>
        <w:t>本基金运作过程中涉及的各纳税主体，其纳税义务按国家税收法律、法规执行。</w:t>
      </w:r>
    </w:p>
    <w:p w14:paraId="647419D7"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基金财产投资的相关税收，由基金份额持有人承担，基金管理人或者其他扣缴义务人按照国家有关税收征收的规定代扣代缴。</w:t>
      </w:r>
      <w:r>
        <w:rPr>
          <w:bCs/>
          <w:sz w:val="24"/>
        </w:rPr>
        <w:br w:type="page"/>
      </w:r>
    </w:p>
    <w:p w14:paraId="55104AC2" w14:textId="77777777" w:rsidR="003568C2" w:rsidRDefault="00695B03">
      <w:pPr>
        <w:pStyle w:val="1"/>
        <w:jc w:val="center"/>
        <w:rPr>
          <w:sz w:val="30"/>
          <w:szCs w:val="30"/>
        </w:rPr>
      </w:pPr>
      <w:bookmarkStart w:id="286" w:name="_Toc15892927"/>
      <w:r>
        <w:rPr>
          <w:rFonts w:hint="eastAsia"/>
          <w:sz w:val="30"/>
          <w:szCs w:val="30"/>
        </w:rPr>
        <w:lastRenderedPageBreak/>
        <w:t>第十四部分</w:t>
      </w:r>
      <w:r>
        <w:rPr>
          <w:sz w:val="30"/>
          <w:szCs w:val="30"/>
        </w:rPr>
        <w:t xml:space="preserve">  </w:t>
      </w:r>
      <w:r>
        <w:rPr>
          <w:rFonts w:hint="eastAsia"/>
          <w:sz w:val="30"/>
          <w:szCs w:val="30"/>
        </w:rPr>
        <w:t>基金的会计与审计</w:t>
      </w:r>
      <w:bookmarkEnd w:id="268"/>
      <w:bookmarkEnd w:id="269"/>
      <w:bookmarkEnd w:id="270"/>
      <w:bookmarkEnd w:id="286"/>
    </w:p>
    <w:p w14:paraId="6D10E5C4" w14:textId="77777777" w:rsidR="003568C2" w:rsidRDefault="00695B03">
      <w:pPr>
        <w:autoSpaceDE w:val="0"/>
        <w:autoSpaceDN w:val="0"/>
        <w:spacing w:line="360" w:lineRule="auto"/>
        <w:ind w:firstLineChars="200" w:firstLine="480"/>
        <w:textAlignment w:val="bottom"/>
        <w:rPr>
          <w:bCs/>
          <w:sz w:val="24"/>
        </w:rPr>
      </w:pPr>
      <w:r>
        <w:rPr>
          <w:bCs/>
          <w:sz w:val="24"/>
        </w:rPr>
        <w:t>一、基金会计政策</w:t>
      </w:r>
    </w:p>
    <w:p w14:paraId="3C4B829F" w14:textId="77777777" w:rsidR="003568C2" w:rsidRDefault="00695B03">
      <w:pPr>
        <w:autoSpaceDE w:val="0"/>
        <w:autoSpaceDN w:val="0"/>
        <w:spacing w:line="360" w:lineRule="auto"/>
        <w:ind w:firstLineChars="200" w:firstLine="480"/>
        <w:textAlignment w:val="bottom"/>
        <w:rPr>
          <w:bCs/>
          <w:sz w:val="24"/>
        </w:rPr>
      </w:pPr>
      <w:r>
        <w:rPr>
          <w:bCs/>
          <w:sz w:val="24"/>
        </w:rPr>
        <w:t>1</w:t>
      </w:r>
      <w:r>
        <w:rPr>
          <w:bCs/>
          <w:sz w:val="24"/>
        </w:rPr>
        <w:t>、基金管理人为本基金的基金会计责任方；</w:t>
      </w:r>
    </w:p>
    <w:p w14:paraId="37DECF53" w14:textId="77777777" w:rsidR="003568C2" w:rsidRDefault="00695B03">
      <w:pPr>
        <w:autoSpaceDE w:val="0"/>
        <w:autoSpaceDN w:val="0"/>
        <w:spacing w:line="360" w:lineRule="auto"/>
        <w:ind w:firstLineChars="200" w:firstLine="480"/>
        <w:textAlignment w:val="bottom"/>
        <w:rPr>
          <w:bCs/>
          <w:sz w:val="24"/>
        </w:rPr>
      </w:pPr>
      <w:r>
        <w:rPr>
          <w:bCs/>
          <w:sz w:val="24"/>
        </w:rPr>
        <w:t>2</w:t>
      </w:r>
      <w:r>
        <w:rPr>
          <w:bCs/>
          <w:sz w:val="24"/>
        </w:rPr>
        <w:t>、基金的会计年度为公历年度的</w:t>
      </w:r>
      <w:r>
        <w:rPr>
          <w:bCs/>
          <w:sz w:val="24"/>
        </w:rPr>
        <w:t>1</w:t>
      </w:r>
      <w:r>
        <w:rPr>
          <w:bCs/>
          <w:sz w:val="24"/>
        </w:rPr>
        <w:t>月</w:t>
      </w:r>
      <w:r>
        <w:rPr>
          <w:bCs/>
          <w:sz w:val="24"/>
        </w:rPr>
        <w:t>1</w:t>
      </w:r>
      <w:r>
        <w:rPr>
          <w:bCs/>
          <w:sz w:val="24"/>
        </w:rPr>
        <w:t>日至</w:t>
      </w:r>
      <w:r>
        <w:rPr>
          <w:bCs/>
          <w:sz w:val="24"/>
        </w:rPr>
        <w:t>12</w:t>
      </w:r>
      <w:r>
        <w:rPr>
          <w:bCs/>
          <w:sz w:val="24"/>
        </w:rPr>
        <w:t>月</w:t>
      </w:r>
      <w:r>
        <w:rPr>
          <w:bCs/>
          <w:sz w:val="24"/>
        </w:rPr>
        <w:t>31</w:t>
      </w:r>
      <w:r>
        <w:rPr>
          <w:bCs/>
          <w:sz w:val="24"/>
        </w:rPr>
        <w:t>日；</w:t>
      </w:r>
    </w:p>
    <w:p w14:paraId="79C47A84" w14:textId="77777777" w:rsidR="003568C2" w:rsidRDefault="00695B03">
      <w:pPr>
        <w:autoSpaceDE w:val="0"/>
        <w:autoSpaceDN w:val="0"/>
        <w:spacing w:line="360" w:lineRule="auto"/>
        <w:ind w:firstLineChars="200" w:firstLine="480"/>
        <w:textAlignment w:val="bottom"/>
        <w:rPr>
          <w:bCs/>
          <w:sz w:val="24"/>
        </w:rPr>
      </w:pPr>
      <w:r>
        <w:rPr>
          <w:bCs/>
          <w:sz w:val="24"/>
        </w:rPr>
        <w:t>3</w:t>
      </w:r>
      <w:r>
        <w:rPr>
          <w:bCs/>
          <w:sz w:val="24"/>
        </w:rPr>
        <w:t>、基金核算以人民币为记账本位币，以人民币元为记账单位；</w:t>
      </w:r>
    </w:p>
    <w:p w14:paraId="019D1238" w14:textId="77777777" w:rsidR="003568C2" w:rsidRDefault="00695B03">
      <w:pPr>
        <w:autoSpaceDE w:val="0"/>
        <w:autoSpaceDN w:val="0"/>
        <w:spacing w:line="360" w:lineRule="auto"/>
        <w:ind w:firstLineChars="200" w:firstLine="480"/>
        <w:textAlignment w:val="bottom"/>
        <w:rPr>
          <w:bCs/>
          <w:sz w:val="24"/>
        </w:rPr>
      </w:pPr>
      <w:r>
        <w:rPr>
          <w:bCs/>
          <w:sz w:val="24"/>
        </w:rPr>
        <w:t>4</w:t>
      </w:r>
      <w:r>
        <w:rPr>
          <w:bCs/>
          <w:sz w:val="24"/>
        </w:rPr>
        <w:t>、会计制度执行国家有关会计制度；</w:t>
      </w:r>
    </w:p>
    <w:p w14:paraId="01D08FFE" w14:textId="77777777" w:rsidR="003568C2" w:rsidRDefault="00695B03">
      <w:pPr>
        <w:autoSpaceDE w:val="0"/>
        <w:autoSpaceDN w:val="0"/>
        <w:spacing w:line="360" w:lineRule="auto"/>
        <w:ind w:firstLineChars="200" w:firstLine="480"/>
        <w:textAlignment w:val="bottom"/>
        <w:rPr>
          <w:bCs/>
          <w:sz w:val="24"/>
        </w:rPr>
      </w:pPr>
      <w:r>
        <w:rPr>
          <w:bCs/>
          <w:sz w:val="24"/>
        </w:rPr>
        <w:t>5</w:t>
      </w:r>
      <w:r>
        <w:rPr>
          <w:bCs/>
          <w:sz w:val="24"/>
        </w:rPr>
        <w:t>、本基金独立建账、独立核算；</w:t>
      </w:r>
    </w:p>
    <w:p w14:paraId="3930A5BE" w14:textId="77777777" w:rsidR="003568C2" w:rsidRDefault="00695B03">
      <w:pPr>
        <w:autoSpaceDE w:val="0"/>
        <w:autoSpaceDN w:val="0"/>
        <w:spacing w:line="360" w:lineRule="auto"/>
        <w:ind w:firstLineChars="200" w:firstLine="480"/>
        <w:textAlignment w:val="bottom"/>
        <w:rPr>
          <w:bCs/>
          <w:sz w:val="24"/>
        </w:rPr>
      </w:pPr>
      <w:r>
        <w:rPr>
          <w:bCs/>
          <w:sz w:val="24"/>
        </w:rPr>
        <w:t>6</w:t>
      </w:r>
      <w:r>
        <w:rPr>
          <w:bCs/>
          <w:sz w:val="24"/>
        </w:rPr>
        <w:t>、基金管理人及基金托管人各自保留完整的会计账目、凭证并进行日常的会计核算，按照有关规定编制基金会计报表；</w:t>
      </w:r>
    </w:p>
    <w:p w14:paraId="1A533E48" w14:textId="77777777" w:rsidR="003568C2" w:rsidRDefault="00695B03">
      <w:pPr>
        <w:autoSpaceDE w:val="0"/>
        <w:autoSpaceDN w:val="0"/>
        <w:spacing w:line="360" w:lineRule="auto"/>
        <w:ind w:firstLineChars="200" w:firstLine="480"/>
        <w:textAlignment w:val="bottom"/>
        <w:rPr>
          <w:bCs/>
          <w:sz w:val="24"/>
        </w:rPr>
      </w:pPr>
      <w:r>
        <w:rPr>
          <w:bCs/>
          <w:sz w:val="24"/>
        </w:rPr>
        <w:t>7</w:t>
      </w:r>
      <w:r>
        <w:rPr>
          <w:bCs/>
          <w:sz w:val="24"/>
        </w:rPr>
        <w:t>、基金托管人每月与基金管理人就基金的会计核算、报表编制等进行核对并以书面方式确认。</w:t>
      </w:r>
    </w:p>
    <w:p w14:paraId="068909A1" w14:textId="77777777" w:rsidR="003568C2" w:rsidRDefault="00695B03">
      <w:pPr>
        <w:autoSpaceDE w:val="0"/>
        <w:autoSpaceDN w:val="0"/>
        <w:spacing w:line="360" w:lineRule="auto"/>
        <w:ind w:firstLineChars="200" w:firstLine="480"/>
        <w:textAlignment w:val="bottom"/>
        <w:rPr>
          <w:bCs/>
          <w:sz w:val="24"/>
        </w:rPr>
      </w:pPr>
      <w:r>
        <w:rPr>
          <w:bCs/>
          <w:sz w:val="24"/>
        </w:rPr>
        <w:t>二、基金的年度审计</w:t>
      </w:r>
    </w:p>
    <w:p w14:paraId="5243252D" w14:textId="77777777" w:rsidR="003568C2" w:rsidRDefault="00695B03">
      <w:pPr>
        <w:autoSpaceDE w:val="0"/>
        <w:autoSpaceDN w:val="0"/>
        <w:spacing w:line="360" w:lineRule="auto"/>
        <w:ind w:firstLineChars="200" w:firstLine="480"/>
        <w:textAlignment w:val="bottom"/>
        <w:rPr>
          <w:bCs/>
          <w:sz w:val="24"/>
        </w:rPr>
      </w:pPr>
      <w:r>
        <w:rPr>
          <w:bCs/>
          <w:sz w:val="24"/>
        </w:rPr>
        <w:t>1</w:t>
      </w:r>
      <w:r>
        <w:rPr>
          <w:bCs/>
          <w:sz w:val="24"/>
        </w:rPr>
        <w:t>、基金管理人聘请与基金管理人、基金托管人相互独立的</w:t>
      </w:r>
      <w:r>
        <w:rPr>
          <w:rFonts w:hint="eastAsia"/>
          <w:bCs/>
          <w:sz w:val="24"/>
        </w:rPr>
        <w:t>具有证券、期货相关业务资格的</w:t>
      </w:r>
      <w:r>
        <w:rPr>
          <w:bCs/>
          <w:sz w:val="24"/>
        </w:rPr>
        <w:t>会计师事务所及其注册会计师对本基金的年度财务报表进行审计。</w:t>
      </w:r>
    </w:p>
    <w:p w14:paraId="74F61852" w14:textId="77777777" w:rsidR="003568C2" w:rsidRDefault="00695B03">
      <w:pPr>
        <w:autoSpaceDE w:val="0"/>
        <w:autoSpaceDN w:val="0"/>
        <w:spacing w:line="360" w:lineRule="auto"/>
        <w:ind w:firstLineChars="200" w:firstLine="480"/>
        <w:textAlignment w:val="bottom"/>
        <w:rPr>
          <w:bCs/>
          <w:sz w:val="24"/>
        </w:rPr>
      </w:pPr>
      <w:r>
        <w:rPr>
          <w:bCs/>
          <w:sz w:val="24"/>
        </w:rPr>
        <w:t>2</w:t>
      </w:r>
      <w:r>
        <w:rPr>
          <w:bCs/>
          <w:sz w:val="24"/>
        </w:rPr>
        <w:t>、会计师事务所更换经办注册会计师，应事先征得基金管理人同意。</w:t>
      </w:r>
    </w:p>
    <w:p w14:paraId="200FEDFD" w14:textId="77777777" w:rsidR="003568C2" w:rsidRDefault="00695B03">
      <w:pPr>
        <w:autoSpaceDE w:val="0"/>
        <w:autoSpaceDN w:val="0"/>
        <w:spacing w:line="360" w:lineRule="auto"/>
        <w:ind w:firstLineChars="200" w:firstLine="480"/>
        <w:textAlignment w:val="bottom"/>
        <w:rPr>
          <w:bCs/>
        </w:rPr>
      </w:pPr>
      <w:r>
        <w:rPr>
          <w:bCs/>
          <w:sz w:val="24"/>
        </w:rPr>
        <w:t>3</w:t>
      </w:r>
      <w:r>
        <w:rPr>
          <w:bCs/>
          <w:sz w:val="24"/>
        </w:rPr>
        <w:t>、</w:t>
      </w:r>
      <w:bookmarkStart w:id="287" w:name="_Hlt4221115"/>
      <w:bookmarkEnd w:id="287"/>
      <w:r>
        <w:rPr>
          <w:bCs/>
          <w:sz w:val="24"/>
        </w:rPr>
        <w:t>基金管理人认为有充足理由更换会计师事务所，须通报基金托管人。更换会计师事务所需在</w:t>
      </w:r>
      <w:r>
        <w:rPr>
          <w:rFonts w:hint="eastAsia"/>
          <w:bCs/>
          <w:sz w:val="24"/>
        </w:rPr>
        <w:t>2</w:t>
      </w:r>
      <w:r>
        <w:rPr>
          <w:rFonts w:hint="eastAsia"/>
          <w:bCs/>
          <w:sz w:val="24"/>
        </w:rPr>
        <w:t>个工作</w:t>
      </w:r>
      <w:r>
        <w:rPr>
          <w:bCs/>
          <w:sz w:val="24"/>
        </w:rPr>
        <w:t>日内在</w:t>
      </w:r>
      <w:r>
        <w:rPr>
          <w:rFonts w:hint="eastAsia"/>
          <w:bCs/>
          <w:sz w:val="24"/>
        </w:rPr>
        <w:t>指定媒介</w:t>
      </w:r>
      <w:r>
        <w:rPr>
          <w:bCs/>
          <w:sz w:val="24"/>
        </w:rPr>
        <w:t>公告。</w:t>
      </w:r>
      <w:bookmarkStart w:id="288" w:name="_Toc79978642"/>
      <w:bookmarkStart w:id="289" w:name="_Toc214873604"/>
      <w:bookmarkStart w:id="290" w:name="_Toc263092323"/>
      <w:bookmarkStart w:id="291" w:name="_Toc416264551"/>
      <w:bookmarkStart w:id="292" w:name="_Toc128310499"/>
      <w:bookmarkStart w:id="293" w:name="_Toc21829"/>
      <w:bookmarkStart w:id="294" w:name="_Toc141703896"/>
      <w:bookmarkStart w:id="295" w:name="_Toc92662707"/>
      <w:bookmarkStart w:id="296" w:name="_Toc15351"/>
      <w:bookmarkStart w:id="297" w:name="_Toc1617"/>
      <w:bookmarkStart w:id="298" w:name="_Toc15525"/>
      <w:bookmarkStart w:id="299" w:name="_Toc22552"/>
      <w:bookmarkStart w:id="300" w:name="_Toc3656"/>
      <w:bookmarkStart w:id="301" w:name="_Toc12761"/>
      <w:bookmarkStart w:id="302" w:name="_Toc25883"/>
      <w:bookmarkStart w:id="303" w:name="_Toc20052"/>
      <w:bookmarkStart w:id="304" w:name="_Toc352229762"/>
      <w:bookmarkStart w:id="305" w:name="_Toc139991746"/>
      <w:bookmarkStart w:id="306" w:name="_Toc178"/>
      <w:bookmarkStart w:id="307" w:name="_Toc93226149"/>
      <w:bookmarkStart w:id="308" w:name="_Toc19558"/>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r>
        <w:rPr>
          <w:bCs/>
        </w:rPr>
        <w:br w:type="page"/>
      </w:r>
    </w:p>
    <w:p w14:paraId="1E29C17A" w14:textId="77777777" w:rsidR="003568C2" w:rsidRDefault="00695B03">
      <w:pPr>
        <w:pStyle w:val="1"/>
        <w:jc w:val="center"/>
        <w:rPr>
          <w:sz w:val="30"/>
          <w:szCs w:val="30"/>
        </w:rPr>
      </w:pPr>
      <w:bookmarkStart w:id="309" w:name="_Toc15892928"/>
      <w:r>
        <w:rPr>
          <w:rFonts w:hint="eastAsia"/>
          <w:sz w:val="30"/>
          <w:szCs w:val="30"/>
        </w:rPr>
        <w:lastRenderedPageBreak/>
        <w:t>第十五部分</w:t>
      </w:r>
      <w:r>
        <w:rPr>
          <w:sz w:val="30"/>
          <w:szCs w:val="30"/>
        </w:rPr>
        <w:t xml:space="preserve">  </w:t>
      </w:r>
      <w:r>
        <w:rPr>
          <w:rFonts w:hint="eastAsia"/>
          <w:sz w:val="30"/>
          <w:szCs w:val="30"/>
        </w:rPr>
        <w:t>基金的信息披露</w:t>
      </w:r>
      <w:bookmarkEnd w:id="288"/>
      <w:bookmarkEnd w:id="289"/>
      <w:bookmarkEnd w:id="290"/>
      <w:bookmarkEnd w:id="291"/>
      <w:bookmarkEnd w:id="309"/>
    </w:p>
    <w:p w14:paraId="42F0327F" w14:textId="77777777" w:rsidR="003568C2" w:rsidRDefault="00695B03">
      <w:pPr>
        <w:autoSpaceDE w:val="0"/>
        <w:autoSpaceDN w:val="0"/>
        <w:spacing w:line="360" w:lineRule="auto"/>
        <w:ind w:firstLineChars="200" w:firstLine="480"/>
        <w:textAlignment w:val="bottom"/>
        <w:rPr>
          <w:bCs/>
          <w:sz w:val="24"/>
        </w:rPr>
      </w:pPr>
      <w:r>
        <w:rPr>
          <w:bCs/>
          <w:sz w:val="24"/>
        </w:rPr>
        <w:t>一、本基金的信息披露应符合《基金法》、《运作办法》、《信息披露办法》、《基金合同》及其他有关规定。</w:t>
      </w:r>
    </w:p>
    <w:p w14:paraId="13CE0F6D" w14:textId="77777777" w:rsidR="003568C2" w:rsidRDefault="00695B03">
      <w:pPr>
        <w:autoSpaceDE w:val="0"/>
        <w:autoSpaceDN w:val="0"/>
        <w:spacing w:line="360" w:lineRule="auto"/>
        <w:ind w:firstLineChars="200" w:firstLine="480"/>
        <w:textAlignment w:val="bottom"/>
        <w:rPr>
          <w:bCs/>
          <w:sz w:val="24"/>
        </w:rPr>
      </w:pPr>
      <w:r>
        <w:rPr>
          <w:bCs/>
          <w:sz w:val="24"/>
        </w:rPr>
        <w:t>二、信息披露义务人</w:t>
      </w:r>
    </w:p>
    <w:p w14:paraId="6332818B" w14:textId="77777777" w:rsidR="003568C2" w:rsidRDefault="00695B03">
      <w:pPr>
        <w:autoSpaceDE w:val="0"/>
        <w:autoSpaceDN w:val="0"/>
        <w:spacing w:line="360" w:lineRule="auto"/>
        <w:ind w:firstLineChars="200" w:firstLine="480"/>
        <w:textAlignment w:val="bottom"/>
        <w:rPr>
          <w:bCs/>
          <w:sz w:val="24"/>
        </w:rPr>
      </w:pPr>
      <w:r>
        <w:rPr>
          <w:bCs/>
          <w:sz w:val="24"/>
        </w:rPr>
        <w:t>本基金信息披露义务人包括基金管理人、基金托管人、召集基金份额持有人大会的基金份额持有人等法律法规和中国证监会规定的自然人、法人和</w:t>
      </w:r>
      <w:r>
        <w:rPr>
          <w:rFonts w:hint="eastAsia"/>
          <w:bCs/>
          <w:sz w:val="24"/>
        </w:rPr>
        <w:t>非法人</w:t>
      </w:r>
      <w:r>
        <w:rPr>
          <w:bCs/>
          <w:sz w:val="24"/>
        </w:rPr>
        <w:t>组织。</w:t>
      </w:r>
    </w:p>
    <w:p w14:paraId="23A08D23" w14:textId="77777777" w:rsidR="003568C2" w:rsidRDefault="00695B03">
      <w:pPr>
        <w:autoSpaceDE w:val="0"/>
        <w:autoSpaceDN w:val="0"/>
        <w:spacing w:line="360" w:lineRule="auto"/>
        <w:ind w:firstLineChars="200" w:firstLine="480"/>
        <w:textAlignment w:val="bottom"/>
        <w:rPr>
          <w:bCs/>
          <w:sz w:val="24"/>
        </w:rPr>
      </w:pPr>
      <w:r>
        <w:rPr>
          <w:bCs/>
          <w:sz w:val="24"/>
        </w:rPr>
        <w:t>本基金信息披露义务人</w:t>
      </w:r>
      <w:r>
        <w:rPr>
          <w:rFonts w:hint="eastAsia"/>
          <w:bCs/>
          <w:sz w:val="24"/>
        </w:rPr>
        <w:t>以保护基金份额持有人利益为根本出发点，</w:t>
      </w:r>
      <w:r>
        <w:rPr>
          <w:bCs/>
          <w:sz w:val="24"/>
        </w:rPr>
        <w:t>按照法律法规和中国证监会的规定披露基金信息，并保证所披露信息的真实性、准确性</w:t>
      </w:r>
      <w:r>
        <w:rPr>
          <w:rFonts w:hint="eastAsia"/>
          <w:bCs/>
          <w:sz w:val="24"/>
        </w:rPr>
        <w:t>、</w:t>
      </w:r>
      <w:r>
        <w:rPr>
          <w:bCs/>
          <w:sz w:val="24"/>
        </w:rPr>
        <w:t>完整性</w:t>
      </w:r>
      <w:r>
        <w:rPr>
          <w:rFonts w:hint="eastAsia"/>
          <w:bCs/>
          <w:sz w:val="24"/>
        </w:rPr>
        <w:t>、及时性、简明性和易得性</w:t>
      </w:r>
      <w:r>
        <w:rPr>
          <w:bCs/>
          <w:sz w:val="24"/>
        </w:rPr>
        <w:t>。</w:t>
      </w:r>
    </w:p>
    <w:p w14:paraId="615330CF" w14:textId="77777777" w:rsidR="003568C2" w:rsidRDefault="00695B03">
      <w:pPr>
        <w:autoSpaceDE w:val="0"/>
        <w:autoSpaceDN w:val="0"/>
        <w:spacing w:line="360" w:lineRule="auto"/>
        <w:ind w:firstLineChars="200" w:firstLine="480"/>
        <w:textAlignment w:val="bottom"/>
        <w:rPr>
          <w:bCs/>
          <w:sz w:val="24"/>
        </w:rPr>
      </w:pPr>
      <w:r>
        <w:rPr>
          <w:bCs/>
          <w:sz w:val="24"/>
        </w:rPr>
        <w:t>本基金信息披露义务人应当在中国证监会规定时间内，将应予披露的基金信息通过中国证监会指定的</w:t>
      </w:r>
      <w:r>
        <w:rPr>
          <w:rFonts w:hint="eastAsia"/>
          <w:bCs/>
          <w:sz w:val="24"/>
        </w:rPr>
        <w:t>媒介</w:t>
      </w:r>
      <w:r>
        <w:rPr>
          <w:bCs/>
          <w:sz w:val="24"/>
        </w:rPr>
        <w:t>和基金管理人、基金托管人的互联网网站（以下简称</w:t>
      </w:r>
      <w:r>
        <w:rPr>
          <w:rFonts w:hint="eastAsia"/>
          <w:bCs/>
          <w:sz w:val="24"/>
        </w:rPr>
        <w:t>“</w:t>
      </w:r>
      <w:r>
        <w:rPr>
          <w:bCs/>
          <w:sz w:val="24"/>
        </w:rPr>
        <w:t>网站</w:t>
      </w:r>
      <w:r>
        <w:rPr>
          <w:rFonts w:hint="eastAsia"/>
          <w:bCs/>
          <w:sz w:val="24"/>
        </w:rPr>
        <w:t>”</w:t>
      </w:r>
      <w:r>
        <w:rPr>
          <w:bCs/>
          <w:sz w:val="24"/>
        </w:rPr>
        <w:t>）等媒介披露，并保证基金投资者能够按照《基金合同》约定的时间和方式查阅或者复制公开披露的信息资料。</w:t>
      </w:r>
    </w:p>
    <w:p w14:paraId="4F845EC6" w14:textId="77777777" w:rsidR="003568C2" w:rsidRDefault="00695B03">
      <w:pPr>
        <w:autoSpaceDE w:val="0"/>
        <w:autoSpaceDN w:val="0"/>
        <w:spacing w:line="360" w:lineRule="auto"/>
        <w:ind w:firstLineChars="200" w:firstLine="480"/>
        <w:textAlignment w:val="bottom"/>
        <w:rPr>
          <w:bCs/>
          <w:sz w:val="24"/>
        </w:rPr>
      </w:pPr>
      <w:r>
        <w:rPr>
          <w:bCs/>
          <w:sz w:val="24"/>
        </w:rPr>
        <w:t>三、本基金信息披露义务人承诺公开披露的基金信息，不得有下列行为：</w:t>
      </w:r>
    </w:p>
    <w:p w14:paraId="2434A926" w14:textId="77777777" w:rsidR="003568C2" w:rsidRDefault="00695B03">
      <w:pPr>
        <w:autoSpaceDE w:val="0"/>
        <w:autoSpaceDN w:val="0"/>
        <w:spacing w:line="360" w:lineRule="auto"/>
        <w:ind w:firstLineChars="200" w:firstLine="480"/>
        <w:textAlignment w:val="bottom"/>
        <w:rPr>
          <w:bCs/>
          <w:sz w:val="24"/>
        </w:rPr>
      </w:pPr>
      <w:r>
        <w:rPr>
          <w:bCs/>
          <w:sz w:val="24"/>
        </w:rPr>
        <w:t>1</w:t>
      </w:r>
      <w:r>
        <w:rPr>
          <w:bCs/>
          <w:sz w:val="24"/>
        </w:rPr>
        <w:t>、虚假记载、误导性陈述或者重大遗漏；</w:t>
      </w:r>
    </w:p>
    <w:p w14:paraId="1349DAC5" w14:textId="77777777" w:rsidR="003568C2" w:rsidRDefault="00695B03">
      <w:pPr>
        <w:autoSpaceDE w:val="0"/>
        <w:autoSpaceDN w:val="0"/>
        <w:spacing w:line="360" w:lineRule="auto"/>
        <w:ind w:firstLineChars="200" w:firstLine="480"/>
        <w:textAlignment w:val="bottom"/>
        <w:rPr>
          <w:bCs/>
          <w:sz w:val="24"/>
        </w:rPr>
      </w:pPr>
      <w:r>
        <w:rPr>
          <w:bCs/>
          <w:sz w:val="24"/>
        </w:rPr>
        <w:t>2</w:t>
      </w:r>
      <w:r>
        <w:rPr>
          <w:bCs/>
          <w:sz w:val="24"/>
        </w:rPr>
        <w:t>、对证券投资业绩进行预测；</w:t>
      </w:r>
    </w:p>
    <w:p w14:paraId="135A6161" w14:textId="77777777" w:rsidR="003568C2" w:rsidRDefault="00695B03">
      <w:pPr>
        <w:autoSpaceDE w:val="0"/>
        <w:autoSpaceDN w:val="0"/>
        <w:spacing w:line="360" w:lineRule="auto"/>
        <w:ind w:firstLineChars="200" w:firstLine="480"/>
        <w:textAlignment w:val="bottom"/>
        <w:rPr>
          <w:bCs/>
          <w:sz w:val="24"/>
        </w:rPr>
      </w:pPr>
      <w:r>
        <w:rPr>
          <w:bCs/>
          <w:sz w:val="24"/>
        </w:rPr>
        <w:t>3</w:t>
      </w:r>
      <w:r>
        <w:rPr>
          <w:bCs/>
          <w:sz w:val="24"/>
        </w:rPr>
        <w:t>、违规承诺收益或者承担损失；</w:t>
      </w:r>
    </w:p>
    <w:p w14:paraId="0D56875B" w14:textId="77777777" w:rsidR="003568C2" w:rsidRDefault="00695B03">
      <w:pPr>
        <w:autoSpaceDE w:val="0"/>
        <w:autoSpaceDN w:val="0"/>
        <w:spacing w:line="360" w:lineRule="auto"/>
        <w:ind w:firstLineChars="200" w:firstLine="480"/>
        <w:textAlignment w:val="bottom"/>
        <w:rPr>
          <w:bCs/>
          <w:sz w:val="24"/>
        </w:rPr>
      </w:pPr>
      <w:r>
        <w:rPr>
          <w:bCs/>
          <w:sz w:val="24"/>
        </w:rPr>
        <w:t>4</w:t>
      </w:r>
      <w:r>
        <w:rPr>
          <w:bCs/>
          <w:sz w:val="24"/>
        </w:rPr>
        <w:t>、诋毁其他基金管理人、基金托管人或者基金销售机构；</w:t>
      </w:r>
    </w:p>
    <w:p w14:paraId="4B935B9D" w14:textId="77777777" w:rsidR="003568C2" w:rsidRDefault="00695B03">
      <w:pPr>
        <w:autoSpaceDE w:val="0"/>
        <w:autoSpaceDN w:val="0"/>
        <w:spacing w:line="360" w:lineRule="auto"/>
        <w:ind w:firstLineChars="200" w:firstLine="480"/>
        <w:textAlignment w:val="bottom"/>
        <w:rPr>
          <w:bCs/>
          <w:sz w:val="24"/>
        </w:rPr>
      </w:pPr>
      <w:r>
        <w:rPr>
          <w:bCs/>
          <w:sz w:val="24"/>
        </w:rPr>
        <w:t>5</w:t>
      </w:r>
      <w:r>
        <w:rPr>
          <w:bCs/>
          <w:sz w:val="24"/>
        </w:rPr>
        <w:t>、登载任何自然人、法人或者</w:t>
      </w:r>
      <w:r>
        <w:rPr>
          <w:rFonts w:hint="eastAsia"/>
          <w:bCs/>
          <w:sz w:val="24"/>
        </w:rPr>
        <w:t>非法人</w:t>
      </w:r>
      <w:r>
        <w:rPr>
          <w:bCs/>
          <w:sz w:val="24"/>
        </w:rPr>
        <w:t>组织的祝贺性、恭维性或推荐性的文字；</w:t>
      </w:r>
    </w:p>
    <w:p w14:paraId="6F2E80A8" w14:textId="77777777" w:rsidR="003568C2" w:rsidRDefault="00695B03">
      <w:pPr>
        <w:autoSpaceDE w:val="0"/>
        <w:autoSpaceDN w:val="0"/>
        <w:spacing w:line="360" w:lineRule="auto"/>
        <w:ind w:firstLineChars="200" w:firstLine="480"/>
        <w:textAlignment w:val="bottom"/>
        <w:rPr>
          <w:bCs/>
          <w:sz w:val="24"/>
        </w:rPr>
      </w:pPr>
      <w:r>
        <w:rPr>
          <w:bCs/>
          <w:sz w:val="24"/>
        </w:rPr>
        <w:t>6</w:t>
      </w:r>
      <w:r>
        <w:rPr>
          <w:bCs/>
          <w:sz w:val="24"/>
        </w:rPr>
        <w:t>、中国证监会禁止的其他行为。</w:t>
      </w:r>
    </w:p>
    <w:p w14:paraId="660A9913" w14:textId="77777777" w:rsidR="003568C2" w:rsidRDefault="00695B03">
      <w:pPr>
        <w:autoSpaceDE w:val="0"/>
        <w:autoSpaceDN w:val="0"/>
        <w:spacing w:line="360" w:lineRule="auto"/>
        <w:ind w:firstLineChars="200" w:firstLine="480"/>
        <w:textAlignment w:val="bottom"/>
        <w:rPr>
          <w:bCs/>
          <w:sz w:val="24"/>
        </w:rPr>
      </w:pPr>
      <w:r>
        <w:rPr>
          <w:bCs/>
          <w:sz w:val="24"/>
        </w:rPr>
        <w:t>四、本基金公开披露的信息应采用中文文本。</w:t>
      </w:r>
      <w:r>
        <w:rPr>
          <w:rFonts w:hint="eastAsia"/>
          <w:bCs/>
          <w:sz w:val="24"/>
        </w:rPr>
        <w:t>如同时采用外文文本的，基金信息披露义务人应保证不同文本的内容一致。不同文本之间发生歧义的，以中文文本为准</w:t>
      </w:r>
      <w:r>
        <w:rPr>
          <w:bCs/>
          <w:sz w:val="24"/>
        </w:rPr>
        <w:t>。</w:t>
      </w:r>
    </w:p>
    <w:p w14:paraId="3F9F6B68" w14:textId="77777777" w:rsidR="003568C2" w:rsidRDefault="00695B03">
      <w:pPr>
        <w:autoSpaceDE w:val="0"/>
        <w:autoSpaceDN w:val="0"/>
        <w:spacing w:line="360" w:lineRule="auto"/>
        <w:ind w:firstLineChars="200" w:firstLine="480"/>
        <w:textAlignment w:val="bottom"/>
        <w:rPr>
          <w:bCs/>
          <w:sz w:val="24"/>
        </w:rPr>
      </w:pPr>
      <w:r>
        <w:rPr>
          <w:bCs/>
          <w:sz w:val="24"/>
        </w:rPr>
        <w:t>本基金公开披露的信息采用阿拉伯数字；除特别说明外，货币单位为人民币元。</w:t>
      </w:r>
    </w:p>
    <w:p w14:paraId="61E85822" w14:textId="77777777" w:rsidR="003568C2" w:rsidRDefault="00695B03">
      <w:pPr>
        <w:autoSpaceDE w:val="0"/>
        <w:autoSpaceDN w:val="0"/>
        <w:spacing w:line="360" w:lineRule="auto"/>
        <w:ind w:firstLineChars="200" w:firstLine="480"/>
        <w:textAlignment w:val="bottom"/>
        <w:rPr>
          <w:bCs/>
          <w:sz w:val="24"/>
        </w:rPr>
      </w:pPr>
      <w:r>
        <w:rPr>
          <w:bCs/>
          <w:sz w:val="24"/>
        </w:rPr>
        <w:t>五、公开披露的基金信息</w:t>
      </w:r>
    </w:p>
    <w:p w14:paraId="298A0B03" w14:textId="77777777" w:rsidR="003568C2" w:rsidRDefault="00695B03">
      <w:pPr>
        <w:autoSpaceDE w:val="0"/>
        <w:autoSpaceDN w:val="0"/>
        <w:spacing w:line="360" w:lineRule="auto"/>
        <w:ind w:firstLineChars="200" w:firstLine="480"/>
        <w:textAlignment w:val="bottom"/>
        <w:rPr>
          <w:bCs/>
          <w:sz w:val="24"/>
        </w:rPr>
      </w:pPr>
      <w:r>
        <w:rPr>
          <w:bCs/>
          <w:sz w:val="24"/>
        </w:rPr>
        <w:t>公开披露的基金信息包括：</w:t>
      </w:r>
    </w:p>
    <w:p w14:paraId="2FD532D4" w14:textId="77777777" w:rsidR="003568C2" w:rsidRDefault="00695B03">
      <w:pPr>
        <w:autoSpaceDE w:val="0"/>
        <w:autoSpaceDN w:val="0"/>
        <w:spacing w:line="360" w:lineRule="auto"/>
        <w:ind w:firstLineChars="200" w:firstLine="480"/>
        <w:textAlignment w:val="bottom"/>
        <w:rPr>
          <w:bCs/>
          <w:sz w:val="24"/>
        </w:rPr>
      </w:pPr>
      <w:r>
        <w:rPr>
          <w:bCs/>
          <w:sz w:val="24"/>
        </w:rPr>
        <w:lastRenderedPageBreak/>
        <w:t>（一）基金招募说明书、《基金合同》、基金托管协议</w:t>
      </w:r>
      <w:r>
        <w:rPr>
          <w:rFonts w:hint="eastAsia"/>
          <w:bCs/>
          <w:sz w:val="24"/>
        </w:rPr>
        <w:t>、基金产品资料概要</w:t>
      </w:r>
    </w:p>
    <w:p w14:paraId="210BC676" w14:textId="77777777" w:rsidR="003568C2" w:rsidRDefault="00695B03">
      <w:pPr>
        <w:autoSpaceDE w:val="0"/>
        <w:autoSpaceDN w:val="0"/>
        <w:spacing w:line="360" w:lineRule="auto"/>
        <w:ind w:firstLineChars="200" w:firstLine="480"/>
        <w:textAlignment w:val="bottom"/>
        <w:rPr>
          <w:bCs/>
          <w:sz w:val="24"/>
        </w:rPr>
      </w:pPr>
      <w:r>
        <w:rPr>
          <w:bCs/>
          <w:sz w:val="24"/>
        </w:rPr>
        <w:t>1</w:t>
      </w:r>
      <w:r>
        <w:rPr>
          <w:bCs/>
          <w:sz w:val="24"/>
        </w:rPr>
        <w:t>、《基金合同》是界定《基金合同》当事人的各项权利、义务关系，明确基金份额持有人大会召开的规则及具体程序，说明基金产品的特性等涉及基金投资者重大利益的事项的法律文件。</w:t>
      </w:r>
    </w:p>
    <w:p w14:paraId="5BC94F5E" w14:textId="77777777" w:rsidR="003568C2" w:rsidRDefault="00695B03">
      <w:pPr>
        <w:autoSpaceDE w:val="0"/>
        <w:autoSpaceDN w:val="0"/>
        <w:spacing w:line="360" w:lineRule="auto"/>
        <w:ind w:firstLineChars="200" w:firstLine="480"/>
        <w:textAlignment w:val="bottom"/>
        <w:rPr>
          <w:bCs/>
          <w:sz w:val="24"/>
        </w:rPr>
      </w:pPr>
      <w:r>
        <w:rPr>
          <w:bCs/>
          <w:sz w:val="24"/>
        </w:rPr>
        <w:t>2</w:t>
      </w:r>
      <w:r>
        <w:rPr>
          <w:bCs/>
          <w:sz w:val="24"/>
        </w:rPr>
        <w:t>、基金招募说明书应当最大限度地披露影响基金投资者决策的全部事项，说明基金申购和赎回安排、基金投资、基金产品特性、风险揭示、信息披露及基金份额持有人服务等内容。《基金合同》生效后，</w:t>
      </w:r>
      <w:r>
        <w:rPr>
          <w:rFonts w:hint="eastAsia"/>
          <w:bCs/>
          <w:sz w:val="24"/>
        </w:rPr>
        <w:t>基金招募说明书的信息发生重大变更的，基金管理人应当在三个工作日内，更新基金招募说明书并登载在指定网站上；基金招募说明书其他信息发生变更的，基金管理人至少每年更新一次。基金终止运作的，基金管理人不再更新基金招募说明书</w:t>
      </w:r>
      <w:r>
        <w:rPr>
          <w:bCs/>
          <w:sz w:val="24"/>
        </w:rPr>
        <w:t>。</w:t>
      </w:r>
    </w:p>
    <w:p w14:paraId="54F6B352" w14:textId="77777777" w:rsidR="003568C2" w:rsidRDefault="00695B03">
      <w:pPr>
        <w:autoSpaceDE w:val="0"/>
        <w:autoSpaceDN w:val="0"/>
        <w:spacing w:line="360" w:lineRule="auto"/>
        <w:ind w:firstLineChars="200" w:firstLine="480"/>
        <w:textAlignment w:val="bottom"/>
        <w:rPr>
          <w:bCs/>
          <w:sz w:val="24"/>
        </w:rPr>
      </w:pPr>
      <w:r>
        <w:rPr>
          <w:bCs/>
          <w:sz w:val="24"/>
        </w:rPr>
        <w:t>3</w:t>
      </w:r>
      <w:r>
        <w:rPr>
          <w:bCs/>
          <w:sz w:val="24"/>
        </w:rPr>
        <w:t>、基金托管协议是界定基金托管人和基金管理人在基金财产保管及基金运作监督等活动中的权利、义务关系的法律文件。</w:t>
      </w:r>
    </w:p>
    <w:p w14:paraId="174A3964" w14:textId="77777777" w:rsidR="003568C2" w:rsidRDefault="00695B03">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指定网站及基金销售机构网站或营业网点；基金产品资料概要其他信息发生变更的，基金管理人至少每年更新一次。基金终止运作的，基金管理人不再更新基金产品资料概要。</w:t>
      </w:r>
    </w:p>
    <w:p w14:paraId="15887AB0" w14:textId="77777777" w:rsidR="003568C2" w:rsidRDefault="00695B03">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基金募集申请经中国证监会注册后，基金管理人应当在基金份额发售的三日前，将基金份额发售公告、基金招募说明书提示性公告和基金合同提示性公告登载在指定报刊上，将基金份额发售公告、基金招募说明书、基金产品资料概要、《基金合同》和基金托管协议登载在指定网站上，并将基金产品资料概要登载在基金销售机构网站或营业网点；基金托管人应当同时将基金合同、基金托管协议登载在网站上。</w:t>
      </w:r>
    </w:p>
    <w:p w14:paraId="2FD75EBF" w14:textId="77777777" w:rsidR="003568C2" w:rsidRDefault="00695B03">
      <w:pPr>
        <w:autoSpaceDE w:val="0"/>
        <w:autoSpaceDN w:val="0"/>
        <w:spacing w:line="360" w:lineRule="auto"/>
        <w:ind w:firstLineChars="200" w:firstLine="480"/>
        <w:textAlignment w:val="bottom"/>
        <w:rPr>
          <w:bCs/>
          <w:sz w:val="24"/>
        </w:rPr>
      </w:pPr>
      <w:r>
        <w:rPr>
          <w:bCs/>
          <w:sz w:val="24"/>
        </w:rPr>
        <w:t>（</w:t>
      </w:r>
      <w:r>
        <w:rPr>
          <w:rFonts w:hint="eastAsia"/>
          <w:bCs/>
          <w:sz w:val="24"/>
        </w:rPr>
        <w:t>二</w:t>
      </w:r>
      <w:r>
        <w:rPr>
          <w:bCs/>
          <w:sz w:val="24"/>
        </w:rPr>
        <w:t>）</w:t>
      </w:r>
      <w:r>
        <w:rPr>
          <w:rFonts w:hint="eastAsia"/>
          <w:bCs/>
          <w:sz w:val="24"/>
        </w:rPr>
        <w:t>基金净值信息</w:t>
      </w:r>
    </w:p>
    <w:p w14:paraId="745A90B0" w14:textId="77777777" w:rsidR="003568C2" w:rsidRDefault="00695B03">
      <w:pPr>
        <w:autoSpaceDE w:val="0"/>
        <w:autoSpaceDN w:val="0"/>
        <w:spacing w:line="360" w:lineRule="auto"/>
        <w:ind w:firstLineChars="200" w:firstLine="480"/>
        <w:textAlignment w:val="bottom"/>
        <w:rPr>
          <w:bCs/>
          <w:sz w:val="24"/>
        </w:rPr>
      </w:pPr>
      <w:r>
        <w:rPr>
          <w:bCs/>
          <w:sz w:val="24"/>
        </w:rPr>
        <w:t>《基金合同》生效后，在开始办理基金份额申购或者赎回前，</w:t>
      </w:r>
      <w:r>
        <w:rPr>
          <w:rFonts w:hint="eastAsia"/>
          <w:bCs/>
          <w:sz w:val="24"/>
        </w:rPr>
        <w:t>基金管理人应当至少每周在指定网站披露一次基金份额净值和基金份额累计净值</w:t>
      </w:r>
      <w:r>
        <w:rPr>
          <w:bCs/>
          <w:sz w:val="24"/>
        </w:rPr>
        <w:t>。</w:t>
      </w:r>
    </w:p>
    <w:p w14:paraId="516D9ED5" w14:textId="77777777" w:rsidR="003568C2" w:rsidRDefault="00695B03">
      <w:pPr>
        <w:autoSpaceDE w:val="0"/>
        <w:autoSpaceDN w:val="0"/>
        <w:spacing w:line="360" w:lineRule="auto"/>
        <w:ind w:firstLineChars="200" w:firstLine="480"/>
        <w:textAlignment w:val="bottom"/>
        <w:rPr>
          <w:bCs/>
          <w:sz w:val="24"/>
        </w:rPr>
      </w:pPr>
      <w:r>
        <w:rPr>
          <w:bCs/>
          <w:sz w:val="24"/>
        </w:rPr>
        <w:t>在开始办理基金份额申购或者赎回后</w:t>
      </w:r>
      <w:r>
        <w:rPr>
          <w:rFonts w:hint="eastAsia"/>
          <w:bCs/>
          <w:sz w:val="24"/>
        </w:rPr>
        <w:t>基金管理人应当在不晚于每个开放日的次日，通过其指定网站、基金销售机构网站或营业网点披露开放日的基金份额</w:t>
      </w:r>
      <w:r>
        <w:rPr>
          <w:rFonts w:hint="eastAsia"/>
          <w:bCs/>
          <w:sz w:val="24"/>
        </w:rPr>
        <w:lastRenderedPageBreak/>
        <w:t>净值和基金份额累计净值。</w:t>
      </w:r>
    </w:p>
    <w:p w14:paraId="7573249F"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基金管理人应在不晚于半年度和年度最后一日的次日，在指定网站披露半年度和年度最后一日的基金份额净值和基金份额累计净值。</w:t>
      </w:r>
    </w:p>
    <w:p w14:paraId="5D50E065" w14:textId="77777777" w:rsidR="003568C2" w:rsidRDefault="00695B03">
      <w:pPr>
        <w:autoSpaceDE w:val="0"/>
        <w:autoSpaceDN w:val="0"/>
        <w:spacing w:line="360" w:lineRule="auto"/>
        <w:ind w:firstLineChars="200" w:firstLine="480"/>
        <w:textAlignment w:val="bottom"/>
        <w:rPr>
          <w:bCs/>
          <w:sz w:val="24"/>
        </w:rPr>
      </w:pPr>
      <w:r>
        <w:rPr>
          <w:bCs/>
          <w:sz w:val="24"/>
        </w:rPr>
        <w:t>（</w:t>
      </w:r>
      <w:r>
        <w:rPr>
          <w:rFonts w:hint="eastAsia"/>
          <w:bCs/>
          <w:sz w:val="24"/>
        </w:rPr>
        <w:t>三</w:t>
      </w:r>
      <w:r>
        <w:rPr>
          <w:bCs/>
          <w:sz w:val="24"/>
        </w:rPr>
        <w:t>）基金份额申购、赎回价格</w:t>
      </w:r>
    </w:p>
    <w:p w14:paraId="02BD6D9E" w14:textId="77777777" w:rsidR="003568C2" w:rsidRDefault="00695B03">
      <w:pPr>
        <w:autoSpaceDE w:val="0"/>
        <w:autoSpaceDN w:val="0"/>
        <w:spacing w:line="360" w:lineRule="auto"/>
        <w:ind w:firstLineChars="200" w:firstLine="480"/>
        <w:textAlignment w:val="bottom"/>
        <w:rPr>
          <w:bCs/>
          <w:sz w:val="24"/>
        </w:rPr>
      </w:pPr>
      <w:r>
        <w:rPr>
          <w:bCs/>
          <w:sz w:val="24"/>
        </w:rPr>
        <w:t>基金管理人应当在《基金合同》、招募说明书等信息披露文件上载明基金份额申购、赎回价格的计算方式及有关申购、赎回费率，</w:t>
      </w:r>
      <w:r>
        <w:rPr>
          <w:rFonts w:hint="eastAsia"/>
          <w:bCs/>
          <w:sz w:val="24"/>
        </w:rPr>
        <w:t>并保证投资者能够在基金销售机构网站或营业网点查阅或者复制前述信息库资料。</w:t>
      </w:r>
    </w:p>
    <w:p w14:paraId="38230198" w14:textId="77777777" w:rsidR="003568C2" w:rsidRDefault="00695B03">
      <w:pPr>
        <w:autoSpaceDE w:val="0"/>
        <w:autoSpaceDN w:val="0"/>
        <w:spacing w:line="360" w:lineRule="auto"/>
        <w:ind w:firstLineChars="200" w:firstLine="480"/>
        <w:textAlignment w:val="bottom"/>
        <w:rPr>
          <w:bCs/>
          <w:sz w:val="24"/>
        </w:rPr>
      </w:pPr>
      <w:r>
        <w:rPr>
          <w:bCs/>
          <w:sz w:val="24"/>
        </w:rPr>
        <w:t>（</w:t>
      </w:r>
      <w:r>
        <w:rPr>
          <w:rFonts w:hint="eastAsia"/>
          <w:bCs/>
          <w:sz w:val="24"/>
        </w:rPr>
        <w:t>四</w:t>
      </w:r>
      <w:r>
        <w:rPr>
          <w:bCs/>
          <w:sz w:val="24"/>
        </w:rPr>
        <w:t>）基金定期报告，包括基金年度报告、基金</w:t>
      </w:r>
      <w:r>
        <w:rPr>
          <w:rFonts w:hint="eastAsia"/>
          <w:bCs/>
          <w:sz w:val="24"/>
        </w:rPr>
        <w:t>中期</w:t>
      </w:r>
      <w:r>
        <w:rPr>
          <w:bCs/>
          <w:sz w:val="24"/>
        </w:rPr>
        <w:t>报告和基金季度报告</w:t>
      </w:r>
    </w:p>
    <w:p w14:paraId="3200EABB" w14:textId="77777777" w:rsidR="003568C2" w:rsidRDefault="00695B03">
      <w:pPr>
        <w:autoSpaceDE w:val="0"/>
        <w:autoSpaceDN w:val="0"/>
        <w:spacing w:line="360" w:lineRule="auto"/>
        <w:ind w:firstLineChars="200" w:firstLine="480"/>
        <w:textAlignment w:val="bottom"/>
        <w:rPr>
          <w:bCs/>
          <w:sz w:val="24"/>
        </w:rPr>
      </w:pPr>
      <w:r>
        <w:rPr>
          <w:bCs/>
          <w:sz w:val="24"/>
        </w:rPr>
        <w:t>基金管理人应当在每年结束之日起</w:t>
      </w:r>
      <w:r>
        <w:rPr>
          <w:rFonts w:hint="eastAsia"/>
          <w:bCs/>
          <w:sz w:val="24"/>
        </w:rPr>
        <w:t>三个月</w:t>
      </w:r>
      <w:r>
        <w:rPr>
          <w:bCs/>
          <w:sz w:val="24"/>
        </w:rPr>
        <w:t>内，编制完成基金年度报告，</w:t>
      </w:r>
      <w:r>
        <w:rPr>
          <w:rFonts w:hint="eastAsia"/>
          <w:bCs/>
          <w:sz w:val="24"/>
        </w:rPr>
        <w:t>将年度报告登载在指定网站上，将年度报告提示性公告登载在指定报刊上。基金年度报告中的财务会计报告应当经过具有证券、期货相关业务资格的会计师事务所审计。</w:t>
      </w:r>
    </w:p>
    <w:p w14:paraId="6839CF7D"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基金管理人应当在上半年结束之日起两个月内，编制完成基金中期报告，将中期报告登载在指定网站上，并将中期报告提示性公告登载在指定报刊上。</w:t>
      </w:r>
    </w:p>
    <w:p w14:paraId="0CD9DA29"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基金管理人应当在每个季度结束之日起</w:t>
      </w:r>
      <w:r>
        <w:rPr>
          <w:rFonts w:hint="eastAsia"/>
          <w:bCs/>
          <w:sz w:val="24"/>
        </w:rPr>
        <w:t>15</w:t>
      </w:r>
      <w:r>
        <w:rPr>
          <w:rFonts w:hint="eastAsia"/>
          <w:bCs/>
          <w:sz w:val="24"/>
        </w:rPr>
        <w:t>个工作日内，编制完成基金季度报告，将季度报告登载在指定网站上，并将季度报告提示性公告登载在指定报刊上。</w:t>
      </w:r>
    </w:p>
    <w:p w14:paraId="1C931204" w14:textId="77777777" w:rsidR="003568C2" w:rsidRDefault="00695B03">
      <w:pPr>
        <w:autoSpaceDE w:val="0"/>
        <w:autoSpaceDN w:val="0"/>
        <w:spacing w:line="360" w:lineRule="auto"/>
        <w:ind w:firstLineChars="200" w:firstLine="480"/>
        <w:textAlignment w:val="bottom"/>
        <w:rPr>
          <w:bCs/>
          <w:sz w:val="24"/>
        </w:rPr>
      </w:pPr>
      <w:r>
        <w:rPr>
          <w:bCs/>
          <w:sz w:val="24"/>
        </w:rPr>
        <w:t>《基金合同》生效不足</w:t>
      </w:r>
      <w:r>
        <w:rPr>
          <w:bCs/>
          <w:sz w:val="24"/>
        </w:rPr>
        <w:t>2</w:t>
      </w:r>
      <w:r>
        <w:rPr>
          <w:bCs/>
          <w:sz w:val="24"/>
        </w:rPr>
        <w:t>个月的，</w:t>
      </w:r>
      <w:r>
        <w:rPr>
          <w:rFonts w:hint="eastAsia"/>
          <w:bCs/>
          <w:sz w:val="24"/>
        </w:rPr>
        <w:t>基金管理人可以不编制当期季度报告、中期报告或者年度报告。</w:t>
      </w:r>
    </w:p>
    <w:p w14:paraId="5126E2FE" w14:textId="77777777" w:rsidR="003568C2" w:rsidRDefault="003568C2">
      <w:pPr>
        <w:autoSpaceDE w:val="0"/>
        <w:autoSpaceDN w:val="0"/>
        <w:spacing w:line="360" w:lineRule="auto"/>
        <w:ind w:firstLineChars="200" w:firstLine="480"/>
        <w:textAlignment w:val="bottom"/>
        <w:rPr>
          <w:bCs/>
          <w:sz w:val="24"/>
        </w:rPr>
      </w:pPr>
    </w:p>
    <w:p w14:paraId="5BDF054F"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如报告期内出现单一投资者持有基金份额达到或超过基金总份额</w:t>
      </w:r>
      <w:r>
        <w:rPr>
          <w:rFonts w:hint="eastAsia"/>
          <w:bCs/>
          <w:sz w:val="24"/>
        </w:rPr>
        <w:t>20%</w:t>
      </w:r>
      <w:r>
        <w:rPr>
          <w:rFonts w:hint="eastAsia"/>
          <w:bCs/>
          <w:sz w:val="24"/>
        </w:rPr>
        <w:t>的情形，为保障其他投资者利益，基金管理人至少应当在定期报告“影响投资者决策的其他重要信息”项下披露该投资者的类别、报告期末持有份额及占比、报告期内持有份额变化情况及本基金的特有风险。</w:t>
      </w:r>
    </w:p>
    <w:p w14:paraId="15DB9C24" w14:textId="77777777" w:rsidR="003568C2" w:rsidRDefault="00695B03">
      <w:pPr>
        <w:autoSpaceDE w:val="0"/>
        <w:autoSpaceDN w:val="0"/>
        <w:spacing w:line="360" w:lineRule="auto"/>
        <w:ind w:firstLineChars="200" w:firstLine="480"/>
        <w:textAlignment w:val="bottom"/>
        <w:rPr>
          <w:bCs/>
          <w:sz w:val="24"/>
        </w:rPr>
      </w:pPr>
      <w:r>
        <w:rPr>
          <w:rFonts w:hint="eastAsia"/>
          <w:bCs/>
          <w:sz w:val="24"/>
        </w:rPr>
        <w:t>本基金持续运作过程中，应当在基金年度报告和中期报告中披露基金组合资产情况及其流动性风险分析等。</w:t>
      </w:r>
    </w:p>
    <w:p w14:paraId="2501CEE5" w14:textId="77777777" w:rsidR="003568C2" w:rsidRDefault="00695B03">
      <w:pPr>
        <w:autoSpaceDE w:val="0"/>
        <w:autoSpaceDN w:val="0"/>
        <w:spacing w:line="360" w:lineRule="auto"/>
        <w:ind w:firstLineChars="200" w:firstLine="480"/>
        <w:textAlignment w:val="bottom"/>
        <w:rPr>
          <w:bCs/>
          <w:sz w:val="24"/>
        </w:rPr>
      </w:pPr>
      <w:r>
        <w:rPr>
          <w:bCs/>
          <w:sz w:val="24"/>
        </w:rPr>
        <w:t>（</w:t>
      </w:r>
      <w:r>
        <w:rPr>
          <w:rFonts w:hint="eastAsia"/>
          <w:bCs/>
          <w:sz w:val="24"/>
        </w:rPr>
        <w:t>五</w:t>
      </w:r>
      <w:r>
        <w:rPr>
          <w:bCs/>
          <w:sz w:val="24"/>
        </w:rPr>
        <w:t>）临时报告</w:t>
      </w:r>
    </w:p>
    <w:p w14:paraId="516AFB69" w14:textId="77777777" w:rsidR="003568C2" w:rsidRDefault="00695B03">
      <w:pPr>
        <w:autoSpaceDE w:val="0"/>
        <w:autoSpaceDN w:val="0"/>
        <w:spacing w:line="360" w:lineRule="auto"/>
        <w:ind w:firstLineChars="200" w:firstLine="480"/>
        <w:textAlignment w:val="bottom"/>
        <w:rPr>
          <w:bCs/>
          <w:sz w:val="24"/>
        </w:rPr>
      </w:pPr>
      <w:r>
        <w:rPr>
          <w:rFonts w:hint="eastAsia"/>
          <w:bCs/>
          <w:sz w:val="24"/>
        </w:rPr>
        <w:t>本基金发生重大事件，有关信息披露义务人应在</w:t>
      </w:r>
      <w:r>
        <w:rPr>
          <w:rFonts w:hint="eastAsia"/>
          <w:bCs/>
          <w:sz w:val="24"/>
        </w:rPr>
        <w:t>2</w:t>
      </w:r>
      <w:r>
        <w:rPr>
          <w:rFonts w:hint="eastAsia"/>
          <w:bCs/>
          <w:sz w:val="24"/>
        </w:rPr>
        <w:t>日内编制临时报告书，并登载在指定报刊和指定网站上。</w:t>
      </w:r>
    </w:p>
    <w:p w14:paraId="103BCB48" w14:textId="77777777" w:rsidR="003568C2" w:rsidRDefault="00695B03">
      <w:pPr>
        <w:autoSpaceDE w:val="0"/>
        <w:autoSpaceDN w:val="0"/>
        <w:spacing w:line="360" w:lineRule="auto"/>
        <w:ind w:firstLineChars="200" w:firstLine="480"/>
        <w:textAlignment w:val="bottom"/>
        <w:rPr>
          <w:bCs/>
          <w:sz w:val="24"/>
        </w:rPr>
      </w:pPr>
      <w:r>
        <w:rPr>
          <w:bCs/>
          <w:sz w:val="24"/>
        </w:rPr>
        <w:t>前款所称重大事件，是指可能对基金份额持有人权益或者基金份额的价格产</w:t>
      </w:r>
      <w:r>
        <w:rPr>
          <w:bCs/>
          <w:sz w:val="24"/>
        </w:rPr>
        <w:lastRenderedPageBreak/>
        <w:t>生重大影响的下列事件：</w:t>
      </w:r>
    </w:p>
    <w:p w14:paraId="60F23E5B" w14:textId="77777777" w:rsidR="003568C2" w:rsidRDefault="00695B03">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、基金份额持有人大会的召开及决定的事项；</w:t>
      </w:r>
    </w:p>
    <w:p w14:paraId="484F018C" w14:textId="77777777" w:rsidR="003568C2" w:rsidRDefault="00695B03">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、基金终止上市交易、基金合同终止、基金清算；</w:t>
      </w:r>
    </w:p>
    <w:p w14:paraId="19FB458F" w14:textId="77777777" w:rsidR="003568C2" w:rsidRDefault="00695B03">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、转换基金运作方式、基金合并；</w:t>
      </w:r>
    </w:p>
    <w:p w14:paraId="57A82F6D" w14:textId="77777777" w:rsidR="003568C2" w:rsidRDefault="00695B03">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、更换基金管理人、基金托管人、基金份额登记机构，基金改聘会计师事务所；</w:t>
      </w:r>
    </w:p>
    <w:p w14:paraId="6A305671" w14:textId="77777777" w:rsidR="003568C2" w:rsidRDefault="00695B03">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、基金管理人委托基金服务机构代为办理基金的份额登记、核算、估值等事项，基金托管人委托基金服务机构代为办理基金的核算、估值、复核等事项；</w:t>
      </w:r>
    </w:p>
    <w:p w14:paraId="5B7111D4" w14:textId="77777777" w:rsidR="003568C2" w:rsidRDefault="00695B03">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、基金管理人、基金托管人的法定名称、住所发生变更；</w:t>
      </w:r>
    </w:p>
    <w:p w14:paraId="1BC5D79F" w14:textId="77777777" w:rsidR="003568C2" w:rsidRDefault="00695B03">
      <w:pPr>
        <w:autoSpaceDE w:val="0"/>
        <w:autoSpaceDN w:val="0"/>
        <w:spacing w:line="360" w:lineRule="auto"/>
        <w:ind w:firstLineChars="200" w:firstLine="480"/>
        <w:textAlignment w:val="bottom"/>
        <w:rPr>
          <w:bCs/>
          <w:sz w:val="24"/>
        </w:rPr>
      </w:pPr>
      <w:r>
        <w:rPr>
          <w:rFonts w:hint="eastAsia"/>
          <w:bCs/>
          <w:sz w:val="24"/>
        </w:rPr>
        <w:t>7</w:t>
      </w:r>
      <w:r>
        <w:rPr>
          <w:rFonts w:hint="eastAsia"/>
          <w:bCs/>
          <w:sz w:val="24"/>
        </w:rPr>
        <w:t>、基金管理人变更持有百分之五以上股权的股东、基金管理人的实际控制人变更；</w:t>
      </w:r>
    </w:p>
    <w:p w14:paraId="0FEDADEE" w14:textId="77777777" w:rsidR="003568C2" w:rsidRDefault="00695B03">
      <w:pPr>
        <w:autoSpaceDE w:val="0"/>
        <w:autoSpaceDN w:val="0"/>
        <w:spacing w:line="360" w:lineRule="auto"/>
        <w:ind w:firstLineChars="200" w:firstLine="480"/>
        <w:textAlignment w:val="bottom"/>
        <w:rPr>
          <w:bCs/>
          <w:sz w:val="24"/>
        </w:rPr>
      </w:pPr>
      <w:r>
        <w:rPr>
          <w:rFonts w:hint="eastAsia"/>
          <w:bCs/>
          <w:sz w:val="24"/>
        </w:rPr>
        <w:t>8</w:t>
      </w:r>
      <w:r>
        <w:rPr>
          <w:rFonts w:hint="eastAsia"/>
          <w:bCs/>
          <w:sz w:val="24"/>
        </w:rPr>
        <w:t>、基金募集期延长或提前结束募集；</w:t>
      </w:r>
    </w:p>
    <w:p w14:paraId="2C363BA9" w14:textId="77777777" w:rsidR="003568C2" w:rsidRDefault="00695B03">
      <w:pPr>
        <w:autoSpaceDE w:val="0"/>
        <w:autoSpaceDN w:val="0"/>
        <w:spacing w:line="360" w:lineRule="auto"/>
        <w:ind w:firstLineChars="200" w:firstLine="480"/>
        <w:textAlignment w:val="bottom"/>
        <w:rPr>
          <w:bCs/>
          <w:sz w:val="24"/>
        </w:rPr>
      </w:pPr>
      <w:r>
        <w:rPr>
          <w:rFonts w:hint="eastAsia"/>
          <w:bCs/>
          <w:sz w:val="24"/>
        </w:rPr>
        <w:t>9</w:t>
      </w:r>
      <w:r>
        <w:rPr>
          <w:rFonts w:hint="eastAsia"/>
          <w:bCs/>
          <w:sz w:val="24"/>
        </w:rPr>
        <w:t>、基金管理人的高级管理人员、基金经理和基金托管人专门基金托管部门负责人发生变动；</w:t>
      </w:r>
    </w:p>
    <w:p w14:paraId="379B7EB6" w14:textId="77777777" w:rsidR="003568C2" w:rsidRDefault="00695B03">
      <w:pPr>
        <w:autoSpaceDE w:val="0"/>
        <w:autoSpaceDN w:val="0"/>
        <w:spacing w:line="360" w:lineRule="auto"/>
        <w:ind w:firstLineChars="200" w:firstLine="480"/>
        <w:textAlignment w:val="bottom"/>
        <w:rPr>
          <w:bCs/>
          <w:sz w:val="24"/>
        </w:rPr>
      </w:pPr>
      <w:r>
        <w:rPr>
          <w:rFonts w:hint="eastAsia"/>
          <w:bCs/>
          <w:sz w:val="24"/>
        </w:rPr>
        <w:t>10</w:t>
      </w:r>
      <w:r>
        <w:rPr>
          <w:rFonts w:hint="eastAsia"/>
          <w:bCs/>
          <w:sz w:val="24"/>
        </w:rPr>
        <w:t>、基金管理人的董事在最近</w:t>
      </w:r>
      <w:r>
        <w:rPr>
          <w:rFonts w:hint="eastAsia"/>
          <w:bCs/>
          <w:sz w:val="24"/>
        </w:rPr>
        <w:t>12</w:t>
      </w:r>
      <w:r>
        <w:rPr>
          <w:rFonts w:hint="eastAsia"/>
          <w:bCs/>
          <w:sz w:val="24"/>
        </w:rPr>
        <w:t>个月内变更超过百分之五十，基金管理人、基金托管人专门基金托管部门的主要业务人员在最近</w:t>
      </w:r>
      <w:r>
        <w:rPr>
          <w:rFonts w:hint="eastAsia"/>
          <w:bCs/>
          <w:sz w:val="24"/>
        </w:rPr>
        <w:t>12</w:t>
      </w:r>
      <w:r>
        <w:rPr>
          <w:rFonts w:hint="eastAsia"/>
          <w:bCs/>
          <w:sz w:val="24"/>
        </w:rPr>
        <w:t>个月内，变动超过百分之三十；</w:t>
      </w:r>
    </w:p>
    <w:p w14:paraId="6358EE6C" w14:textId="77777777" w:rsidR="003568C2" w:rsidRDefault="00695B03">
      <w:pPr>
        <w:autoSpaceDE w:val="0"/>
        <w:autoSpaceDN w:val="0"/>
        <w:spacing w:line="360" w:lineRule="auto"/>
        <w:ind w:firstLineChars="200" w:firstLine="480"/>
        <w:textAlignment w:val="bottom"/>
        <w:rPr>
          <w:bCs/>
          <w:sz w:val="24"/>
        </w:rPr>
      </w:pPr>
      <w:r>
        <w:rPr>
          <w:rFonts w:hint="eastAsia"/>
          <w:bCs/>
          <w:sz w:val="24"/>
        </w:rPr>
        <w:t>11</w:t>
      </w:r>
      <w:r>
        <w:rPr>
          <w:rFonts w:hint="eastAsia"/>
          <w:bCs/>
          <w:sz w:val="24"/>
        </w:rPr>
        <w:t>、涉及基金财产、基金管理业务、基金托管业务的诉讼或仲裁；</w:t>
      </w:r>
    </w:p>
    <w:p w14:paraId="65BF8B0F" w14:textId="77777777" w:rsidR="003568C2" w:rsidRDefault="00695B03">
      <w:pPr>
        <w:autoSpaceDE w:val="0"/>
        <w:autoSpaceDN w:val="0"/>
        <w:spacing w:line="360" w:lineRule="auto"/>
        <w:ind w:firstLineChars="200" w:firstLine="480"/>
        <w:textAlignment w:val="bottom"/>
        <w:rPr>
          <w:bCs/>
          <w:sz w:val="24"/>
        </w:rPr>
      </w:pPr>
      <w:r>
        <w:rPr>
          <w:rFonts w:hint="eastAsia"/>
          <w:bCs/>
          <w:sz w:val="24"/>
        </w:rPr>
        <w:t>12</w:t>
      </w:r>
      <w:r>
        <w:rPr>
          <w:rFonts w:hint="eastAsia"/>
          <w:bCs/>
          <w:sz w:val="24"/>
        </w:rPr>
        <w:t>、基金管理人或其高级管理人员、基金经理因基金管理业务相关行为受到重大行政处罚、刑事处罚，基金托管人或其专门基金托管部门负责人因基金托管业务相关行为受到重大行政处罚、刑事处罚；</w:t>
      </w:r>
    </w:p>
    <w:p w14:paraId="0046B8E3" w14:textId="77777777" w:rsidR="003568C2" w:rsidRDefault="00695B03">
      <w:pPr>
        <w:autoSpaceDE w:val="0"/>
        <w:autoSpaceDN w:val="0"/>
        <w:spacing w:line="360" w:lineRule="auto"/>
        <w:ind w:firstLineChars="200" w:firstLine="480"/>
        <w:textAlignment w:val="bottom"/>
        <w:rPr>
          <w:bCs/>
          <w:sz w:val="24"/>
        </w:rPr>
      </w:pPr>
      <w:r>
        <w:rPr>
          <w:rFonts w:hint="eastAsia"/>
          <w:bCs/>
          <w:sz w:val="24"/>
        </w:rPr>
        <w:t>13</w:t>
      </w:r>
      <w:r>
        <w:rPr>
          <w:rFonts w:hint="eastAsia"/>
          <w:bCs/>
          <w:sz w:val="24"/>
        </w:rPr>
        <w:t>、基金管理人运用基金财产买卖基金管理人、基金托管人及其控股股东、实际控制人或者与其有重大利害关系的公司发行的证券或者承销期内承销的证券，或者从事其他重大关联交易事项，中国证监会另有规定的情形除外；</w:t>
      </w:r>
    </w:p>
    <w:p w14:paraId="342F884D" w14:textId="77777777" w:rsidR="003568C2" w:rsidRDefault="00695B03">
      <w:pPr>
        <w:autoSpaceDE w:val="0"/>
        <w:autoSpaceDN w:val="0"/>
        <w:spacing w:line="360" w:lineRule="auto"/>
        <w:ind w:firstLineChars="200" w:firstLine="480"/>
        <w:textAlignment w:val="bottom"/>
        <w:rPr>
          <w:bCs/>
          <w:sz w:val="24"/>
        </w:rPr>
      </w:pPr>
      <w:r>
        <w:rPr>
          <w:rFonts w:hint="eastAsia"/>
          <w:bCs/>
          <w:sz w:val="24"/>
        </w:rPr>
        <w:t>14</w:t>
      </w:r>
      <w:r>
        <w:rPr>
          <w:rFonts w:hint="eastAsia"/>
          <w:bCs/>
          <w:sz w:val="24"/>
        </w:rPr>
        <w:t>、基金收益分配事项；</w:t>
      </w:r>
    </w:p>
    <w:p w14:paraId="1E8CAF6B" w14:textId="77777777" w:rsidR="003568C2" w:rsidRDefault="00695B03">
      <w:pPr>
        <w:autoSpaceDE w:val="0"/>
        <w:autoSpaceDN w:val="0"/>
        <w:spacing w:line="360" w:lineRule="auto"/>
        <w:ind w:firstLineChars="200" w:firstLine="480"/>
        <w:textAlignment w:val="bottom"/>
        <w:rPr>
          <w:bCs/>
          <w:sz w:val="24"/>
        </w:rPr>
      </w:pPr>
      <w:r>
        <w:rPr>
          <w:rFonts w:hint="eastAsia"/>
          <w:bCs/>
          <w:sz w:val="24"/>
        </w:rPr>
        <w:t>15</w:t>
      </w:r>
      <w:r>
        <w:rPr>
          <w:rFonts w:hint="eastAsia"/>
          <w:bCs/>
          <w:sz w:val="24"/>
        </w:rPr>
        <w:t>、管理费、托管费、申购费、赎回费等费用计提标准、计提方式和费率发生变更；</w:t>
      </w:r>
    </w:p>
    <w:p w14:paraId="16325BA3" w14:textId="77777777" w:rsidR="003568C2" w:rsidRDefault="00695B03">
      <w:pPr>
        <w:autoSpaceDE w:val="0"/>
        <w:autoSpaceDN w:val="0"/>
        <w:spacing w:line="360" w:lineRule="auto"/>
        <w:ind w:firstLineChars="200" w:firstLine="480"/>
        <w:textAlignment w:val="bottom"/>
        <w:rPr>
          <w:bCs/>
          <w:sz w:val="24"/>
        </w:rPr>
      </w:pPr>
      <w:r>
        <w:rPr>
          <w:rFonts w:hint="eastAsia"/>
          <w:bCs/>
          <w:sz w:val="24"/>
        </w:rPr>
        <w:t>16</w:t>
      </w:r>
      <w:r>
        <w:rPr>
          <w:rFonts w:hint="eastAsia"/>
          <w:bCs/>
          <w:sz w:val="24"/>
        </w:rPr>
        <w:t>、基金份额净值计价错误达基金份额净值百分之零点五；</w:t>
      </w:r>
    </w:p>
    <w:p w14:paraId="24F245CC" w14:textId="77777777" w:rsidR="003568C2" w:rsidRDefault="00695B03">
      <w:pPr>
        <w:autoSpaceDE w:val="0"/>
        <w:autoSpaceDN w:val="0"/>
        <w:spacing w:line="360" w:lineRule="auto"/>
        <w:ind w:firstLineChars="200" w:firstLine="480"/>
        <w:textAlignment w:val="bottom"/>
        <w:rPr>
          <w:bCs/>
          <w:sz w:val="24"/>
        </w:rPr>
      </w:pPr>
      <w:r>
        <w:rPr>
          <w:rFonts w:hint="eastAsia"/>
          <w:bCs/>
          <w:sz w:val="24"/>
        </w:rPr>
        <w:t>17</w:t>
      </w:r>
      <w:r>
        <w:rPr>
          <w:rFonts w:hint="eastAsia"/>
          <w:bCs/>
          <w:sz w:val="24"/>
        </w:rPr>
        <w:t>、本基金开始办理申购、赎回；</w:t>
      </w:r>
    </w:p>
    <w:p w14:paraId="7D6C64D1" w14:textId="77777777" w:rsidR="003568C2" w:rsidRDefault="00695B03">
      <w:pPr>
        <w:autoSpaceDE w:val="0"/>
        <w:autoSpaceDN w:val="0"/>
        <w:spacing w:line="360" w:lineRule="auto"/>
        <w:ind w:firstLineChars="200" w:firstLine="480"/>
        <w:textAlignment w:val="bottom"/>
        <w:rPr>
          <w:bCs/>
          <w:sz w:val="24"/>
        </w:rPr>
      </w:pPr>
      <w:r>
        <w:rPr>
          <w:rFonts w:hint="eastAsia"/>
          <w:bCs/>
          <w:sz w:val="24"/>
        </w:rPr>
        <w:lastRenderedPageBreak/>
        <w:t>18</w:t>
      </w:r>
      <w:r>
        <w:rPr>
          <w:rFonts w:hint="eastAsia"/>
          <w:bCs/>
          <w:sz w:val="24"/>
        </w:rPr>
        <w:t>、本基金暂定接受申购、赎回申请或重新接受申购、赎回申请；</w:t>
      </w:r>
    </w:p>
    <w:p w14:paraId="4264B198" w14:textId="77777777" w:rsidR="003568C2" w:rsidRDefault="00695B03">
      <w:pPr>
        <w:autoSpaceDE w:val="0"/>
        <w:autoSpaceDN w:val="0"/>
        <w:spacing w:line="360" w:lineRule="auto"/>
        <w:ind w:firstLineChars="200" w:firstLine="480"/>
        <w:textAlignment w:val="bottom"/>
        <w:rPr>
          <w:bCs/>
          <w:sz w:val="24"/>
        </w:rPr>
      </w:pPr>
      <w:r>
        <w:rPr>
          <w:rFonts w:hint="eastAsia"/>
          <w:bCs/>
          <w:sz w:val="24"/>
        </w:rPr>
        <w:t>19</w:t>
      </w:r>
      <w:r>
        <w:rPr>
          <w:rFonts w:hint="eastAsia"/>
          <w:bCs/>
          <w:sz w:val="24"/>
        </w:rPr>
        <w:t>、基金变更标的指数；</w:t>
      </w:r>
    </w:p>
    <w:p w14:paraId="2BFDDDE0" w14:textId="77777777" w:rsidR="003568C2" w:rsidRDefault="00695B03">
      <w:pPr>
        <w:autoSpaceDE w:val="0"/>
        <w:autoSpaceDN w:val="0"/>
        <w:spacing w:line="360" w:lineRule="auto"/>
        <w:ind w:firstLineChars="200" w:firstLine="480"/>
        <w:textAlignment w:val="bottom"/>
        <w:rPr>
          <w:bCs/>
          <w:sz w:val="24"/>
        </w:rPr>
      </w:pPr>
      <w:r>
        <w:rPr>
          <w:rFonts w:hint="eastAsia"/>
          <w:bCs/>
          <w:sz w:val="24"/>
        </w:rPr>
        <w:t>20</w:t>
      </w:r>
      <w:r>
        <w:rPr>
          <w:rFonts w:hint="eastAsia"/>
          <w:bCs/>
          <w:sz w:val="24"/>
        </w:rPr>
        <w:t>、基金份额停牌、复牌、暂停上市、恢复上市或终止上市交易；</w:t>
      </w:r>
    </w:p>
    <w:p w14:paraId="4535A30E" w14:textId="77777777" w:rsidR="003568C2" w:rsidRDefault="00695B03">
      <w:pPr>
        <w:autoSpaceDE w:val="0"/>
        <w:autoSpaceDN w:val="0"/>
        <w:spacing w:line="360" w:lineRule="auto"/>
        <w:ind w:firstLineChars="200" w:firstLine="480"/>
        <w:textAlignment w:val="bottom"/>
        <w:rPr>
          <w:bCs/>
          <w:sz w:val="24"/>
        </w:rPr>
      </w:pPr>
      <w:r>
        <w:rPr>
          <w:rFonts w:hint="eastAsia"/>
          <w:bCs/>
          <w:sz w:val="24"/>
        </w:rPr>
        <w:t>21</w:t>
      </w:r>
      <w:r>
        <w:rPr>
          <w:rFonts w:hint="eastAsia"/>
          <w:bCs/>
          <w:sz w:val="24"/>
        </w:rPr>
        <w:t>、调整最小申购赎回单位、申购赎回方式及申购对价、赎回对价组成；</w:t>
      </w:r>
    </w:p>
    <w:p w14:paraId="35BD3145" w14:textId="77777777" w:rsidR="003568C2" w:rsidRDefault="00695B03">
      <w:pPr>
        <w:autoSpaceDE w:val="0"/>
        <w:autoSpaceDN w:val="0"/>
        <w:spacing w:line="360" w:lineRule="auto"/>
        <w:ind w:firstLineChars="200" w:firstLine="480"/>
        <w:textAlignment w:val="bottom"/>
        <w:rPr>
          <w:bCs/>
          <w:sz w:val="24"/>
        </w:rPr>
      </w:pPr>
      <w:r>
        <w:rPr>
          <w:rFonts w:hint="eastAsia"/>
          <w:bCs/>
          <w:sz w:val="24"/>
        </w:rPr>
        <w:t>22</w:t>
      </w:r>
      <w:r>
        <w:rPr>
          <w:rFonts w:hint="eastAsia"/>
          <w:bCs/>
          <w:sz w:val="24"/>
        </w:rPr>
        <w:t>、调整基金份额类别的设置；</w:t>
      </w:r>
    </w:p>
    <w:p w14:paraId="3617EE19" w14:textId="77777777" w:rsidR="003568C2" w:rsidRDefault="00695B03">
      <w:pPr>
        <w:autoSpaceDE w:val="0"/>
        <w:autoSpaceDN w:val="0"/>
        <w:spacing w:line="360" w:lineRule="auto"/>
        <w:ind w:firstLineChars="200" w:firstLine="480"/>
        <w:textAlignment w:val="bottom"/>
        <w:rPr>
          <w:bCs/>
          <w:sz w:val="24"/>
        </w:rPr>
      </w:pPr>
      <w:r>
        <w:rPr>
          <w:rFonts w:hint="eastAsia"/>
          <w:bCs/>
          <w:sz w:val="24"/>
        </w:rPr>
        <w:t>23</w:t>
      </w:r>
      <w:r>
        <w:rPr>
          <w:rFonts w:hint="eastAsia"/>
          <w:bCs/>
          <w:sz w:val="24"/>
        </w:rPr>
        <w:t>、基金推出新业务或服务；</w:t>
      </w:r>
    </w:p>
    <w:p w14:paraId="4F15FA3E" w14:textId="77777777" w:rsidR="003568C2" w:rsidRDefault="00695B03">
      <w:pPr>
        <w:autoSpaceDE w:val="0"/>
        <w:autoSpaceDN w:val="0"/>
        <w:spacing w:line="360" w:lineRule="auto"/>
        <w:ind w:firstLineChars="200" w:firstLine="480"/>
        <w:textAlignment w:val="bottom"/>
        <w:rPr>
          <w:bCs/>
          <w:sz w:val="24"/>
        </w:rPr>
      </w:pPr>
      <w:r>
        <w:rPr>
          <w:rFonts w:hint="eastAsia"/>
          <w:bCs/>
          <w:sz w:val="24"/>
        </w:rPr>
        <w:t>24</w:t>
      </w:r>
      <w:r>
        <w:rPr>
          <w:rFonts w:hint="eastAsia"/>
          <w:bCs/>
          <w:sz w:val="24"/>
        </w:rPr>
        <w:t>、基金信息披露义务人认为可能对基金份额持有人权益或者基金份额的价格产生重大影响的其他事项或中国证监会规定的其他事项。</w:t>
      </w:r>
    </w:p>
    <w:p w14:paraId="192DE91A" w14:textId="77777777" w:rsidR="003568C2" w:rsidRDefault="00695B03">
      <w:pPr>
        <w:autoSpaceDE w:val="0"/>
        <w:autoSpaceDN w:val="0"/>
        <w:spacing w:line="360" w:lineRule="auto"/>
        <w:ind w:firstLineChars="200" w:firstLine="480"/>
        <w:textAlignment w:val="bottom"/>
        <w:rPr>
          <w:bCs/>
          <w:sz w:val="24"/>
        </w:rPr>
      </w:pPr>
      <w:r>
        <w:rPr>
          <w:bCs/>
          <w:sz w:val="24"/>
        </w:rPr>
        <w:t>（</w:t>
      </w:r>
      <w:r>
        <w:rPr>
          <w:rFonts w:hint="eastAsia"/>
          <w:bCs/>
          <w:sz w:val="24"/>
        </w:rPr>
        <w:t>六</w:t>
      </w:r>
      <w:r>
        <w:rPr>
          <w:bCs/>
          <w:sz w:val="24"/>
        </w:rPr>
        <w:t>）澄清公告</w:t>
      </w:r>
    </w:p>
    <w:p w14:paraId="1154565A"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在基金合同期限内，任何公共媒体中出现的或者在市场上流传的消息可能对基金份额价格产生误导性影响或者引起较大波动，以及可能损害基金份额持有人权益的，相关信息披露义务人知悉后应当立即对该消息进行公开澄清，并将有关情况立即报告中国证监会、基金上市交易的证券交易所。</w:t>
      </w:r>
    </w:p>
    <w:p w14:paraId="6B816E3E" w14:textId="77777777" w:rsidR="003568C2" w:rsidRDefault="00695B03">
      <w:pPr>
        <w:autoSpaceDE w:val="0"/>
        <w:autoSpaceDN w:val="0"/>
        <w:spacing w:line="360" w:lineRule="auto"/>
        <w:ind w:firstLineChars="200" w:firstLine="480"/>
        <w:textAlignment w:val="bottom"/>
        <w:rPr>
          <w:bCs/>
          <w:sz w:val="24"/>
        </w:rPr>
      </w:pPr>
      <w:r>
        <w:rPr>
          <w:rFonts w:hint="eastAsia"/>
          <w:bCs/>
          <w:sz w:val="24"/>
        </w:rPr>
        <w:t>（七）清算报告</w:t>
      </w:r>
    </w:p>
    <w:p w14:paraId="5F6F3F86"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基金合同终止的，基金管理人应当依法组织基金财产清算小组对基金财产进行清算并作出清算报告。基金财产清算小组应当将清算报告登载在指定网站上，并将清算报告提示性公告登载在指定报刊上。</w:t>
      </w:r>
    </w:p>
    <w:p w14:paraId="49E4F363" w14:textId="77777777" w:rsidR="003568C2" w:rsidRDefault="00695B03">
      <w:pPr>
        <w:autoSpaceDE w:val="0"/>
        <w:autoSpaceDN w:val="0"/>
        <w:spacing w:line="360" w:lineRule="auto"/>
        <w:ind w:firstLineChars="200" w:firstLine="480"/>
        <w:textAlignment w:val="bottom"/>
        <w:rPr>
          <w:bCs/>
          <w:sz w:val="24"/>
        </w:rPr>
      </w:pPr>
      <w:r>
        <w:rPr>
          <w:bCs/>
          <w:sz w:val="24"/>
        </w:rPr>
        <w:t>（</w:t>
      </w:r>
      <w:r>
        <w:rPr>
          <w:rFonts w:hint="eastAsia"/>
          <w:bCs/>
          <w:sz w:val="24"/>
        </w:rPr>
        <w:t>八</w:t>
      </w:r>
      <w:r>
        <w:rPr>
          <w:bCs/>
          <w:sz w:val="24"/>
        </w:rPr>
        <w:t>）基金份额持有人大会决议</w:t>
      </w:r>
    </w:p>
    <w:p w14:paraId="6F59F288" w14:textId="77777777" w:rsidR="003568C2" w:rsidRDefault="00695B03">
      <w:pPr>
        <w:autoSpaceDE w:val="0"/>
        <w:autoSpaceDN w:val="0"/>
        <w:spacing w:line="360" w:lineRule="auto"/>
        <w:ind w:firstLineChars="200" w:firstLine="480"/>
        <w:textAlignment w:val="bottom"/>
        <w:rPr>
          <w:bCs/>
          <w:sz w:val="24"/>
        </w:rPr>
      </w:pPr>
      <w:r>
        <w:rPr>
          <w:bCs/>
          <w:sz w:val="24"/>
        </w:rPr>
        <w:t>基金份额持有人大会决定的事项，应当依法报</w:t>
      </w:r>
      <w:r>
        <w:rPr>
          <w:rFonts w:hint="eastAsia"/>
          <w:bCs/>
          <w:sz w:val="24"/>
        </w:rPr>
        <w:t>中国证监会</w:t>
      </w:r>
      <w:r>
        <w:rPr>
          <w:bCs/>
          <w:sz w:val="24"/>
        </w:rPr>
        <w:t>备案，并予以公告。</w:t>
      </w:r>
    </w:p>
    <w:p w14:paraId="68BA35E1" w14:textId="77777777" w:rsidR="003568C2" w:rsidRDefault="00695B03">
      <w:pPr>
        <w:autoSpaceDE w:val="0"/>
        <w:autoSpaceDN w:val="0"/>
        <w:spacing w:line="360" w:lineRule="auto"/>
        <w:ind w:firstLineChars="200" w:firstLine="480"/>
        <w:textAlignment w:val="bottom"/>
        <w:rPr>
          <w:bCs/>
          <w:sz w:val="24"/>
        </w:rPr>
      </w:pPr>
      <w:r>
        <w:rPr>
          <w:rFonts w:hint="eastAsia"/>
          <w:bCs/>
          <w:sz w:val="24"/>
        </w:rPr>
        <w:t>（九）投资股指期货的信息披露</w:t>
      </w:r>
    </w:p>
    <w:p w14:paraId="4AB1D6EC"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管理人应当在基金季度报告、基金中期报告、基金年度报告等定期报告和招募说明书（更新）等文件中披露股指期货交易情况，包括投资政策、持仓情况、损益情况、风险指标等，并充分揭示股指期货交易对基金总体风险的影响以及是否符合既定的投资政策和投资目标等。</w:t>
      </w:r>
    </w:p>
    <w:p w14:paraId="238F01F0"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（十）投资中小企业私募债券的信息披露</w:t>
      </w:r>
    </w:p>
    <w:p w14:paraId="404A24BC"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基金管理人应当在基金投资中小企业私募债券后</w:t>
      </w:r>
      <w:r>
        <w:rPr>
          <w:rFonts w:hint="eastAsia"/>
          <w:bCs/>
          <w:sz w:val="24"/>
        </w:rPr>
        <w:t>2</w:t>
      </w:r>
      <w:r>
        <w:rPr>
          <w:rFonts w:hint="eastAsia"/>
          <w:bCs/>
          <w:sz w:val="24"/>
        </w:rPr>
        <w:t>个交易日内，在中国证监会指定媒介披露所投资中小企业私募债券的名称、数量、期限、收益率等信息。基金管理人应当在基金年度报告、基金中期报告和基金季度报告等定期报告和招募说明书等文件中披露中小企业私募债券的投资情况。</w:t>
      </w:r>
    </w:p>
    <w:p w14:paraId="77702440" w14:textId="77777777" w:rsidR="003568C2" w:rsidRDefault="00695B03">
      <w:pPr>
        <w:autoSpaceDE w:val="0"/>
        <w:autoSpaceDN w:val="0"/>
        <w:spacing w:line="360" w:lineRule="auto"/>
        <w:ind w:firstLineChars="200" w:firstLine="480"/>
        <w:textAlignment w:val="bottom"/>
        <w:rPr>
          <w:bCs/>
          <w:sz w:val="24"/>
        </w:rPr>
      </w:pPr>
      <w:r>
        <w:rPr>
          <w:rFonts w:hint="eastAsia"/>
          <w:bCs/>
          <w:sz w:val="24"/>
        </w:rPr>
        <w:lastRenderedPageBreak/>
        <w:t>（十一）投资资产支持证券的信息披露</w:t>
      </w:r>
    </w:p>
    <w:p w14:paraId="242B90EE" w14:textId="77777777" w:rsidR="003568C2" w:rsidRDefault="00695B03">
      <w:pPr>
        <w:autoSpaceDE w:val="0"/>
        <w:autoSpaceDN w:val="0"/>
        <w:spacing w:line="360" w:lineRule="auto"/>
        <w:ind w:firstLineChars="200" w:firstLine="480"/>
        <w:textAlignment w:val="bottom"/>
        <w:rPr>
          <w:bCs/>
          <w:sz w:val="24"/>
        </w:rPr>
      </w:pPr>
      <w:r>
        <w:rPr>
          <w:rFonts w:hint="eastAsia"/>
          <w:bCs/>
          <w:sz w:val="24"/>
        </w:rPr>
        <w:t>本基金投资资产支持证券，基金管理人应在基金年报及中期报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Pr>
          <w:rFonts w:hint="eastAsia"/>
          <w:bCs/>
          <w:sz w:val="24"/>
        </w:rPr>
        <w:t>10</w:t>
      </w:r>
      <w:r>
        <w:rPr>
          <w:rFonts w:hint="eastAsia"/>
          <w:bCs/>
          <w:sz w:val="24"/>
        </w:rPr>
        <w:t>名资产支持证券明细。</w:t>
      </w:r>
    </w:p>
    <w:p w14:paraId="3663C0AB"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（十二）投资流通受限证券的信息披露</w:t>
      </w:r>
    </w:p>
    <w:p w14:paraId="2BE34188" w14:textId="77777777" w:rsidR="003568C2" w:rsidRDefault="00695B03">
      <w:pPr>
        <w:autoSpaceDE w:val="0"/>
        <w:autoSpaceDN w:val="0"/>
        <w:spacing w:line="360" w:lineRule="auto"/>
        <w:ind w:firstLineChars="200" w:firstLine="480"/>
        <w:textAlignment w:val="bottom"/>
        <w:rPr>
          <w:bCs/>
          <w:sz w:val="24"/>
        </w:rPr>
      </w:pPr>
      <w:r>
        <w:rPr>
          <w:rFonts w:hint="eastAsia"/>
          <w:bCs/>
          <w:sz w:val="24"/>
        </w:rPr>
        <w:t>本基金投资流通受限证券，基金管理人应在本基金投资非公开发行股票后两个交易日内，在中国证监会指定媒介披露所投资非公开发行股票的名称、数量、总成本、账面价值，以及总成本和账面价值占基金资产净值的比例、锁定期等信息。</w:t>
      </w:r>
    </w:p>
    <w:p w14:paraId="4855B6FA" w14:textId="77777777" w:rsidR="003568C2" w:rsidRDefault="00695B03">
      <w:pPr>
        <w:autoSpaceDE w:val="0"/>
        <w:autoSpaceDN w:val="0"/>
        <w:spacing w:line="360" w:lineRule="auto"/>
        <w:ind w:firstLineChars="200" w:firstLine="480"/>
        <w:textAlignment w:val="bottom"/>
        <w:rPr>
          <w:bCs/>
          <w:sz w:val="24"/>
        </w:rPr>
      </w:pPr>
      <w:r>
        <w:rPr>
          <w:bCs/>
          <w:sz w:val="24"/>
        </w:rPr>
        <w:t>（十</w:t>
      </w:r>
      <w:r>
        <w:rPr>
          <w:rFonts w:hint="eastAsia"/>
          <w:bCs/>
          <w:sz w:val="24"/>
        </w:rPr>
        <w:t>三</w:t>
      </w:r>
      <w:r>
        <w:rPr>
          <w:bCs/>
          <w:sz w:val="24"/>
        </w:rPr>
        <w:t>）中国证监会规定的其他信息。</w:t>
      </w:r>
    </w:p>
    <w:p w14:paraId="1B5973FB" w14:textId="77777777" w:rsidR="003568C2" w:rsidRDefault="00695B03">
      <w:pPr>
        <w:autoSpaceDE w:val="0"/>
        <w:autoSpaceDN w:val="0"/>
        <w:spacing w:line="360" w:lineRule="auto"/>
        <w:ind w:firstLineChars="200" w:firstLine="480"/>
        <w:textAlignment w:val="bottom"/>
        <w:rPr>
          <w:bCs/>
          <w:sz w:val="24"/>
        </w:rPr>
      </w:pPr>
      <w:r>
        <w:rPr>
          <w:bCs/>
          <w:sz w:val="24"/>
        </w:rPr>
        <w:t>六、信息披露事务管理</w:t>
      </w:r>
    </w:p>
    <w:p w14:paraId="51C331E2"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基金管理人、基金托管人应当建立健全信息披露管理制度，指定专门部门及高级管理人员负责管理信息披露事务。</w:t>
      </w:r>
    </w:p>
    <w:p w14:paraId="485D92CD"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基金信息披露义务人公开披露基金信息，应当符合中国证监会相关基金信息披露内容与格式准则等法规的规定。</w:t>
      </w:r>
    </w:p>
    <w:p w14:paraId="48D5AB4C"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托管人应当按照相关法律法规、中国证监会的规定和基金合同的约定，对基金管理人编制的基金资产净值、基金份额净值、基金份额申购赎回对价、基金定期报告、更新的招募说明书、基金产品资料概要、基金清算报告等公开披露的相关基金信息进行进行复核、审查，并向基金管理人进行书面或电子确认。</w:t>
      </w:r>
    </w:p>
    <w:p w14:paraId="481960DE"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基金管理人、基金托管人应当在指定报刊中选择一家报刊披露本基金信息。基金管理人、基金托管人应当向中国证监会基金电子披露网站报送拟披露的基金信息，并保证相关报送信息的真实、准确、完整、及时。</w:t>
      </w:r>
    </w:p>
    <w:p w14:paraId="10A611D2"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基金管理人、基金托管人除依法在指定媒介上披露信息外，还可以根据需要在其他公共媒介披露信息，但是其他公共媒介不得早于指定媒介披露信息，并且在不同媒介上披露同一信息的内容应当一致。</w:t>
      </w:r>
    </w:p>
    <w:p w14:paraId="4E0671B7"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基金管理人、基金托管人除按法律法规要求披露信息外、也可着眼于为投资者决策提供有用信息的角度，在保证公平对待投资者、不误导投资者、不影响基</w:t>
      </w:r>
      <w:r>
        <w:rPr>
          <w:rFonts w:hint="eastAsia"/>
          <w:bCs/>
          <w:sz w:val="24"/>
        </w:rPr>
        <w:lastRenderedPageBreak/>
        <w:t>金正常投资操作的前提下，自主提升信息披露服务的质量。具体要求应当符合中国证监会及自律规则的相关规定。前述自主披露如产生信息披露费用，该费用不得从基金财产中列支。</w:t>
      </w:r>
    </w:p>
    <w:p w14:paraId="68455DCF" w14:textId="77777777" w:rsidR="003568C2" w:rsidRDefault="00695B03">
      <w:pPr>
        <w:autoSpaceDE w:val="0"/>
        <w:autoSpaceDN w:val="0"/>
        <w:spacing w:line="360" w:lineRule="auto"/>
        <w:ind w:firstLineChars="200" w:firstLine="480"/>
        <w:textAlignment w:val="bottom"/>
        <w:rPr>
          <w:bCs/>
          <w:sz w:val="24"/>
        </w:rPr>
      </w:pPr>
      <w:r>
        <w:rPr>
          <w:bCs/>
          <w:sz w:val="24"/>
        </w:rPr>
        <w:t>为基金信息披露义务人公开披露的基金信息出具审计报告、法律意见书的专业机构，应当制作工作底稿，并将相关档案至少保存到《基金合同》终止后</w:t>
      </w:r>
      <w:r>
        <w:rPr>
          <w:rFonts w:hint="eastAsia"/>
          <w:bCs/>
          <w:sz w:val="24"/>
        </w:rPr>
        <w:t>10</w:t>
      </w:r>
      <w:r>
        <w:rPr>
          <w:bCs/>
          <w:sz w:val="24"/>
        </w:rPr>
        <w:t>年。</w:t>
      </w:r>
    </w:p>
    <w:p w14:paraId="482CB05B" w14:textId="77777777" w:rsidR="003568C2" w:rsidRDefault="00695B03">
      <w:pPr>
        <w:autoSpaceDE w:val="0"/>
        <w:autoSpaceDN w:val="0"/>
        <w:spacing w:line="360" w:lineRule="auto"/>
        <w:ind w:firstLineChars="200" w:firstLine="480"/>
        <w:textAlignment w:val="bottom"/>
        <w:rPr>
          <w:bCs/>
          <w:sz w:val="24"/>
        </w:rPr>
      </w:pPr>
      <w:r>
        <w:rPr>
          <w:bCs/>
          <w:sz w:val="24"/>
        </w:rPr>
        <w:t>七、信息披露文件的存放与查阅</w:t>
      </w:r>
    </w:p>
    <w:p w14:paraId="75766AF2" w14:textId="77777777" w:rsidR="003568C2" w:rsidRDefault="00695B03">
      <w:pPr>
        <w:autoSpaceDE w:val="0"/>
        <w:autoSpaceDN w:val="0"/>
        <w:spacing w:line="360" w:lineRule="auto"/>
        <w:ind w:firstLineChars="200" w:firstLine="480"/>
        <w:textAlignment w:val="bottom"/>
        <w:rPr>
          <w:rFonts w:asciiTheme="minorEastAsia" w:hAnsiTheme="minorEastAsia" w:cs="Times New Roman"/>
          <w:bCs/>
          <w:sz w:val="24"/>
          <w:szCs w:val="24"/>
        </w:rPr>
      </w:pPr>
      <w:r>
        <w:rPr>
          <w:rFonts w:hint="eastAsia"/>
          <w:bCs/>
          <w:sz w:val="24"/>
        </w:rPr>
        <w:t>依法必须披露的信息发布后，基金管理人、基金托管人应当按照相关法律法规规定将信息置备于公司住所、基金上市交易的证券交易所，供社会公众查阅、复制。</w:t>
      </w:r>
      <w:bookmarkStart w:id="310" w:name="_Toc147463125"/>
      <w:bookmarkStart w:id="311" w:name="_Toc21073398"/>
      <w:bookmarkStart w:id="312" w:name="_Toc263092324"/>
      <w:bookmarkStart w:id="313" w:name="_Toc12357178"/>
      <w:bookmarkStart w:id="314" w:name="_Toc214873605"/>
      <w:bookmarkStart w:id="315" w:name="_Toc416264552"/>
      <w:bookmarkStart w:id="316" w:name="_Toc92662708"/>
      <w:bookmarkStart w:id="317" w:name="_Toc93226150"/>
      <w:bookmarkStart w:id="318" w:name="_Toc18747"/>
      <w:bookmarkStart w:id="319" w:name="_Toc17499"/>
      <w:bookmarkStart w:id="320" w:name="_Toc139991747"/>
      <w:bookmarkStart w:id="321" w:name="_Toc13255"/>
      <w:bookmarkStart w:id="322" w:name="_Toc10894"/>
      <w:bookmarkStart w:id="323" w:name="_Toc18007"/>
      <w:bookmarkStart w:id="324" w:name="_Toc128310500"/>
      <w:bookmarkStart w:id="325" w:name="_Toc141703897"/>
      <w:bookmarkStart w:id="326" w:name="_Toc352229763"/>
      <w:bookmarkStart w:id="327" w:name="_Toc28961"/>
      <w:bookmarkStart w:id="328" w:name="_Toc1043"/>
      <w:bookmarkStart w:id="329" w:name="_Toc31736"/>
      <w:bookmarkStart w:id="330" w:name="_Toc21206"/>
      <w:bookmarkStart w:id="331" w:name="_Toc29695"/>
      <w:bookmarkStart w:id="332" w:name="_Toc23859"/>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r>
        <w:rPr>
          <w:rFonts w:asciiTheme="minorEastAsia" w:hAnsiTheme="minorEastAsia" w:cs="Times New Roman"/>
          <w:bCs/>
          <w:sz w:val="24"/>
          <w:szCs w:val="24"/>
        </w:rPr>
        <w:br w:type="page"/>
      </w:r>
    </w:p>
    <w:p w14:paraId="5AF1C896" w14:textId="77777777" w:rsidR="003568C2" w:rsidRDefault="00695B03">
      <w:pPr>
        <w:pStyle w:val="1"/>
        <w:jc w:val="center"/>
        <w:rPr>
          <w:sz w:val="30"/>
          <w:szCs w:val="30"/>
        </w:rPr>
      </w:pPr>
      <w:bookmarkStart w:id="333" w:name="_Toc15892929"/>
      <w:r>
        <w:rPr>
          <w:rFonts w:hint="eastAsia"/>
          <w:sz w:val="30"/>
          <w:szCs w:val="30"/>
        </w:rPr>
        <w:lastRenderedPageBreak/>
        <w:t>第十六部分</w:t>
      </w:r>
      <w:r>
        <w:rPr>
          <w:sz w:val="30"/>
          <w:szCs w:val="30"/>
        </w:rPr>
        <w:t xml:space="preserve">  </w:t>
      </w:r>
      <w:r>
        <w:rPr>
          <w:rFonts w:hint="eastAsia"/>
          <w:sz w:val="30"/>
          <w:szCs w:val="30"/>
        </w:rPr>
        <w:t>风险揭示</w:t>
      </w:r>
      <w:bookmarkEnd w:id="310"/>
      <w:bookmarkEnd w:id="311"/>
      <w:bookmarkEnd w:id="312"/>
      <w:bookmarkEnd w:id="313"/>
      <w:bookmarkEnd w:id="314"/>
      <w:bookmarkEnd w:id="315"/>
      <w:bookmarkEnd w:id="333"/>
    </w:p>
    <w:p w14:paraId="08A91A4E"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Times New Roman" w:hint="eastAsia"/>
          <w:sz w:val="24"/>
          <w:szCs w:val="24"/>
        </w:rPr>
        <w:t>一、投资于本基金的主要风险</w:t>
      </w:r>
    </w:p>
    <w:p w14:paraId="5A62E6D2"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、市场风险</w:t>
      </w:r>
    </w:p>
    <w:p w14:paraId="1F3DE0E1"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证券市场价格受到各种因素的影响，导致基金收益水平变化而产生风险，主要包括：</w:t>
      </w:r>
    </w:p>
    <w:p w14:paraId="23E8E25E"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1</w:t>
      </w:r>
      <w:r>
        <w:rPr>
          <w:rFonts w:asciiTheme="minorEastAsia" w:hAnsiTheme="minorEastAsia" w:cs="Arial" w:hint="eastAsia"/>
          <w:bCs/>
          <w:sz w:val="24"/>
          <w:szCs w:val="24"/>
        </w:rPr>
        <w:t>）政策风险。因国家宏观政策（如货币政策、财政政策、行业政策、地区发展政策等）发生变化，导致市场价格波动而产生风险。</w:t>
      </w:r>
    </w:p>
    <w:p w14:paraId="384106B1"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2</w:t>
      </w:r>
      <w:r>
        <w:rPr>
          <w:rFonts w:asciiTheme="minorEastAsia" w:hAnsiTheme="minorEastAsia" w:cs="Arial" w:hint="eastAsia"/>
          <w:bCs/>
          <w:sz w:val="24"/>
          <w:szCs w:val="24"/>
        </w:rPr>
        <w:t>）经济周期风险。随着经济运行的周期性变化，证券市场的收益水平也呈周期性变化。本基金主要投资于债券，收益水平也会随之变化，从而产生风险。</w:t>
      </w:r>
    </w:p>
    <w:p w14:paraId="31AA8646"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3</w:t>
      </w:r>
      <w:r>
        <w:rPr>
          <w:rFonts w:asciiTheme="minorEastAsia" w:hAnsiTheme="minorEastAsia" w:cs="Arial" w:hint="eastAsia"/>
          <w:bCs/>
          <w:sz w:val="24"/>
          <w:szCs w:val="24"/>
        </w:rPr>
        <w:t>）利率风险。金融市场利率的波动会导致证券市场价格和收益率的变动。</w:t>
      </w:r>
    </w:p>
    <w:p w14:paraId="75EDFA54"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4</w:t>
      </w:r>
      <w:r>
        <w:rPr>
          <w:rFonts w:asciiTheme="minorEastAsia" w:hAnsiTheme="minorEastAsia" w:cs="Arial" w:hint="eastAsia"/>
          <w:bCs/>
          <w:sz w:val="24"/>
          <w:szCs w:val="24"/>
        </w:rPr>
        <w:t>）通货膨胀风险。如果发生通货膨胀，基金投资于证券所获得的收益可能会被通货膨胀抵消，从而影响基金资产的保值增值。</w:t>
      </w:r>
    </w:p>
    <w:p w14:paraId="45A94C9F"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5</w:t>
      </w:r>
      <w:r>
        <w:rPr>
          <w:rFonts w:asciiTheme="minorEastAsia" w:hAnsiTheme="minorEastAsia" w:cs="Arial" w:hint="eastAsia"/>
          <w:bCs/>
          <w:sz w:val="24"/>
          <w:szCs w:val="24"/>
        </w:rPr>
        <w:t>）再投资风险。再投资风险反映了利率下降对固定收益证券利息收入再投资收益的影响，这与利率上升所带来的价格风险（即利率风险）互为消长。</w:t>
      </w:r>
    </w:p>
    <w:p w14:paraId="0AED3D04"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、信用风险</w:t>
      </w:r>
    </w:p>
    <w:p w14:paraId="4A4A8058"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信用风险主要指债券、资产支持证券等信用证券发行主体信用状况恶化，导致信用评级下降甚至到期不能履行合约进行兑付的风险，另外，信用风险也包括证券交易对手因违约而产生的证券交割风险。</w:t>
      </w:r>
    </w:p>
    <w:p w14:paraId="272A8B29"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、流动性风险</w:t>
      </w:r>
    </w:p>
    <w:p w14:paraId="2629598C"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流动性风险是指因证券市场交易量不足，导致证券不能迅速、低成本地变现的风险。流动性风险还包括基金出现巨额赎回，致使没有足够的现金应付赎回支付所引致的风险。</w:t>
      </w:r>
    </w:p>
    <w:p w14:paraId="1B5D0570"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（1）拟投资市场、行业及资产的流动性风险评估</w:t>
      </w:r>
    </w:p>
    <w:p w14:paraId="5AA6484B"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的投资市场主要为证券交易所、全国银行间债券市场等流动性较好的规范型交易场所，主要投资对象为具有良好流动性的金融工具（包括国内依法发行上市的股票、债券和货币市场工具等），同时本基金基于分散投资的原则在行业和个券方面未有高集中度的特征，综合评估在正常市场环境下本基金的流动性风险适中。</w:t>
      </w:r>
    </w:p>
    <w:p w14:paraId="38303E56"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 xml:space="preserve">（2）巨额赎回情形下的流动性风险管理措施 </w:t>
      </w:r>
    </w:p>
    <w:p w14:paraId="2DD441F5"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lastRenderedPageBreak/>
        <w:t>基金出现巨额赎回情形下，基金管理人可以根据基金当时的资产组合状况或巨额赎回份额占比情况决定全额赎回或部分延期赎回。同时，如本基金单个基金份额持有人在单个开放日申请赎回基金份额超过基金总份额一定比例以上的，基金管理人有权对其采取延期办理赎回申请或延缓支付赎回款项的措施。</w:t>
      </w:r>
    </w:p>
    <w:p w14:paraId="42F3303E"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（3）实施备用的流动性风险管理工具的情形、程序及对投资者的潜在影响</w:t>
      </w:r>
    </w:p>
    <w:p w14:paraId="068E8502"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市场大幅波动、流动性枯竭等极端情况下发生无法应对投资者巨额赎回的情形时，基金管理人将以保障投资者合法权益为前提，严格按照法律法规及基金合同的规定，谨慎选取延期办理巨额赎回申请、暂停接受赎回申请、延缓支付赎回款项、收取短期赎回费等流动性风险管理工具作为辅助措施。对于各类流动性风险管理工具的使用，基金管理人将依照严格审批、审慎决策的原则，及时有效地对风险进行监测和评估，使用前经过内部审批程序并与基金托管人协商一致。在实际运用各类流动性风险管理工具时，投资者的赎回申请、赎回款项支付等可能受到相应影响，基金管理人将严格依照法律法规及基金合同的约定进行操作，全面保障投资者的合法权益。</w:t>
      </w:r>
    </w:p>
    <w:p w14:paraId="24913FF9"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4</w:t>
      </w:r>
      <w:r>
        <w:rPr>
          <w:rFonts w:asciiTheme="minorEastAsia" w:hAnsiTheme="minorEastAsia" w:cs="Arial" w:hint="eastAsia"/>
          <w:bCs/>
          <w:sz w:val="24"/>
          <w:szCs w:val="24"/>
        </w:rPr>
        <w:t>、操作风险</w:t>
      </w:r>
    </w:p>
    <w:p w14:paraId="734FE74E"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操作风险是指基金运作过程中，因内部控制存在缺陷或者人为因素造成操作失误或违反操作规程等引致的风险，例如，越权违规交易、会计部门欺诈、交易错误、</w:t>
      </w:r>
      <w:r>
        <w:rPr>
          <w:rFonts w:asciiTheme="minorEastAsia" w:hAnsiTheme="minorEastAsia" w:cs="Arial"/>
          <w:bCs/>
          <w:sz w:val="24"/>
          <w:szCs w:val="24"/>
        </w:rPr>
        <w:t>IT</w:t>
      </w:r>
      <w:r>
        <w:rPr>
          <w:rFonts w:asciiTheme="minorEastAsia" w:hAnsiTheme="minorEastAsia" w:cs="Arial" w:hint="eastAsia"/>
          <w:bCs/>
          <w:sz w:val="24"/>
          <w:szCs w:val="24"/>
        </w:rPr>
        <w:t>系统故障等风险。</w:t>
      </w:r>
    </w:p>
    <w:p w14:paraId="5B698FD9"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5</w:t>
      </w:r>
      <w:r>
        <w:rPr>
          <w:rFonts w:asciiTheme="minorEastAsia" w:hAnsiTheme="minorEastAsia" w:cs="Arial" w:hint="eastAsia"/>
          <w:bCs/>
          <w:sz w:val="24"/>
          <w:szCs w:val="24"/>
        </w:rPr>
        <w:t>、管理风险</w:t>
      </w:r>
    </w:p>
    <w:p w14:paraId="7BC0630D"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1EA4E728"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6</w:t>
      </w:r>
      <w:r>
        <w:rPr>
          <w:rFonts w:asciiTheme="minorEastAsia" w:hAnsiTheme="minorEastAsia" w:cs="Arial" w:hint="eastAsia"/>
          <w:bCs/>
          <w:sz w:val="24"/>
          <w:szCs w:val="24"/>
        </w:rPr>
        <w:t>、合规风险</w:t>
      </w:r>
    </w:p>
    <w:p w14:paraId="37449FB5"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合规风险指基金管理或运作过程中，违反国家法律、法规的规定，或者违反《基金合同》有关规定的风险。</w:t>
      </w:r>
    </w:p>
    <w:p w14:paraId="5EAFA2BE"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二、投资于本基金的特有风险</w:t>
      </w:r>
    </w:p>
    <w:p w14:paraId="13033183"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1、标的指数回报与股票市场平均回报偏离的风险</w:t>
      </w:r>
    </w:p>
    <w:p w14:paraId="7C8F23EF"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标的指数并不能完全代表整个股票市场。标的指数成份股的平均回报率与整个股票市场的平均回报率可能存在偏离。</w:t>
      </w:r>
    </w:p>
    <w:p w14:paraId="1A62949E"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lastRenderedPageBreak/>
        <w:t>2、目标指数波动的风险</w:t>
      </w:r>
    </w:p>
    <w:p w14:paraId="52EC3090"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目标指数成份股的价格可能受到政治因素、经济因素、上市公司经营状况、投资者心理和交易制度等各种因素的影响而波动，导致指数波动，从而使基金收益水平发生变化，产生风险。</w:t>
      </w:r>
    </w:p>
    <w:p w14:paraId="4A0FE2DF"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3、基金投资组合回报与标的指数回报偏离的风险</w:t>
      </w:r>
    </w:p>
    <w:p w14:paraId="5E7F67B1"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以下因素可能使基金投资组合的收益率与标的指数的收益率发生偏离：</w:t>
      </w:r>
    </w:p>
    <w:p w14:paraId="58B9D39B"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（1）由于标的指数调整成份股或变更编制方法，使本基金在相应的组合调整中产生跟踪偏离度与跟踪误差；</w:t>
      </w:r>
    </w:p>
    <w:p w14:paraId="6BF7C722"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（2）由于标的指数成份股发生配股、增发等行为导致成份股在标的指数中的权重发生变化，使本基金在相应的组合调整中产生跟踪偏离度和跟踪误差；</w:t>
      </w:r>
    </w:p>
    <w:p w14:paraId="1B9F5DC9"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（3）由于成份股停牌、摘牌或流动性差等原因使本基金无法及时调整投资组合或承担冲击成本而产生跟踪偏离度和跟踪误差；</w:t>
      </w:r>
    </w:p>
    <w:p w14:paraId="4BDDBA5E"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（4）由于基金投资过程中的证券交易成本，以及基金管理费和托管费的存在，使基金投资组合与标的指数产生跟踪偏离度与跟踪误差；</w:t>
      </w:r>
    </w:p>
    <w:p w14:paraId="14437387"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（5）在本基金指数化投资过程中，基金管理人的管理能力，例如跟踪指数的水平、技术手段、买入卖出的时机选择等，都会对本基金的收益产生影响，从而影响本基金对标的指数的跟踪程度；</w:t>
      </w:r>
    </w:p>
    <w:p w14:paraId="7AB3D18A"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6）其他因素产生的偏离。如因受到最低买入股数的限制，基金投资组合中个别股票的持有比例与标的指数中该股票的权重可能不完全相同；因缺乏卖空、对冲机制及其他工具造成的指数跟踪成本较大；因基金申购与赎回带来的现金变动；因指数发布机构指数编制错误等，由此产生跟踪偏离度与跟踪误差。</w:t>
      </w:r>
    </w:p>
    <w:p w14:paraId="5F7A909E"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4、目标指数变更的风险</w:t>
      </w:r>
    </w:p>
    <w:p w14:paraId="7C0AF667"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尽管可能性很小，但根据基金合同规定，如出现变更标的指数的情形，本基金将变更标的指数。基于原标的指数的投资政策将会改变，投资组合将随之调整，基金的收益风险特征将与新的标的指数保持一致，投资者须承担此项调整带来的风险与成本。</w:t>
      </w:r>
    </w:p>
    <w:p w14:paraId="4B9BDB08"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5、跟踪误差控制未达约定目标的风险</w:t>
      </w:r>
    </w:p>
    <w:p w14:paraId="352EA76F"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本基金的风险控制目标是力争控制净值增长率与业绩比较基准之间的日均跟踪偏离度的绝对值不超过0.5%，年跟踪误差不超过8.0%，但因标的指数编制</w:t>
      </w:r>
      <w:r>
        <w:rPr>
          <w:rFonts w:asciiTheme="minorEastAsia" w:hAnsiTheme="minorEastAsia" w:cs="Arial" w:hint="eastAsia"/>
          <w:bCs/>
          <w:sz w:val="24"/>
          <w:szCs w:val="24"/>
        </w:rPr>
        <w:lastRenderedPageBreak/>
        <w:t>规则调整或其他因素可能导致跟踪误差超过上述范围，本基金净值表现与指数价格走势可能发生较大偏离。</w:t>
      </w:r>
    </w:p>
    <w:p w14:paraId="59DA2BE2"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6、指数编制机构停止服务的风险</w:t>
      </w:r>
    </w:p>
    <w:p w14:paraId="21D25FC9"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的标的指数由指数编制机构发布并管理和维护，未来指数编制机构可能由于各种原因停止对指数的管理和维护，本基金将根据基金合同的约定自该情形发生之日起十个工作日向中国证监会报告并提出解决方案，如更换基金标的指数、转换运作方式，与其他基金合并、或者终止基金合同等，并在6个月内召集基金份额持有人大会进行表决。投资人将面临更换基金标的指数、转换运作方式，与其他基金合并、或者终止基金合同等风险。</w:t>
      </w:r>
    </w:p>
    <w:p w14:paraId="1EB15DF7"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自指数编制机构停止标的指数的编制及发布至解决方案确定并实施前，基金管理人应按照指数编制机构提供的最近一个交易日的指数信息遵循基金份额持有人利益优先原则维持基金投资运作，该期间由于标的指数不再更新等原因可能导致指数表现与相关市场表现存在差异，影响投资收益。</w:t>
      </w:r>
    </w:p>
    <w:p w14:paraId="156E8C33"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7、成份股停牌的风险</w:t>
      </w:r>
    </w:p>
    <w:p w14:paraId="4D052E3C"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标的指数成份股可能因各种原因临时或长期停牌，发生成份股停牌时，基金可能因无法及时调整投资组合而导致跟踪偏离度和跟踪误差扩大。</w:t>
      </w:r>
    </w:p>
    <w:p w14:paraId="5ACB85FE"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8、主动增强投资的风险</w:t>
      </w:r>
    </w:p>
    <w:p w14:paraId="4CE04514"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根据本基金的投资策略，为了获得超越指数的投资回报，可以在被动跟踪指数的基础上进行一些优化调整，如在一定幅度内减少或增强成份股的权重、替换或者增加一些非成份股。这种基于对基本面的深度研究作出优化调整投资组合的决策，最终结果仍然存在一定的不确定性，其投资收益率可能高于指数收益率但也有可能低于指数收益率。</w:t>
      </w:r>
    </w:p>
    <w:p w14:paraId="52C6E801"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9、股指期货等金融衍生品投资风险</w:t>
      </w:r>
    </w:p>
    <w:p w14:paraId="33BF631A"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金融衍生品是一种金融合约，其价值取决于一种或多种基础资产或指数，其评价主要源自于对挂钩资产的价格与价格波动的预期。投资于衍生品需承受市场风险、信用风险、流动性风险、操作风险和法律风险等。由于衍生品通常具有杠杆效应，价格波动比标的工具更为剧烈，有时候比投资标的资产要承担更高的风险。并且由于衍生品定价相当复杂，不适当的估值有可能使基金资产面临损失风险。</w:t>
      </w:r>
    </w:p>
    <w:p w14:paraId="5049B622"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lastRenderedPageBreak/>
        <w:t>股指期货采用保证金交易制度，由于保证金交易具有杠杆性，当出现不利行情时，股价、指数微小的变动就可能会使投资者权益遭受较大损失。股指期货采用每日无负债结算制度，如果没有在规定的时间内补足保证金，按规定将被强制平仓，可能给投资带来重大损失。</w:t>
      </w:r>
    </w:p>
    <w:p w14:paraId="36DD2073"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10、中小企业私募债券投资风险</w:t>
      </w:r>
    </w:p>
    <w:p w14:paraId="5C32BD68"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基金所投资的中小企业私募债券之债务人出现违约，或在交易过程中发生交收违约，或由于中小企业私募债券信用质量降低导致价格下降，可能造成基金财产损失。此外，受市场规模及交易活跃程度的影响，中小企业私募债券可能无法在同一价格水平上进行较大数量的买入或卖出，存在一定的流动性风险，从而对基金收益造成影响。</w:t>
      </w:r>
    </w:p>
    <w:p w14:paraId="2199329F"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11、资产支持证券投资风险</w:t>
      </w:r>
    </w:p>
    <w:p w14:paraId="0D37D090"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投资资产支持证券，资产支持证券是一种债券性质的金融工具，其向投资者支付的本息来自于基础资产池产生的现金流或剩余权益。与股票和一般债券不同，资产支持证券不是对某一经营实体的利益要求权，而是对基础资产池所产生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14:paraId="3148CCC6"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12、投资流通受限证券的特定风险</w:t>
      </w:r>
    </w:p>
    <w:p w14:paraId="50E4A511"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基金投资流动受限证券将面临证券市场流动性风险，主要表现在几个方面：基金建仓困难，或建仓成本很高；基金资产不能迅速转变成现金，或变现成本很高；不能应付可能出现的投资者大额赎回的风险；证券投资中个券和个股的流动性风险等。</w:t>
      </w:r>
    </w:p>
    <w:p w14:paraId="6E9D4E8C"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13、存托凭证投资风险</w:t>
      </w:r>
    </w:p>
    <w:p w14:paraId="23DB34BE"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基金资产可投资于存托凭证，会面临与创新企业、境外发行人、中国存托凭证发行机制以及交易机制等差异带来的特有风险，包括但不限于创新企业业务持续能力和盈利能力等经营风险，存托凭证持有人与境外基础证券发行人的股东在法律地位、享有权利等方面存在差异可能引发的风险；存托协议自动约束存托凭证持有人的风险；存托凭证持有人在分红派息、行使表决权等方面的特殊安排可能引发的风险；存托凭证退市的风险；因多地上市造成存托凭证价格差异以及受</w:t>
      </w:r>
      <w:r>
        <w:rPr>
          <w:rFonts w:asciiTheme="minorEastAsia" w:hAnsiTheme="minorEastAsia" w:cs="Arial" w:hint="eastAsia"/>
          <w:bCs/>
          <w:sz w:val="24"/>
          <w:szCs w:val="24"/>
        </w:rPr>
        <w:lastRenderedPageBreak/>
        <w:t>境外市场影响交易价格大幅波动的风险；存托凭证持有人权益被摊薄的风险；已在境外上市的基础证券发行人，在持续信息披露监管方面与境内可能存在差异的风险；境内外法律制度、监管环境差异可能导致的其他风险等本基金可投资存托凭证，基金净值可能受到存托凭证的境外基础证券价格波动影响，存托凭证的境外基础证券的相关风险可能直接或间接成为本基金的风险。</w:t>
      </w:r>
    </w:p>
    <w:p w14:paraId="2B831572"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三、其他风险</w:t>
      </w:r>
    </w:p>
    <w:p w14:paraId="5EDA87A3"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、技术风险</w:t>
      </w:r>
    </w:p>
    <w:p w14:paraId="00924E29"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开放式基金的各种交易行为或者后台运作中，可能因为技术系统的故障或者差错而影响交易的正常进行或者导致投资者的利益受到影响。这种技术风险可能来自基金管理公司、登记机构、销售机构、证券交易所、证券登记结算机构等等。</w:t>
      </w:r>
    </w:p>
    <w:p w14:paraId="07CD3B7D"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、法律风险</w:t>
      </w:r>
    </w:p>
    <w:p w14:paraId="676FCD8D"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由于法律法规方面的原因，某些市场行为受到限制或合同不能正常执行，导致基金资产的损失。</w:t>
      </w:r>
    </w:p>
    <w:p w14:paraId="472D86D5"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、其他风险</w:t>
      </w:r>
    </w:p>
    <w:p w14:paraId="389A6B0D"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战争、自然灾害等不可抗力因素的出现，将会严重影响证券市场的运行，可能导致基金资产的损失。金融市场危机、行业竞争、代理商违约、托管行违约等超出基金管理人自身直接控制能力之外的风险，可能导致基金或者基金份额持有人利益受损。</w:t>
      </w:r>
    </w:p>
    <w:p w14:paraId="1709AB1D"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4、基金管理人职责终止风险</w:t>
      </w:r>
    </w:p>
    <w:p w14:paraId="68F645C2"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因违法经营或者出现重大风险等情况，可能发生基金管理人被依法取消基金管理资格或依法解散、被依法撤销或者被依法宣告破产等情况。在基金管理人职责终止情况下，投资者面临基金管理人变更或基金合同终止的风险。基金管理人职责终止，涉及基金管理人、临时基金管理人、新任基金管理人之间责任划分的，相关基金管理人对各自履职行为依法承担责任。</w:t>
      </w:r>
      <w:r>
        <w:rPr>
          <w:rFonts w:asciiTheme="minorEastAsia" w:hAnsiTheme="minorEastAsia" w:cs="Arial"/>
          <w:bCs/>
          <w:sz w:val="24"/>
          <w:szCs w:val="24"/>
        </w:rPr>
        <w:br w:type="page"/>
      </w:r>
    </w:p>
    <w:p w14:paraId="4ADF1598" w14:textId="77777777" w:rsidR="003568C2" w:rsidRDefault="00695B03">
      <w:pPr>
        <w:pStyle w:val="1"/>
        <w:jc w:val="center"/>
        <w:rPr>
          <w:sz w:val="30"/>
          <w:szCs w:val="30"/>
        </w:rPr>
      </w:pPr>
      <w:bookmarkStart w:id="334" w:name="_Toc15892930"/>
      <w:r>
        <w:rPr>
          <w:rFonts w:hint="eastAsia"/>
          <w:sz w:val="30"/>
          <w:szCs w:val="30"/>
        </w:rPr>
        <w:lastRenderedPageBreak/>
        <w:t>第十七部分</w:t>
      </w:r>
      <w:r>
        <w:rPr>
          <w:sz w:val="30"/>
          <w:szCs w:val="30"/>
        </w:rPr>
        <w:t xml:space="preserve">  </w:t>
      </w:r>
      <w:bookmarkEnd w:id="316"/>
      <w:bookmarkEnd w:id="317"/>
      <w:r>
        <w:rPr>
          <w:rFonts w:hint="eastAsia"/>
          <w:sz w:val="30"/>
          <w:szCs w:val="30"/>
        </w:rPr>
        <w:t>基金合同的变更、终止与基金财产的清算</w:t>
      </w:r>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4"/>
    </w:p>
    <w:p w14:paraId="6B4C3432" w14:textId="77777777" w:rsidR="003568C2" w:rsidRDefault="003568C2">
      <w:pPr>
        <w:spacing w:line="360" w:lineRule="auto"/>
        <w:ind w:firstLineChars="200" w:firstLine="480"/>
        <w:rPr>
          <w:rFonts w:asciiTheme="minorEastAsia" w:hAnsiTheme="minorEastAsia" w:cs="Times New Roman"/>
          <w:bCs/>
          <w:sz w:val="24"/>
          <w:szCs w:val="24"/>
        </w:rPr>
      </w:pPr>
    </w:p>
    <w:p w14:paraId="657B430B" w14:textId="77777777" w:rsidR="003568C2" w:rsidRDefault="00695B03">
      <w:pPr>
        <w:autoSpaceDE w:val="0"/>
        <w:autoSpaceDN w:val="0"/>
        <w:spacing w:line="360" w:lineRule="auto"/>
        <w:ind w:firstLineChars="200" w:firstLine="480"/>
        <w:textAlignment w:val="bottom"/>
        <w:rPr>
          <w:bCs/>
          <w:sz w:val="24"/>
        </w:rPr>
      </w:pPr>
      <w:bookmarkStart w:id="335" w:name="_Toc79392639"/>
      <w:bookmarkStart w:id="336" w:name="_Toc1173"/>
      <w:bookmarkStart w:id="337" w:name="_Toc29289"/>
      <w:bookmarkStart w:id="338" w:name="_Toc352229764"/>
      <w:bookmarkStart w:id="339" w:name="_Toc21351"/>
      <w:bookmarkStart w:id="340" w:name="_Toc1421"/>
      <w:bookmarkStart w:id="341" w:name="_Toc141703898"/>
      <w:bookmarkStart w:id="342" w:name="_Toc92662709"/>
      <w:bookmarkStart w:id="343" w:name="_Toc93226151"/>
      <w:bookmarkStart w:id="344" w:name="_Toc11802"/>
      <w:bookmarkStart w:id="345" w:name="_Toc31866"/>
      <w:bookmarkStart w:id="346" w:name="_Toc193"/>
      <w:bookmarkStart w:id="347" w:name="_Toc11049"/>
      <w:bookmarkStart w:id="348" w:name="_Toc139991748"/>
      <w:bookmarkStart w:id="349" w:name="_Toc12028"/>
      <w:bookmarkStart w:id="350" w:name="_Toc128310501"/>
      <w:bookmarkStart w:id="351" w:name="_Toc8512"/>
      <w:bookmarkStart w:id="352" w:name="_Toc3056"/>
      <w:r>
        <w:rPr>
          <w:bCs/>
          <w:sz w:val="24"/>
        </w:rPr>
        <w:t>一、《基金合同》的变更</w:t>
      </w:r>
      <w:bookmarkEnd w:id="335"/>
    </w:p>
    <w:p w14:paraId="44C7F7F4" w14:textId="77777777" w:rsidR="003568C2" w:rsidRDefault="00695B03">
      <w:pPr>
        <w:autoSpaceDE w:val="0"/>
        <w:autoSpaceDN w:val="0"/>
        <w:spacing w:line="360" w:lineRule="auto"/>
        <w:ind w:firstLineChars="200" w:firstLine="480"/>
        <w:textAlignment w:val="bottom"/>
        <w:rPr>
          <w:bCs/>
          <w:sz w:val="24"/>
        </w:rPr>
      </w:pPr>
      <w:r>
        <w:rPr>
          <w:bCs/>
          <w:sz w:val="24"/>
        </w:rPr>
        <w:t>1</w:t>
      </w:r>
      <w:r>
        <w:rPr>
          <w:bCs/>
          <w:sz w:val="24"/>
        </w:rPr>
        <w:t>、变更基金合同</w:t>
      </w:r>
      <w:r>
        <w:rPr>
          <w:rFonts w:hint="eastAsia"/>
          <w:bCs/>
          <w:sz w:val="24"/>
        </w:rPr>
        <w:t>涉及</w:t>
      </w:r>
      <w:r>
        <w:rPr>
          <w:bCs/>
          <w:sz w:val="24"/>
        </w:rPr>
        <w:t>法律法规规定或本</w:t>
      </w:r>
      <w:r>
        <w:rPr>
          <w:rFonts w:hint="eastAsia"/>
          <w:bCs/>
          <w:sz w:val="24"/>
        </w:rPr>
        <w:t>基金</w:t>
      </w:r>
      <w:r>
        <w:rPr>
          <w:bCs/>
          <w:sz w:val="24"/>
        </w:rPr>
        <w:t>合同约定应经基金份额持有人大会决议通过的事项的，应召开基金份额持有人大会决议通过。对于可不经基金份额持有人大会决议通过的事项，由基金管理人和基金托管人同意后变更并公告，并报中国证监会备案。</w:t>
      </w:r>
    </w:p>
    <w:p w14:paraId="46802840" w14:textId="77777777" w:rsidR="003568C2" w:rsidRDefault="00695B03">
      <w:pPr>
        <w:autoSpaceDE w:val="0"/>
        <w:autoSpaceDN w:val="0"/>
        <w:spacing w:line="360" w:lineRule="auto"/>
        <w:ind w:firstLineChars="200" w:firstLine="480"/>
        <w:textAlignment w:val="bottom"/>
        <w:rPr>
          <w:bCs/>
          <w:sz w:val="24"/>
        </w:rPr>
      </w:pPr>
      <w:r>
        <w:rPr>
          <w:rFonts w:hint="eastAsia"/>
          <w:bCs/>
          <w:sz w:val="24"/>
        </w:rPr>
        <w:t xml:space="preserve"> </w:t>
      </w:r>
      <w:r>
        <w:rPr>
          <w:bCs/>
          <w:sz w:val="24"/>
        </w:rPr>
        <w:t>2</w:t>
      </w:r>
      <w:r>
        <w:rPr>
          <w:bCs/>
          <w:sz w:val="24"/>
        </w:rPr>
        <w:t>、关于《基金合同》变更的基金份额持有人大会决议</w:t>
      </w:r>
      <w:r>
        <w:rPr>
          <w:rFonts w:hint="eastAsia"/>
          <w:bCs/>
          <w:sz w:val="24"/>
        </w:rPr>
        <w:t>自生效</w:t>
      </w:r>
      <w:r>
        <w:rPr>
          <w:bCs/>
          <w:sz w:val="24"/>
        </w:rPr>
        <w:t>后方可执行，</w:t>
      </w:r>
      <w:r>
        <w:rPr>
          <w:rFonts w:hint="eastAsia"/>
          <w:bCs/>
          <w:sz w:val="24"/>
        </w:rPr>
        <w:t>并</w:t>
      </w:r>
      <w:r>
        <w:rPr>
          <w:bCs/>
          <w:sz w:val="24"/>
        </w:rPr>
        <w:t>自决议生效后两</w:t>
      </w:r>
      <w:r>
        <w:rPr>
          <w:rFonts w:hint="eastAsia"/>
          <w:bCs/>
          <w:sz w:val="24"/>
        </w:rPr>
        <w:t>个工作</w:t>
      </w:r>
      <w:r>
        <w:rPr>
          <w:bCs/>
          <w:sz w:val="24"/>
        </w:rPr>
        <w:t>日内在指定媒介公告。</w:t>
      </w:r>
    </w:p>
    <w:p w14:paraId="3D950C92" w14:textId="77777777" w:rsidR="003568C2" w:rsidRDefault="00695B03">
      <w:pPr>
        <w:autoSpaceDE w:val="0"/>
        <w:autoSpaceDN w:val="0"/>
        <w:spacing w:line="360" w:lineRule="auto"/>
        <w:ind w:firstLineChars="200" w:firstLine="480"/>
        <w:textAlignment w:val="bottom"/>
        <w:rPr>
          <w:bCs/>
          <w:sz w:val="24"/>
        </w:rPr>
      </w:pPr>
      <w:r>
        <w:rPr>
          <w:bCs/>
          <w:sz w:val="24"/>
        </w:rPr>
        <w:t>二、《基金合同》的终止事由</w:t>
      </w:r>
    </w:p>
    <w:p w14:paraId="1A101768" w14:textId="77777777" w:rsidR="003568C2" w:rsidRDefault="00695B03">
      <w:pPr>
        <w:autoSpaceDE w:val="0"/>
        <w:autoSpaceDN w:val="0"/>
        <w:spacing w:line="360" w:lineRule="auto"/>
        <w:ind w:firstLineChars="200" w:firstLine="480"/>
        <w:textAlignment w:val="bottom"/>
        <w:rPr>
          <w:bCs/>
          <w:sz w:val="24"/>
        </w:rPr>
      </w:pPr>
      <w:r>
        <w:rPr>
          <w:bCs/>
          <w:sz w:val="24"/>
        </w:rPr>
        <w:t>有下列情形之一的，《基金合同》应当终止：</w:t>
      </w:r>
    </w:p>
    <w:p w14:paraId="765EA680" w14:textId="77777777" w:rsidR="003568C2" w:rsidRDefault="00695B03">
      <w:pPr>
        <w:autoSpaceDE w:val="0"/>
        <w:autoSpaceDN w:val="0"/>
        <w:spacing w:line="360" w:lineRule="auto"/>
        <w:ind w:firstLineChars="200" w:firstLine="480"/>
        <w:textAlignment w:val="bottom"/>
        <w:rPr>
          <w:bCs/>
          <w:sz w:val="24"/>
        </w:rPr>
      </w:pPr>
      <w:r>
        <w:rPr>
          <w:bCs/>
          <w:sz w:val="24"/>
        </w:rPr>
        <w:t>1</w:t>
      </w:r>
      <w:r>
        <w:rPr>
          <w:bCs/>
          <w:sz w:val="24"/>
        </w:rPr>
        <w:t>、基金份额持有人大会决定终止的；</w:t>
      </w:r>
    </w:p>
    <w:p w14:paraId="282685C5" w14:textId="77777777" w:rsidR="003568C2" w:rsidRDefault="00695B03">
      <w:pPr>
        <w:autoSpaceDE w:val="0"/>
        <w:autoSpaceDN w:val="0"/>
        <w:spacing w:line="360" w:lineRule="auto"/>
        <w:ind w:firstLineChars="200" w:firstLine="480"/>
        <w:textAlignment w:val="bottom"/>
        <w:rPr>
          <w:bCs/>
          <w:sz w:val="24"/>
        </w:rPr>
      </w:pPr>
      <w:r>
        <w:rPr>
          <w:bCs/>
          <w:sz w:val="24"/>
        </w:rPr>
        <w:t>2</w:t>
      </w:r>
      <w:r>
        <w:rPr>
          <w:bCs/>
          <w:sz w:val="24"/>
        </w:rPr>
        <w:t>、基金管理人、基金托管人职责终止，在</w:t>
      </w:r>
      <w:r>
        <w:rPr>
          <w:bCs/>
          <w:sz w:val="24"/>
        </w:rPr>
        <w:t>6</w:t>
      </w:r>
      <w:r>
        <w:rPr>
          <w:bCs/>
          <w:sz w:val="24"/>
        </w:rPr>
        <w:t>个月内没有新基金管理人、新基金托管人承接的；</w:t>
      </w:r>
      <w:bookmarkStart w:id="353" w:name="_Hlk66197404"/>
    </w:p>
    <w:bookmarkEnd w:id="353"/>
    <w:p w14:paraId="68E6A769" w14:textId="77777777" w:rsidR="003568C2" w:rsidRDefault="00695B03">
      <w:pPr>
        <w:autoSpaceDE w:val="0"/>
        <w:autoSpaceDN w:val="0"/>
        <w:spacing w:line="360" w:lineRule="auto"/>
        <w:ind w:firstLineChars="200" w:firstLine="480"/>
        <w:textAlignment w:val="bottom"/>
        <w:rPr>
          <w:bCs/>
          <w:sz w:val="24"/>
        </w:rPr>
      </w:pPr>
      <w:r>
        <w:rPr>
          <w:bCs/>
          <w:sz w:val="24"/>
        </w:rPr>
        <w:t>3</w:t>
      </w:r>
      <w:r>
        <w:rPr>
          <w:bCs/>
          <w:sz w:val="24"/>
        </w:rPr>
        <w:t>、《基金合同》约定的其他情形；</w:t>
      </w:r>
    </w:p>
    <w:p w14:paraId="73B166F8" w14:textId="77777777" w:rsidR="003568C2" w:rsidRDefault="00695B03">
      <w:pPr>
        <w:autoSpaceDE w:val="0"/>
        <w:autoSpaceDN w:val="0"/>
        <w:spacing w:line="360" w:lineRule="auto"/>
        <w:ind w:firstLineChars="200" w:firstLine="480"/>
        <w:textAlignment w:val="bottom"/>
        <w:rPr>
          <w:bCs/>
          <w:sz w:val="24"/>
        </w:rPr>
      </w:pPr>
      <w:r>
        <w:rPr>
          <w:rFonts w:hint="eastAsia"/>
          <w:bCs/>
          <w:sz w:val="24"/>
        </w:rPr>
        <w:t>4</w:t>
      </w:r>
      <w:r>
        <w:rPr>
          <w:bCs/>
          <w:sz w:val="24"/>
        </w:rPr>
        <w:t>、相关法律法规和中国证监会规定的其他情况。</w:t>
      </w:r>
    </w:p>
    <w:p w14:paraId="77C833A6" w14:textId="77777777" w:rsidR="003568C2" w:rsidRDefault="00695B03">
      <w:pPr>
        <w:autoSpaceDE w:val="0"/>
        <w:autoSpaceDN w:val="0"/>
        <w:spacing w:line="360" w:lineRule="auto"/>
        <w:ind w:firstLineChars="200" w:firstLine="480"/>
        <w:textAlignment w:val="bottom"/>
        <w:rPr>
          <w:bCs/>
          <w:sz w:val="24"/>
        </w:rPr>
      </w:pPr>
      <w:r>
        <w:rPr>
          <w:bCs/>
          <w:sz w:val="24"/>
        </w:rPr>
        <w:t>三、基金财产的清算</w:t>
      </w:r>
    </w:p>
    <w:p w14:paraId="56725560" w14:textId="77777777" w:rsidR="003568C2" w:rsidRDefault="00695B03">
      <w:pPr>
        <w:autoSpaceDE w:val="0"/>
        <w:autoSpaceDN w:val="0"/>
        <w:spacing w:line="360" w:lineRule="auto"/>
        <w:ind w:firstLineChars="200" w:firstLine="480"/>
        <w:textAlignment w:val="bottom"/>
        <w:rPr>
          <w:bCs/>
          <w:sz w:val="24"/>
        </w:rPr>
      </w:pPr>
      <w:r>
        <w:rPr>
          <w:bCs/>
          <w:sz w:val="24"/>
        </w:rPr>
        <w:t>1</w:t>
      </w:r>
      <w:r>
        <w:rPr>
          <w:bCs/>
          <w:sz w:val="24"/>
        </w:rPr>
        <w:t>、基金财产清算小组：自出现《基金合同》终止事由之日起</w:t>
      </w:r>
      <w:r>
        <w:rPr>
          <w:bCs/>
          <w:sz w:val="24"/>
        </w:rPr>
        <w:t>30</w:t>
      </w:r>
      <w:r>
        <w:rPr>
          <w:bCs/>
          <w:sz w:val="24"/>
        </w:rPr>
        <w:t>个工作日内成立清算小组，基金管理人</w:t>
      </w:r>
      <w:r>
        <w:rPr>
          <w:rFonts w:hint="eastAsia"/>
          <w:bCs/>
          <w:sz w:val="24"/>
        </w:rPr>
        <w:t>或临时基金管理人</w:t>
      </w:r>
      <w:r>
        <w:rPr>
          <w:bCs/>
          <w:sz w:val="24"/>
        </w:rPr>
        <w:t>组织基金财产清算小组并在中国证监会的监督下进行基金清算。</w:t>
      </w:r>
    </w:p>
    <w:p w14:paraId="7B421744" w14:textId="77777777" w:rsidR="003568C2" w:rsidRDefault="00695B03">
      <w:pPr>
        <w:autoSpaceDE w:val="0"/>
        <w:autoSpaceDN w:val="0"/>
        <w:spacing w:line="360" w:lineRule="auto"/>
        <w:ind w:firstLineChars="200" w:firstLine="480"/>
        <w:textAlignment w:val="bottom"/>
        <w:rPr>
          <w:bCs/>
          <w:sz w:val="24"/>
        </w:rPr>
      </w:pPr>
      <w:r>
        <w:rPr>
          <w:bCs/>
          <w:sz w:val="24"/>
        </w:rPr>
        <w:t>2</w:t>
      </w:r>
      <w:r>
        <w:rPr>
          <w:bCs/>
          <w:sz w:val="24"/>
        </w:rPr>
        <w:t>、基金财产清算小组组成：基金财产清算小组成员由基金管理人</w:t>
      </w:r>
      <w:r>
        <w:rPr>
          <w:rFonts w:hint="eastAsia"/>
          <w:bCs/>
          <w:sz w:val="24"/>
        </w:rPr>
        <w:t>或临时基金管理人</w:t>
      </w:r>
      <w:r>
        <w:rPr>
          <w:bCs/>
          <w:sz w:val="24"/>
        </w:rPr>
        <w:t>、基金托管人、</w:t>
      </w:r>
      <w:r>
        <w:rPr>
          <w:rFonts w:hint="eastAsia"/>
          <w:bCs/>
          <w:sz w:val="24"/>
        </w:rPr>
        <w:t>具有证券、期货相关业务资格</w:t>
      </w:r>
      <w:r>
        <w:rPr>
          <w:bCs/>
          <w:sz w:val="24"/>
        </w:rPr>
        <w:t>的注册会计师、律师以及中国证监会指定的人员组成。基金财产清算小组可以聘用必要的工作人员。</w:t>
      </w:r>
    </w:p>
    <w:p w14:paraId="31839247" w14:textId="77777777" w:rsidR="003568C2" w:rsidRDefault="00695B03">
      <w:pPr>
        <w:autoSpaceDE w:val="0"/>
        <w:autoSpaceDN w:val="0"/>
        <w:spacing w:line="360" w:lineRule="auto"/>
        <w:ind w:firstLineChars="200" w:firstLine="480"/>
        <w:textAlignment w:val="bottom"/>
        <w:rPr>
          <w:bCs/>
          <w:sz w:val="24"/>
        </w:rPr>
      </w:pPr>
      <w:r>
        <w:rPr>
          <w:bCs/>
          <w:sz w:val="24"/>
        </w:rPr>
        <w:t>3</w:t>
      </w:r>
      <w:r>
        <w:rPr>
          <w:bCs/>
          <w:sz w:val="24"/>
        </w:rPr>
        <w:t>、基金财产清算小组职责：基金财产清算小组负责基金财产的保管、清理、估价、变现和分配。基金财产清算小组可以依法进行必要的民事活动。</w:t>
      </w:r>
    </w:p>
    <w:p w14:paraId="1F8F69F6" w14:textId="77777777" w:rsidR="003568C2" w:rsidRDefault="00695B03">
      <w:pPr>
        <w:autoSpaceDE w:val="0"/>
        <w:autoSpaceDN w:val="0"/>
        <w:spacing w:line="360" w:lineRule="auto"/>
        <w:ind w:firstLineChars="200" w:firstLine="480"/>
        <w:textAlignment w:val="bottom"/>
        <w:rPr>
          <w:bCs/>
          <w:sz w:val="24"/>
        </w:rPr>
      </w:pPr>
      <w:r>
        <w:rPr>
          <w:bCs/>
          <w:sz w:val="24"/>
        </w:rPr>
        <w:t>4</w:t>
      </w:r>
      <w:r>
        <w:rPr>
          <w:bCs/>
          <w:sz w:val="24"/>
        </w:rPr>
        <w:t>、基金财产清算程序：</w:t>
      </w:r>
    </w:p>
    <w:p w14:paraId="5BE0D6BC" w14:textId="77777777" w:rsidR="003568C2" w:rsidRDefault="00695B03">
      <w:pPr>
        <w:autoSpaceDE w:val="0"/>
        <w:autoSpaceDN w:val="0"/>
        <w:spacing w:line="360" w:lineRule="auto"/>
        <w:ind w:firstLineChars="200" w:firstLine="480"/>
        <w:textAlignment w:val="bottom"/>
        <w:rPr>
          <w:bCs/>
          <w:sz w:val="24"/>
        </w:rPr>
      </w:pPr>
      <w:r>
        <w:rPr>
          <w:bCs/>
          <w:sz w:val="24"/>
        </w:rPr>
        <w:t>（</w:t>
      </w:r>
      <w:r>
        <w:rPr>
          <w:bCs/>
          <w:sz w:val="24"/>
        </w:rPr>
        <w:t>1</w:t>
      </w:r>
      <w:r>
        <w:rPr>
          <w:bCs/>
          <w:sz w:val="24"/>
        </w:rPr>
        <w:t>）《基金合同》终止情形出现时，由基金财产清算小组统一接管基金；</w:t>
      </w:r>
    </w:p>
    <w:p w14:paraId="5B9AD85D" w14:textId="77777777" w:rsidR="003568C2" w:rsidRDefault="00695B03">
      <w:pPr>
        <w:autoSpaceDE w:val="0"/>
        <w:autoSpaceDN w:val="0"/>
        <w:spacing w:line="360" w:lineRule="auto"/>
        <w:ind w:firstLineChars="200" w:firstLine="480"/>
        <w:textAlignment w:val="bottom"/>
        <w:rPr>
          <w:bCs/>
          <w:sz w:val="24"/>
        </w:rPr>
      </w:pPr>
      <w:r>
        <w:rPr>
          <w:bCs/>
          <w:sz w:val="24"/>
        </w:rPr>
        <w:t>（</w:t>
      </w:r>
      <w:r>
        <w:rPr>
          <w:bCs/>
          <w:sz w:val="24"/>
        </w:rPr>
        <w:t>2</w:t>
      </w:r>
      <w:r>
        <w:rPr>
          <w:bCs/>
          <w:sz w:val="24"/>
        </w:rPr>
        <w:t>）对基金财产和债权债务进行清理和确认；</w:t>
      </w:r>
    </w:p>
    <w:p w14:paraId="5E6B6178" w14:textId="77777777" w:rsidR="003568C2" w:rsidRDefault="00695B03">
      <w:pPr>
        <w:autoSpaceDE w:val="0"/>
        <w:autoSpaceDN w:val="0"/>
        <w:spacing w:line="360" w:lineRule="auto"/>
        <w:ind w:firstLineChars="200" w:firstLine="480"/>
        <w:textAlignment w:val="bottom"/>
        <w:rPr>
          <w:bCs/>
          <w:sz w:val="24"/>
        </w:rPr>
      </w:pPr>
      <w:r>
        <w:rPr>
          <w:bCs/>
          <w:sz w:val="24"/>
        </w:rPr>
        <w:t>（</w:t>
      </w:r>
      <w:r>
        <w:rPr>
          <w:bCs/>
          <w:sz w:val="24"/>
        </w:rPr>
        <w:t>3</w:t>
      </w:r>
      <w:r>
        <w:rPr>
          <w:bCs/>
          <w:sz w:val="24"/>
        </w:rPr>
        <w:t>）对基金财产进行估值和变现；</w:t>
      </w:r>
    </w:p>
    <w:p w14:paraId="588711D5" w14:textId="77777777" w:rsidR="003568C2" w:rsidRDefault="00695B03">
      <w:pPr>
        <w:autoSpaceDE w:val="0"/>
        <w:autoSpaceDN w:val="0"/>
        <w:spacing w:line="360" w:lineRule="auto"/>
        <w:ind w:firstLineChars="200" w:firstLine="480"/>
        <w:textAlignment w:val="bottom"/>
        <w:rPr>
          <w:bCs/>
          <w:sz w:val="24"/>
        </w:rPr>
      </w:pPr>
      <w:r>
        <w:rPr>
          <w:bCs/>
          <w:sz w:val="24"/>
        </w:rPr>
        <w:lastRenderedPageBreak/>
        <w:t>（</w:t>
      </w:r>
      <w:r>
        <w:rPr>
          <w:bCs/>
          <w:sz w:val="24"/>
        </w:rPr>
        <w:t>4</w:t>
      </w:r>
      <w:r>
        <w:rPr>
          <w:bCs/>
          <w:sz w:val="24"/>
        </w:rPr>
        <w:t>）制作清算报告；</w:t>
      </w:r>
    </w:p>
    <w:p w14:paraId="50C3FF08" w14:textId="77777777" w:rsidR="003568C2" w:rsidRDefault="00695B03">
      <w:pPr>
        <w:autoSpaceDE w:val="0"/>
        <w:autoSpaceDN w:val="0"/>
        <w:spacing w:line="360" w:lineRule="auto"/>
        <w:ind w:firstLineChars="200" w:firstLine="480"/>
        <w:textAlignment w:val="bottom"/>
        <w:rPr>
          <w:bCs/>
          <w:sz w:val="24"/>
        </w:rPr>
      </w:pPr>
      <w:r>
        <w:rPr>
          <w:bCs/>
          <w:sz w:val="24"/>
        </w:rPr>
        <w:t>（</w:t>
      </w:r>
      <w:r>
        <w:rPr>
          <w:bCs/>
          <w:sz w:val="24"/>
        </w:rPr>
        <w:t>5</w:t>
      </w:r>
      <w:r>
        <w:rPr>
          <w:bCs/>
          <w:sz w:val="24"/>
        </w:rPr>
        <w:t>）聘请</w:t>
      </w:r>
      <w:r>
        <w:rPr>
          <w:rFonts w:hint="eastAsia"/>
          <w:bCs/>
          <w:sz w:val="24"/>
        </w:rPr>
        <w:t>具有证券、期货相关业务资格</w:t>
      </w:r>
      <w:r>
        <w:rPr>
          <w:bCs/>
          <w:sz w:val="24"/>
        </w:rPr>
        <w:t>的会计师事务所对清算报告进行外部审计，聘请律师事务所对清算报告出具法律意见书；</w:t>
      </w:r>
    </w:p>
    <w:p w14:paraId="0A1BA9E8" w14:textId="77777777" w:rsidR="003568C2" w:rsidRDefault="00695B03">
      <w:pPr>
        <w:autoSpaceDE w:val="0"/>
        <w:autoSpaceDN w:val="0"/>
        <w:spacing w:line="360" w:lineRule="auto"/>
        <w:ind w:firstLineChars="200" w:firstLine="480"/>
        <w:textAlignment w:val="bottom"/>
        <w:rPr>
          <w:bCs/>
          <w:sz w:val="24"/>
        </w:rPr>
      </w:pPr>
      <w:r>
        <w:rPr>
          <w:bCs/>
          <w:sz w:val="24"/>
        </w:rPr>
        <w:t>（</w:t>
      </w:r>
      <w:r>
        <w:rPr>
          <w:bCs/>
          <w:sz w:val="24"/>
        </w:rPr>
        <w:t>6</w:t>
      </w:r>
      <w:r>
        <w:rPr>
          <w:bCs/>
          <w:sz w:val="24"/>
        </w:rPr>
        <w:t>）将清算报告报中国证监会备案并公告</w:t>
      </w:r>
      <w:r>
        <w:rPr>
          <w:rFonts w:hint="eastAsia"/>
          <w:bCs/>
          <w:sz w:val="24"/>
        </w:rPr>
        <w:t>；</w:t>
      </w:r>
    </w:p>
    <w:p w14:paraId="6251CE25" w14:textId="77777777" w:rsidR="003568C2" w:rsidRDefault="00695B03">
      <w:pPr>
        <w:autoSpaceDE w:val="0"/>
        <w:autoSpaceDN w:val="0"/>
        <w:spacing w:line="360" w:lineRule="auto"/>
        <w:ind w:firstLineChars="200" w:firstLine="480"/>
        <w:textAlignment w:val="bottom"/>
        <w:rPr>
          <w:bCs/>
          <w:sz w:val="24"/>
        </w:rPr>
      </w:pPr>
      <w:r>
        <w:rPr>
          <w:bCs/>
          <w:sz w:val="24"/>
        </w:rPr>
        <w:t>（</w:t>
      </w:r>
      <w:r>
        <w:rPr>
          <w:bCs/>
          <w:sz w:val="24"/>
        </w:rPr>
        <w:t>7</w:t>
      </w:r>
      <w:r>
        <w:rPr>
          <w:bCs/>
          <w:sz w:val="24"/>
        </w:rPr>
        <w:t>）对基金</w:t>
      </w:r>
      <w:r>
        <w:rPr>
          <w:rFonts w:hint="eastAsia"/>
          <w:bCs/>
          <w:sz w:val="24"/>
        </w:rPr>
        <w:t>剩余</w:t>
      </w:r>
      <w:r>
        <w:rPr>
          <w:bCs/>
          <w:sz w:val="24"/>
        </w:rPr>
        <w:t>财产进行分配</w:t>
      </w:r>
      <w:r>
        <w:rPr>
          <w:rFonts w:hint="eastAsia"/>
          <w:bCs/>
          <w:sz w:val="24"/>
        </w:rPr>
        <w:t>。</w:t>
      </w:r>
    </w:p>
    <w:p w14:paraId="775E495D" w14:textId="77777777" w:rsidR="003568C2" w:rsidRDefault="00695B03">
      <w:pPr>
        <w:autoSpaceDE w:val="0"/>
        <w:autoSpaceDN w:val="0"/>
        <w:spacing w:line="360" w:lineRule="auto"/>
        <w:ind w:firstLineChars="200" w:firstLine="480"/>
        <w:textAlignment w:val="bottom"/>
        <w:rPr>
          <w:bCs/>
          <w:sz w:val="24"/>
        </w:rPr>
      </w:pPr>
      <w:r>
        <w:rPr>
          <w:bCs/>
          <w:sz w:val="24"/>
        </w:rPr>
        <w:t>5</w:t>
      </w:r>
      <w:r>
        <w:rPr>
          <w:bCs/>
          <w:sz w:val="24"/>
        </w:rPr>
        <w:t>、基金财产清算的期限为</w:t>
      </w:r>
      <w:r>
        <w:rPr>
          <w:rFonts w:hint="eastAsia"/>
          <w:bCs/>
          <w:sz w:val="24"/>
        </w:rPr>
        <w:t>6</w:t>
      </w:r>
      <w:r>
        <w:rPr>
          <w:bCs/>
          <w:sz w:val="24"/>
        </w:rPr>
        <w:t>个月。</w:t>
      </w:r>
    </w:p>
    <w:p w14:paraId="77317283" w14:textId="77777777" w:rsidR="003568C2" w:rsidRDefault="00695B03">
      <w:pPr>
        <w:autoSpaceDE w:val="0"/>
        <w:autoSpaceDN w:val="0"/>
        <w:spacing w:line="360" w:lineRule="auto"/>
        <w:ind w:firstLineChars="200" w:firstLine="480"/>
        <w:textAlignment w:val="bottom"/>
        <w:rPr>
          <w:bCs/>
          <w:sz w:val="24"/>
        </w:rPr>
      </w:pPr>
      <w:r>
        <w:rPr>
          <w:bCs/>
          <w:sz w:val="24"/>
        </w:rPr>
        <w:t>四、清算费用</w:t>
      </w:r>
    </w:p>
    <w:p w14:paraId="3F030400" w14:textId="77777777" w:rsidR="003568C2" w:rsidRDefault="00695B03">
      <w:pPr>
        <w:autoSpaceDE w:val="0"/>
        <w:autoSpaceDN w:val="0"/>
        <w:spacing w:line="360" w:lineRule="auto"/>
        <w:ind w:firstLineChars="200" w:firstLine="480"/>
        <w:textAlignment w:val="bottom"/>
        <w:rPr>
          <w:bCs/>
          <w:sz w:val="24"/>
        </w:rPr>
      </w:pPr>
      <w:r>
        <w:rPr>
          <w:bCs/>
          <w:sz w:val="24"/>
        </w:rPr>
        <w:t>清算费用是指基金财产清算小组在进行基金清算过程中发生的所有合理费用，清算费用由基金财产清算小组优先从基金财产中支付。</w:t>
      </w:r>
    </w:p>
    <w:p w14:paraId="71BD49F1" w14:textId="77777777" w:rsidR="003568C2" w:rsidRDefault="00695B03">
      <w:pPr>
        <w:autoSpaceDE w:val="0"/>
        <w:autoSpaceDN w:val="0"/>
        <w:spacing w:line="360" w:lineRule="auto"/>
        <w:ind w:firstLineChars="200" w:firstLine="480"/>
        <w:textAlignment w:val="bottom"/>
        <w:rPr>
          <w:bCs/>
          <w:sz w:val="24"/>
        </w:rPr>
      </w:pPr>
      <w:r>
        <w:rPr>
          <w:bCs/>
          <w:sz w:val="24"/>
        </w:rPr>
        <w:t>五、基金财产清算剩余资产的分配</w:t>
      </w:r>
    </w:p>
    <w:p w14:paraId="05CA8982" w14:textId="77777777" w:rsidR="003568C2" w:rsidRDefault="00695B03">
      <w:pPr>
        <w:autoSpaceDE w:val="0"/>
        <w:autoSpaceDN w:val="0"/>
        <w:spacing w:line="360" w:lineRule="auto"/>
        <w:ind w:firstLineChars="200" w:firstLine="480"/>
        <w:textAlignment w:val="bottom"/>
        <w:rPr>
          <w:bCs/>
          <w:sz w:val="24"/>
        </w:rPr>
      </w:pPr>
      <w:r>
        <w:rPr>
          <w:bCs/>
          <w:sz w:val="24"/>
        </w:rPr>
        <w:t>依据基金财产清算的分配方案，将基金财产清算后的全部剩余资产扣除基金财产清算费用、交纳所欠税款并清偿基金债务后，按基金份额持有人持有的基金份额比例进行分配。</w:t>
      </w:r>
    </w:p>
    <w:p w14:paraId="4609E385" w14:textId="77777777" w:rsidR="003568C2" w:rsidRDefault="00695B03">
      <w:pPr>
        <w:autoSpaceDE w:val="0"/>
        <w:autoSpaceDN w:val="0"/>
        <w:spacing w:line="360" w:lineRule="auto"/>
        <w:ind w:firstLineChars="200" w:firstLine="480"/>
        <w:textAlignment w:val="bottom"/>
        <w:rPr>
          <w:bCs/>
          <w:sz w:val="24"/>
        </w:rPr>
      </w:pPr>
      <w:r>
        <w:rPr>
          <w:bCs/>
          <w:sz w:val="24"/>
        </w:rPr>
        <w:t>六、基金财产清算的公告</w:t>
      </w:r>
    </w:p>
    <w:p w14:paraId="046A2E00" w14:textId="77777777" w:rsidR="003568C2" w:rsidRDefault="00695B03">
      <w:pPr>
        <w:autoSpaceDE w:val="0"/>
        <w:autoSpaceDN w:val="0"/>
        <w:spacing w:line="360" w:lineRule="auto"/>
        <w:ind w:firstLineChars="200" w:firstLine="480"/>
        <w:textAlignment w:val="bottom"/>
        <w:rPr>
          <w:bCs/>
          <w:sz w:val="24"/>
        </w:rPr>
      </w:pPr>
      <w:r>
        <w:rPr>
          <w:bCs/>
          <w:sz w:val="24"/>
        </w:rPr>
        <w:t>清算过程中的有关重大事项须及时公告；基金财产清算报告经</w:t>
      </w:r>
      <w:r>
        <w:rPr>
          <w:rFonts w:hint="eastAsia"/>
          <w:bCs/>
          <w:sz w:val="24"/>
        </w:rPr>
        <w:t>具有证券、期货相关业务资格</w:t>
      </w:r>
      <w:r>
        <w:rPr>
          <w:bCs/>
          <w:sz w:val="24"/>
        </w:rPr>
        <w:t>的会计师事务所审计并由律师事务所出具法律意见书后报中国证监会备案并公告。基金财产清算公告于基金财产清算报告报中国证监会备案后</w:t>
      </w:r>
      <w:r>
        <w:rPr>
          <w:rFonts w:hint="eastAsia"/>
          <w:bCs/>
          <w:sz w:val="24"/>
        </w:rPr>
        <w:t>5</w:t>
      </w:r>
      <w:r>
        <w:rPr>
          <w:bCs/>
          <w:sz w:val="24"/>
        </w:rPr>
        <w:t>个工作日内由基金财产清算小组进行公告。</w:t>
      </w:r>
    </w:p>
    <w:p w14:paraId="787370D1" w14:textId="77777777" w:rsidR="003568C2" w:rsidRDefault="00695B03">
      <w:pPr>
        <w:autoSpaceDE w:val="0"/>
        <w:autoSpaceDN w:val="0"/>
        <w:spacing w:line="360" w:lineRule="auto"/>
        <w:ind w:firstLineChars="200" w:firstLine="480"/>
        <w:textAlignment w:val="bottom"/>
        <w:rPr>
          <w:bCs/>
          <w:sz w:val="24"/>
        </w:rPr>
      </w:pPr>
      <w:r>
        <w:rPr>
          <w:bCs/>
          <w:sz w:val="24"/>
        </w:rPr>
        <w:t>七、基金财产清算账册及文件的保存</w:t>
      </w:r>
    </w:p>
    <w:p w14:paraId="7FBBF251"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bCs/>
          <w:sz w:val="24"/>
        </w:rPr>
        <w:t>基金财产清算账册及有关文件由基金托管人保存</w:t>
      </w:r>
      <w:r>
        <w:rPr>
          <w:rFonts w:hint="eastAsia"/>
          <w:bCs/>
          <w:sz w:val="24"/>
        </w:rPr>
        <w:t>15</w:t>
      </w:r>
      <w:r>
        <w:rPr>
          <w:bCs/>
          <w:sz w:val="24"/>
        </w:rPr>
        <w:t>年以上</w:t>
      </w:r>
      <w:r>
        <w:rPr>
          <w:rFonts w:asciiTheme="minorEastAsia" w:hAnsiTheme="minorEastAsia" w:cs="Times New Roman" w:hint="eastAsia"/>
          <w:sz w:val="24"/>
          <w:szCs w:val="24"/>
        </w:rPr>
        <w:t>。</w:t>
      </w:r>
      <w:bookmarkStart w:id="354" w:name="_Toc214873607"/>
      <w:bookmarkStart w:id="355" w:name="_Toc263092326"/>
      <w:bookmarkStart w:id="356" w:name="_Toc416264553"/>
      <w:bookmarkStart w:id="357" w:name="_Toc139991749"/>
      <w:bookmarkStart w:id="358" w:name="_Toc8059"/>
      <w:bookmarkStart w:id="359" w:name="_Toc352229765"/>
      <w:bookmarkStart w:id="360" w:name="_Toc6237"/>
      <w:bookmarkStart w:id="361" w:name="_Toc98560364"/>
      <w:bookmarkStart w:id="362" w:name="_Toc7170"/>
      <w:bookmarkStart w:id="363" w:name="_Toc9005"/>
      <w:bookmarkStart w:id="364" w:name="_Toc29891"/>
      <w:bookmarkStart w:id="365" w:name="_Toc123102466"/>
      <w:bookmarkStart w:id="366" w:name="_Toc10006"/>
      <w:bookmarkStart w:id="367" w:name="_Toc8049"/>
      <w:bookmarkStart w:id="368" w:name="_Toc141703899"/>
      <w:bookmarkStart w:id="369" w:name="_Toc11113"/>
      <w:bookmarkStart w:id="370" w:name="_Toc27464"/>
      <w:bookmarkStart w:id="371" w:name="_Toc123112247"/>
      <w:bookmarkStart w:id="372" w:name="_Toc25647"/>
      <w:bookmarkStart w:id="373" w:name="_Toc22978"/>
      <w:bookmarkStart w:id="374" w:name="_Toc12305146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r>
        <w:rPr>
          <w:rFonts w:asciiTheme="minorEastAsia" w:hAnsiTheme="minorEastAsia" w:cs="Times New Roman"/>
          <w:sz w:val="24"/>
          <w:szCs w:val="24"/>
        </w:rPr>
        <w:br w:type="page"/>
      </w:r>
    </w:p>
    <w:p w14:paraId="684BF8F2" w14:textId="77777777" w:rsidR="003568C2" w:rsidRDefault="00695B03">
      <w:pPr>
        <w:pStyle w:val="1"/>
        <w:jc w:val="center"/>
        <w:rPr>
          <w:sz w:val="30"/>
          <w:szCs w:val="30"/>
        </w:rPr>
      </w:pPr>
      <w:bookmarkStart w:id="375" w:name="_Toc15892931"/>
      <w:r>
        <w:rPr>
          <w:rFonts w:hint="eastAsia"/>
          <w:sz w:val="30"/>
          <w:szCs w:val="30"/>
        </w:rPr>
        <w:lastRenderedPageBreak/>
        <w:t>第十八部分</w:t>
      </w:r>
      <w:r>
        <w:rPr>
          <w:sz w:val="30"/>
          <w:szCs w:val="30"/>
        </w:rPr>
        <w:t xml:space="preserve">  </w:t>
      </w:r>
      <w:r>
        <w:rPr>
          <w:rFonts w:hint="eastAsia"/>
          <w:sz w:val="30"/>
          <w:szCs w:val="30"/>
        </w:rPr>
        <w:t>基金合同的内容摘要</w:t>
      </w:r>
      <w:bookmarkEnd w:id="354"/>
      <w:bookmarkEnd w:id="355"/>
      <w:bookmarkEnd w:id="356"/>
      <w:bookmarkEnd w:id="375"/>
    </w:p>
    <w:p w14:paraId="459A4EEE" w14:textId="77777777" w:rsidR="003568C2" w:rsidRDefault="00695B03">
      <w:pPr>
        <w:autoSpaceDE w:val="0"/>
        <w:autoSpaceDN w:val="0"/>
        <w:spacing w:line="360" w:lineRule="auto"/>
        <w:ind w:firstLineChars="200" w:firstLine="480"/>
        <w:textAlignment w:val="bottom"/>
        <w:rPr>
          <w:bCs/>
          <w:sz w:val="24"/>
        </w:rPr>
      </w:pPr>
      <w:r>
        <w:rPr>
          <w:rFonts w:hint="eastAsia"/>
          <w:bCs/>
          <w:sz w:val="24"/>
        </w:rPr>
        <w:t>一、基金份额持有人、基金管理人和基金托管人的权利、义务</w:t>
      </w:r>
    </w:p>
    <w:p w14:paraId="4BD2D355" w14:textId="77777777" w:rsidR="003568C2" w:rsidRDefault="00695B03">
      <w:pPr>
        <w:autoSpaceDE w:val="0"/>
        <w:autoSpaceDN w:val="0"/>
        <w:spacing w:line="360" w:lineRule="auto"/>
        <w:ind w:firstLineChars="200" w:firstLine="480"/>
        <w:textAlignment w:val="bottom"/>
        <w:rPr>
          <w:bCs/>
          <w:sz w:val="24"/>
        </w:rPr>
      </w:pPr>
      <w:r>
        <w:rPr>
          <w:rFonts w:hint="eastAsia"/>
          <w:bCs/>
          <w:sz w:val="24"/>
        </w:rPr>
        <w:t>（一）</w:t>
      </w:r>
      <w:r>
        <w:rPr>
          <w:bCs/>
          <w:sz w:val="24"/>
        </w:rPr>
        <w:tab/>
      </w:r>
      <w:r>
        <w:rPr>
          <w:rFonts w:hint="eastAsia"/>
          <w:bCs/>
          <w:sz w:val="24"/>
        </w:rPr>
        <w:t>基金管理人的权利与义务</w:t>
      </w:r>
    </w:p>
    <w:p w14:paraId="720239AB" w14:textId="77777777" w:rsidR="003568C2" w:rsidRDefault="00695B03">
      <w:pPr>
        <w:spacing w:line="360" w:lineRule="auto"/>
        <w:ind w:firstLineChars="200" w:firstLine="480"/>
        <w:rPr>
          <w:bCs/>
          <w:sz w:val="24"/>
          <w:szCs w:val="24"/>
        </w:rPr>
      </w:pPr>
      <w:r>
        <w:rPr>
          <w:bCs/>
          <w:sz w:val="24"/>
          <w:szCs w:val="24"/>
        </w:rPr>
        <w:t>1</w:t>
      </w:r>
      <w:r>
        <w:rPr>
          <w:rFonts w:hint="eastAsia"/>
          <w:bCs/>
          <w:sz w:val="24"/>
          <w:szCs w:val="24"/>
        </w:rPr>
        <w:t>、根据《基金法》、《运作办法》及其他有关规定，基金管理人的权利包括但不限于：</w:t>
      </w:r>
    </w:p>
    <w:p w14:paraId="5A6B547F"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）依法募集资金；</w:t>
      </w:r>
    </w:p>
    <w:p w14:paraId="6295843F" w14:textId="77777777" w:rsidR="003568C2" w:rsidRDefault="00695B03">
      <w:pPr>
        <w:spacing w:line="360" w:lineRule="auto"/>
        <w:ind w:firstLineChars="200" w:firstLine="480"/>
        <w:rPr>
          <w:sz w:val="24"/>
          <w:szCs w:val="24"/>
        </w:rPr>
      </w:pPr>
      <w:r>
        <w:rPr>
          <w:rFonts w:hint="eastAsia"/>
          <w:bCs/>
          <w:sz w:val="24"/>
          <w:szCs w:val="24"/>
        </w:rPr>
        <w:t>（</w:t>
      </w:r>
      <w:r>
        <w:rPr>
          <w:bCs/>
          <w:sz w:val="24"/>
          <w:szCs w:val="24"/>
        </w:rPr>
        <w:t>2</w:t>
      </w:r>
      <w:r>
        <w:rPr>
          <w:rFonts w:hint="eastAsia"/>
          <w:sz w:val="24"/>
          <w:szCs w:val="24"/>
        </w:rPr>
        <w:t>）自《基金合同》生效之日起，根据法律法规和《基金合同》独立运用并管理基金财产；</w:t>
      </w:r>
    </w:p>
    <w:p w14:paraId="1CFF453F"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）依照《基金合同》收取基金管理费以及法律法规规定或中国证监会批准的其他费用；</w:t>
      </w:r>
    </w:p>
    <w:p w14:paraId="08104BFF"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）销售基金份额；</w:t>
      </w:r>
    </w:p>
    <w:p w14:paraId="74401B66"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）按照规定召集基金份额持有人大会；</w:t>
      </w:r>
    </w:p>
    <w:p w14:paraId="5A6806DF"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）依据《基金合同》及有关法律规定监督基金托管人，如认为基金托管人违反了《基金合同》及国家有关法律规定，应呈报中国证监会和其他监管部门，并采取必要措施保护基金投资者的利益；</w:t>
      </w:r>
    </w:p>
    <w:p w14:paraId="63DC8BBA"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）在基金托管人更换时，提名新的基金托管人；</w:t>
      </w:r>
    </w:p>
    <w:p w14:paraId="1EE93BEF"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8</w:t>
      </w:r>
      <w:r>
        <w:rPr>
          <w:rFonts w:hint="eastAsia"/>
          <w:bCs/>
          <w:sz w:val="24"/>
          <w:szCs w:val="24"/>
        </w:rPr>
        <w:t>）选择、更换基金销售机构，对基金销售机构的相关行为进行监督和处理；</w:t>
      </w:r>
      <w:r>
        <w:rPr>
          <w:bCs/>
          <w:sz w:val="24"/>
          <w:szCs w:val="24"/>
        </w:rPr>
        <w:t xml:space="preserve"> </w:t>
      </w:r>
    </w:p>
    <w:p w14:paraId="74ACFFBC"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9</w:t>
      </w:r>
      <w:r>
        <w:rPr>
          <w:rFonts w:hint="eastAsia"/>
          <w:bCs/>
          <w:sz w:val="24"/>
          <w:szCs w:val="24"/>
        </w:rPr>
        <w:t>）担任或委托其他符合条件的机构担任基金登记机构办理基金登记业务并获得《基金合同》规定的费用；</w:t>
      </w:r>
      <w:r>
        <w:rPr>
          <w:bCs/>
          <w:sz w:val="24"/>
          <w:szCs w:val="24"/>
        </w:rPr>
        <w:t xml:space="preserve"> </w:t>
      </w:r>
    </w:p>
    <w:p w14:paraId="2BDBCD2E"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10</w:t>
      </w:r>
      <w:r>
        <w:rPr>
          <w:rFonts w:hint="eastAsia"/>
          <w:bCs/>
          <w:sz w:val="24"/>
          <w:szCs w:val="24"/>
        </w:rPr>
        <w:t>）依据《基金合同》及有关法律规定决定基金收益的分配方案；</w:t>
      </w:r>
      <w:r>
        <w:rPr>
          <w:bCs/>
          <w:sz w:val="24"/>
          <w:szCs w:val="24"/>
        </w:rPr>
        <w:tab/>
      </w:r>
    </w:p>
    <w:p w14:paraId="2A5B172F"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11</w:t>
      </w:r>
      <w:r>
        <w:rPr>
          <w:rFonts w:hint="eastAsia"/>
          <w:bCs/>
          <w:sz w:val="24"/>
          <w:szCs w:val="24"/>
        </w:rPr>
        <w:t>）在《基金合同》约定的范围内，拒绝或暂停受理申购与赎回申请；</w:t>
      </w:r>
      <w:r>
        <w:rPr>
          <w:bCs/>
          <w:sz w:val="24"/>
          <w:szCs w:val="24"/>
        </w:rPr>
        <w:t xml:space="preserve"> </w:t>
      </w:r>
    </w:p>
    <w:p w14:paraId="039525C4"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12</w:t>
      </w:r>
      <w:r>
        <w:rPr>
          <w:rFonts w:hint="eastAsia"/>
          <w:bCs/>
          <w:sz w:val="24"/>
          <w:szCs w:val="24"/>
        </w:rPr>
        <w:t>）依照法律法规为基金的利益对被投资公司行使股东权利，为基金的利益行使因基金财产投资于证券所产生的权利；</w:t>
      </w:r>
      <w:r>
        <w:rPr>
          <w:bCs/>
          <w:sz w:val="24"/>
          <w:szCs w:val="24"/>
        </w:rPr>
        <w:tab/>
      </w:r>
    </w:p>
    <w:p w14:paraId="0BD692D1"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13</w:t>
      </w:r>
      <w:r>
        <w:rPr>
          <w:rFonts w:hint="eastAsia"/>
          <w:bCs/>
          <w:sz w:val="24"/>
          <w:szCs w:val="24"/>
        </w:rPr>
        <w:t>）以基金管理人的名义，代表基金份额持有人的利益行使诉讼权利或者实施其他法律行为；</w:t>
      </w:r>
      <w:r>
        <w:rPr>
          <w:bCs/>
          <w:sz w:val="24"/>
          <w:szCs w:val="24"/>
        </w:rPr>
        <w:tab/>
      </w:r>
    </w:p>
    <w:p w14:paraId="41CB21C2"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14</w:t>
      </w:r>
      <w:r>
        <w:rPr>
          <w:rFonts w:hint="eastAsia"/>
          <w:bCs/>
          <w:sz w:val="24"/>
          <w:szCs w:val="24"/>
        </w:rPr>
        <w:t>）选择、更换律师事务所、会计师事务所、证券经纪商、期货经纪商或其他为基金提供服务的外部机构；</w:t>
      </w:r>
      <w:r>
        <w:rPr>
          <w:bCs/>
          <w:sz w:val="24"/>
          <w:szCs w:val="24"/>
        </w:rPr>
        <w:tab/>
      </w:r>
    </w:p>
    <w:p w14:paraId="28DAF468"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15</w:t>
      </w:r>
      <w:r>
        <w:rPr>
          <w:rFonts w:hint="eastAsia"/>
          <w:bCs/>
          <w:sz w:val="24"/>
          <w:szCs w:val="24"/>
        </w:rPr>
        <w:t>）在符合有关法律、法规的前提下，制订和调整有关基金申购、赎回、</w:t>
      </w:r>
      <w:r>
        <w:rPr>
          <w:rFonts w:hint="eastAsia"/>
          <w:bCs/>
          <w:sz w:val="24"/>
          <w:szCs w:val="24"/>
        </w:rPr>
        <w:lastRenderedPageBreak/>
        <w:t>转换和非交易过户等业务规则；</w:t>
      </w:r>
    </w:p>
    <w:p w14:paraId="72DF06F4"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16</w:t>
      </w:r>
      <w:r>
        <w:rPr>
          <w:rFonts w:hint="eastAsia"/>
          <w:bCs/>
          <w:sz w:val="24"/>
          <w:szCs w:val="24"/>
        </w:rPr>
        <w:t>）法律法规及中国证监会规定的和《基金合同》约定的其他权利。</w:t>
      </w:r>
    </w:p>
    <w:p w14:paraId="711AC249" w14:textId="77777777" w:rsidR="003568C2" w:rsidRDefault="00695B03">
      <w:pPr>
        <w:spacing w:line="360" w:lineRule="auto"/>
        <w:ind w:firstLineChars="200" w:firstLine="480"/>
        <w:rPr>
          <w:bCs/>
          <w:sz w:val="24"/>
          <w:szCs w:val="24"/>
        </w:rPr>
      </w:pPr>
      <w:r>
        <w:rPr>
          <w:bCs/>
          <w:sz w:val="24"/>
          <w:szCs w:val="24"/>
        </w:rPr>
        <w:t>2</w:t>
      </w:r>
      <w:r>
        <w:rPr>
          <w:rFonts w:hint="eastAsia"/>
          <w:bCs/>
          <w:sz w:val="24"/>
          <w:szCs w:val="24"/>
        </w:rPr>
        <w:t>、根据《基金法》、《运作办法》及其他有关规定，基金管理人的义务包括但不限于：</w:t>
      </w:r>
    </w:p>
    <w:p w14:paraId="2A9C7045" w14:textId="77777777" w:rsidR="003568C2" w:rsidRDefault="00695B03">
      <w:pPr>
        <w:spacing w:line="360" w:lineRule="auto"/>
        <w:ind w:firstLineChars="200" w:firstLine="480"/>
        <w:rPr>
          <w:sz w:val="24"/>
          <w:szCs w:val="24"/>
        </w:rPr>
      </w:pPr>
      <w:r>
        <w:rPr>
          <w:rFonts w:hint="eastAsia"/>
          <w:sz w:val="24"/>
          <w:szCs w:val="24"/>
        </w:rPr>
        <w:t>（</w:t>
      </w:r>
      <w:r>
        <w:rPr>
          <w:sz w:val="24"/>
          <w:szCs w:val="24"/>
        </w:rPr>
        <w:t>1</w:t>
      </w:r>
      <w:r>
        <w:rPr>
          <w:rFonts w:hint="eastAsia"/>
          <w:sz w:val="24"/>
          <w:szCs w:val="24"/>
        </w:rPr>
        <w:t>）依法</w:t>
      </w:r>
      <w:r>
        <w:rPr>
          <w:rFonts w:hint="eastAsia"/>
          <w:bCs/>
          <w:sz w:val="24"/>
          <w:szCs w:val="24"/>
        </w:rPr>
        <w:t>募集资金，</w:t>
      </w:r>
      <w:r>
        <w:rPr>
          <w:rFonts w:hint="eastAsia"/>
          <w:sz w:val="24"/>
          <w:szCs w:val="24"/>
        </w:rPr>
        <w:t>办理或者委托经中国证监会认定的其他机构代为办理基金份额的申购、赎回和登记事宜；</w:t>
      </w:r>
    </w:p>
    <w:p w14:paraId="4E8BC362"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）办理基金备案手续；</w:t>
      </w:r>
    </w:p>
    <w:p w14:paraId="62D368E8"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）自《基金合同》生效之日起，以诚实信用、谨慎勤勉的原则管理和运用基金财产；</w:t>
      </w:r>
    </w:p>
    <w:p w14:paraId="636C721B"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）配备足够的具有专业资格的人员进行基金投资分析、决策，以专业化的经营方式管理和运作基金财产；</w:t>
      </w:r>
    </w:p>
    <w:p w14:paraId="5262703E"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）建立健全内部风险控制、监察与稽核、财务管理及人事管理等制度，保证所管理的基金财产和基金管理人的财产相互独立，对所管理的不同基金分别管理，分别记账，进行证券投资；</w:t>
      </w:r>
    </w:p>
    <w:p w14:paraId="2578CCB9"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）除依据《基金法》、《基金合同》及其他有关规定外，不得利用基金财产为自己及任何第三人谋取利益，不得委托第三人运作基金财产；</w:t>
      </w:r>
    </w:p>
    <w:p w14:paraId="265292A6"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）依法接受基金托管人的监督；</w:t>
      </w:r>
    </w:p>
    <w:p w14:paraId="48D0C20C"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8</w:t>
      </w:r>
      <w:r>
        <w:rPr>
          <w:rFonts w:hint="eastAsia"/>
          <w:bCs/>
          <w:sz w:val="24"/>
          <w:szCs w:val="24"/>
        </w:rPr>
        <w:t>）采取适当合理的措施使计算基金份额申购、赎回和注销价格的方法符合《基金合同》等法律文件的规定，按有关规定计算并公告基金净值信息，确定基金份额申购、赎回对价，编制申购赎回清单；</w:t>
      </w:r>
    </w:p>
    <w:p w14:paraId="0BB114BD"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9</w:t>
      </w:r>
      <w:r>
        <w:rPr>
          <w:rFonts w:hint="eastAsia"/>
          <w:bCs/>
          <w:sz w:val="24"/>
          <w:szCs w:val="24"/>
        </w:rPr>
        <w:t>）进行基金会计核算并编制基金财务会计报告；</w:t>
      </w:r>
    </w:p>
    <w:p w14:paraId="237549FD"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10</w:t>
      </w:r>
      <w:r>
        <w:rPr>
          <w:rFonts w:hint="eastAsia"/>
          <w:bCs/>
          <w:sz w:val="24"/>
          <w:szCs w:val="24"/>
        </w:rPr>
        <w:t>）编制季度报告、中期报告和年度报告；</w:t>
      </w:r>
    </w:p>
    <w:p w14:paraId="65A432A5"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11</w:t>
      </w:r>
      <w:r>
        <w:rPr>
          <w:rFonts w:hint="eastAsia"/>
          <w:bCs/>
          <w:sz w:val="24"/>
          <w:szCs w:val="24"/>
        </w:rPr>
        <w:t>）严格按照《基金法》、《基金合同》及其他有关规定，履行信息披露及报告义务；</w:t>
      </w:r>
    </w:p>
    <w:p w14:paraId="6737C592"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12</w:t>
      </w:r>
      <w:r>
        <w:rPr>
          <w:rFonts w:hint="eastAsia"/>
          <w:bCs/>
          <w:sz w:val="24"/>
          <w:szCs w:val="24"/>
        </w:rPr>
        <w:t>）保守基金商业秘密，不泄露基金投资计划、投资意向等。除《基金法》、《基金合同》及其他有关规定另有规定外，在基金信息公开披露前应予保密，不向他人泄露；</w:t>
      </w:r>
    </w:p>
    <w:p w14:paraId="61A365E0"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13</w:t>
      </w:r>
      <w:r>
        <w:rPr>
          <w:rFonts w:hint="eastAsia"/>
          <w:bCs/>
          <w:sz w:val="24"/>
          <w:szCs w:val="24"/>
        </w:rPr>
        <w:t>）按《基金合同》的约定确定基金收益分配方案，及时向基金份额持有人分配基金收益；</w:t>
      </w:r>
    </w:p>
    <w:p w14:paraId="54883B88" w14:textId="77777777" w:rsidR="003568C2" w:rsidRDefault="00695B03">
      <w:pPr>
        <w:spacing w:line="360" w:lineRule="auto"/>
        <w:ind w:firstLineChars="200" w:firstLine="480"/>
        <w:rPr>
          <w:bCs/>
          <w:sz w:val="24"/>
          <w:szCs w:val="24"/>
        </w:rPr>
      </w:pPr>
      <w:r>
        <w:rPr>
          <w:rFonts w:hint="eastAsia"/>
          <w:bCs/>
          <w:sz w:val="24"/>
          <w:szCs w:val="24"/>
        </w:rPr>
        <w:lastRenderedPageBreak/>
        <w:t>（</w:t>
      </w:r>
      <w:r>
        <w:rPr>
          <w:bCs/>
          <w:sz w:val="24"/>
          <w:szCs w:val="24"/>
        </w:rPr>
        <w:t>14</w:t>
      </w:r>
      <w:r>
        <w:rPr>
          <w:rFonts w:hint="eastAsia"/>
          <w:bCs/>
          <w:sz w:val="24"/>
          <w:szCs w:val="24"/>
        </w:rPr>
        <w:t>）按规定受理申购与赎回申请，及时、足额支付赎回款项；</w:t>
      </w:r>
    </w:p>
    <w:p w14:paraId="0960C599"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15</w:t>
      </w:r>
      <w:r>
        <w:rPr>
          <w:rFonts w:hint="eastAsia"/>
          <w:bCs/>
          <w:sz w:val="24"/>
          <w:szCs w:val="24"/>
        </w:rPr>
        <w:t>）依据《基金法》、《基金合同》及其他有关规定召集基金份额持有人大会或配合基金托管人、基金份额持有人依法召集基金份额持有人大会；</w:t>
      </w:r>
    </w:p>
    <w:p w14:paraId="6089355A"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16</w:t>
      </w:r>
      <w:r>
        <w:rPr>
          <w:rFonts w:hint="eastAsia"/>
          <w:bCs/>
          <w:sz w:val="24"/>
          <w:szCs w:val="24"/>
        </w:rPr>
        <w:t>）按规定保存基金财产管理业务活动的会计账册、报表、记录和其他相关资料</w:t>
      </w:r>
      <w:r>
        <w:rPr>
          <w:bCs/>
          <w:sz w:val="24"/>
          <w:szCs w:val="24"/>
        </w:rPr>
        <w:t>15</w:t>
      </w:r>
      <w:r>
        <w:rPr>
          <w:rFonts w:hint="eastAsia"/>
          <w:bCs/>
          <w:sz w:val="24"/>
          <w:szCs w:val="24"/>
        </w:rPr>
        <w:t>年以上；</w:t>
      </w:r>
    </w:p>
    <w:p w14:paraId="0AD0B56F"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17</w:t>
      </w:r>
      <w:r>
        <w:rPr>
          <w:rFonts w:hint="eastAsia"/>
          <w:bCs/>
          <w:sz w:val="24"/>
          <w:szCs w:val="24"/>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03CD20D8"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18</w:t>
      </w:r>
      <w:r>
        <w:rPr>
          <w:rFonts w:hint="eastAsia"/>
          <w:bCs/>
          <w:sz w:val="24"/>
          <w:szCs w:val="24"/>
        </w:rPr>
        <w:t>）组织并参加基金财产清算小组，参与基金财产的保管、清理、估价、变现和分配；</w:t>
      </w:r>
    </w:p>
    <w:p w14:paraId="6F71B6D0"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19</w:t>
      </w:r>
      <w:r>
        <w:rPr>
          <w:rFonts w:hint="eastAsia"/>
          <w:bCs/>
          <w:sz w:val="24"/>
          <w:szCs w:val="24"/>
        </w:rPr>
        <w:t>）面临解散、依法被撤销或者被依法宣告破产时，及时报告中国证监会并通知基金托管人；</w:t>
      </w:r>
    </w:p>
    <w:p w14:paraId="787F3A2D"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20</w:t>
      </w:r>
      <w:r>
        <w:rPr>
          <w:rFonts w:hint="eastAsia"/>
          <w:bCs/>
          <w:sz w:val="24"/>
          <w:szCs w:val="24"/>
        </w:rPr>
        <w:t>）因违反《基金合同》导致基金财产的损失或损害基金份额持有人合法权益时，应当承担赔偿责任，其赔偿责任不因其退任而免除；</w:t>
      </w:r>
    </w:p>
    <w:p w14:paraId="43E7D0DA"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21</w:t>
      </w:r>
      <w:r>
        <w:rPr>
          <w:rFonts w:hint="eastAsia"/>
          <w:bCs/>
          <w:sz w:val="24"/>
          <w:szCs w:val="24"/>
        </w:rPr>
        <w:t>）监督基金托管人按法律法规和《基金合同》规定履行自己的义务，基金托管人违反《基金合同》造成基金财产损失时，基金管理人应为基金份额持有人利益向基金托管人追偿；</w:t>
      </w:r>
    </w:p>
    <w:p w14:paraId="2F440274"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22</w:t>
      </w:r>
      <w:r>
        <w:rPr>
          <w:rFonts w:hint="eastAsia"/>
          <w:bCs/>
          <w:sz w:val="24"/>
          <w:szCs w:val="24"/>
        </w:rPr>
        <w:t>）当基金管理人将其义务委托第三方处理时，应当对第三方处理有关基金事务的行为承担责任；</w:t>
      </w:r>
    </w:p>
    <w:p w14:paraId="5F1EEC03"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23</w:t>
      </w:r>
      <w:r>
        <w:rPr>
          <w:rFonts w:hint="eastAsia"/>
          <w:bCs/>
          <w:sz w:val="24"/>
          <w:szCs w:val="24"/>
        </w:rPr>
        <w:t>）以基金管理人名义，代表基金份额持有人利益行使诉讼权利或实施其他法律行为；</w:t>
      </w:r>
    </w:p>
    <w:p w14:paraId="4051210E"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24</w:t>
      </w:r>
      <w:r>
        <w:rPr>
          <w:rFonts w:hint="eastAsia"/>
          <w:bCs/>
          <w:sz w:val="24"/>
          <w:szCs w:val="24"/>
        </w:rPr>
        <w:t>）执行生效的基金份额持有人大会的决议；</w:t>
      </w:r>
    </w:p>
    <w:p w14:paraId="036DFA7E"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25</w:t>
      </w:r>
      <w:r>
        <w:rPr>
          <w:rFonts w:hint="eastAsia"/>
          <w:bCs/>
          <w:sz w:val="24"/>
          <w:szCs w:val="24"/>
        </w:rPr>
        <w:t>）建立并保存基金份额持有人名册；</w:t>
      </w:r>
    </w:p>
    <w:p w14:paraId="2D2F7689"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26</w:t>
      </w:r>
      <w:r>
        <w:rPr>
          <w:rFonts w:hint="eastAsia"/>
          <w:bCs/>
          <w:sz w:val="24"/>
          <w:szCs w:val="24"/>
        </w:rPr>
        <w:t>）法律法规及中国证监会规定的和《基金合同》约定的其他义务。</w:t>
      </w:r>
    </w:p>
    <w:p w14:paraId="10E3398B" w14:textId="77777777" w:rsidR="003568C2" w:rsidRDefault="00695B03">
      <w:pPr>
        <w:autoSpaceDE w:val="0"/>
        <w:autoSpaceDN w:val="0"/>
        <w:spacing w:line="360" w:lineRule="auto"/>
        <w:ind w:firstLineChars="200" w:firstLine="480"/>
        <w:textAlignment w:val="bottom"/>
        <w:rPr>
          <w:bCs/>
          <w:sz w:val="24"/>
          <w:szCs w:val="20"/>
        </w:rPr>
      </w:pPr>
      <w:r>
        <w:rPr>
          <w:rFonts w:hint="eastAsia"/>
          <w:bCs/>
          <w:sz w:val="24"/>
        </w:rPr>
        <w:t>（二）</w:t>
      </w:r>
      <w:r>
        <w:rPr>
          <w:bCs/>
          <w:sz w:val="24"/>
        </w:rPr>
        <w:tab/>
      </w:r>
      <w:r>
        <w:rPr>
          <w:rFonts w:hint="eastAsia"/>
          <w:bCs/>
          <w:sz w:val="24"/>
        </w:rPr>
        <w:t>基金托管人的权利与义务</w:t>
      </w:r>
    </w:p>
    <w:p w14:paraId="78233FD1" w14:textId="77777777" w:rsidR="003568C2" w:rsidRDefault="00695B03">
      <w:pPr>
        <w:spacing w:line="360" w:lineRule="auto"/>
        <w:ind w:firstLineChars="200" w:firstLine="480"/>
        <w:rPr>
          <w:bCs/>
          <w:sz w:val="24"/>
          <w:szCs w:val="24"/>
        </w:rPr>
      </w:pPr>
      <w:r>
        <w:rPr>
          <w:bCs/>
          <w:sz w:val="24"/>
          <w:szCs w:val="24"/>
        </w:rPr>
        <w:t>1</w:t>
      </w:r>
      <w:r>
        <w:rPr>
          <w:rFonts w:hint="eastAsia"/>
          <w:bCs/>
          <w:sz w:val="24"/>
          <w:szCs w:val="24"/>
        </w:rPr>
        <w:t>、根据《基金法》、《运作办法》及其他有关规定，基金托管人的权利包括但不限于：</w:t>
      </w:r>
    </w:p>
    <w:p w14:paraId="7B542936"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）自《基金合同》生效之日起，依法律法规和《基金合同》的规定安全保管基金财产；</w:t>
      </w:r>
    </w:p>
    <w:p w14:paraId="66BDF939" w14:textId="77777777" w:rsidR="003568C2" w:rsidRDefault="00695B03">
      <w:pPr>
        <w:spacing w:line="360" w:lineRule="auto"/>
        <w:ind w:firstLineChars="200" w:firstLine="480"/>
        <w:rPr>
          <w:bCs/>
          <w:sz w:val="24"/>
          <w:szCs w:val="24"/>
        </w:rPr>
      </w:pPr>
      <w:r>
        <w:rPr>
          <w:rFonts w:hint="eastAsia"/>
          <w:bCs/>
          <w:sz w:val="24"/>
          <w:szCs w:val="24"/>
        </w:rPr>
        <w:lastRenderedPageBreak/>
        <w:t>（</w:t>
      </w:r>
      <w:r>
        <w:rPr>
          <w:bCs/>
          <w:sz w:val="24"/>
          <w:szCs w:val="24"/>
        </w:rPr>
        <w:t>2</w:t>
      </w:r>
      <w:r>
        <w:rPr>
          <w:rFonts w:hint="eastAsia"/>
          <w:bCs/>
          <w:sz w:val="24"/>
          <w:szCs w:val="24"/>
        </w:rPr>
        <w:t>）依《基金合同》约定获得基金托管费以及法律法规规定或监管部门批准的其他费用；</w:t>
      </w:r>
    </w:p>
    <w:p w14:paraId="210EDC3F"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52241CE0"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）根据相关市场规则，为基金开设资金账户、证券账户等投资所需账户，为基金办理证券交易资金清算；</w:t>
      </w:r>
    </w:p>
    <w:p w14:paraId="4E749BDC"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）提议召开或召集基金份额持有人大会；</w:t>
      </w:r>
    </w:p>
    <w:p w14:paraId="6A8C22A2"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）在基金管理人更换时，提名新的基金管理人；</w:t>
      </w:r>
    </w:p>
    <w:p w14:paraId="1D198748"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）法律法规及中国证监会规定的和《基金合同》约定的其他权利。</w:t>
      </w:r>
    </w:p>
    <w:p w14:paraId="7767943E" w14:textId="77777777" w:rsidR="003568C2" w:rsidRDefault="00695B03">
      <w:pPr>
        <w:spacing w:line="360" w:lineRule="auto"/>
        <w:ind w:firstLineChars="200" w:firstLine="480"/>
        <w:rPr>
          <w:bCs/>
          <w:sz w:val="24"/>
          <w:szCs w:val="24"/>
        </w:rPr>
      </w:pPr>
      <w:r>
        <w:rPr>
          <w:bCs/>
          <w:sz w:val="24"/>
          <w:szCs w:val="24"/>
        </w:rPr>
        <w:t>2</w:t>
      </w:r>
      <w:r>
        <w:rPr>
          <w:rFonts w:hint="eastAsia"/>
          <w:bCs/>
          <w:sz w:val="24"/>
          <w:szCs w:val="24"/>
        </w:rPr>
        <w:t>、根据《基金法》、《运作办法》及其他有关规定，基金托管人的义务包括但不限于：</w:t>
      </w:r>
    </w:p>
    <w:p w14:paraId="5BAF0C7A"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）以诚实信用、勤勉尽责的原则持有并安全保管基金财产；</w:t>
      </w:r>
    </w:p>
    <w:p w14:paraId="657E8B32"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）设立专门的基金托管部门，具有符合要求的营业场所，配备足够的、合格的熟悉基金托管业务的专职人员，负责基金财产托管事宜；</w:t>
      </w:r>
    </w:p>
    <w:p w14:paraId="42AEE610"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4ABCD90A"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）除依据《基金法》、《基金合同》及其他有关规定外，不得利用基金财产为自己及任何第三人谋取利益，不得委托第三人托管基金财产；</w:t>
      </w:r>
    </w:p>
    <w:p w14:paraId="49DF3DAF"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）保管由基金管理人代表基金签订的与基金有关的重大合同及有关凭证；</w:t>
      </w:r>
    </w:p>
    <w:p w14:paraId="144E2F61"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）按规定开设基金财产的资金账户、证券账户等投资所需账户，按照《基金合同》的约定，根据基金管理人的投资指令，及时办理清算、交割事宜；</w:t>
      </w:r>
    </w:p>
    <w:p w14:paraId="167C56AF"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）保守基金商业秘密，除《基金法》、《基金合同》及其他有关规定另有规定外，在基金信息公开披露前予以保密，不得向他人泄露；</w:t>
      </w:r>
    </w:p>
    <w:p w14:paraId="3B164520"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8</w:t>
      </w:r>
      <w:r>
        <w:rPr>
          <w:rFonts w:hint="eastAsia"/>
          <w:bCs/>
          <w:sz w:val="24"/>
          <w:szCs w:val="24"/>
        </w:rPr>
        <w:t>）复核、审查基金管理人计算的基金资产净值、基金份额净值、基金份额申购、赎回价格；</w:t>
      </w:r>
    </w:p>
    <w:p w14:paraId="6066B663"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9</w:t>
      </w:r>
      <w:r>
        <w:rPr>
          <w:rFonts w:hint="eastAsia"/>
          <w:bCs/>
          <w:sz w:val="24"/>
          <w:szCs w:val="24"/>
        </w:rPr>
        <w:t>）办理与基金托管业务活动有关的信息披露事项；</w:t>
      </w:r>
    </w:p>
    <w:p w14:paraId="5F6FE508" w14:textId="77777777" w:rsidR="003568C2" w:rsidRDefault="00695B03">
      <w:pPr>
        <w:spacing w:line="360" w:lineRule="auto"/>
        <w:ind w:firstLineChars="200" w:firstLine="480"/>
        <w:rPr>
          <w:bCs/>
          <w:sz w:val="24"/>
          <w:szCs w:val="24"/>
        </w:rPr>
      </w:pPr>
      <w:r>
        <w:rPr>
          <w:rFonts w:hint="eastAsia"/>
          <w:bCs/>
          <w:sz w:val="24"/>
          <w:szCs w:val="24"/>
        </w:rPr>
        <w:lastRenderedPageBreak/>
        <w:t>（</w:t>
      </w:r>
      <w:r>
        <w:rPr>
          <w:bCs/>
          <w:sz w:val="24"/>
          <w:szCs w:val="24"/>
        </w:rPr>
        <w:t>10</w:t>
      </w:r>
      <w:r>
        <w:rPr>
          <w:rFonts w:hint="eastAsia"/>
          <w:bCs/>
          <w:sz w:val="24"/>
          <w:szCs w:val="24"/>
        </w:rPr>
        <w:t>）对基金财务会计报告、季度报告、中期报告和年度报告出具意见，说明基金管理人在各重要方面的运作是否严格按照《基金合同》的规定进行；如果基金管理人有未执行《基金合同》规定的行为，还应当说明基金托管人是否采取了适当的措施；</w:t>
      </w:r>
    </w:p>
    <w:p w14:paraId="62B2416A"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11</w:t>
      </w:r>
      <w:r>
        <w:rPr>
          <w:rFonts w:hint="eastAsia"/>
          <w:bCs/>
          <w:sz w:val="24"/>
          <w:szCs w:val="24"/>
        </w:rPr>
        <w:t>）保存基金托管业务活动的记录、账册、报表和其他相关资料</w:t>
      </w:r>
      <w:r>
        <w:rPr>
          <w:sz w:val="24"/>
          <w:szCs w:val="24"/>
        </w:rPr>
        <w:t>15</w:t>
      </w:r>
      <w:r>
        <w:rPr>
          <w:rFonts w:hint="eastAsia"/>
          <w:bCs/>
          <w:sz w:val="24"/>
          <w:szCs w:val="24"/>
        </w:rPr>
        <w:t>年以上；</w:t>
      </w:r>
    </w:p>
    <w:p w14:paraId="6B8473B8"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12</w:t>
      </w:r>
      <w:r>
        <w:rPr>
          <w:rFonts w:hint="eastAsia"/>
          <w:bCs/>
          <w:sz w:val="24"/>
          <w:szCs w:val="24"/>
        </w:rPr>
        <w:t>）建立并保存基金份额持有人名册；</w:t>
      </w:r>
    </w:p>
    <w:p w14:paraId="53584F7B"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13</w:t>
      </w:r>
      <w:r>
        <w:rPr>
          <w:rFonts w:hint="eastAsia"/>
          <w:bCs/>
          <w:sz w:val="24"/>
          <w:szCs w:val="24"/>
        </w:rPr>
        <w:t>）按规定制作相关账册并与基金管理人核对；</w:t>
      </w:r>
    </w:p>
    <w:p w14:paraId="7DEE026A"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14</w:t>
      </w:r>
      <w:r>
        <w:rPr>
          <w:rFonts w:hint="eastAsia"/>
          <w:bCs/>
          <w:sz w:val="24"/>
          <w:szCs w:val="24"/>
        </w:rPr>
        <w:t>）依据基金管理人的指令或有关规定向基金份额持有人支付基金收益和赎回款项；</w:t>
      </w:r>
    </w:p>
    <w:p w14:paraId="2EDF8974"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15</w:t>
      </w:r>
      <w:r>
        <w:rPr>
          <w:rFonts w:hint="eastAsia"/>
          <w:bCs/>
          <w:sz w:val="24"/>
          <w:szCs w:val="24"/>
        </w:rPr>
        <w:t>）依据《基金法》、《基金合同》及其他有关规定，召集基金份额持有人大会或配合基金管理人、基金份额持有人依法召集基金份额持有人大会；</w:t>
      </w:r>
    </w:p>
    <w:p w14:paraId="50A9052D"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16</w:t>
      </w:r>
      <w:r>
        <w:rPr>
          <w:rFonts w:hint="eastAsia"/>
          <w:bCs/>
          <w:sz w:val="24"/>
          <w:szCs w:val="24"/>
        </w:rPr>
        <w:t>）按照法律法规和《基金合同》的规定监督基金管理人的投资运作；</w:t>
      </w:r>
    </w:p>
    <w:p w14:paraId="7F38679C"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17</w:t>
      </w:r>
      <w:r>
        <w:rPr>
          <w:rFonts w:hint="eastAsia"/>
          <w:bCs/>
          <w:sz w:val="24"/>
          <w:szCs w:val="24"/>
        </w:rPr>
        <w:t>）参加基金财产清算小组，参与基金财产的保管、清理、估价、变现和分配；</w:t>
      </w:r>
    </w:p>
    <w:p w14:paraId="31EBCAD4"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18</w:t>
      </w:r>
      <w:r>
        <w:rPr>
          <w:rFonts w:hint="eastAsia"/>
          <w:bCs/>
          <w:sz w:val="24"/>
          <w:szCs w:val="24"/>
        </w:rPr>
        <w:t>）面临解散、依法被撤销或者被依法宣告破产时，及时报告中国证监会和银行监管机构，并通知基金管理人；</w:t>
      </w:r>
    </w:p>
    <w:p w14:paraId="3DD0E3EF"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19</w:t>
      </w:r>
      <w:r>
        <w:rPr>
          <w:rFonts w:hint="eastAsia"/>
          <w:bCs/>
          <w:sz w:val="24"/>
          <w:szCs w:val="24"/>
        </w:rPr>
        <w:t>）因违反《基金合同》导致基金财产损失时，应承担赔偿责任，其赔偿责任不因其退任而免除；</w:t>
      </w:r>
    </w:p>
    <w:p w14:paraId="11C51527"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20</w:t>
      </w:r>
      <w:r>
        <w:rPr>
          <w:rFonts w:hint="eastAsia"/>
          <w:bCs/>
          <w:sz w:val="24"/>
          <w:szCs w:val="24"/>
        </w:rPr>
        <w:t>）按规定监督基金管理人按法律法规和《基金合同》规定履行自己的义务，基金管理人因违反《基金合同》造成基金财产损失时，应为基金份额持有人利益向基金管理人追偿；</w:t>
      </w:r>
    </w:p>
    <w:p w14:paraId="50C93E07"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21</w:t>
      </w:r>
      <w:r>
        <w:rPr>
          <w:rFonts w:hint="eastAsia"/>
          <w:bCs/>
          <w:sz w:val="24"/>
          <w:szCs w:val="24"/>
        </w:rPr>
        <w:t>）执行生效的基金份额持有人大会的决议；</w:t>
      </w:r>
    </w:p>
    <w:p w14:paraId="535D699C"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22</w:t>
      </w:r>
      <w:r>
        <w:rPr>
          <w:rFonts w:hint="eastAsia"/>
          <w:bCs/>
          <w:sz w:val="24"/>
          <w:szCs w:val="24"/>
        </w:rPr>
        <w:t>）法律法规及中国证监会规定的和《基金合同》约定的其他义务。</w:t>
      </w:r>
    </w:p>
    <w:p w14:paraId="41A9620F" w14:textId="77777777" w:rsidR="003568C2" w:rsidRDefault="00695B03">
      <w:pPr>
        <w:autoSpaceDE w:val="0"/>
        <w:autoSpaceDN w:val="0"/>
        <w:spacing w:line="360" w:lineRule="auto"/>
        <w:ind w:firstLineChars="200" w:firstLine="480"/>
        <w:textAlignment w:val="bottom"/>
        <w:rPr>
          <w:bCs/>
          <w:sz w:val="24"/>
          <w:szCs w:val="20"/>
        </w:rPr>
      </w:pPr>
      <w:r>
        <w:rPr>
          <w:rFonts w:hint="eastAsia"/>
          <w:bCs/>
          <w:sz w:val="24"/>
        </w:rPr>
        <w:t>（三）基金份额持有人的权利和义务</w:t>
      </w:r>
    </w:p>
    <w:p w14:paraId="1A23B1DE" w14:textId="77777777" w:rsidR="003568C2" w:rsidRDefault="00695B03">
      <w:pPr>
        <w:spacing w:line="360" w:lineRule="auto"/>
        <w:ind w:firstLineChars="200" w:firstLine="480"/>
        <w:rPr>
          <w:bCs/>
          <w:sz w:val="24"/>
          <w:szCs w:val="24"/>
        </w:rPr>
      </w:pPr>
      <w:r>
        <w:rPr>
          <w:rFonts w:hint="eastAsia"/>
          <w:bCs/>
          <w:sz w:val="24"/>
          <w:szCs w:val="24"/>
        </w:rPr>
        <w:t>基金投资者持有本基金基金份额的行为即视为对《基金合同》的承认和接受，基金投资者自依据《基金合同》取得基金份额，即成为本基金份额持有人和《基金合同》的当事人，直至其不再持有本基金的基金份额。基金份额持有人作为《基金合同》当事人并不以在《基金合同》上书面签章或签字为必要条件。</w:t>
      </w:r>
    </w:p>
    <w:p w14:paraId="666B5203" w14:textId="77777777" w:rsidR="003568C2" w:rsidRDefault="00695B03">
      <w:pPr>
        <w:spacing w:line="360" w:lineRule="auto"/>
        <w:ind w:firstLineChars="200" w:firstLine="480"/>
        <w:rPr>
          <w:bCs/>
          <w:sz w:val="24"/>
          <w:szCs w:val="24"/>
        </w:rPr>
      </w:pPr>
      <w:r>
        <w:rPr>
          <w:rFonts w:hint="eastAsia"/>
          <w:bCs/>
          <w:sz w:val="24"/>
          <w:szCs w:val="24"/>
        </w:rPr>
        <w:lastRenderedPageBreak/>
        <w:t>同一类别每份基金份额具有同等的合法权益。本基金</w:t>
      </w:r>
      <w:r>
        <w:rPr>
          <w:bCs/>
          <w:sz w:val="24"/>
          <w:szCs w:val="24"/>
        </w:rPr>
        <w:t>A</w:t>
      </w:r>
      <w:r>
        <w:rPr>
          <w:rFonts w:hint="eastAsia"/>
          <w:bCs/>
          <w:sz w:val="24"/>
          <w:szCs w:val="24"/>
        </w:rPr>
        <w:t>类基金份额与</w:t>
      </w:r>
      <w:r>
        <w:rPr>
          <w:bCs/>
          <w:sz w:val="24"/>
          <w:szCs w:val="24"/>
        </w:rPr>
        <w:t>C</w:t>
      </w:r>
      <w:r>
        <w:rPr>
          <w:rFonts w:hint="eastAsia"/>
          <w:bCs/>
          <w:sz w:val="24"/>
          <w:szCs w:val="24"/>
        </w:rPr>
        <w:t>类基金份额由于基金份额净值的不同，基金收益分配的金额以及参与清算后的剩余基金财产分配的数量将可能有所不同。</w:t>
      </w:r>
    </w:p>
    <w:p w14:paraId="3E36180E" w14:textId="77777777" w:rsidR="003568C2" w:rsidRDefault="00695B03">
      <w:pPr>
        <w:spacing w:line="360" w:lineRule="auto"/>
        <w:ind w:firstLineChars="200" w:firstLine="480"/>
        <w:rPr>
          <w:bCs/>
          <w:sz w:val="24"/>
          <w:szCs w:val="24"/>
        </w:rPr>
      </w:pPr>
      <w:r>
        <w:rPr>
          <w:bCs/>
          <w:sz w:val="24"/>
          <w:szCs w:val="24"/>
        </w:rPr>
        <w:t>1</w:t>
      </w:r>
      <w:r>
        <w:rPr>
          <w:rFonts w:hint="eastAsia"/>
          <w:bCs/>
          <w:sz w:val="24"/>
          <w:szCs w:val="24"/>
        </w:rPr>
        <w:t>、根据《基金法》、《运作办法》及其他有关规定，基金份额持有人的权利包括但不限于：</w:t>
      </w:r>
    </w:p>
    <w:p w14:paraId="3C459832"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）分享基金财产收益；</w:t>
      </w:r>
    </w:p>
    <w:p w14:paraId="54EC781A"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）参与分配清算后的剩余基金财产；</w:t>
      </w:r>
    </w:p>
    <w:p w14:paraId="0EC8514B"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）依法申请赎回其持有的基金份额；</w:t>
      </w:r>
    </w:p>
    <w:p w14:paraId="35E3678A"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）按照规定要求召开基金份额持有人大会或者召集基金份额持有人大会；</w:t>
      </w:r>
    </w:p>
    <w:p w14:paraId="7007E2EF"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）出席或者委派代表出席基金份额持有人大会，对基金份额持有人大会审议事项行使表决权；</w:t>
      </w:r>
    </w:p>
    <w:p w14:paraId="7999E7CD"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）查阅或者复制公开披露的基金信息资料；</w:t>
      </w:r>
    </w:p>
    <w:p w14:paraId="205EA2C7"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）监督基金管理人的投资运作；</w:t>
      </w:r>
    </w:p>
    <w:p w14:paraId="69977725"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8</w:t>
      </w:r>
      <w:r>
        <w:rPr>
          <w:rFonts w:hint="eastAsia"/>
          <w:bCs/>
          <w:sz w:val="24"/>
          <w:szCs w:val="24"/>
        </w:rPr>
        <w:t>）对基金管理人、基金托管人、基金服务机构损害其合法权益的行为依法提起诉讼或仲裁；</w:t>
      </w:r>
    </w:p>
    <w:p w14:paraId="72C2B1E3"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9</w:t>
      </w:r>
      <w:r>
        <w:rPr>
          <w:rFonts w:hint="eastAsia"/>
          <w:bCs/>
          <w:sz w:val="24"/>
          <w:szCs w:val="24"/>
        </w:rPr>
        <w:t>）法律法规及中国证监会规定的和《基金合同》约定的其他权利。</w:t>
      </w:r>
    </w:p>
    <w:p w14:paraId="322F3D70" w14:textId="77777777" w:rsidR="003568C2" w:rsidRDefault="00695B03">
      <w:pPr>
        <w:spacing w:line="360" w:lineRule="auto"/>
        <w:ind w:firstLineChars="200" w:firstLine="480"/>
        <w:rPr>
          <w:bCs/>
          <w:sz w:val="24"/>
          <w:szCs w:val="24"/>
        </w:rPr>
      </w:pPr>
      <w:r>
        <w:rPr>
          <w:bCs/>
          <w:sz w:val="24"/>
          <w:szCs w:val="24"/>
        </w:rPr>
        <w:t>2</w:t>
      </w:r>
      <w:r>
        <w:rPr>
          <w:rFonts w:hint="eastAsia"/>
          <w:bCs/>
          <w:sz w:val="24"/>
          <w:szCs w:val="24"/>
        </w:rPr>
        <w:t>、根据《基金法》、《运作办法》及其他有关规定，基金份额持有人的义务包括但不限于：</w:t>
      </w:r>
    </w:p>
    <w:p w14:paraId="5954C1C9"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）认真阅读并遵守《基金合同》、招募说明书等信息披露文件；</w:t>
      </w:r>
    </w:p>
    <w:p w14:paraId="239B1C87"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）了解所投资基金产品，了解自身风险承受能力，自主判断基金的投资价值，自主做出投资决策，自行承担投资风险；</w:t>
      </w:r>
    </w:p>
    <w:p w14:paraId="10A23F16"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）关注基金信息披露，及时行使权利和履行义务；</w:t>
      </w:r>
    </w:p>
    <w:p w14:paraId="3B5AF2E1"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）缴纳基金申购款项及法律法规和《基金合同》所规定的费用；</w:t>
      </w:r>
    </w:p>
    <w:p w14:paraId="2B246AF2"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）在其持有的基金份额范围内，承担基金亏损或者《基金合同》终止的有限责任；</w:t>
      </w:r>
    </w:p>
    <w:p w14:paraId="2F278B26"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）不从事任何有损基金及其他《基金合同》当事人合法权益的活动；</w:t>
      </w:r>
    </w:p>
    <w:p w14:paraId="1B12045A"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）执行生效的基金份额持有人大会的决议；</w:t>
      </w:r>
    </w:p>
    <w:p w14:paraId="1D3DB87B"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8</w:t>
      </w:r>
      <w:r>
        <w:rPr>
          <w:rFonts w:hint="eastAsia"/>
          <w:bCs/>
          <w:sz w:val="24"/>
          <w:szCs w:val="24"/>
        </w:rPr>
        <w:t>）返还在基金交易过程中因任何原因获得的不当得利；</w:t>
      </w:r>
    </w:p>
    <w:p w14:paraId="63DAFA9B"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9</w:t>
      </w:r>
      <w:r>
        <w:rPr>
          <w:rFonts w:hint="eastAsia"/>
          <w:bCs/>
          <w:sz w:val="24"/>
          <w:szCs w:val="24"/>
        </w:rPr>
        <w:t>）法律法规及中国证监会规定的和《基金合同》约定的其他义务。</w:t>
      </w:r>
    </w:p>
    <w:p w14:paraId="62CD07CA" w14:textId="77777777" w:rsidR="003568C2" w:rsidRDefault="00695B03">
      <w:pPr>
        <w:autoSpaceDE w:val="0"/>
        <w:autoSpaceDN w:val="0"/>
        <w:spacing w:line="360" w:lineRule="auto"/>
        <w:ind w:firstLineChars="200" w:firstLine="480"/>
        <w:textAlignment w:val="bottom"/>
        <w:rPr>
          <w:bCs/>
          <w:sz w:val="24"/>
          <w:szCs w:val="20"/>
        </w:rPr>
      </w:pPr>
      <w:r>
        <w:rPr>
          <w:rFonts w:hint="eastAsia"/>
          <w:bCs/>
          <w:sz w:val="24"/>
        </w:rPr>
        <w:lastRenderedPageBreak/>
        <w:t>二、基金份额持有人大会召集、议事及表决的程序和规则</w:t>
      </w:r>
    </w:p>
    <w:p w14:paraId="6EB0B768" w14:textId="77777777" w:rsidR="003568C2" w:rsidRDefault="00695B03">
      <w:pPr>
        <w:spacing w:line="360" w:lineRule="auto"/>
        <w:ind w:firstLineChars="200" w:firstLine="480"/>
        <w:rPr>
          <w:bCs/>
          <w:sz w:val="24"/>
          <w:szCs w:val="24"/>
        </w:rPr>
      </w:pPr>
      <w:r>
        <w:rPr>
          <w:rFonts w:hint="eastAsia"/>
          <w:bCs/>
          <w:sz w:val="24"/>
          <w:szCs w:val="24"/>
        </w:rPr>
        <w:t>基金份额持有人大会由基金份额持有人组成，基金份额持有人的合法授权代表有权代表基金份额持有人出席会议并表决。基金份额持有人持有的每一基金份额拥有平等的投票权。</w:t>
      </w:r>
    </w:p>
    <w:p w14:paraId="0C79079F" w14:textId="77777777" w:rsidR="003568C2" w:rsidRDefault="00695B03">
      <w:pPr>
        <w:spacing w:line="360" w:lineRule="auto"/>
        <w:ind w:firstLineChars="200" w:firstLine="480"/>
        <w:rPr>
          <w:bCs/>
          <w:sz w:val="24"/>
          <w:szCs w:val="24"/>
        </w:rPr>
      </w:pPr>
      <w:r>
        <w:rPr>
          <w:rFonts w:hint="eastAsia"/>
          <w:bCs/>
          <w:sz w:val="24"/>
          <w:szCs w:val="24"/>
        </w:rPr>
        <w:t>本基金份额持有人大会不设日常机构。</w:t>
      </w:r>
    </w:p>
    <w:p w14:paraId="1A261589" w14:textId="77777777" w:rsidR="003568C2" w:rsidRDefault="00695B03">
      <w:pPr>
        <w:spacing w:line="360" w:lineRule="auto"/>
        <w:ind w:firstLineChars="200" w:firstLine="480"/>
        <w:rPr>
          <w:bCs/>
          <w:sz w:val="24"/>
          <w:szCs w:val="24"/>
        </w:rPr>
      </w:pPr>
      <w:r>
        <w:rPr>
          <w:rFonts w:hint="eastAsia"/>
          <w:bCs/>
          <w:sz w:val="24"/>
          <w:szCs w:val="24"/>
        </w:rPr>
        <w:t>（一）召开事由</w:t>
      </w:r>
    </w:p>
    <w:p w14:paraId="4214FA24" w14:textId="77777777" w:rsidR="003568C2" w:rsidRDefault="00695B03">
      <w:pPr>
        <w:spacing w:line="360" w:lineRule="auto"/>
        <w:ind w:firstLineChars="200" w:firstLine="480"/>
        <w:rPr>
          <w:bCs/>
          <w:sz w:val="24"/>
          <w:szCs w:val="24"/>
        </w:rPr>
      </w:pPr>
      <w:r>
        <w:rPr>
          <w:bCs/>
          <w:sz w:val="24"/>
          <w:szCs w:val="24"/>
        </w:rPr>
        <w:t>1</w:t>
      </w:r>
      <w:r>
        <w:rPr>
          <w:rFonts w:hint="eastAsia"/>
          <w:bCs/>
          <w:sz w:val="24"/>
          <w:szCs w:val="24"/>
        </w:rPr>
        <w:t>、当出现或需要决定下列事由之一的，应当召开基金份额持有人大会：</w:t>
      </w:r>
    </w:p>
    <w:p w14:paraId="39CD1AF5" w14:textId="77777777" w:rsidR="003568C2" w:rsidRDefault="00695B03">
      <w:pPr>
        <w:spacing w:line="440" w:lineRule="atLeast"/>
        <w:ind w:firstLineChars="200" w:firstLine="480"/>
        <w:rPr>
          <w:bCs/>
          <w:sz w:val="24"/>
          <w:szCs w:val="24"/>
        </w:rPr>
      </w:pPr>
      <w:r>
        <w:rPr>
          <w:rFonts w:hint="eastAsia"/>
          <w:bCs/>
          <w:sz w:val="24"/>
          <w:szCs w:val="24"/>
        </w:rPr>
        <w:t>（</w:t>
      </w:r>
      <w:r>
        <w:rPr>
          <w:bCs/>
          <w:sz w:val="24"/>
          <w:szCs w:val="24"/>
        </w:rPr>
        <w:t>1</w:t>
      </w:r>
      <w:r>
        <w:rPr>
          <w:rFonts w:hint="eastAsia"/>
          <w:bCs/>
          <w:sz w:val="24"/>
          <w:szCs w:val="24"/>
        </w:rPr>
        <w:t>）终止《基金合同》；</w:t>
      </w:r>
    </w:p>
    <w:p w14:paraId="0C9007B7" w14:textId="77777777" w:rsidR="003568C2" w:rsidRDefault="00695B03">
      <w:pPr>
        <w:spacing w:line="440" w:lineRule="atLeast"/>
        <w:ind w:firstLineChars="200" w:firstLine="480"/>
        <w:rPr>
          <w:bCs/>
          <w:sz w:val="24"/>
          <w:szCs w:val="24"/>
        </w:rPr>
      </w:pPr>
      <w:r>
        <w:rPr>
          <w:rFonts w:hint="eastAsia"/>
          <w:bCs/>
          <w:sz w:val="24"/>
          <w:szCs w:val="24"/>
        </w:rPr>
        <w:t>（</w:t>
      </w:r>
      <w:r>
        <w:rPr>
          <w:bCs/>
          <w:sz w:val="24"/>
          <w:szCs w:val="24"/>
        </w:rPr>
        <w:t>2</w:t>
      </w:r>
      <w:r>
        <w:rPr>
          <w:rFonts w:hint="eastAsia"/>
          <w:bCs/>
          <w:sz w:val="24"/>
          <w:szCs w:val="24"/>
        </w:rPr>
        <w:t>）更换基金管理人；</w:t>
      </w:r>
    </w:p>
    <w:p w14:paraId="0C84C1BD" w14:textId="77777777" w:rsidR="003568C2" w:rsidRDefault="00695B03">
      <w:pPr>
        <w:spacing w:line="440" w:lineRule="atLeast"/>
        <w:ind w:firstLineChars="200" w:firstLine="480"/>
        <w:rPr>
          <w:bCs/>
          <w:sz w:val="24"/>
          <w:szCs w:val="24"/>
        </w:rPr>
      </w:pPr>
      <w:r>
        <w:rPr>
          <w:rFonts w:hint="eastAsia"/>
          <w:bCs/>
          <w:sz w:val="24"/>
          <w:szCs w:val="24"/>
        </w:rPr>
        <w:t>（</w:t>
      </w:r>
      <w:r>
        <w:rPr>
          <w:bCs/>
          <w:sz w:val="24"/>
          <w:szCs w:val="24"/>
        </w:rPr>
        <w:t>3</w:t>
      </w:r>
      <w:r>
        <w:rPr>
          <w:rFonts w:hint="eastAsia"/>
          <w:bCs/>
          <w:sz w:val="24"/>
          <w:szCs w:val="24"/>
        </w:rPr>
        <w:t>）更换基金托管人；</w:t>
      </w:r>
    </w:p>
    <w:p w14:paraId="5C09235C" w14:textId="77777777" w:rsidR="003568C2" w:rsidRDefault="00695B03">
      <w:pPr>
        <w:spacing w:line="440" w:lineRule="atLeast"/>
        <w:ind w:firstLineChars="200" w:firstLine="480"/>
        <w:rPr>
          <w:bCs/>
          <w:sz w:val="24"/>
          <w:szCs w:val="24"/>
        </w:rPr>
      </w:pPr>
      <w:r>
        <w:rPr>
          <w:rFonts w:hint="eastAsia"/>
          <w:bCs/>
          <w:sz w:val="24"/>
          <w:szCs w:val="24"/>
        </w:rPr>
        <w:t>（</w:t>
      </w:r>
      <w:r>
        <w:rPr>
          <w:bCs/>
          <w:sz w:val="24"/>
          <w:szCs w:val="24"/>
        </w:rPr>
        <w:t>4</w:t>
      </w:r>
      <w:r>
        <w:rPr>
          <w:rFonts w:hint="eastAsia"/>
          <w:bCs/>
          <w:sz w:val="24"/>
          <w:szCs w:val="24"/>
        </w:rPr>
        <w:t>）转换基金运作方式；</w:t>
      </w:r>
    </w:p>
    <w:p w14:paraId="659E66FF" w14:textId="77777777" w:rsidR="003568C2" w:rsidRDefault="00695B03">
      <w:pPr>
        <w:spacing w:line="440" w:lineRule="atLeast"/>
        <w:ind w:firstLineChars="200" w:firstLine="480"/>
        <w:rPr>
          <w:bCs/>
          <w:sz w:val="24"/>
          <w:szCs w:val="24"/>
        </w:rPr>
      </w:pPr>
      <w:r>
        <w:rPr>
          <w:rFonts w:hint="eastAsia"/>
          <w:bCs/>
          <w:sz w:val="24"/>
          <w:szCs w:val="24"/>
        </w:rPr>
        <w:t>（</w:t>
      </w:r>
      <w:r>
        <w:rPr>
          <w:bCs/>
          <w:sz w:val="24"/>
          <w:szCs w:val="24"/>
        </w:rPr>
        <w:t>5</w:t>
      </w:r>
      <w:r>
        <w:rPr>
          <w:rFonts w:hint="eastAsia"/>
          <w:bCs/>
          <w:sz w:val="24"/>
          <w:szCs w:val="24"/>
        </w:rPr>
        <w:t>）调整基金管理人、基金托管人报酬标准或调高销售服务费率；</w:t>
      </w:r>
    </w:p>
    <w:p w14:paraId="08E23808" w14:textId="77777777" w:rsidR="003568C2" w:rsidRDefault="00695B03">
      <w:pPr>
        <w:spacing w:line="440" w:lineRule="atLeast"/>
        <w:ind w:firstLineChars="200" w:firstLine="480"/>
        <w:rPr>
          <w:bCs/>
          <w:sz w:val="24"/>
          <w:szCs w:val="24"/>
        </w:rPr>
      </w:pPr>
      <w:r>
        <w:rPr>
          <w:rFonts w:hint="eastAsia"/>
          <w:bCs/>
          <w:sz w:val="24"/>
          <w:szCs w:val="24"/>
        </w:rPr>
        <w:t>（</w:t>
      </w:r>
      <w:r>
        <w:rPr>
          <w:bCs/>
          <w:sz w:val="24"/>
          <w:szCs w:val="24"/>
        </w:rPr>
        <w:t>6</w:t>
      </w:r>
      <w:r>
        <w:rPr>
          <w:rFonts w:hint="eastAsia"/>
          <w:bCs/>
          <w:sz w:val="24"/>
          <w:szCs w:val="24"/>
        </w:rPr>
        <w:t>）变更基金类别；</w:t>
      </w:r>
    </w:p>
    <w:p w14:paraId="698C33E4" w14:textId="77777777" w:rsidR="003568C2" w:rsidRDefault="00695B03">
      <w:pPr>
        <w:spacing w:line="440" w:lineRule="atLeast"/>
        <w:ind w:firstLineChars="200" w:firstLine="480"/>
        <w:rPr>
          <w:sz w:val="24"/>
          <w:szCs w:val="24"/>
        </w:rPr>
      </w:pPr>
      <w:r>
        <w:rPr>
          <w:rFonts w:hint="eastAsia"/>
          <w:sz w:val="24"/>
          <w:szCs w:val="24"/>
        </w:rPr>
        <w:t>（</w:t>
      </w:r>
      <w:r>
        <w:rPr>
          <w:sz w:val="24"/>
          <w:szCs w:val="24"/>
        </w:rPr>
        <w:t>7</w:t>
      </w:r>
      <w:r>
        <w:rPr>
          <w:rFonts w:hint="eastAsia"/>
          <w:sz w:val="24"/>
          <w:szCs w:val="24"/>
        </w:rPr>
        <w:t>）本基金与其他基金的合并；</w:t>
      </w:r>
    </w:p>
    <w:p w14:paraId="42AF9961" w14:textId="77777777" w:rsidR="003568C2" w:rsidRDefault="00695B03">
      <w:pPr>
        <w:spacing w:line="440" w:lineRule="atLeast"/>
        <w:ind w:firstLineChars="200" w:firstLine="480"/>
        <w:rPr>
          <w:bCs/>
          <w:sz w:val="24"/>
          <w:szCs w:val="24"/>
        </w:rPr>
      </w:pPr>
      <w:r>
        <w:rPr>
          <w:rFonts w:hint="eastAsia"/>
          <w:bCs/>
          <w:sz w:val="24"/>
          <w:szCs w:val="24"/>
        </w:rPr>
        <w:t>（</w:t>
      </w:r>
      <w:r>
        <w:rPr>
          <w:bCs/>
          <w:sz w:val="24"/>
          <w:szCs w:val="24"/>
        </w:rPr>
        <w:t>8</w:t>
      </w:r>
      <w:r>
        <w:rPr>
          <w:rFonts w:hint="eastAsia"/>
          <w:bCs/>
          <w:sz w:val="24"/>
          <w:szCs w:val="24"/>
        </w:rPr>
        <w:t>）变更基金投资目标、范围或策略；</w:t>
      </w:r>
    </w:p>
    <w:p w14:paraId="659BF920" w14:textId="77777777" w:rsidR="003568C2" w:rsidRDefault="00695B03">
      <w:pPr>
        <w:spacing w:line="440" w:lineRule="atLeast"/>
        <w:ind w:firstLineChars="200" w:firstLine="480"/>
        <w:rPr>
          <w:bCs/>
          <w:sz w:val="24"/>
          <w:szCs w:val="24"/>
        </w:rPr>
      </w:pPr>
      <w:r>
        <w:rPr>
          <w:rFonts w:hint="eastAsia"/>
          <w:bCs/>
          <w:sz w:val="24"/>
          <w:szCs w:val="24"/>
        </w:rPr>
        <w:t>（</w:t>
      </w:r>
      <w:r>
        <w:rPr>
          <w:bCs/>
          <w:sz w:val="24"/>
          <w:szCs w:val="24"/>
        </w:rPr>
        <w:t>9</w:t>
      </w:r>
      <w:r>
        <w:rPr>
          <w:rFonts w:hint="eastAsia"/>
          <w:bCs/>
          <w:sz w:val="24"/>
          <w:szCs w:val="24"/>
        </w:rPr>
        <w:t>）变更基金份额持有人大会程序；</w:t>
      </w:r>
    </w:p>
    <w:p w14:paraId="2BB12721" w14:textId="77777777" w:rsidR="003568C2" w:rsidRDefault="00695B03">
      <w:pPr>
        <w:spacing w:line="440" w:lineRule="atLeast"/>
        <w:ind w:firstLineChars="200" w:firstLine="480"/>
        <w:rPr>
          <w:bCs/>
          <w:sz w:val="24"/>
          <w:szCs w:val="24"/>
        </w:rPr>
      </w:pPr>
      <w:r>
        <w:rPr>
          <w:rFonts w:hint="eastAsia"/>
          <w:bCs/>
          <w:sz w:val="24"/>
          <w:szCs w:val="24"/>
        </w:rPr>
        <w:t>（</w:t>
      </w:r>
      <w:r>
        <w:rPr>
          <w:bCs/>
          <w:sz w:val="24"/>
          <w:szCs w:val="24"/>
        </w:rPr>
        <w:t>10</w:t>
      </w:r>
      <w:r>
        <w:rPr>
          <w:rFonts w:hint="eastAsia"/>
          <w:bCs/>
          <w:sz w:val="24"/>
          <w:szCs w:val="24"/>
        </w:rPr>
        <w:t>）基金管理人或基金托管人要求召开基金份额持有人大会；</w:t>
      </w:r>
    </w:p>
    <w:p w14:paraId="4636E30C" w14:textId="77777777" w:rsidR="003568C2" w:rsidRDefault="00695B03">
      <w:pPr>
        <w:spacing w:line="440" w:lineRule="atLeast"/>
        <w:ind w:firstLineChars="200" w:firstLine="480"/>
        <w:rPr>
          <w:bCs/>
          <w:sz w:val="24"/>
          <w:szCs w:val="24"/>
        </w:rPr>
      </w:pPr>
      <w:r>
        <w:rPr>
          <w:rFonts w:hint="eastAsia"/>
          <w:bCs/>
          <w:sz w:val="24"/>
          <w:szCs w:val="24"/>
        </w:rPr>
        <w:t>（</w:t>
      </w:r>
      <w:r>
        <w:rPr>
          <w:bCs/>
          <w:sz w:val="24"/>
          <w:szCs w:val="24"/>
        </w:rPr>
        <w:t>11</w:t>
      </w:r>
      <w:r>
        <w:rPr>
          <w:rFonts w:hint="eastAsia"/>
          <w:bCs/>
          <w:sz w:val="24"/>
          <w:szCs w:val="24"/>
        </w:rPr>
        <w:t>）单独或合计持有本基金总份额</w:t>
      </w:r>
      <w:r>
        <w:rPr>
          <w:bCs/>
          <w:sz w:val="24"/>
          <w:szCs w:val="24"/>
        </w:rPr>
        <w:t>10%</w:t>
      </w:r>
      <w:r>
        <w:rPr>
          <w:rFonts w:hint="eastAsia"/>
          <w:bCs/>
          <w:sz w:val="24"/>
          <w:szCs w:val="24"/>
        </w:rPr>
        <w:t>以上（含</w:t>
      </w:r>
      <w:r>
        <w:rPr>
          <w:bCs/>
          <w:sz w:val="24"/>
          <w:szCs w:val="24"/>
        </w:rPr>
        <w:t>10%</w:t>
      </w:r>
      <w:r>
        <w:rPr>
          <w:rFonts w:hint="eastAsia"/>
          <w:bCs/>
          <w:sz w:val="24"/>
          <w:szCs w:val="24"/>
        </w:rPr>
        <w:t>）基金份额的基金份额持有人（以基金管理人收到提议当日的基金份额计算，下同）就同一事项书面要求召开基金份额持有人大会；</w:t>
      </w:r>
    </w:p>
    <w:p w14:paraId="42B116D4" w14:textId="77777777" w:rsidR="003568C2" w:rsidRDefault="00695B03">
      <w:pPr>
        <w:spacing w:line="440" w:lineRule="atLeast"/>
        <w:ind w:firstLineChars="200" w:firstLine="480"/>
        <w:rPr>
          <w:bCs/>
          <w:sz w:val="24"/>
          <w:szCs w:val="24"/>
        </w:rPr>
      </w:pPr>
      <w:r>
        <w:rPr>
          <w:rFonts w:hint="eastAsia"/>
          <w:bCs/>
          <w:sz w:val="24"/>
          <w:szCs w:val="24"/>
        </w:rPr>
        <w:t>（</w:t>
      </w:r>
      <w:r>
        <w:rPr>
          <w:bCs/>
          <w:sz w:val="24"/>
          <w:szCs w:val="24"/>
        </w:rPr>
        <w:t>12</w:t>
      </w:r>
      <w:r>
        <w:rPr>
          <w:rFonts w:hint="eastAsia"/>
          <w:bCs/>
          <w:sz w:val="24"/>
          <w:szCs w:val="24"/>
        </w:rPr>
        <w:t>）对基金合同当事人权利和义务产生重大</w:t>
      </w:r>
      <w:r>
        <w:rPr>
          <w:rFonts w:hint="eastAsia"/>
          <w:sz w:val="24"/>
          <w:szCs w:val="24"/>
        </w:rPr>
        <w:t>影响</w:t>
      </w:r>
      <w:r>
        <w:rPr>
          <w:rFonts w:hint="eastAsia"/>
          <w:bCs/>
          <w:sz w:val="24"/>
          <w:szCs w:val="24"/>
        </w:rPr>
        <w:t>的其他事项；</w:t>
      </w:r>
    </w:p>
    <w:p w14:paraId="1EC5AA32" w14:textId="77777777" w:rsidR="003568C2" w:rsidRDefault="00695B03">
      <w:pPr>
        <w:spacing w:line="440" w:lineRule="atLeast"/>
        <w:ind w:firstLineChars="200" w:firstLine="480"/>
        <w:rPr>
          <w:bCs/>
          <w:sz w:val="24"/>
          <w:szCs w:val="24"/>
        </w:rPr>
      </w:pPr>
      <w:r>
        <w:rPr>
          <w:rFonts w:hint="eastAsia"/>
          <w:bCs/>
          <w:sz w:val="24"/>
          <w:szCs w:val="24"/>
        </w:rPr>
        <w:t>（</w:t>
      </w:r>
      <w:r>
        <w:rPr>
          <w:bCs/>
          <w:sz w:val="24"/>
          <w:szCs w:val="24"/>
        </w:rPr>
        <w:t>13</w:t>
      </w:r>
      <w:r>
        <w:rPr>
          <w:rFonts w:hint="eastAsia"/>
          <w:bCs/>
          <w:sz w:val="24"/>
          <w:szCs w:val="24"/>
        </w:rPr>
        <w:t>）法律法规、《基金合同》或中国证监会规定的其他应当召开基金份额持有人大会的事项。</w:t>
      </w:r>
    </w:p>
    <w:p w14:paraId="201EF836" w14:textId="77777777" w:rsidR="003568C2" w:rsidRDefault="00695B03">
      <w:pPr>
        <w:spacing w:line="360" w:lineRule="auto"/>
        <w:ind w:firstLineChars="200" w:firstLine="480"/>
        <w:rPr>
          <w:bCs/>
          <w:sz w:val="24"/>
          <w:szCs w:val="24"/>
        </w:rPr>
      </w:pPr>
      <w:r>
        <w:rPr>
          <w:bCs/>
          <w:sz w:val="24"/>
          <w:szCs w:val="24"/>
        </w:rPr>
        <w:t>2</w:t>
      </w:r>
      <w:r>
        <w:rPr>
          <w:rFonts w:hint="eastAsia"/>
          <w:bCs/>
          <w:sz w:val="24"/>
          <w:szCs w:val="24"/>
        </w:rPr>
        <w:t>、以下情况可由基金管理人和基金托管人协商后修改，不需召开基金份额持有人大会：</w:t>
      </w:r>
    </w:p>
    <w:p w14:paraId="5F25045C"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）调低销售服务费；</w:t>
      </w:r>
    </w:p>
    <w:p w14:paraId="2A2527F9"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）法律法规要求增加的基金费用的收取；</w:t>
      </w:r>
    </w:p>
    <w:p w14:paraId="6E7B3A2B" w14:textId="77777777" w:rsidR="003568C2" w:rsidRDefault="00695B03">
      <w:pPr>
        <w:spacing w:line="360" w:lineRule="auto"/>
        <w:ind w:firstLineChars="200" w:firstLine="480"/>
        <w:rPr>
          <w:sz w:val="24"/>
          <w:szCs w:val="24"/>
        </w:rPr>
      </w:pPr>
      <w:r>
        <w:rPr>
          <w:rFonts w:hint="eastAsia"/>
          <w:bCs/>
          <w:sz w:val="24"/>
          <w:szCs w:val="24"/>
        </w:rPr>
        <w:t>（</w:t>
      </w:r>
      <w:r>
        <w:rPr>
          <w:bCs/>
          <w:sz w:val="24"/>
          <w:szCs w:val="24"/>
        </w:rPr>
        <w:t>3</w:t>
      </w:r>
      <w:r>
        <w:rPr>
          <w:rFonts w:hint="eastAsia"/>
          <w:bCs/>
          <w:sz w:val="24"/>
          <w:szCs w:val="24"/>
        </w:rPr>
        <w:t>）在法律法规和《基金合同》规定的范围内且对</w:t>
      </w:r>
      <w:r>
        <w:rPr>
          <w:rFonts w:hint="eastAsia"/>
          <w:sz w:val="24"/>
          <w:szCs w:val="24"/>
        </w:rPr>
        <w:t>现有基金份额持有人利益</w:t>
      </w:r>
      <w:r>
        <w:rPr>
          <w:rFonts w:hint="eastAsia"/>
          <w:bCs/>
          <w:sz w:val="24"/>
          <w:szCs w:val="24"/>
        </w:rPr>
        <w:t>无实质性不利影响</w:t>
      </w:r>
      <w:r>
        <w:rPr>
          <w:rFonts w:hint="eastAsia"/>
          <w:sz w:val="24"/>
          <w:szCs w:val="24"/>
        </w:rPr>
        <w:t>的前提下</w:t>
      </w:r>
      <w:r>
        <w:rPr>
          <w:rFonts w:hint="eastAsia"/>
          <w:bCs/>
          <w:sz w:val="24"/>
          <w:szCs w:val="24"/>
        </w:rPr>
        <w:t>调整本基金的申购费率、调低赎回费率或</w:t>
      </w:r>
      <w:r>
        <w:rPr>
          <w:rFonts w:hint="eastAsia"/>
          <w:sz w:val="24"/>
          <w:szCs w:val="24"/>
        </w:rPr>
        <w:t>变更收费方式、增加、减少或调整基金份额类别设置、对基金份额分类办法及规则进行调</w:t>
      </w:r>
      <w:r>
        <w:rPr>
          <w:rFonts w:hint="eastAsia"/>
          <w:sz w:val="24"/>
          <w:szCs w:val="24"/>
        </w:rPr>
        <w:lastRenderedPageBreak/>
        <w:t>整、推出新业务或新服务；</w:t>
      </w:r>
    </w:p>
    <w:p w14:paraId="0873851A"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）因相应的法律法规发生变动而应当对《基金合同》进行修改；</w:t>
      </w:r>
    </w:p>
    <w:p w14:paraId="52C5E520"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）对《基金合同》的修改对基金份额持有人利益无实质性不利影响或修改不涉及《基金合同》当事人权利义务关系发生重大变化；</w:t>
      </w:r>
    </w:p>
    <w:p w14:paraId="0CF3DCB0"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）按照法律法规和《基金合同》规定不需召开基金份额持有人大会的其他情形。</w:t>
      </w:r>
    </w:p>
    <w:p w14:paraId="0265FA2C" w14:textId="77777777" w:rsidR="003568C2" w:rsidRDefault="00695B03">
      <w:pPr>
        <w:spacing w:line="360" w:lineRule="auto"/>
        <w:ind w:firstLineChars="200" w:firstLine="480"/>
        <w:rPr>
          <w:bCs/>
          <w:sz w:val="24"/>
          <w:szCs w:val="24"/>
        </w:rPr>
      </w:pPr>
      <w:r>
        <w:rPr>
          <w:rFonts w:hint="eastAsia"/>
          <w:bCs/>
          <w:sz w:val="24"/>
          <w:szCs w:val="24"/>
        </w:rPr>
        <w:t>（二）会议召集人及召集方式</w:t>
      </w:r>
    </w:p>
    <w:p w14:paraId="1D3B203C" w14:textId="77777777" w:rsidR="003568C2" w:rsidRDefault="00695B03">
      <w:pPr>
        <w:spacing w:line="360" w:lineRule="auto"/>
        <w:ind w:firstLineChars="200" w:firstLine="480"/>
        <w:rPr>
          <w:bCs/>
          <w:sz w:val="24"/>
          <w:szCs w:val="24"/>
        </w:rPr>
      </w:pPr>
      <w:r>
        <w:rPr>
          <w:bCs/>
          <w:sz w:val="24"/>
          <w:szCs w:val="24"/>
        </w:rPr>
        <w:t>1</w:t>
      </w:r>
      <w:r>
        <w:rPr>
          <w:rFonts w:hint="eastAsia"/>
          <w:bCs/>
          <w:sz w:val="24"/>
          <w:szCs w:val="24"/>
        </w:rPr>
        <w:t>、除法律法规规定或《基金合同》另有约定外，基金份额持有人大会由基金管理人召集；</w:t>
      </w:r>
    </w:p>
    <w:p w14:paraId="005064C3" w14:textId="77777777" w:rsidR="003568C2" w:rsidRDefault="00695B03">
      <w:pPr>
        <w:spacing w:line="360" w:lineRule="auto"/>
        <w:ind w:firstLineChars="200" w:firstLine="480"/>
        <w:rPr>
          <w:bCs/>
          <w:sz w:val="24"/>
          <w:szCs w:val="24"/>
        </w:rPr>
      </w:pPr>
      <w:r>
        <w:rPr>
          <w:bCs/>
          <w:sz w:val="24"/>
          <w:szCs w:val="24"/>
        </w:rPr>
        <w:t>2</w:t>
      </w:r>
      <w:r>
        <w:rPr>
          <w:rFonts w:hint="eastAsia"/>
          <w:bCs/>
          <w:sz w:val="24"/>
          <w:szCs w:val="24"/>
        </w:rPr>
        <w:t>、基金管理人未按规定召集或不能召集时，由基金托管人召集；</w:t>
      </w:r>
    </w:p>
    <w:p w14:paraId="2736317B" w14:textId="77777777" w:rsidR="003568C2" w:rsidRDefault="00695B03">
      <w:pPr>
        <w:spacing w:line="360" w:lineRule="auto"/>
        <w:ind w:firstLineChars="200" w:firstLine="480"/>
        <w:rPr>
          <w:sz w:val="24"/>
          <w:szCs w:val="24"/>
        </w:rPr>
      </w:pPr>
      <w:r>
        <w:rPr>
          <w:bCs/>
          <w:sz w:val="24"/>
          <w:szCs w:val="24"/>
        </w:rPr>
        <w:t>3</w:t>
      </w:r>
      <w:r>
        <w:rPr>
          <w:rFonts w:hint="eastAsia"/>
          <w:bCs/>
          <w:sz w:val="24"/>
          <w:szCs w:val="24"/>
        </w:rPr>
        <w:t>、基金托管人认为有必要召开基金份额持有人大会的，应当向基金管理人提出书面提议。基金管理人应当自收到书面提议之日起</w:t>
      </w:r>
      <w:r>
        <w:rPr>
          <w:bCs/>
          <w:sz w:val="24"/>
          <w:szCs w:val="24"/>
        </w:rPr>
        <w:t>10</w:t>
      </w:r>
      <w:r>
        <w:rPr>
          <w:rFonts w:hint="eastAsia"/>
          <w:bCs/>
          <w:sz w:val="24"/>
          <w:szCs w:val="24"/>
        </w:rPr>
        <w:t>日内决定是否召集，并书面告知基金托管人。基金管理人决定召集的，应当自出具书面决定之日起日</w:t>
      </w:r>
      <w:r>
        <w:rPr>
          <w:bCs/>
          <w:sz w:val="24"/>
          <w:szCs w:val="24"/>
        </w:rPr>
        <w:t>60</w:t>
      </w:r>
      <w:r>
        <w:rPr>
          <w:rFonts w:hint="eastAsia"/>
          <w:bCs/>
          <w:sz w:val="24"/>
          <w:szCs w:val="24"/>
        </w:rPr>
        <w:t>日内召开；基金管理人决定不召集，基金托管人仍认为有必要召开的，应当由基金托管人自行召集，并自出具书面决定之日起</w:t>
      </w:r>
      <w:r>
        <w:rPr>
          <w:bCs/>
          <w:sz w:val="24"/>
          <w:szCs w:val="24"/>
        </w:rPr>
        <w:t>60</w:t>
      </w:r>
      <w:r>
        <w:rPr>
          <w:rFonts w:hint="eastAsia"/>
          <w:bCs/>
          <w:sz w:val="24"/>
          <w:szCs w:val="24"/>
        </w:rPr>
        <w:t>日内召开并告知基金管理人，基金管理人应当配合；</w:t>
      </w:r>
    </w:p>
    <w:p w14:paraId="65150EB4" w14:textId="77777777" w:rsidR="003568C2" w:rsidRDefault="00695B03">
      <w:pPr>
        <w:spacing w:line="360" w:lineRule="auto"/>
        <w:ind w:firstLineChars="200" w:firstLine="480"/>
        <w:rPr>
          <w:bCs/>
          <w:sz w:val="24"/>
          <w:szCs w:val="24"/>
        </w:rPr>
      </w:pPr>
      <w:r>
        <w:rPr>
          <w:bCs/>
          <w:sz w:val="24"/>
          <w:szCs w:val="24"/>
        </w:rPr>
        <w:t>4</w:t>
      </w:r>
      <w:r>
        <w:rPr>
          <w:rFonts w:hint="eastAsia"/>
          <w:bCs/>
          <w:sz w:val="24"/>
          <w:szCs w:val="24"/>
        </w:rPr>
        <w:t>、代表基金份额</w:t>
      </w:r>
      <w:r>
        <w:rPr>
          <w:bCs/>
          <w:sz w:val="24"/>
          <w:szCs w:val="24"/>
        </w:rPr>
        <w:t>10%</w:t>
      </w:r>
      <w:r>
        <w:rPr>
          <w:rFonts w:hint="eastAsia"/>
          <w:bCs/>
          <w:sz w:val="24"/>
          <w:szCs w:val="24"/>
        </w:rPr>
        <w:t>以上（含</w:t>
      </w:r>
      <w:r>
        <w:rPr>
          <w:bCs/>
          <w:sz w:val="24"/>
          <w:szCs w:val="24"/>
        </w:rPr>
        <w:t>10%</w:t>
      </w:r>
      <w:r>
        <w:rPr>
          <w:rFonts w:hint="eastAsia"/>
          <w:bCs/>
          <w:sz w:val="24"/>
          <w:szCs w:val="24"/>
        </w:rPr>
        <w:t>）的基金份额持有人就同一事项书面要求召开基金份额持有人大会，应当向基金管理人提出书面提议。基金管理人应当自收到书面提议之日起</w:t>
      </w:r>
      <w:r>
        <w:rPr>
          <w:bCs/>
          <w:sz w:val="24"/>
          <w:szCs w:val="24"/>
        </w:rPr>
        <w:t>10</w:t>
      </w:r>
      <w:r>
        <w:rPr>
          <w:rFonts w:hint="eastAsia"/>
          <w:bCs/>
          <w:sz w:val="24"/>
          <w:szCs w:val="24"/>
        </w:rPr>
        <w:t>日内决定是否召集，并书面告知提出提议的基金份额持有人代表和基金托管人。基金管理人决定召集的，应当自出具书面决定之日起</w:t>
      </w:r>
      <w:r>
        <w:rPr>
          <w:bCs/>
          <w:sz w:val="24"/>
          <w:szCs w:val="24"/>
        </w:rPr>
        <w:t>60</w:t>
      </w:r>
      <w:r>
        <w:rPr>
          <w:rFonts w:hint="eastAsia"/>
          <w:bCs/>
          <w:sz w:val="24"/>
          <w:szCs w:val="24"/>
        </w:rPr>
        <w:t>日内召开；基金管理人决定不召集，代表基金份额</w:t>
      </w:r>
      <w:r>
        <w:rPr>
          <w:bCs/>
          <w:sz w:val="24"/>
          <w:szCs w:val="24"/>
        </w:rPr>
        <w:t>10%</w:t>
      </w:r>
      <w:r>
        <w:rPr>
          <w:rFonts w:hint="eastAsia"/>
          <w:bCs/>
          <w:sz w:val="24"/>
          <w:szCs w:val="24"/>
        </w:rPr>
        <w:t>以上（含</w:t>
      </w:r>
      <w:r>
        <w:rPr>
          <w:bCs/>
          <w:sz w:val="24"/>
          <w:szCs w:val="24"/>
        </w:rPr>
        <w:t>10%</w:t>
      </w:r>
      <w:r>
        <w:rPr>
          <w:rFonts w:hint="eastAsia"/>
          <w:bCs/>
          <w:sz w:val="24"/>
          <w:szCs w:val="24"/>
        </w:rPr>
        <w:t>）的基金份额持有人仍认为有必要召开的，应当向基金托管人提出书面提议。基金托管人应当自收到书面提议之日起</w:t>
      </w:r>
      <w:r>
        <w:rPr>
          <w:bCs/>
          <w:sz w:val="24"/>
          <w:szCs w:val="24"/>
        </w:rPr>
        <w:t>10</w:t>
      </w:r>
      <w:r>
        <w:rPr>
          <w:rFonts w:hint="eastAsia"/>
          <w:bCs/>
          <w:sz w:val="24"/>
          <w:szCs w:val="24"/>
        </w:rPr>
        <w:t>日内决定是否召集，并书面告知提出提议的基金份额持有人代表和基金管理人；基金托管人决定召集的，应当自出具书面决定之日起</w:t>
      </w:r>
      <w:r>
        <w:rPr>
          <w:bCs/>
          <w:sz w:val="24"/>
          <w:szCs w:val="24"/>
        </w:rPr>
        <w:t>60</w:t>
      </w:r>
      <w:r>
        <w:rPr>
          <w:rFonts w:hint="eastAsia"/>
          <w:bCs/>
          <w:sz w:val="24"/>
          <w:szCs w:val="24"/>
        </w:rPr>
        <w:t>日内召开并告知基金管理人，基金管理人应当配合；</w:t>
      </w:r>
    </w:p>
    <w:p w14:paraId="73E20181" w14:textId="77777777" w:rsidR="003568C2" w:rsidRDefault="00695B03">
      <w:pPr>
        <w:spacing w:line="360" w:lineRule="auto"/>
        <w:ind w:firstLineChars="200" w:firstLine="480"/>
        <w:rPr>
          <w:bCs/>
          <w:sz w:val="24"/>
          <w:szCs w:val="24"/>
        </w:rPr>
      </w:pPr>
      <w:r>
        <w:rPr>
          <w:bCs/>
          <w:sz w:val="24"/>
          <w:szCs w:val="24"/>
        </w:rPr>
        <w:t>5</w:t>
      </w:r>
      <w:r>
        <w:rPr>
          <w:rFonts w:hint="eastAsia"/>
          <w:bCs/>
          <w:sz w:val="24"/>
          <w:szCs w:val="24"/>
        </w:rPr>
        <w:t>、代表基金份额</w:t>
      </w:r>
      <w:r>
        <w:rPr>
          <w:bCs/>
          <w:sz w:val="24"/>
          <w:szCs w:val="24"/>
        </w:rPr>
        <w:t>10%</w:t>
      </w:r>
      <w:r>
        <w:rPr>
          <w:rFonts w:hint="eastAsia"/>
          <w:bCs/>
          <w:sz w:val="24"/>
          <w:szCs w:val="24"/>
        </w:rPr>
        <w:t>以上（含</w:t>
      </w:r>
      <w:r>
        <w:rPr>
          <w:bCs/>
          <w:sz w:val="24"/>
          <w:szCs w:val="24"/>
        </w:rPr>
        <w:t>10%</w:t>
      </w:r>
      <w:r>
        <w:rPr>
          <w:rFonts w:hint="eastAsia"/>
          <w:bCs/>
          <w:sz w:val="24"/>
          <w:szCs w:val="24"/>
        </w:rPr>
        <w:t>）的基金份额持有人就同一事项要求召开基金份额持有人大会，而基金管理人、基金托管人都不召集的，单独或合计代表基金份额</w:t>
      </w:r>
      <w:r>
        <w:rPr>
          <w:bCs/>
          <w:sz w:val="24"/>
          <w:szCs w:val="24"/>
        </w:rPr>
        <w:t>10%</w:t>
      </w:r>
      <w:r>
        <w:rPr>
          <w:rFonts w:hint="eastAsia"/>
          <w:bCs/>
          <w:sz w:val="24"/>
          <w:szCs w:val="24"/>
        </w:rPr>
        <w:t>以上（含</w:t>
      </w:r>
      <w:r>
        <w:rPr>
          <w:bCs/>
          <w:sz w:val="24"/>
          <w:szCs w:val="24"/>
        </w:rPr>
        <w:t>10%</w:t>
      </w:r>
      <w:r>
        <w:rPr>
          <w:rFonts w:hint="eastAsia"/>
          <w:bCs/>
          <w:sz w:val="24"/>
          <w:szCs w:val="24"/>
        </w:rPr>
        <w:t>）的基金份额持有人有权自行召集，并至少提前</w:t>
      </w:r>
      <w:r>
        <w:rPr>
          <w:bCs/>
          <w:sz w:val="24"/>
          <w:szCs w:val="24"/>
        </w:rPr>
        <w:t>30</w:t>
      </w:r>
      <w:r>
        <w:rPr>
          <w:rFonts w:hint="eastAsia"/>
          <w:bCs/>
          <w:sz w:val="24"/>
          <w:szCs w:val="24"/>
        </w:rPr>
        <w:t>日报中国证监会备案。基金份额持有人依法自行召集基金份额持有人大会的，</w:t>
      </w:r>
      <w:r>
        <w:rPr>
          <w:rFonts w:hint="eastAsia"/>
          <w:bCs/>
          <w:sz w:val="24"/>
          <w:szCs w:val="24"/>
        </w:rPr>
        <w:lastRenderedPageBreak/>
        <w:t>基金管理人、基金托管人应当配合，不得阻碍、干扰；</w:t>
      </w:r>
    </w:p>
    <w:p w14:paraId="4060A434" w14:textId="77777777" w:rsidR="003568C2" w:rsidRDefault="00695B03">
      <w:pPr>
        <w:spacing w:line="360" w:lineRule="auto"/>
        <w:ind w:firstLineChars="200" w:firstLine="480"/>
        <w:rPr>
          <w:bCs/>
          <w:sz w:val="24"/>
          <w:szCs w:val="24"/>
        </w:rPr>
      </w:pPr>
      <w:r>
        <w:rPr>
          <w:bCs/>
          <w:sz w:val="24"/>
          <w:szCs w:val="24"/>
        </w:rPr>
        <w:t>6</w:t>
      </w:r>
      <w:r>
        <w:rPr>
          <w:rFonts w:hint="eastAsia"/>
          <w:bCs/>
          <w:sz w:val="24"/>
          <w:szCs w:val="24"/>
        </w:rPr>
        <w:t>、基金份额持有人会议的召集人负责选择确定开会时间、地点、方式和权益登记日。</w:t>
      </w:r>
    </w:p>
    <w:p w14:paraId="56883FEC" w14:textId="77777777" w:rsidR="003568C2" w:rsidRDefault="00695B03">
      <w:pPr>
        <w:spacing w:line="360" w:lineRule="auto"/>
        <w:ind w:firstLineChars="200" w:firstLine="480"/>
        <w:rPr>
          <w:bCs/>
          <w:sz w:val="24"/>
          <w:szCs w:val="24"/>
        </w:rPr>
      </w:pPr>
      <w:r>
        <w:rPr>
          <w:rFonts w:hint="eastAsia"/>
          <w:bCs/>
          <w:sz w:val="24"/>
          <w:szCs w:val="24"/>
        </w:rPr>
        <w:t>（三）召开基金份额持有人大会的通知时间、通知内容、通知方式</w:t>
      </w:r>
    </w:p>
    <w:p w14:paraId="44092331" w14:textId="77777777" w:rsidR="003568C2" w:rsidRDefault="00695B03">
      <w:pPr>
        <w:spacing w:line="360" w:lineRule="auto"/>
        <w:ind w:firstLineChars="200" w:firstLine="480"/>
        <w:rPr>
          <w:bCs/>
          <w:sz w:val="24"/>
          <w:szCs w:val="24"/>
        </w:rPr>
      </w:pPr>
      <w:r>
        <w:rPr>
          <w:bCs/>
          <w:sz w:val="24"/>
          <w:szCs w:val="24"/>
        </w:rPr>
        <w:t>1</w:t>
      </w:r>
      <w:r>
        <w:rPr>
          <w:rFonts w:hint="eastAsia"/>
          <w:bCs/>
          <w:sz w:val="24"/>
          <w:szCs w:val="24"/>
        </w:rPr>
        <w:t>、召开基金份额持有人大会，召集人应于会议召开前</w:t>
      </w:r>
      <w:r>
        <w:rPr>
          <w:bCs/>
          <w:sz w:val="24"/>
          <w:szCs w:val="24"/>
        </w:rPr>
        <w:t>30</w:t>
      </w:r>
      <w:r>
        <w:rPr>
          <w:rFonts w:hint="eastAsia"/>
          <w:bCs/>
          <w:sz w:val="24"/>
          <w:szCs w:val="24"/>
        </w:rPr>
        <w:t>日，在指定媒介公告。基金份额持有人大会通知应至少载明以下内容：</w:t>
      </w:r>
    </w:p>
    <w:p w14:paraId="2D97DC34"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）会议召开的时间、地点和会议形式；</w:t>
      </w:r>
    </w:p>
    <w:p w14:paraId="35E782B8"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）会议拟审议的事项、议事程序和表决方式；</w:t>
      </w:r>
    </w:p>
    <w:p w14:paraId="0D8E9FCB"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）有权出席基金份额持有人大会的基金份额持有人的权益登记日；</w:t>
      </w:r>
    </w:p>
    <w:p w14:paraId="3394E525"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）授权委托证明的内容要求（包括但不限于代理人身份，代理权限和代理有效期限等）、送达时间和地点；</w:t>
      </w:r>
    </w:p>
    <w:p w14:paraId="72279155"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）会务常设联系人姓名及联系电话；</w:t>
      </w:r>
    </w:p>
    <w:p w14:paraId="72FF625C"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）出席会议者必须准备的文件和必须履行的手续；</w:t>
      </w:r>
    </w:p>
    <w:p w14:paraId="4A6D669F"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）召集人需要通知的其他事项。</w:t>
      </w:r>
    </w:p>
    <w:p w14:paraId="6206BDB2" w14:textId="77777777" w:rsidR="003568C2" w:rsidRDefault="00695B03">
      <w:pPr>
        <w:spacing w:line="360" w:lineRule="auto"/>
        <w:ind w:firstLineChars="200" w:firstLine="480"/>
        <w:rPr>
          <w:bCs/>
          <w:sz w:val="24"/>
          <w:szCs w:val="24"/>
        </w:rPr>
      </w:pPr>
      <w:r>
        <w:rPr>
          <w:bCs/>
          <w:sz w:val="24"/>
          <w:szCs w:val="24"/>
        </w:rPr>
        <w:t>2</w:t>
      </w:r>
      <w:r>
        <w:rPr>
          <w:rFonts w:hint="eastAsia"/>
          <w:bCs/>
          <w:sz w:val="24"/>
          <w:szCs w:val="24"/>
        </w:rPr>
        <w:t>、采取通讯开会方式并进行表决的情况下，由会议召集人决定在会议通知中说明本次基金份额持有人大会所采取的具体通讯方式、委托的公证机关及其联系方式和联系人、表决意见寄交的截止时间和收取方式。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37A850FF" w14:textId="77777777" w:rsidR="003568C2" w:rsidRDefault="00695B03">
      <w:pPr>
        <w:spacing w:line="360" w:lineRule="auto"/>
        <w:ind w:firstLineChars="200" w:firstLine="480"/>
        <w:rPr>
          <w:bCs/>
          <w:sz w:val="24"/>
          <w:szCs w:val="24"/>
        </w:rPr>
      </w:pPr>
      <w:r>
        <w:rPr>
          <w:bCs/>
          <w:sz w:val="24"/>
          <w:szCs w:val="24"/>
        </w:rPr>
        <w:t>3</w:t>
      </w:r>
      <w:r>
        <w:rPr>
          <w:rFonts w:hint="eastAsia"/>
          <w:bCs/>
          <w:sz w:val="24"/>
          <w:szCs w:val="24"/>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拒不派代表对表决意见的计票进行监督的，不影响表决意见的计票效力。</w:t>
      </w:r>
    </w:p>
    <w:p w14:paraId="4F381FBA" w14:textId="77777777" w:rsidR="003568C2" w:rsidRDefault="00695B03">
      <w:pPr>
        <w:spacing w:line="360" w:lineRule="auto"/>
        <w:ind w:firstLineChars="200" w:firstLine="480"/>
        <w:rPr>
          <w:bCs/>
          <w:sz w:val="24"/>
          <w:szCs w:val="24"/>
        </w:rPr>
      </w:pPr>
      <w:r>
        <w:rPr>
          <w:rFonts w:hint="eastAsia"/>
          <w:bCs/>
          <w:sz w:val="24"/>
          <w:szCs w:val="24"/>
        </w:rPr>
        <w:t>（四）基金份额持有人出席会议的方式</w:t>
      </w:r>
    </w:p>
    <w:p w14:paraId="3725FB49" w14:textId="77777777" w:rsidR="003568C2" w:rsidRDefault="00695B03">
      <w:pPr>
        <w:spacing w:line="360" w:lineRule="auto"/>
        <w:ind w:firstLineChars="200" w:firstLine="480"/>
        <w:rPr>
          <w:bCs/>
          <w:sz w:val="24"/>
          <w:szCs w:val="24"/>
        </w:rPr>
      </w:pPr>
      <w:r>
        <w:rPr>
          <w:rFonts w:hint="eastAsia"/>
          <w:bCs/>
          <w:sz w:val="24"/>
          <w:szCs w:val="24"/>
        </w:rPr>
        <w:t>基金份额持有人大会可通过现场开会方式、通讯开会方式或法律法规、监管机构允许的其他方式召开，会议的召开方式由会议召集人确定。</w:t>
      </w:r>
    </w:p>
    <w:p w14:paraId="4725FBC2" w14:textId="77777777" w:rsidR="003568C2" w:rsidRDefault="00695B03">
      <w:pPr>
        <w:spacing w:line="360" w:lineRule="auto"/>
        <w:ind w:firstLineChars="200" w:firstLine="480"/>
        <w:rPr>
          <w:bCs/>
          <w:sz w:val="24"/>
          <w:szCs w:val="24"/>
        </w:rPr>
      </w:pPr>
      <w:r>
        <w:rPr>
          <w:bCs/>
          <w:sz w:val="24"/>
          <w:szCs w:val="24"/>
        </w:rPr>
        <w:t>1</w:t>
      </w:r>
      <w:r>
        <w:rPr>
          <w:rFonts w:hint="eastAsia"/>
          <w:bCs/>
          <w:sz w:val="24"/>
          <w:szCs w:val="24"/>
        </w:rPr>
        <w:t>、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w:t>
      </w:r>
      <w:r>
        <w:rPr>
          <w:rFonts w:hint="eastAsia"/>
          <w:bCs/>
          <w:sz w:val="24"/>
          <w:szCs w:val="24"/>
        </w:rPr>
        <w:lastRenderedPageBreak/>
        <w:t>会同时符合以下条件时，可以进行基金份额持有人大会议程：</w:t>
      </w:r>
    </w:p>
    <w:p w14:paraId="17380BF5"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5C2F7E9C"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w:t>
      </w:r>
      <w:r>
        <w:rPr>
          <w:bCs/>
          <w:sz w:val="24"/>
          <w:szCs w:val="24"/>
        </w:rPr>
        <w:t>3</w:t>
      </w:r>
      <w:r>
        <w:rPr>
          <w:rFonts w:hint="eastAsia"/>
          <w:bCs/>
          <w:sz w:val="24"/>
          <w:szCs w:val="24"/>
        </w:rPr>
        <w:t>个月以后、</w:t>
      </w:r>
      <w:r>
        <w:rPr>
          <w:bCs/>
          <w:sz w:val="24"/>
          <w:szCs w:val="24"/>
        </w:rPr>
        <w:t>6</w:t>
      </w:r>
      <w:r>
        <w:rPr>
          <w:rFonts w:hint="eastAsia"/>
          <w:bCs/>
          <w:sz w:val="24"/>
          <w:szCs w:val="24"/>
        </w:rPr>
        <w:t>个月以内，就原定审议事项重新召集基金份额持有人大会。重新召集的基金份额持有人大会到会者在权益登记日代表的有效的基金份额应不少于本基金在权益登记日基金总份额的三分之一（含三分之一）。</w:t>
      </w:r>
    </w:p>
    <w:p w14:paraId="251900E3" w14:textId="77777777" w:rsidR="003568C2" w:rsidRDefault="00695B03">
      <w:pPr>
        <w:spacing w:line="360" w:lineRule="auto"/>
        <w:ind w:firstLineChars="200" w:firstLine="480"/>
        <w:rPr>
          <w:bCs/>
          <w:sz w:val="24"/>
          <w:szCs w:val="24"/>
        </w:rPr>
      </w:pPr>
      <w:r>
        <w:rPr>
          <w:bCs/>
          <w:sz w:val="24"/>
          <w:szCs w:val="24"/>
        </w:rPr>
        <w:t>2</w:t>
      </w:r>
      <w:r>
        <w:rPr>
          <w:rFonts w:hint="eastAsia"/>
          <w:bCs/>
          <w:sz w:val="24"/>
          <w:szCs w:val="24"/>
        </w:rPr>
        <w:t>、通讯开会。通讯开会系指基金份额持有人将其对表决事项的投票以书面形式</w:t>
      </w:r>
      <w:r>
        <w:rPr>
          <w:rFonts w:hint="eastAsia"/>
          <w:bCs/>
          <w:sz w:val="24"/>
        </w:rPr>
        <w:t>或大会公告载明的其他方式</w:t>
      </w:r>
      <w:r>
        <w:rPr>
          <w:rFonts w:hint="eastAsia"/>
          <w:bCs/>
          <w:sz w:val="24"/>
          <w:szCs w:val="24"/>
        </w:rPr>
        <w:t>在表决截至日以前送达至召集人指定的地址。通讯开会应以书面方式</w:t>
      </w:r>
      <w:r>
        <w:rPr>
          <w:rFonts w:hint="eastAsia"/>
          <w:bCs/>
          <w:sz w:val="24"/>
        </w:rPr>
        <w:t>或大会公告载明的其他方式</w:t>
      </w:r>
      <w:r>
        <w:rPr>
          <w:rFonts w:hint="eastAsia"/>
          <w:bCs/>
          <w:sz w:val="24"/>
          <w:szCs w:val="24"/>
        </w:rPr>
        <w:t>进行表决。</w:t>
      </w:r>
    </w:p>
    <w:p w14:paraId="4B43D29D" w14:textId="77777777" w:rsidR="003568C2" w:rsidRDefault="00695B03">
      <w:pPr>
        <w:spacing w:line="360" w:lineRule="auto"/>
        <w:ind w:firstLineChars="200" w:firstLine="480"/>
        <w:rPr>
          <w:bCs/>
          <w:sz w:val="24"/>
          <w:szCs w:val="24"/>
        </w:rPr>
      </w:pPr>
      <w:r>
        <w:rPr>
          <w:rFonts w:hint="eastAsia"/>
          <w:bCs/>
          <w:sz w:val="24"/>
          <w:szCs w:val="24"/>
        </w:rPr>
        <w:t>在同时符合以下条件时，通讯开会的方式视为有效：</w:t>
      </w:r>
    </w:p>
    <w:p w14:paraId="03F3BC30"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）会议召集人按《基金合同》约定公布会议通知后，在</w:t>
      </w:r>
      <w:r>
        <w:rPr>
          <w:bCs/>
          <w:sz w:val="24"/>
          <w:szCs w:val="24"/>
        </w:rPr>
        <w:t>2</w:t>
      </w:r>
      <w:r>
        <w:rPr>
          <w:rFonts w:hint="eastAsia"/>
          <w:bCs/>
          <w:sz w:val="24"/>
          <w:szCs w:val="24"/>
        </w:rPr>
        <w:t>个工作日内连续公布相关提示性公告；</w:t>
      </w:r>
    </w:p>
    <w:p w14:paraId="3887272C"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召集人按基金合同约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14:paraId="33F6A37E" w14:textId="77777777" w:rsidR="003568C2" w:rsidRDefault="00695B03">
      <w:pPr>
        <w:spacing w:line="360" w:lineRule="auto"/>
        <w:ind w:firstLineChars="225" w:firstLine="540"/>
        <w:rPr>
          <w:bCs/>
          <w:sz w:val="24"/>
          <w:szCs w:val="24"/>
        </w:rPr>
      </w:pPr>
      <w:r>
        <w:rPr>
          <w:rFonts w:hint="eastAsia"/>
          <w:bCs/>
          <w:sz w:val="24"/>
          <w:szCs w:val="24"/>
        </w:rPr>
        <w:t>（</w:t>
      </w:r>
      <w:r>
        <w:rPr>
          <w:bCs/>
          <w:sz w:val="24"/>
          <w:szCs w:val="24"/>
        </w:rPr>
        <w:t>3</w:t>
      </w:r>
      <w:r>
        <w:rPr>
          <w:rFonts w:hint="eastAsia"/>
          <w:bCs/>
          <w:sz w:val="24"/>
          <w:szCs w:val="24"/>
        </w:rPr>
        <w:t>）本人直接出具表决意见或授权他人代表出具表决意见的，基金份额持有人所持有的基金份额不小于在权益登记日基金总份额的二分之一（含二分之一）；若本人直接出具表决意见或授权他人代表出具表决意见基金份额持有人所持有的基金份额小于在权益登记日基金总份额的二分之一，召集人可以在原公告的基金份额持有人大会召开时间的</w:t>
      </w:r>
      <w:r>
        <w:rPr>
          <w:bCs/>
          <w:sz w:val="24"/>
          <w:szCs w:val="24"/>
        </w:rPr>
        <w:t>3</w:t>
      </w:r>
      <w:r>
        <w:rPr>
          <w:rFonts w:hint="eastAsia"/>
          <w:bCs/>
          <w:sz w:val="24"/>
          <w:szCs w:val="24"/>
        </w:rPr>
        <w:t>个月以后、</w:t>
      </w:r>
      <w:r>
        <w:rPr>
          <w:bCs/>
          <w:sz w:val="24"/>
          <w:szCs w:val="24"/>
        </w:rPr>
        <w:t>6</w:t>
      </w:r>
      <w:r>
        <w:rPr>
          <w:rFonts w:hint="eastAsia"/>
          <w:bCs/>
          <w:sz w:val="24"/>
          <w:szCs w:val="24"/>
        </w:rPr>
        <w:t>个月以内，就原定审议事项重新召集基金份额持有人大会。重新召集的基金份额持有人大会应当有代表三分之</w:t>
      </w:r>
      <w:r>
        <w:rPr>
          <w:rFonts w:hint="eastAsia"/>
          <w:bCs/>
          <w:sz w:val="24"/>
          <w:szCs w:val="24"/>
        </w:rPr>
        <w:lastRenderedPageBreak/>
        <w:t>一（含三分之一）以上基金份额的持有人直接出具表决意见或授权他人代表出具表决意见；</w:t>
      </w:r>
    </w:p>
    <w:p w14:paraId="17EAF0D1"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）上述第（</w:t>
      </w:r>
      <w:r>
        <w:rPr>
          <w:bCs/>
          <w:sz w:val="24"/>
          <w:szCs w:val="24"/>
        </w:rPr>
        <w:t>3</w:t>
      </w:r>
      <w:r>
        <w:rPr>
          <w:rFonts w:hint="eastAsia"/>
          <w:bCs/>
          <w:sz w:val="24"/>
          <w:szCs w:val="24"/>
        </w:rPr>
        <w:t>）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14:paraId="2B2545D0" w14:textId="77777777" w:rsidR="003568C2" w:rsidRDefault="00695B03">
      <w:pPr>
        <w:spacing w:line="360" w:lineRule="auto"/>
        <w:ind w:firstLineChars="200" w:firstLine="480"/>
        <w:rPr>
          <w:bCs/>
          <w:sz w:val="24"/>
          <w:szCs w:val="24"/>
        </w:rPr>
      </w:pPr>
      <w:r>
        <w:rPr>
          <w:bCs/>
          <w:sz w:val="24"/>
          <w:szCs w:val="24"/>
        </w:rPr>
        <w:t>3</w:t>
      </w:r>
      <w:r>
        <w:rPr>
          <w:rFonts w:hint="eastAsia"/>
          <w:bCs/>
          <w:sz w:val="24"/>
          <w:szCs w:val="24"/>
        </w:rPr>
        <w:t>、在法律法规和监管机关允许的情况下，本基金的基金份额持有人亦可采用其他非书面方式授权其代理人出席基金份额持有人大会，具体方式由会议召集人确定并在会议通知中列明。</w:t>
      </w:r>
    </w:p>
    <w:p w14:paraId="4FF405C4" w14:textId="77777777" w:rsidR="003568C2" w:rsidRDefault="00695B03">
      <w:pPr>
        <w:spacing w:line="360" w:lineRule="auto"/>
        <w:ind w:firstLineChars="200" w:firstLine="480"/>
        <w:rPr>
          <w:sz w:val="24"/>
          <w:szCs w:val="24"/>
        </w:rPr>
      </w:pPr>
      <w:r>
        <w:rPr>
          <w:bCs/>
          <w:sz w:val="24"/>
          <w:szCs w:val="24"/>
        </w:rPr>
        <w:t>4</w:t>
      </w:r>
      <w:r>
        <w:rPr>
          <w:rFonts w:hint="eastAsia"/>
          <w:sz w:val="24"/>
          <w:szCs w:val="24"/>
        </w:rPr>
        <w:t>、在会议召开方式上，本基金亦可采用其他非现场方式或者以现场方式与非现场方式相结合的方式召开基金份额持有人大会，会议程序比照现场开会和通讯方式开会的程序进行。</w:t>
      </w:r>
    </w:p>
    <w:p w14:paraId="5F8E1BCC" w14:textId="77777777" w:rsidR="003568C2" w:rsidRDefault="00695B03">
      <w:pPr>
        <w:spacing w:line="360" w:lineRule="auto"/>
        <w:ind w:firstLineChars="200" w:firstLine="480"/>
        <w:rPr>
          <w:bCs/>
          <w:sz w:val="24"/>
          <w:szCs w:val="24"/>
        </w:rPr>
      </w:pPr>
      <w:r>
        <w:rPr>
          <w:rFonts w:hint="eastAsia"/>
          <w:bCs/>
          <w:sz w:val="24"/>
          <w:szCs w:val="24"/>
        </w:rPr>
        <w:t>（五）议事内容与程序</w:t>
      </w:r>
    </w:p>
    <w:p w14:paraId="69CD5B04" w14:textId="77777777" w:rsidR="003568C2" w:rsidRDefault="00695B03">
      <w:pPr>
        <w:spacing w:line="360" w:lineRule="auto"/>
        <w:ind w:firstLineChars="200" w:firstLine="480"/>
        <w:rPr>
          <w:bCs/>
          <w:sz w:val="24"/>
          <w:szCs w:val="24"/>
        </w:rPr>
      </w:pPr>
      <w:r>
        <w:rPr>
          <w:bCs/>
          <w:sz w:val="24"/>
          <w:szCs w:val="24"/>
        </w:rPr>
        <w:t>1</w:t>
      </w:r>
      <w:r>
        <w:rPr>
          <w:rFonts w:hint="eastAsia"/>
          <w:bCs/>
          <w:sz w:val="24"/>
          <w:szCs w:val="24"/>
        </w:rPr>
        <w:t>、议事内容及提案权</w:t>
      </w:r>
    </w:p>
    <w:p w14:paraId="0629969A" w14:textId="77777777" w:rsidR="003568C2" w:rsidRDefault="00695B03">
      <w:pPr>
        <w:spacing w:line="360" w:lineRule="auto"/>
        <w:ind w:firstLineChars="200" w:firstLine="480"/>
        <w:rPr>
          <w:bCs/>
          <w:sz w:val="24"/>
          <w:szCs w:val="24"/>
        </w:rPr>
      </w:pPr>
      <w:r>
        <w:rPr>
          <w:rFonts w:hint="eastAsia"/>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048345E0" w14:textId="77777777" w:rsidR="003568C2" w:rsidRDefault="00695B03">
      <w:pPr>
        <w:spacing w:line="360" w:lineRule="auto"/>
        <w:ind w:firstLineChars="200" w:firstLine="480"/>
        <w:rPr>
          <w:bCs/>
          <w:sz w:val="24"/>
          <w:szCs w:val="24"/>
        </w:rPr>
      </w:pPr>
      <w:r>
        <w:rPr>
          <w:rFonts w:hint="eastAsia"/>
          <w:bCs/>
          <w:sz w:val="24"/>
          <w:szCs w:val="24"/>
        </w:rPr>
        <w:t>基金份额持有人大会的召集人发出召集会议的通知后，对原有提案的修改应当在基金份额持有人大会召开前及时公告。</w:t>
      </w:r>
    </w:p>
    <w:p w14:paraId="3B1C5122" w14:textId="77777777" w:rsidR="003568C2" w:rsidRDefault="00695B03">
      <w:pPr>
        <w:spacing w:line="360" w:lineRule="auto"/>
        <w:ind w:firstLineChars="200" w:firstLine="480"/>
        <w:rPr>
          <w:bCs/>
          <w:sz w:val="24"/>
          <w:szCs w:val="24"/>
        </w:rPr>
      </w:pPr>
      <w:r>
        <w:rPr>
          <w:rFonts w:hint="eastAsia"/>
          <w:bCs/>
          <w:sz w:val="24"/>
          <w:szCs w:val="24"/>
        </w:rPr>
        <w:t>基金份额持有人大会不得对未事先公告的议事内容进行表决。</w:t>
      </w:r>
    </w:p>
    <w:p w14:paraId="48614604" w14:textId="77777777" w:rsidR="003568C2" w:rsidRDefault="00695B03">
      <w:pPr>
        <w:spacing w:line="360" w:lineRule="auto"/>
        <w:ind w:firstLineChars="200" w:firstLine="480"/>
        <w:rPr>
          <w:bCs/>
          <w:sz w:val="24"/>
          <w:szCs w:val="24"/>
        </w:rPr>
      </w:pPr>
      <w:r>
        <w:rPr>
          <w:bCs/>
          <w:sz w:val="24"/>
          <w:szCs w:val="24"/>
        </w:rPr>
        <w:t>2</w:t>
      </w:r>
      <w:r>
        <w:rPr>
          <w:rFonts w:hint="eastAsia"/>
          <w:bCs/>
          <w:sz w:val="24"/>
          <w:szCs w:val="24"/>
        </w:rPr>
        <w:t>、议事程序</w:t>
      </w:r>
    </w:p>
    <w:p w14:paraId="56C7D7ED"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）现场开会</w:t>
      </w:r>
    </w:p>
    <w:p w14:paraId="4BB37C15" w14:textId="77777777" w:rsidR="003568C2" w:rsidRDefault="00695B03">
      <w:pPr>
        <w:spacing w:line="360" w:lineRule="auto"/>
        <w:ind w:firstLineChars="200" w:firstLine="480"/>
        <w:rPr>
          <w:bCs/>
          <w:sz w:val="24"/>
          <w:szCs w:val="24"/>
        </w:rPr>
      </w:pPr>
      <w:r>
        <w:rPr>
          <w:rFonts w:hint="eastAsia"/>
          <w:bCs/>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二分之一以上（含二分之一）选举产生一名基金份额持有人</w:t>
      </w:r>
      <w:r>
        <w:rPr>
          <w:rFonts w:hint="eastAsia"/>
          <w:bCs/>
          <w:sz w:val="24"/>
          <w:szCs w:val="24"/>
        </w:rPr>
        <w:lastRenderedPageBreak/>
        <w:t>作为该次基金份额持有人大会的主持人。基金管理人和基金托管人拒不出席或主持基金份额持有人大会，不影响基金份额持有人大会作出的决议的效力。</w:t>
      </w:r>
    </w:p>
    <w:p w14:paraId="3FAC1B6E" w14:textId="77777777" w:rsidR="003568C2" w:rsidRDefault="00695B03">
      <w:pPr>
        <w:spacing w:line="360" w:lineRule="auto"/>
        <w:ind w:firstLineChars="200" w:firstLine="480"/>
        <w:rPr>
          <w:bCs/>
          <w:sz w:val="24"/>
          <w:szCs w:val="24"/>
        </w:rPr>
      </w:pPr>
      <w:r>
        <w:rPr>
          <w:rFonts w:hint="eastAsia"/>
          <w:bCs/>
          <w:sz w:val="24"/>
          <w:szCs w:val="24"/>
        </w:rPr>
        <w:t>会议召集人应当制作出席会议人员的签名册。签名册载明参加会议人员姓名（或单位名称）、身份证明文件号码、持有或代表有表决权的基金份额、委托人姓名（或单位名称）和联系方式等事项。</w:t>
      </w:r>
    </w:p>
    <w:p w14:paraId="48A510B8"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）通讯开会</w:t>
      </w:r>
    </w:p>
    <w:p w14:paraId="7F7F40CD" w14:textId="77777777" w:rsidR="003568C2" w:rsidRDefault="00695B03">
      <w:pPr>
        <w:spacing w:line="360" w:lineRule="auto"/>
        <w:ind w:firstLineChars="200" w:firstLine="480"/>
        <w:rPr>
          <w:bCs/>
          <w:sz w:val="24"/>
          <w:szCs w:val="24"/>
        </w:rPr>
      </w:pPr>
      <w:r>
        <w:rPr>
          <w:rFonts w:hint="eastAsia"/>
          <w:bCs/>
          <w:sz w:val="24"/>
          <w:szCs w:val="24"/>
        </w:rPr>
        <w:t>在通讯开会的情况下，首先由召集人提前</w:t>
      </w:r>
      <w:r>
        <w:rPr>
          <w:bCs/>
          <w:sz w:val="24"/>
          <w:szCs w:val="24"/>
        </w:rPr>
        <w:t>30</w:t>
      </w:r>
      <w:r>
        <w:rPr>
          <w:rFonts w:hint="eastAsia"/>
          <w:bCs/>
          <w:sz w:val="24"/>
          <w:szCs w:val="24"/>
        </w:rPr>
        <w:t>日公布提案，在所通知的表决截止日期后</w:t>
      </w:r>
      <w:r>
        <w:rPr>
          <w:bCs/>
          <w:sz w:val="24"/>
          <w:szCs w:val="24"/>
        </w:rPr>
        <w:t>2</w:t>
      </w:r>
      <w:r>
        <w:rPr>
          <w:rFonts w:hint="eastAsia"/>
          <w:bCs/>
          <w:sz w:val="24"/>
          <w:szCs w:val="24"/>
        </w:rPr>
        <w:t>个工作日内在公证机关监督下由召集人统计全部有效表决，在公证机关监督下形成决议。</w:t>
      </w:r>
    </w:p>
    <w:p w14:paraId="4FE5F022" w14:textId="77777777" w:rsidR="003568C2" w:rsidRDefault="00695B03">
      <w:pPr>
        <w:spacing w:line="360" w:lineRule="auto"/>
        <w:ind w:firstLineChars="200" w:firstLine="480"/>
        <w:rPr>
          <w:bCs/>
          <w:sz w:val="24"/>
          <w:szCs w:val="24"/>
        </w:rPr>
      </w:pPr>
      <w:r>
        <w:rPr>
          <w:rFonts w:hint="eastAsia"/>
          <w:bCs/>
          <w:sz w:val="24"/>
          <w:szCs w:val="24"/>
        </w:rPr>
        <w:t>（六）表决</w:t>
      </w:r>
    </w:p>
    <w:p w14:paraId="433A2556" w14:textId="77777777" w:rsidR="003568C2" w:rsidRDefault="00695B03">
      <w:pPr>
        <w:spacing w:line="360" w:lineRule="auto"/>
        <w:ind w:firstLineChars="200" w:firstLine="480"/>
        <w:rPr>
          <w:bCs/>
          <w:sz w:val="24"/>
          <w:szCs w:val="24"/>
        </w:rPr>
      </w:pPr>
      <w:r>
        <w:rPr>
          <w:rFonts w:hint="eastAsia"/>
          <w:bCs/>
          <w:sz w:val="24"/>
          <w:szCs w:val="24"/>
        </w:rPr>
        <w:t>基金份额持有人所持每份基金份额有一票表决权。</w:t>
      </w:r>
    </w:p>
    <w:p w14:paraId="28B73E0B" w14:textId="77777777" w:rsidR="003568C2" w:rsidRDefault="00695B03">
      <w:pPr>
        <w:spacing w:line="360" w:lineRule="auto"/>
        <w:ind w:firstLineChars="200" w:firstLine="480"/>
        <w:rPr>
          <w:bCs/>
          <w:sz w:val="24"/>
          <w:szCs w:val="24"/>
        </w:rPr>
      </w:pPr>
      <w:r>
        <w:rPr>
          <w:rFonts w:hint="eastAsia"/>
          <w:bCs/>
          <w:sz w:val="24"/>
          <w:szCs w:val="24"/>
        </w:rPr>
        <w:t>基金份额持有人大会决议分为一般决议和特别决议：</w:t>
      </w:r>
    </w:p>
    <w:p w14:paraId="18D3F1C2" w14:textId="77777777" w:rsidR="003568C2" w:rsidRDefault="00695B03">
      <w:pPr>
        <w:spacing w:line="360" w:lineRule="auto"/>
        <w:ind w:firstLineChars="200" w:firstLine="480"/>
        <w:rPr>
          <w:bCs/>
          <w:sz w:val="24"/>
          <w:szCs w:val="24"/>
        </w:rPr>
      </w:pPr>
      <w:r>
        <w:rPr>
          <w:bCs/>
          <w:sz w:val="24"/>
          <w:szCs w:val="24"/>
        </w:rPr>
        <w:t>1</w:t>
      </w:r>
      <w:r>
        <w:rPr>
          <w:rFonts w:hint="eastAsia"/>
          <w:bCs/>
          <w:sz w:val="24"/>
          <w:szCs w:val="24"/>
        </w:rPr>
        <w:t>、一般决议，一般决议须经参加大会的基金份额持有人或其代理人所持表决权的二分之一以上（含二分之一）通过方为有效；除下列第</w:t>
      </w:r>
      <w:r>
        <w:rPr>
          <w:bCs/>
          <w:sz w:val="24"/>
          <w:szCs w:val="24"/>
        </w:rPr>
        <w:t>2</w:t>
      </w:r>
      <w:r>
        <w:rPr>
          <w:rFonts w:hint="eastAsia"/>
          <w:bCs/>
          <w:sz w:val="24"/>
          <w:szCs w:val="24"/>
        </w:rPr>
        <w:t>项所规定的须以特别决议通过事项以外的其他事项均以一般决议的方式通过。</w:t>
      </w:r>
    </w:p>
    <w:p w14:paraId="15EE5714" w14:textId="77777777" w:rsidR="003568C2" w:rsidRDefault="00695B03">
      <w:pPr>
        <w:spacing w:line="360" w:lineRule="auto"/>
        <w:ind w:firstLineChars="200" w:firstLine="480"/>
        <w:rPr>
          <w:bCs/>
          <w:sz w:val="24"/>
          <w:szCs w:val="24"/>
        </w:rPr>
      </w:pPr>
      <w:r>
        <w:rPr>
          <w:sz w:val="24"/>
          <w:szCs w:val="24"/>
        </w:rPr>
        <w:t>2</w:t>
      </w:r>
      <w:r>
        <w:rPr>
          <w:rFonts w:hint="eastAsia"/>
          <w:sz w:val="24"/>
          <w:szCs w:val="24"/>
        </w:rPr>
        <w:t>、特别决议，特别决议应当经参加大会的基金份额持有人或其代理人所持表决权的三分之二以上（含三分之二）通过方可做出。</w:t>
      </w:r>
      <w:r>
        <w:rPr>
          <w:rFonts w:hint="eastAsia"/>
          <w:bCs/>
          <w:sz w:val="24"/>
          <w:szCs w:val="24"/>
        </w:rPr>
        <w:t>转换基金运作方式、更换基金管理人或者基金托管人、终止《基金合同》、本基金与其他基金合并以特别决议通过方为有效。</w:t>
      </w:r>
    </w:p>
    <w:p w14:paraId="738F4532" w14:textId="77777777" w:rsidR="003568C2" w:rsidRDefault="00695B03">
      <w:pPr>
        <w:spacing w:line="360" w:lineRule="auto"/>
        <w:ind w:firstLineChars="200" w:firstLine="480"/>
        <w:rPr>
          <w:sz w:val="24"/>
          <w:szCs w:val="24"/>
        </w:rPr>
      </w:pPr>
      <w:r>
        <w:rPr>
          <w:rFonts w:hint="eastAsia"/>
          <w:sz w:val="24"/>
          <w:szCs w:val="24"/>
        </w:rPr>
        <w:t>基金份额持有人大会采取记名方式进行投票表决。</w:t>
      </w:r>
    </w:p>
    <w:p w14:paraId="5A5E9270" w14:textId="77777777" w:rsidR="003568C2" w:rsidRDefault="00695B03">
      <w:pPr>
        <w:spacing w:line="360" w:lineRule="auto"/>
        <w:ind w:firstLineChars="200" w:firstLine="480"/>
        <w:rPr>
          <w:bCs/>
          <w:sz w:val="24"/>
          <w:szCs w:val="24"/>
        </w:rPr>
      </w:pPr>
      <w:r>
        <w:rPr>
          <w:rFonts w:hint="eastAsia"/>
          <w:bCs/>
          <w:sz w:val="24"/>
          <w:szCs w:val="24"/>
        </w:rPr>
        <w:t>采取通讯方式进行表决时，除非在计票时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14:paraId="7924B584" w14:textId="77777777" w:rsidR="003568C2" w:rsidRDefault="00695B03">
      <w:pPr>
        <w:spacing w:line="360" w:lineRule="auto"/>
        <w:ind w:firstLineChars="200" w:firstLine="480"/>
        <w:rPr>
          <w:bCs/>
          <w:sz w:val="24"/>
          <w:szCs w:val="24"/>
        </w:rPr>
      </w:pPr>
      <w:r>
        <w:rPr>
          <w:rFonts w:hint="eastAsia"/>
          <w:bCs/>
          <w:sz w:val="24"/>
          <w:szCs w:val="24"/>
        </w:rPr>
        <w:t>基金份额持有人大会的各项提案或同一项提案内并列的各项议题应当分开审议、逐项表决。</w:t>
      </w:r>
    </w:p>
    <w:p w14:paraId="10547933" w14:textId="77777777" w:rsidR="003568C2" w:rsidRDefault="00695B03">
      <w:pPr>
        <w:spacing w:line="360" w:lineRule="auto"/>
        <w:ind w:firstLineChars="200" w:firstLine="480"/>
        <w:rPr>
          <w:bCs/>
          <w:sz w:val="24"/>
          <w:szCs w:val="24"/>
        </w:rPr>
      </w:pPr>
      <w:r>
        <w:rPr>
          <w:rFonts w:hint="eastAsia"/>
          <w:bCs/>
          <w:sz w:val="24"/>
          <w:szCs w:val="24"/>
        </w:rPr>
        <w:t>（七）计票</w:t>
      </w:r>
    </w:p>
    <w:p w14:paraId="13BA50E7" w14:textId="77777777" w:rsidR="003568C2" w:rsidRDefault="00695B03">
      <w:pPr>
        <w:spacing w:line="360" w:lineRule="auto"/>
        <w:ind w:firstLineChars="200" w:firstLine="480"/>
        <w:rPr>
          <w:bCs/>
          <w:sz w:val="24"/>
          <w:szCs w:val="24"/>
        </w:rPr>
      </w:pPr>
      <w:r>
        <w:rPr>
          <w:bCs/>
          <w:sz w:val="24"/>
          <w:szCs w:val="24"/>
        </w:rPr>
        <w:t>1</w:t>
      </w:r>
      <w:r>
        <w:rPr>
          <w:rFonts w:hint="eastAsia"/>
          <w:bCs/>
          <w:sz w:val="24"/>
          <w:szCs w:val="24"/>
        </w:rPr>
        <w:t>、现场开会</w:t>
      </w:r>
    </w:p>
    <w:p w14:paraId="6DBE6A4F" w14:textId="77777777" w:rsidR="003568C2" w:rsidRDefault="00695B03">
      <w:pPr>
        <w:spacing w:line="360" w:lineRule="auto"/>
        <w:ind w:firstLineChars="200" w:firstLine="480"/>
        <w:rPr>
          <w:bCs/>
          <w:sz w:val="24"/>
          <w:szCs w:val="24"/>
        </w:rPr>
      </w:pPr>
      <w:r>
        <w:rPr>
          <w:rFonts w:hint="eastAsia"/>
          <w:bCs/>
          <w:sz w:val="24"/>
          <w:szCs w:val="24"/>
        </w:rPr>
        <w:lastRenderedPageBreak/>
        <w:t>（</w:t>
      </w:r>
      <w:r>
        <w:rPr>
          <w:bCs/>
          <w:sz w:val="24"/>
          <w:szCs w:val="24"/>
        </w:rPr>
        <w:t>1</w:t>
      </w:r>
      <w:r>
        <w:rPr>
          <w:rFonts w:hint="eastAsia"/>
          <w:bCs/>
          <w:sz w:val="24"/>
          <w:szCs w:val="24"/>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或大会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3D0141F9"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）监票人应当在基金份额持有人表决后立即进行清点并由大会主持人当场公布计票结果。</w:t>
      </w:r>
    </w:p>
    <w:p w14:paraId="744CCF3C"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如果会议主持人或基金份额持有人或代理人对于提交的表决结果有怀疑，可以在宣布表决结果后立即对所投票数要求进行重新清点。监票人应当进行重新清点，重新清点以一次为限。重新清点后，大会主持人应当当场公布重新清点结果。</w:t>
      </w:r>
    </w:p>
    <w:p w14:paraId="41B73293"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）计票过程应由公证机关予以公证，基金管理人或基金托管人拒不出席大会的，不影响计票的效力。</w:t>
      </w:r>
    </w:p>
    <w:p w14:paraId="2C1BFBF5" w14:textId="77777777" w:rsidR="003568C2" w:rsidRDefault="00695B03">
      <w:pPr>
        <w:spacing w:line="360" w:lineRule="auto"/>
        <w:ind w:firstLineChars="200" w:firstLine="480"/>
        <w:rPr>
          <w:bCs/>
          <w:sz w:val="24"/>
          <w:szCs w:val="24"/>
        </w:rPr>
      </w:pPr>
      <w:r>
        <w:rPr>
          <w:bCs/>
          <w:sz w:val="24"/>
          <w:szCs w:val="24"/>
        </w:rPr>
        <w:t>2</w:t>
      </w:r>
      <w:r>
        <w:rPr>
          <w:rFonts w:hint="eastAsia"/>
          <w:bCs/>
          <w:sz w:val="24"/>
          <w:szCs w:val="24"/>
        </w:rPr>
        <w:t>、通讯开会</w:t>
      </w:r>
    </w:p>
    <w:p w14:paraId="489DB594" w14:textId="77777777" w:rsidR="003568C2" w:rsidRDefault="00695B03">
      <w:pPr>
        <w:spacing w:line="360" w:lineRule="auto"/>
        <w:ind w:firstLineChars="200" w:firstLine="480"/>
        <w:rPr>
          <w:bCs/>
          <w:sz w:val="24"/>
          <w:szCs w:val="24"/>
        </w:rPr>
      </w:pPr>
      <w:r>
        <w:rPr>
          <w:rFonts w:hint="eastAsia"/>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人拒派代表对表决意见的计票进行监督的，不影响计票和表决结果。</w:t>
      </w:r>
    </w:p>
    <w:p w14:paraId="654BC4DB" w14:textId="77777777" w:rsidR="003568C2" w:rsidRDefault="00695B03">
      <w:pPr>
        <w:spacing w:line="360" w:lineRule="auto"/>
        <w:ind w:firstLineChars="200" w:firstLine="480"/>
        <w:rPr>
          <w:bCs/>
          <w:sz w:val="24"/>
          <w:szCs w:val="24"/>
        </w:rPr>
      </w:pPr>
      <w:r>
        <w:rPr>
          <w:rFonts w:hint="eastAsia"/>
          <w:bCs/>
          <w:sz w:val="24"/>
          <w:szCs w:val="24"/>
        </w:rPr>
        <w:t>（八）生效与公告</w:t>
      </w:r>
    </w:p>
    <w:p w14:paraId="26CBFA73" w14:textId="77777777" w:rsidR="003568C2" w:rsidRDefault="00695B03">
      <w:pPr>
        <w:spacing w:line="360" w:lineRule="auto"/>
        <w:ind w:firstLineChars="200" w:firstLine="480"/>
        <w:rPr>
          <w:bCs/>
          <w:sz w:val="24"/>
          <w:szCs w:val="24"/>
        </w:rPr>
      </w:pPr>
      <w:r>
        <w:rPr>
          <w:rFonts w:hint="eastAsia"/>
          <w:bCs/>
          <w:sz w:val="24"/>
          <w:szCs w:val="24"/>
        </w:rPr>
        <w:t>基金份额持有人大会的</w:t>
      </w:r>
      <w:r>
        <w:rPr>
          <w:rFonts w:hint="eastAsia"/>
          <w:sz w:val="24"/>
          <w:szCs w:val="24"/>
        </w:rPr>
        <w:t>决议</w:t>
      </w:r>
      <w:r>
        <w:rPr>
          <w:rFonts w:hint="eastAsia"/>
          <w:bCs/>
          <w:sz w:val="24"/>
          <w:szCs w:val="24"/>
        </w:rPr>
        <w:t>，召集人应当</w:t>
      </w:r>
      <w:r>
        <w:rPr>
          <w:rFonts w:hint="eastAsia"/>
          <w:sz w:val="24"/>
          <w:szCs w:val="24"/>
        </w:rPr>
        <w:t>自</w:t>
      </w:r>
      <w:r>
        <w:rPr>
          <w:rFonts w:hint="eastAsia"/>
          <w:bCs/>
          <w:sz w:val="24"/>
          <w:szCs w:val="24"/>
        </w:rPr>
        <w:t>通过之日起</w:t>
      </w:r>
      <w:r>
        <w:rPr>
          <w:bCs/>
          <w:sz w:val="24"/>
          <w:szCs w:val="24"/>
        </w:rPr>
        <w:t>5</w:t>
      </w:r>
      <w:r>
        <w:rPr>
          <w:rFonts w:hint="eastAsia"/>
          <w:bCs/>
          <w:sz w:val="24"/>
          <w:szCs w:val="24"/>
        </w:rPr>
        <w:t>日内报中国证监会备案。</w:t>
      </w:r>
    </w:p>
    <w:p w14:paraId="7A53CF09" w14:textId="77777777" w:rsidR="003568C2" w:rsidRDefault="00695B03">
      <w:pPr>
        <w:spacing w:line="360" w:lineRule="auto"/>
        <w:ind w:firstLineChars="200" w:firstLine="480"/>
        <w:rPr>
          <w:bCs/>
          <w:sz w:val="24"/>
          <w:szCs w:val="24"/>
        </w:rPr>
      </w:pPr>
      <w:r>
        <w:rPr>
          <w:rFonts w:hint="eastAsia"/>
          <w:bCs/>
          <w:sz w:val="24"/>
          <w:szCs w:val="24"/>
        </w:rPr>
        <w:t>基金份额持有人大会的决议自表决通过</w:t>
      </w:r>
      <w:r>
        <w:rPr>
          <w:rFonts w:hint="eastAsia"/>
          <w:sz w:val="24"/>
          <w:szCs w:val="24"/>
        </w:rPr>
        <w:t>之日起</w:t>
      </w:r>
      <w:r>
        <w:rPr>
          <w:rFonts w:hint="eastAsia"/>
          <w:bCs/>
          <w:sz w:val="24"/>
          <w:szCs w:val="24"/>
        </w:rPr>
        <w:t>生效。</w:t>
      </w:r>
    </w:p>
    <w:p w14:paraId="7C3A947C" w14:textId="77777777" w:rsidR="003568C2" w:rsidRDefault="00695B03">
      <w:pPr>
        <w:spacing w:line="360" w:lineRule="auto"/>
        <w:ind w:firstLineChars="200" w:firstLine="480"/>
        <w:rPr>
          <w:bCs/>
          <w:sz w:val="24"/>
          <w:szCs w:val="24"/>
        </w:rPr>
      </w:pPr>
      <w:r>
        <w:rPr>
          <w:rFonts w:hint="eastAsia"/>
          <w:bCs/>
          <w:sz w:val="24"/>
          <w:szCs w:val="24"/>
        </w:rPr>
        <w:t>基金份额持有人大会决议自生效之日起</w:t>
      </w:r>
      <w:r>
        <w:rPr>
          <w:bCs/>
          <w:sz w:val="24"/>
          <w:szCs w:val="24"/>
        </w:rPr>
        <w:t>2</w:t>
      </w:r>
      <w:r>
        <w:rPr>
          <w:rFonts w:hint="eastAsia"/>
          <w:bCs/>
          <w:sz w:val="24"/>
          <w:szCs w:val="24"/>
        </w:rPr>
        <w:t>个工作日内在指定媒介上公告。如果采用通讯方式进行表决，在公告基金份额持有人大会决议时，必须将公证书全文、公证机构、公证员姓名等一同公告。</w:t>
      </w:r>
    </w:p>
    <w:p w14:paraId="6E5F61F0" w14:textId="77777777" w:rsidR="003568C2" w:rsidRDefault="00695B03">
      <w:pPr>
        <w:spacing w:line="360" w:lineRule="auto"/>
        <w:ind w:firstLineChars="200" w:firstLine="480"/>
        <w:rPr>
          <w:bCs/>
          <w:sz w:val="24"/>
          <w:szCs w:val="24"/>
        </w:rPr>
      </w:pPr>
      <w:r>
        <w:rPr>
          <w:rFonts w:hint="eastAsia"/>
          <w:bCs/>
          <w:sz w:val="24"/>
          <w:szCs w:val="24"/>
        </w:rPr>
        <w:t>基金管理人、基金托管人和基金份额持有人应当执行生效的基金份额持有人大会的决议。生效的基金份额持有人大会决议对全体基金份额持有人、基金管理</w:t>
      </w:r>
      <w:r>
        <w:rPr>
          <w:rFonts w:hint="eastAsia"/>
          <w:bCs/>
          <w:sz w:val="24"/>
          <w:szCs w:val="24"/>
        </w:rPr>
        <w:lastRenderedPageBreak/>
        <w:t>人、基金托管人均有约束力。</w:t>
      </w:r>
    </w:p>
    <w:p w14:paraId="5C3D2EFE" w14:textId="77777777" w:rsidR="003568C2" w:rsidRDefault="00695B03">
      <w:pPr>
        <w:autoSpaceDE w:val="0"/>
        <w:autoSpaceDN w:val="0"/>
        <w:spacing w:line="360" w:lineRule="auto"/>
        <w:ind w:firstLineChars="200" w:firstLine="480"/>
        <w:textAlignment w:val="bottom"/>
        <w:rPr>
          <w:bCs/>
          <w:sz w:val="24"/>
          <w:szCs w:val="24"/>
        </w:rPr>
      </w:pPr>
      <w:r>
        <w:rPr>
          <w:rFonts w:hint="eastAsia"/>
          <w:bCs/>
          <w:sz w:val="24"/>
          <w:szCs w:val="24"/>
        </w:rPr>
        <w:t>（九）本部分关于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14:paraId="3240BB63" w14:textId="77777777" w:rsidR="003568C2" w:rsidRDefault="00695B03">
      <w:pPr>
        <w:autoSpaceDE w:val="0"/>
        <w:autoSpaceDN w:val="0"/>
        <w:spacing w:line="360" w:lineRule="auto"/>
        <w:ind w:firstLineChars="200" w:firstLine="480"/>
        <w:textAlignment w:val="bottom"/>
        <w:rPr>
          <w:bCs/>
          <w:sz w:val="24"/>
        </w:rPr>
      </w:pPr>
      <w:r>
        <w:rPr>
          <w:rFonts w:hint="eastAsia"/>
          <w:bCs/>
          <w:sz w:val="24"/>
        </w:rPr>
        <w:t>三、基金合同解除和终止的事由、程序以及基金财产清算方式</w:t>
      </w:r>
    </w:p>
    <w:p w14:paraId="78619B21" w14:textId="77777777" w:rsidR="003568C2" w:rsidRDefault="00695B03">
      <w:pPr>
        <w:autoSpaceDE w:val="0"/>
        <w:autoSpaceDN w:val="0"/>
        <w:spacing w:line="360" w:lineRule="auto"/>
        <w:ind w:firstLineChars="200" w:firstLine="480"/>
        <w:textAlignment w:val="bottom"/>
        <w:rPr>
          <w:bCs/>
          <w:sz w:val="24"/>
        </w:rPr>
      </w:pPr>
      <w:r>
        <w:rPr>
          <w:rFonts w:hint="eastAsia"/>
          <w:bCs/>
          <w:sz w:val="24"/>
        </w:rPr>
        <w:t>（一）《基金合同》的变更</w:t>
      </w:r>
    </w:p>
    <w:p w14:paraId="53893CD8" w14:textId="77777777" w:rsidR="003568C2" w:rsidRDefault="00695B03">
      <w:pPr>
        <w:autoSpaceDE w:val="0"/>
        <w:autoSpaceDN w:val="0"/>
        <w:spacing w:line="360" w:lineRule="auto"/>
        <w:ind w:firstLineChars="200" w:firstLine="480"/>
        <w:textAlignment w:val="bottom"/>
        <w:rPr>
          <w:bCs/>
          <w:sz w:val="24"/>
        </w:rPr>
      </w:pPr>
      <w:r>
        <w:rPr>
          <w:bCs/>
          <w:sz w:val="24"/>
        </w:rPr>
        <w:t>1</w:t>
      </w:r>
      <w:r>
        <w:rPr>
          <w:rFonts w:hint="eastAsia"/>
          <w:bCs/>
          <w:sz w:val="24"/>
        </w:rPr>
        <w:t>、变更基金合同涉及法律法规规定或本基金合同约定应经基金份额持有人大会决议通过的事项的，应召开基金份额持有人大会决议通过。对于可不经基金份额持有人大会决议通过的事项，由基金管理人和基金托管人同意后变更并公告，并报中国证监会备案。</w:t>
      </w:r>
    </w:p>
    <w:p w14:paraId="52F00E0C" w14:textId="77777777" w:rsidR="003568C2" w:rsidRDefault="00695B03">
      <w:pPr>
        <w:autoSpaceDE w:val="0"/>
        <w:autoSpaceDN w:val="0"/>
        <w:spacing w:line="360" w:lineRule="auto"/>
        <w:ind w:firstLineChars="200" w:firstLine="480"/>
        <w:textAlignment w:val="bottom"/>
        <w:rPr>
          <w:bCs/>
          <w:sz w:val="24"/>
        </w:rPr>
      </w:pPr>
      <w:r>
        <w:rPr>
          <w:bCs/>
          <w:sz w:val="24"/>
        </w:rPr>
        <w:t xml:space="preserve"> 2</w:t>
      </w:r>
      <w:r>
        <w:rPr>
          <w:rFonts w:hint="eastAsia"/>
          <w:bCs/>
          <w:sz w:val="24"/>
        </w:rPr>
        <w:t>、关于《基金合同》变更的基金份额持有人大会决议自生效后方可执行，并自决议生效后两个工作日内在指定媒介公告。</w:t>
      </w:r>
    </w:p>
    <w:p w14:paraId="5E57CB8F" w14:textId="77777777" w:rsidR="003568C2" w:rsidRDefault="00695B03">
      <w:pPr>
        <w:autoSpaceDE w:val="0"/>
        <w:autoSpaceDN w:val="0"/>
        <w:spacing w:line="360" w:lineRule="auto"/>
        <w:ind w:firstLineChars="200" w:firstLine="480"/>
        <w:textAlignment w:val="bottom"/>
        <w:rPr>
          <w:bCs/>
          <w:sz w:val="24"/>
        </w:rPr>
      </w:pPr>
      <w:r>
        <w:rPr>
          <w:rFonts w:hint="eastAsia"/>
          <w:bCs/>
          <w:sz w:val="24"/>
        </w:rPr>
        <w:t>（二）《基金合同》的终止事由</w:t>
      </w:r>
    </w:p>
    <w:p w14:paraId="692907AF" w14:textId="77777777" w:rsidR="003568C2" w:rsidRDefault="00695B03">
      <w:pPr>
        <w:autoSpaceDE w:val="0"/>
        <w:autoSpaceDN w:val="0"/>
        <w:spacing w:line="360" w:lineRule="auto"/>
        <w:ind w:firstLineChars="200" w:firstLine="480"/>
        <w:textAlignment w:val="bottom"/>
        <w:rPr>
          <w:bCs/>
          <w:sz w:val="24"/>
        </w:rPr>
      </w:pPr>
      <w:r>
        <w:rPr>
          <w:rFonts w:hint="eastAsia"/>
          <w:bCs/>
          <w:sz w:val="24"/>
        </w:rPr>
        <w:t>有下列情形之一的，《基金合同》应当终止：</w:t>
      </w:r>
    </w:p>
    <w:p w14:paraId="6618C380" w14:textId="77777777" w:rsidR="003568C2" w:rsidRDefault="00695B03">
      <w:pPr>
        <w:autoSpaceDE w:val="0"/>
        <w:autoSpaceDN w:val="0"/>
        <w:spacing w:line="360" w:lineRule="auto"/>
        <w:ind w:firstLineChars="200" w:firstLine="480"/>
        <w:textAlignment w:val="bottom"/>
        <w:rPr>
          <w:bCs/>
          <w:sz w:val="24"/>
        </w:rPr>
      </w:pPr>
      <w:r>
        <w:rPr>
          <w:bCs/>
          <w:sz w:val="24"/>
        </w:rPr>
        <w:t>1</w:t>
      </w:r>
      <w:r>
        <w:rPr>
          <w:rFonts w:hint="eastAsia"/>
          <w:bCs/>
          <w:sz w:val="24"/>
        </w:rPr>
        <w:t>、基金份额持有人大会决定终止的；</w:t>
      </w:r>
    </w:p>
    <w:p w14:paraId="5F10FA29" w14:textId="77777777" w:rsidR="003568C2" w:rsidRDefault="00695B03">
      <w:pPr>
        <w:autoSpaceDE w:val="0"/>
        <w:autoSpaceDN w:val="0"/>
        <w:spacing w:line="360" w:lineRule="auto"/>
        <w:ind w:firstLineChars="200" w:firstLine="480"/>
        <w:textAlignment w:val="bottom"/>
        <w:rPr>
          <w:bCs/>
          <w:sz w:val="24"/>
        </w:rPr>
      </w:pPr>
      <w:r>
        <w:rPr>
          <w:bCs/>
          <w:sz w:val="24"/>
        </w:rPr>
        <w:t>2</w:t>
      </w:r>
      <w:r>
        <w:rPr>
          <w:rFonts w:hint="eastAsia"/>
          <w:bCs/>
          <w:sz w:val="24"/>
        </w:rPr>
        <w:t>、基金管理人、基金托管人职责终止，在</w:t>
      </w:r>
      <w:r>
        <w:rPr>
          <w:bCs/>
          <w:sz w:val="24"/>
        </w:rPr>
        <w:t>6</w:t>
      </w:r>
      <w:r>
        <w:rPr>
          <w:rFonts w:hint="eastAsia"/>
          <w:bCs/>
          <w:sz w:val="24"/>
        </w:rPr>
        <w:t>个月内没有新基金管理人、新基金托管人承接的；</w:t>
      </w:r>
      <w:bookmarkStart w:id="376" w:name="_Hlk66197426"/>
    </w:p>
    <w:bookmarkEnd w:id="376"/>
    <w:p w14:paraId="2959EFFB" w14:textId="77777777" w:rsidR="003568C2" w:rsidRDefault="00695B03">
      <w:pPr>
        <w:autoSpaceDE w:val="0"/>
        <w:autoSpaceDN w:val="0"/>
        <w:spacing w:line="360" w:lineRule="auto"/>
        <w:ind w:firstLineChars="200" w:firstLine="480"/>
        <w:textAlignment w:val="bottom"/>
        <w:rPr>
          <w:bCs/>
          <w:sz w:val="24"/>
        </w:rPr>
      </w:pPr>
      <w:r>
        <w:rPr>
          <w:bCs/>
          <w:sz w:val="24"/>
        </w:rPr>
        <w:t>3</w:t>
      </w:r>
      <w:r>
        <w:rPr>
          <w:rFonts w:hint="eastAsia"/>
          <w:bCs/>
          <w:sz w:val="24"/>
        </w:rPr>
        <w:t>、《基金合同》约定的其他情形；</w:t>
      </w:r>
    </w:p>
    <w:p w14:paraId="7A583809" w14:textId="77777777" w:rsidR="003568C2" w:rsidRDefault="00695B03">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、相关法律法规和中国证监会规定的其他情况。</w:t>
      </w:r>
    </w:p>
    <w:p w14:paraId="256AB8E4" w14:textId="77777777" w:rsidR="003568C2" w:rsidRDefault="00695B03">
      <w:pPr>
        <w:autoSpaceDE w:val="0"/>
        <w:autoSpaceDN w:val="0"/>
        <w:spacing w:line="360" w:lineRule="auto"/>
        <w:ind w:firstLineChars="200" w:firstLine="480"/>
        <w:textAlignment w:val="bottom"/>
        <w:rPr>
          <w:bCs/>
          <w:sz w:val="24"/>
        </w:rPr>
      </w:pPr>
      <w:r>
        <w:rPr>
          <w:rFonts w:hint="eastAsia"/>
          <w:bCs/>
          <w:sz w:val="24"/>
        </w:rPr>
        <w:t>（三）基金财产的清算</w:t>
      </w:r>
    </w:p>
    <w:p w14:paraId="0A43D3FB" w14:textId="77777777" w:rsidR="003568C2" w:rsidRDefault="00695B03">
      <w:pPr>
        <w:autoSpaceDE w:val="0"/>
        <w:autoSpaceDN w:val="0"/>
        <w:spacing w:line="360" w:lineRule="auto"/>
        <w:ind w:firstLineChars="200" w:firstLine="480"/>
        <w:textAlignment w:val="bottom"/>
        <w:rPr>
          <w:bCs/>
          <w:sz w:val="24"/>
        </w:rPr>
      </w:pPr>
      <w:r>
        <w:rPr>
          <w:bCs/>
          <w:sz w:val="24"/>
        </w:rPr>
        <w:t>1</w:t>
      </w:r>
      <w:r>
        <w:rPr>
          <w:rFonts w:hint="eastAsia"/>
          <w:bCs/>
          <w:sz w:val="24"/>
        </w:rPr>
        <w:t>、基金财产清算小组：自出现《基金合同》终止事由之日起</w:t>
      </w:r>
      <w:r>
        <w:rPr>
          <w:bCs/>
          <w:sz w:val="24"/>
        </w:rPr>
        <w:t>30</w:t>
      </w:r>
      <w:r>
        <w:rPr>
          <w:rFonts w:hint="eastAsia"/>
          <w:bCs/>
          <w:sz w:val="24"/>
        </w:rPr>
        <w:t>个工作日内成立清算小组，基金管理人或临时基金管理人组织基金财产清算小组并在中国证监会的监督下进行基金清算。</w:t>
      </w:r>
    </w:p>
    <w:p w14:paraId="6727ECCB" w14:textId="77777777" w:rsidR="003568C2" w:rsidRDefault="00695B03">
      <w:pPr>
        <w:autoSpaceDE w:val="0"/>
        <w:autoSpaceDN w:val="0"/>
        <w:spacing w:line="360" w:lineRule="auto"/>
        <w:ind w:firstLineChars="200" w:firstLine="480"/>
        <w:textAlignment w:val="bottom"/>
        <w:rPr>
          <w:bCs/>
          <w:sz w:val="24"/>
        </w:rPr>
      </w:pPr>
      <w:r>
        <w:rPr>
          <w:bCs/>
          <w:sz w:val="24"/>
        </w:rPr>
        <w:t>2</w:t>
      </w:r>
      <w:r>
        <w:rPr>
          <w:rFonts w:hint="eastAsia"/>
          <w:bCs/>
          <w:sz w:val="24"/>
        </w:rPr>
        <w:t>、基金财产清算小组组成：基金财产清算小组成员由基金管理人或临时基金管理人、基金托管人、具有证券、期货相关业务资格的注册会计师、律师以及中国证监会指定的人员组成。基金财产清算小组可以聘用必要的工作人员。</w:t>
      </w:r>
    </w:p>
    <w:p w14:paraId="01B412D3" w14:textId="77777777" w:rsidR="003568C2" w:rsidRDefault="00695B03">
      <w:pPr>
        <w:autoSpaceDE w:val="0"/>
        <w:autoSpaceDN w:val="0"/>
        <w:spacing w:line="360" w:lineRule="auto"/>
        <w:ind w:firstLineChars="200" w:firstLine="480"/>
        <w:textAlignment w:val="bottom"/>
        <w:rPr>
          <w:bCs/>
          <w:sz w:val="24"/>
        </w:rPr>
      </w:pPr>
      <w:r>
        <w:rPr>
          <w:bCs/>
          <w:sz w:val="24"/>
        </w:rPr>
        <w:t>3</w:t>
      </w:r>
      <w:r>
        <w:rPr>
          <w:rFonts w:hint="eastAsia"/>
          <w:bCs/>
          <w:sz w:val="24"/>
        </w:rPr>
        <w:t>、基金财产清算小组职责：基金财产清算小组负责基金财产的保管、清理、估价、变现和分配。基金财产清算小组可以依法进行必要的民事活动。</w:t>
      </w:r>
    </w:p>
    <w:p w14:paraId="7442CB6B" w14:textId="77777777" w:rsidR="003568C2" w:rsidRDefault="00695B03">
      <w:pPr>
        <w:autoSpaceDE w:val="0"/>
        <w:autoSpaceDN w:val="0"/>
        <w:spacing w:line="360" w:lineRule="auto"/>
        <w:ind w:firstLineChars="200" w:firstLine="480"/>
        <w:textAlignment w:val="bottom"/>
        <w:rPr>
          <w:bCs/>
          <w:sz w:val="24"/>
        </w:rPr>
      </w:pPr>
      <w:r>
        <w:rPr>
          <w:bCs/>
          <w:sz w:val="24"/>
        </w:rPr>
        <w:lastRenderedPageBreak/>
        <w:t>4</w:t>
      </w:r>
      <w:r>
        <w:rPr>
          <w:rFonts w:hint="eastAsia"/>
          <w:bCs/>
          <w:sz w:val="24"/>
        </w:rPr>
        <w:t>、基金财产清算程序：</w:t>
      </w:r>
    </w:p>
    <w:p w14:paraId="4182AC81" w14:textId="77777777" w:rsidR="003568C2" w:rsidRDefault="00695B03">
      <w:pPr>
        <w:autoSpaceDE w:val="0"/>
        <w:autoSpaceDN w:val="0"/>
        <w:spacing w:line="360" w:lineRule="auto"/>
        <w:ind w:firstLineChars="200" w:firstLine="480"/>
        <w:textAlignment w:val="bottom"/>
        <w:rPr>
          <w:bCs/>
          <w:sz w:val="24"/>
        </w:rPr>
      </w:pPr>
      <w:r>
        <w:rPr>
          <w:rFonts w:hint="eastAsia"/>
          <w:bCs/>
          <w:sz w:val="24"/>
        </w:rPr>
        <w:t>（</w:t>
      </w:r>
      <w:r>
        <w:rPr>
          <w:bCs/>
          <w:sz w:val="24"/>
        </w:rPr>
        <w:t>1</w:t>
      </w:r>
      <w:r>
        <w:rPr>
          <w:rFonts w:hint="eastAsia"/>
          <w:bCs/>
          <w:sz w:val="24"/>
        </w:rPr>
        <w:t>）《基金合同》终止情形出现时，由基金财产清算小组统一接管基金；</w:t>
      </w:r>
    </w:p>
    <w:p w14:paraId="4D20992B" w14:textId="77777777" w:rsidR="003568C2" w:rsidRDefault="00695B03">
      <w:pPr>
        <w:autoSpaceDE w:val="0"/>
        <w:autoSpaceDN w:val="0"/>
        <w:spacing w:line="360" w:lineRule="auto"/>
        <w:ind w:firstLineChars="200" w:firstLine="480"/>
        <w:textAlignment w:val="bottom"/>
        <w:rPr>
          <w:bCs/>
          <w:sz w:val="24"/>
        </w:rPr>
      </w:pPr>
      <w:r>
        <w:rPr>
          <w:rFonts w:hint="eastAsia"/>
          <w:bCs/>
          <w:sz w:val="24"/>
        </w:rPr>
        <w:t>（</w:t>
      </w:r>
      <w:r>
        <w:rPr>
          <w:bCs/>
          <w:sz w:val="24"/>
        </w:rPr>
        <w:t>2</w:t>
      </w:r>
      <w:r>
        <w:rPr>
          <w:rFonts w:hint="eastAsia"/>
          <w:bCs/>
          <w:sz w:val="24"/>
        </w:rPr>
        <w:t>）对基金财产和债权债务进行清理和确认；</w:t>
      </w:r>
    </w:p>
    <w:p w14:paraId="76A0EB52" w14:textId="77777777" w:rsidR="003568C2" w:rsidRDefault="00695B03">
      <w:pPr>
        <w:autoSpaceDE w:val="0"/>
        <w:autoSpaceDN w:val="0"/>
        <w:spacing w:line="360" w:lineRule="auto"/>
        <w:ind w:firstLineChars="200" w:firstLine="480"/>
        <w:textAlignment w:val="bottom"/>
        <w:rPr>
          <w:bCs/>
          <w:sz w:val="24"/>
        </w:rPr>
      </w:pPr>
      <w:r>
        <w:rPr>
          <w:rFonts w:hint="eastAsia"/>
          <w:bCs/>
          <w:sz w:val="24"/>
        </w:rPr>
        <w:t>（</w:t>
      </w:r>
      <w:r>
        <w:rPr>
          <w:bCs/>
          <w:sz w:val="24"/>
        </w:rPr>
        <w:t>3</w:t>
      </w:r>
      <w:r>
        <w:rPr>
          <w:rFonts w:hint="eastAsia"/>
          <w:bCs/>
          <w:sz w:val="24"/>
        </w:rPr>
        <w:t>）对基金财产进行估值和变现；</w:t>
      </w:r>
    </w:p>
    <w:p w14:paraId="1670ADCA" w14:textId="77777777" w:rsidR="003568C2" w:rsidRDefault="00695B03">
      <w:pPr>
        <w:autoSpaceDE w:val="0"/>
        <w:autoSpaceDN w:val="0"/>
        <w:spacing w:line="360" w:lineRule="auto"/>
        <w:ind w:firstLineChars="200" w:firstLine="480"/>
        <w:textAlignment w:val="bottom"/>
        <w:rPr>
          <w:bCs/>
          <w:sz w:val="24"/>
        </w:rPr>
      </w:pPr>
      <w:r>
        <w:rPr>
          <w:rFonts w:hint="eastAsia"/>
          <w:bCs/>
          <w:sz w:val="24"/>
        </w:rPr>
        <w:t>（</w:t>
      </w:r>
      <w:r>
        <w:rPr>
          <w:bCs/>
          <w:sz w:val="24"/>
        </w:rPr>
        <w:t>4</w:t>
      </w:r>
      <w:r>
        <w:rPr>
          <w:rFonts w:hint="eastAsia"/>
          <w:bCs/>
          <w:sz w:val="24"/>
        </w:rPr>
        <w:t>）制作清算报告；</w:t>
      </w:r>
    </w:p>
    <w:p w14:paraId="7BC7E1BD" w14:textId="77777777" w:rsidR="003568C2" w:rsidRDefault="00695B03">
      <w:pPr>
        <w:autoSpaceDE w:val="0"/>
        <w:autoSpaceDN w:val="0"/>
        <w:spacing w:line="360" w:lineRule="auto"/>
        <w:ind w:firstLineChars="200" w:firstLine="480"/>
        <w:textAlignment w:val="bottom"/>
        <w:rPr>
          <w:bCs/>
          <w:sz w:val="24"/>
        </w:rPr>
      </w:pPr>
      <w:r>
        <w:rPr>
          <w:rFonts w:hint="eastAsia"/>
          <w:bCs/>
          <w:sz w:val="24"/>
        </w:rPr>
        <w:t>（</w:t>
      </w:r>
      <w:r>
        <w:rPr>
          <w:bCs/>
          <w:sz w:val="24"/>
        </w:rPr>
        <w:t>5</w:t>
      </w:r>
      <w:r>
        <w:rPr>
          <w:rFonts w:hint="eastAsia"/>
          <w:bCs/>
          <w:sz w:val="24"/>
        </w:rPr>
        <w:t>）聘请具有证券、期货相关业务资格的会计师事务所对清算报告进行外部审计，聘请律师事务所对清算报告出具法律意见书；</w:t>
      </w:r>
    </w:p>
    <w:p w14:paraId="3E2C1B2D" w14:textId="77777777" w:rsidR="003568C2" w:rsidRDefault="00695B03">
      <w:pPr>
        <w:autoSpaceDE w:val="0"/>
        <w:autoSpaceDN w:val="0"/>
        <w:spacing w:line="360" w:lineRule="auto"/>
        <w:ind w:firstLineChars="200" w:firstLine="480"/>
        <w:textAlignment w:val="bottom"/>
        <w:rPr>
          <w:bCs/>
          <w:sz w:val="24"/>
        </w:rPr>
      </w:pPr>
      <w:r>
        <w:rPr>
          <w:rFonts w:hint="eastAsia"/>
          <w:bCs/>
          <w:sz w:val="24"/>
        </w:rPr>
        <w:t>（</w:t>
      </w:r>
      <w:r>
        <w:rPr>
          <w:bCs/>
          <w:sz w:val="24"/>
        </w:rPr>
        <w:t>6</w:t>
      </w:r>
      <w:r>
        <w:rPr>
          <w:rFonts w:hint="eastAsia"/>
          <w:bCs/>
          <w:sz w:val="24"/>
        </w:rPr>
        <w:t>）将清算报告报中国证监会备案并公告；</w:t>
      </w:r>
    </w:p>
    <w:p w14:paraId="3D1B6F94" w14:textId="77777777" w:rsidR="003568C2" w:rsidRDefault="00695B03">
      <w:pPr>
        <w:autoSpaceDE w:val="0"/>
        <w:autoSpaceDN w:val="0"/>
        <w:spacing w:line="360" w:lineRule="auto"/>
        <w:ind w:firstLineChars="200" w:firstLine="480"/>
        <w:textAlignment w:val="bottom"/>
        <w:rPr>
          <w:bCs/>
          <w:sz w:val="24"/>
        </w:rPr>
      </w:pPr>
      <w:r>
        <w:rPr>
          <w:rFonts w:hint="eastAsia"/>
          <w:bCs/>
          <w:sz w:val="24"/>
        </w:rPr>
        <w:t>（</w:t>
      </w:r>
      <w:r>
        <w:rPr>
          <w:bCs/>
          <w:sz w:val="24"/>
        </w:rPr>
        <w:t>7</w:t>
      </w:r>
      <w:r>
        <w:rPr>
          <w:rFonts w:hint="eastAsia"/>
          <w:bCs/>
          <w:sz w:val="24"/>
        </w:rPr>
        <w:t>）对基金剩余财产进行分配。</w:t>
      </w:r>
    </w:p>
    <w:p w14:paraId="60945FA0" w14:textId="77777777" w:rsidR="003568C2" w:rsidRDefault="00695B03">
      <w:pPr>
        <w:autoSpaceDE w:val="0"/>
        <w:autoSpaceDN w:val="0"/>
        <w:spacing w:line="360" w:lineRule="auto"/>
        <w:ind w:firstLineChars="200" w:firstLine="480"/>
        <w:textAlignment w:val="bottom"/>
        <w:rPr>
          <w:bCs/>
          <w:sz w:val="24"/>
        </w:rPr>
      </w:pPr>
      <w:r>
        <w:rPr>
          <w:bCs/>
          <w:sz w:val="24"/>
        </w:rPr>
        <w:t>5</w:t>
      </w:r>
      <w:r>
        <w:rPr>
          <w:rFonts w:hint="eastAsia"/>
          <w:bCs/>
          <w:sz w:val="24"/>
        </w:rPr>
        <w:t>、基金财产清算的期限为</w:t>
      </w:r>
      <w:r>
        <w:rPr>
          <w:bCs/>
          <w:sz w:val="24"/>
        </w:rPr>
        <w:t>6</w:t>
      </w:r>
      <w:r>
        <w:rPr>
          <w:rFonts w:hint="eastAsia"/>
          <w:bCs/>
          <w:sz w:val="24"/>
        </w:rPr>
        <w:t>个月。</w:t>
      </w:r>
    </w:p>
    <w:p w14:paraId="37255551"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四、争议解决方式</w:t>
      </w:r>
    </w:p>
    <w:p w14:paraId="2E46D640"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各方当事人同意，因《基金合同》而产生的或与《基金合同》有关的一切争议，如经友好协商未能解决的，任何一方均有权将争议提交华南国际经济贸易仲裁委员会，根据该会当时有效的仲裁规则进行仲裁，仲裁地点为深圳市，仲裁裁决是终局性的并对各方当事人具有约束力，仲裁费由败诉方承担。</w:t>
      </w:r>
    </w:p>
    <w:p w14:paraId="6E961636" w14:textId="77777777" w:rsidR="003568C2" w:rsidRDefault="00695B03">
      <w:pPr>
        <w:autoSpaceDE w:val="0"/>
        <w:autoSpaceDN w:val="0"/>
        <w:spacing w:line="360" w:lineRule="auto"/>
        <w:ind w:firstLineChars="200" w:firstLine="480"/>
        <w:textAlignment w:val="bottom"/>
        <w:rPr>
          <w:bCs/>
          <w:sz w:val="24"/>
        </w:rPr>
      </w:pPr>
      <w:r>
        <w:rPr>
          <w:rFonts w:hint="eastAsia"/>
          <w:bCs/>
          <w:sz w:val="24"/>
        </w:rPr>
        <w:t>争议处理期间，基金合同当事人应恪守各自的职责，继续忠实、勤勉、尽责地履行基金合同规定的义务，维护基金份额持有人的合法权益。</w:t>
      </w:r>
    </w:p>
    <w:p w14:paraId="0EDF01F8"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《基金合同》受中国法律（不含港澳台立法）管辖。</w:t>
      </w:r>
    </w:p>
    <w:p w14:paraId="1C5B2D62" w14:textId="77777777" w:rsidR="003568C2" w:rsidRDefault="00695B03">
      <w:pPr>
        <w:autoSpaceDE w:val="0"/>
        <w:autoSpaceDN w:val="0"/>
        <w:spacing w:line="360" w:lineRule="auto"/>
        <w:ind w:firstLineChars="200" w:firstLine="480"/>
        <w:textAlignment w:val="bottom"/>
        <w:rPr>
          <w:bCs/>
          <w:sz w:val="24"/>
        </w:rPr>
      </w:pPr>
      <w:r>
        <w:rPr>
          <w:rFonts w:hint="eastAsia"/>
          <w:bCs/>
          <w:sz w:val="24"/>
        </w:rPr>
        <w:t>五、基金合同存放地和投资人取得基金合同的方式</w:t>
      </w:r>
    </w:p>
    <w:p w14:paraId="70E8DB78"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《基金合同》可印制成册，供投资人在基金管理人、基金托管人、销售机构的办公场所和营业场所查阅。</w:t>
      </w:r>
      <w:r>
        <w:rPr>
          <w:bCs/>
          <w:sz w:val="24"/>
        </w:rPr>
        <w:br w:type="page"/>
      </w:r>
    </w:p>
    <w:p w14:paraId="303886C0" w14:textId="77777777" w:rsidR="003568C2" w:rsidRDefault="00695B03">
      <w:pPr>
        <w:pStyle w:val="1"/>
        <w:jc w:val="center"/>
        <w:rPr>
          <w:sz w:val="30"/>
          <w:szCs w:val="30"/>
        </w:rPr>
      </w:pPr>
      <w:bookmarkStart w:id="377" w:name="_Toc416264554"/>
      <w:bookmarkStart w:id="378" w:name="_Toc263092327"/>
      <w:bookmarkStart w:id="379" w:name="_Toc15892932"/>
      <w:bookmarkStart w:id="380" w:name="_Toc214873614"/>
      <w:bookmarkStart w:id="381" w:name="_Toc352229766"/>
      <w:bookmarkStart w:id="382" w:name="_Toc98560365"/>
      <w:bookmarkStart w:id="383" w:name="_Toc48649720"/>
      <w:bookmarkStart w:id="384" w:name="_Toc79392641"/>
      <w:bookmarkStart w:id="385" w:name="_Toc12191"/>
      <w:bookmarkStart w:id="386" w:name="_Toc9708"/>
      <w:bookmarkStart w:id="387" w:name="_Toc8710"/>
      <w:bookmarkStart w:id="388" w:name="_Toc139991750"/>
      <w:bookmarkStart w:id="389" w:name="_Toc23022"/>
      <w:bookmarkStart w:id="390" w:name="_Toc28549"/>
      <w:bookmarkStart w:id="391" w:name="_Toc21240"/>
      <w:bookmarkStart w:id="392" w:name="_Toc123051466"/>
      <w:bookmarkStart w:id="393" w:name="_Toc13398"/>
      <w:bookmarkStart w:id="394" w:name="_Toc7367"/>
      <w:bookmarkStart w:id="395" w:name="_Toc30645"/>
      <w:bookmarkStart w:id="396" w:name="_Toc123112248"/>
      <w:bookmarkStart w:id="397" w:name="_Toc141703901"/>
      <w:bookmarkStart w:id="398" w:name="_Toc123102467"/>
      <w:bookmarkStart w:id="399" w:name="_Toc23166"/>
      <w:bookmarkStart w:id="400" w:name="_Toc27058"/>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r>
        <w:rPr>
          <w:rFonts w:hint="eastAsia"/>
          <w:sz w:val="30"/>
          <w:szCs w:val="30"/>
        </w:rPr>
        <w:lastRenderedPageBreak/>
        <w:t>第十九部分</w:t>
      </w:r>
      <w:r>
        <w:rPr>
          <w:sz w:val="30"/>
          <w:szCs w:val="30"/>
        </w:rPr>
        <w:t xml:space="preserve">  </w:t>
      </w:r>
      <w:r>
        <w:rPr>
          <w:rFonts w:hint="eastAsia"/>
          <w:sz w:val="30"/>
          <w:szCs w:val="30"/>
        </w:rPr>
        <w:t>基金托管协议的内容摘要</w:t>
      </w:r>
      <w:bookmarkEnd w:id="377"/>
      <w:bookmarkEnd w:id="378"/>
      <w:bookmarkEnd w:id="379"/>
      <w:bookmarkEnd w:id="380"/>
    </w:p>
    <w:p w14:paraId="03964CD8" w14:textId="77777777" w:rsidR="003568C2" w:rsidRDefault="00695B03">
      <w:pPr>
        <w:numPr>
          <w:ilvl w:val="0"/>
          <w:numId w:val="3"/>
        </w:numPr>
        <w:tabs>
          <w:tab w:val="left" w:pos="851"/>
        </w:tabs>
        <w:adjustRightInd w:val="0"/>
        <w:snapToGrid w:val="0"/>
        <w:spacing w:line="360" w:lineRule="auto"/>
        <w:rPr>
          <w:rFonts w:asciiTheme="minorEastAsia" w:hAnsiTheme="minorEastAsia" w:cs="Arial"/>
          <w:b/>
          <w:sz w:val="24"/>
          <w:szCs w:val="24"/>
        </w:rPr>
      </w:pPr>
      <w:r>
        <w:rPr>
          <w:rFonts w:asciiTheme="minorEastAsia" w:hAnsiTheme="minorEastAsia" w:cs="Arial" w:hint="eastAsia"/>
          <w:b/>
          <w:sz w:val="24"/>
          <w:szCs w:val="24"/>
        </w:rPr>
        <w:t>托管协议当事人</w:t>
      </w:r>
    </w:p>
    <w:p w14:paraId="380EACD2" w14:textId="77777777" w:rsidR="003568C2" w:rsidRDefault="00695B03">
      <w:pPr>
        <w:spacing w:line="360" w:lineRule="auto"/>
        <w:ind w:firstLineChars="200" w:firstLine="480"/>
        <w:rPr>
          <w:rFonts w:ascii="宋体" w:hAnsi="宋体"/>
          <w:sz w:val="24"/>
          <w:szCs w:val="24"/>
        </w:rPr>
      </w:pPr>
      <w:r>
        <w:rPr>
          <w:rFonts w:ascii="宋体" w:hAnsi="宋体" w:hint="eastAsia"/>
          <w:sz w:val="24"/>
          <w:szCs w:val="24"/>
        </w:rPr>
        <w:t>（一）基金管理人（也可称资产管理人）</w:t>
      </w:r>
    </w:p>
    <w:p w14:paraId="2608D087" w14:textId="77777777" w:rsidR="003568C2" w:rsidRDefault="00695B03">
      <w:pPr>
        <w:spacing w:line="360" w:lineRule="auto"/>
        <w:ind w:firstLineChars="200" w:firstLine="480"/>
        <w:rPr>
          <w:rFonts w:ascii="宋体" w:hAnsi="宋体"/>
          <w:sz w:val="24"/>
          <w:szCs w:val="24"/>
        </w:rPr>
      </w:pPr>
      <w:r>
        <w:rPr>
          <w:rFonts w:ascii="宋体" w:hAnsi="宋体" w:hint="eastAsia"/>
          <w:sz w:val="24"/>
          <w:szCs w:val="24"/>
        </w:rPr>
        <w:t>名称：富荣基金管理有限公司</w:t>
      </w:r>
    </w:p>
    <w:p w14:paraId="3B349586" w14:textId="77777777" w:rsidR="003568C2" w:rsidRDefault="00695B03">
      <w:pPr>
        <w:spacing w:line="360" w:lineRule="auto"/>
        <w:ind w:firstLineChars="200" w:firstLine="480"/>
        <w:rPr>
          <w:rFonts w:ascii="宋体" w:hAnsi="宋体"/>
          <w:sz w:val="24"/>
          <w:szCs w:val="24"/>
        </w:rPr>
      </w:pPr>
      <w:r>
        <w:rPr>
          <w:rFonts w:ascii="宋体" w:hAnsi="宋体" w:hint="eastAsia"/>
          <w:sz w:val="24"/>
          <w:szCs w:val="24"/>
        </w:rPr>
        <w:t>住所：广州市南沙区海滨路171号南沙金融大厦11楼1101之一J20室</w:t>
      </w:r>
    </w:p>
    <w:p w14:paraId="6B58FE48" w14:textId="77777777" w:rsidR="003568C2" w:rsidRDefault="00695B03">
      <w:pPr>
        <w:spacing w:line="360" w:lineRule="auto"/>
        <w:ind w:firstLineChars="200" w:firstLine="480"/>
        <w:rPr>
          <w:rFonts w:ascii="宋体" w:hAnsi="宋体"/>
          <w:sz w:val="24"/>
          <w:szCs w:val="24"/>
        </w:rPr>
      </w:pPr>
      <w:r>
        <w:rPr>
          <w:rFonts w:ascii="宋体" w:hAnsi="宋体" w:hint="eastAsia"/>
          <w:sz w:val="24"/>
          <w:szCs w:val="24"/>
        </w:rPr>
        <w:t>办公地址：广东省深圳市福田区八卦四路52号安吉尔大厦24层</w:t>
      </w:r>
    </w:p>
    <w:p w14:paraId="502010BC" w14:textId="77777777" w:rsidR="003568C2" w:rsidRDefault="00695B03">
      <w:pPr>
        <w:spacing w:line="360" w:lineRule="auto"/>
        <w:ind w:firstLineChars="200" w:firstLine="480"/>
        <w:rPr>
          <w:rFonts w:ascii="宋体" w:hAnsi="宋体"/>
          <w:sz w:val="24"/>
          <w:szCs w:val="24"/>
        </w:rPr>
      </w:pPr>
      <w:r>
        <w:rPr>
          <w:rFonts w:ascii="宋体" w:hAnsi="宋体" w:hint="eastAsia"/>
          <w:sz w:val="24"/>
          <w:szCs w:val="24"/>
        </w:rPr>
        <w:t>邮政编码：518038</w:t>
      </w:r>
    </w:p>
    <w:p w14:paraId="792ECA72" w14:textId="77777777" w:rsidR="003568C2" w:rsidRDefault="00695B03">
      <w:pPr>
        <w:spacing w:line="360" w:lineRule="auto"/>
        <w:ind w:firstLineChars="200" w:firstLine="480"/>
        <w:rPr>
          <w:rFonts w:ascii="宋体" w:hAnsi="宋体"/>
          <w:sz w:val="24"/>
          <w:szCs w:val="24"/>
        </w:rPr>
      </w:pPr>
      <w:r>
        <w:rPr>
          <w:rFonts w:ascii="宋体" w:hAnsi="宋体" w:hint="eastAsia"/>
          <w:sz w:val="24"/>
          <w:szCs w:val="24"/>
        </w:rPr>
        <w:t>法定代表人：杨小舟</w:t>
      </w:r>
    </w:p>
    <w:p w14:paraId="13196291" w14:textId="77777777" w:rsidR="003568C2" w:rsidRDefault="00695B03">
      <w:pPr>
        <w:spacing w:line="360" w:lineRule="auto"/>
        <w:ind w:firstLineChars="200" w:firstLine="480"/>
        <w:rPr>
          <w:rFonts w:ascii="宋体" w:hAnsi="宋体"/>
          <w:sz w:val="24"/>
          <w:szCs w:val="24"/>
        </w:rPr>
      </w:pPr>
      <w:r>
        <w:rPr>
          <w:rFonts w:ascii="宋体" w:hAnsi="宋体" w:hint="eastAsia"/>
          <w:sz w:val="24"/>
          <w:szCs w:val="24"/>
        </w:rPr>
        <w:t>成立日期：2016年1月25日</w:t>
      </w:r>
    </w:p>
    <w:p w14:paraId="4FE6FE8F" w14:textId="77777777" w:rsidR="003568C2" w:rsidRDefault="00695B03">
      <w:pPr>
        <w:spacing w:line="360" w:lineRule="auto"/>
        <w:ind w:firstLineChars="200" w:firstLine="480"/>
        <w:rPr>
          <w:rFonts w:ascii="宋体" w:hAnsi="宋体"/>
          <w:sz w:val="24"/>
          <w:szCs w:val="24"/>
        </w:rPr>
      </w:pPr>
      <w:r>
        <w:rPr>
          <w:rFonts w:ascii="宋体" w:hAnsi="宋体" w:hint="eastAsia"/>
          <w:sz w:val="24"/>
          <w:szCs w:val="24"/>
        </w:rPr>
        <w:t>批准设立机关：中国证券监督管理委员会</w:t>
      </w:r>
    </w:p>
    <w:p w14:paraId="6BC0A264" w14:textId="77777777" w:rsidR="003568C2" w:rsidRDefault="00695B03">
      <w:pPr>
        <w:spacing w:line="360" w:lineRule="auto"/>
        <w:ind w:firstLineChars="200" w:firstLine="480"/>
        <w:rPr>
          <w:rFonts w:ascii="宋体" w:hAnsi="宋体"/>
          <w:sz w:val="24"/>
          <w:szCs w:val="24"/>
        </w:rPr>
      </w:pPr>
      <w:r>
        <w:rPr>
          <w:rFonts w:ascii="宋体" w:hAnsi="宋体" w:hint="eastAsia"/>
          <w:sz w:val="24"/>
          <w:szCs w:val="24"/>
        </w:rPr>
        <w:t>批准设立机关及批准设立文号：中国证监会证监许可【2015】3118号</w:t>
      </w:r>
    </w:p>
    <w:p w14:paraId="5822CC7D" w14:textId="77777777" w:rsidR="003568C2" w:rsidRDefault="00695B03">
      <w:pPr>
        <w:spacing w:line="360" w:lineRule="auto"/>
        <w:ind w:firstLineChars="200" w:firstLine="480"/>
        <w:rPr>
          <w:rFonts w:ascii="宋体" w:hAnsi="宋体"/>
          <w:sz w:val="24"/>
          <w:szCs w:val="24"/>
        </w:rPr>
      </w:pPr>
      <w:r>
        <w:rPr>
          <w:rFonts w:ascii="宋体" w:hAnsi="宋体" w:hint="eastAsia"/>
          <w:sz w:val="24"/>
          <w:szCs w:val="24"/>
        </w:rPr>
        <w:t>组织形式：有限责任公司</w:t>
      </w:r>
    </w:p>
    <w:p w14:paraId="4A0BC27B" w14:textId="77777777" w:rsidR="003568C2" w:rsidRDefault="00695B03">
      <w:pPr>
        <w:spacing w:line="360" w:lineRule="auto"/>
        <w:ind w:firstLineChars="200" w:firstLine="480"/>
        <w:rPr>
          <w:rFonts w:ascii="宋体" w:hAnsi="宋体"/>
          <w:sz w:val="24"/>
          <w:szCs w:val="24"/>
        </w:rPr>
      </w:pPr>
      <w:r>
        <w:rPr>
          <w:rFonts w:ascii="宋体" w:hAnsi="宋体" w:hint="eastAsia"/>
          <w:sz w:val="24"/>
          <w:szCs w:val="24"/>
        </w:rPr>
        <w:t>注册资本：2亿元人民币</w:t>
      </w:r>
    </w:p>
    <w:p w14:paraId="4030D82D" w14:textId="77777777" w:rsidR="003568C2" w:rsidRDefault="00695B03">
      <w:pPr>
        <w:spacing w:line="360" w:lineRule="auto"/>
        <w:ind w:firstLineChars="200" w:firstLine="480"/>
        <w:rPr>
          <w:rFonts w:ascii="宋体" w:hAnsi="宋体"/>
          <w:sz w:val="24"/>
          <w:szCs w:val="24"/>
        </w:rPr>
      </w:pPr>
      <w:r>
        <w:rPr>
          <w:rFonts w:ascii="宋体" w:hAnsi="宋体" w:hint="eastAsia"/>
          <w:sz w:val="24"/>
          <w:szCs w:val="24"/>
        </w:rPr>
        <w:t>存续期间：永续经营</w:t>
      </w:r>
    </w:p>
    <w:p w14:paraId="2CE21AFA" w14:textId="77777777" w:rsidR="003568C2" w:rsidRDefault="00695B03">
      <w:pPr>
        <w:spacing w:line="360" w:lineRule="auto"/>
        <w:ind w:firstLineChars="200" w:firstLine="480"/>
        <w:rPr>
          <w:rFonts w:ascii="宋体" w:hAnsi="宋体"/>
          <w:sz w:val="24"/>
          <w:szCs w:val="24"/>
        </w:rPr>
      </w:pPr>
      <w:r>
        <w:rPr>
          <w:rFonts w:ascii="宋体" w:hAnsi="宋体" w:hint="eastAsia"/>
          <w:sz w:val="24"/>
          <w:szCs w:val="24"/>
        </w:rPr>
        <w:t>经营范围：基金募集；基金销售；资产管理以及中国证监会许可的其它业务</w:t>
      </w:r>
    </w:p>
    <w:p w14:paraId="7931C07C" w14:textId="77777777" w:rsidR="003568C2" w:rsidRDefault="00695B03">
      <w:pPr>
        <w:spacing w:line="360" w:lineRule="auto"/>
        <w:ind w:firstLineChars="200" w:firstLine="480"/>
        <w:rPr>
          <w:rFonts w:ascii="宋体" w:hAnsi="宋体"/>
          <w:sz w:val="24"/>
          <w:szCs w:val="24"/>
        </w:rPr>
      </w:pPr>
      <w:r>
        <w:rPr>
          <w:rFonts w:ascii="宋体" w:hAnsi="宋体" w:hint="eastAsia"/>
          <w:sz w:val="24"/>
          <w:szCs w:val="24"/>
        </w:rPr>
        <w:t>（二）基金托管人（也可称资产托管人）</w:t>
      </w:r>
    </w:p>
    <w:p w14:paraId="04B242D2" w14:textId="77777777" w:rsidR="003568C2" w:rsidRDefault="00695B0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名称：招商银行股份有限公司(简称：招商银行)</w:t>
      </w:r>
    </w:p>
    <w:p w14:paraId="45BA29D0" w14:textId="77777777" w:rsidR="003568C2" w:rsidRDefault="00695B0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住所：深圳市深南大道7088号招商银行大厦</w:t>
      </w:r>
    </w:p>
    <w:p w14:paraId="11E2DAE5" w14:textId="77777777" w:rsidR="003568C2" w:rsidRDefault="00695B0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办公地址：深圳市深南大道7088号招商银行大厦</w:t>
      </w:r>
    </w:p>
    <w:p w14:paraId="46F43DDC" w14:textId="77777777" w:rsidR="003568C2" w:rsidRDefault="00695B0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邮政编码：518040</w:t>
      </w:r>
    </w:p>
    <w:p w14:paraId="22F60361" w14:textId="77777777" w:rsidR="003568C2" w:rsidRDefault="00695B0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法定代表人：缪建民</w:t>
      </w:r>
    </w:p>
    <w:p w14:paraId="52EC6DA3" w14:textId="77777777" w:rsidR="003568C2" w:rsidRDefault="00695B0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成立时间：1987年4月8日</w:t>
      </w:r>
    </w:p>
    <w:p w14:paraId="5336F868" w14:textId="77777777" w:rsidR="003568C2" w:rsidRDefault="00695B0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基金托管业务批准文号：</w:t>
      </w:r>
      <w:r>
        <w:rPr>
          <w:rFonts w:ascii="宋体" w:cs="宋体" w:hint="eastAsia"/>
          <w:kern w:val="0"/>
          <w:sz w:val="24"/>
        </w:rPr>
        <w:t>证监基金字[2002]83号</w:t>
      </w:r>
    </w:p>
    <w:p w14:paraId="7EE480B9" w14:textId="77777777" w:rsidR="003568C2" w:rsidRDefault="00695B0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组织形式：股份有限公司</w:t>
      </w:r>
    </w:p>
    <w:p w14:paraId="1F2B3C55" w14:textId="77777777" w:rsidR="003568C2" w:rsidRDefault="00695B0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注册资本：人民币252.20亿元</w:t>
      </w:r>
    </w:p>
    <w:p w14:paraId="58B65DEC" w14:textId="77777777" w:rsidR="003568C2" w:rsidRDefault="00695B0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存续期间：持续经营</w:t>
      </w:r>
    </w:p>
    <w:p w14:paraId="673E06CA" w14:textId="77777777" w:rsidR="003568C2" w:rsidRDefault="00695B03">
      <w:pPr>
        <w:pStyle w:val="aff"/>
        <w:numPr>
          <w:ilvl w:val="0"/>
          <w:numId w:val="4"/>
        </w:numPr>
        <w:adjustRightInd w:val="0"/>
        <w:snapToGrid w:val="0"/>
        <w:spacing w:line="360" w:lineRule="auto"/>
        <w:ind w:firstLineChars="0"/>
        <w:rPr>
          <w:rFonts w:asciiTheme="minorEastAsia" w:hAnsiTheme="minorEastAsia" w:cs="Arial"/>
          <w:b/>
          <w:sz w:val="24"/>
          <w:szCs w:val="24"/>
        </w:rPr>
      </w:pPr>
      <w:r>
        <w:rPr>
          <w:rFonts w:asciiTheme="minorEastAsia" w:hAnsiTheme="minorEastAsia" w:cs="Arial" w:hint="eastAsia"/>
          <w:b/>
          <w:sz w:val="24"/>
          <w:szCs w:val="24"/>
        </w:rPr>
        <w:t>基金托管人对基金管理人的业务监督和核查</w:t>
      </w:r>
    </w:p>
    <w:p w14:paraId="51976E57"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（一）基金托管人根据有关法律法规的规定以及《基金合同》的约定，对基金投资范围、投资比例、投资限制、关联方交易等进行监督。《基金合同》明确</w:t>
      </w:r>
      <w:r>
        <w:rPr>
          <w:rFonts w:asciiTheme="minorEastAsia" w:hAnsiTheme="minorEastAsia" w:cs="Arial" w:hint="eastAsia"/>
          <w:color w:val="000000"/>
          <w:sz w:val="24"/>
          <w:szCs w:val="24"/>
        </w:rPr>
        <w:lastRenderedPageBreak/>
        <w:t>约定基金投资证券选择标准的，基金管理人应事先或定期向基金托管人提供投资品种池，以便基金托管人对基金实际投资是否符合基金合同关于证券选择标准的约定进行监督。</w:t>
      </w:r>
    </w:p>
    <w:p w14:paraId="3970DC38"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1、本基金的投资范围为：</w:t>
      </w:r>
    </w:p>
    <w:p w14:paraId="39BD174D"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本基金主要投资于沪深300指数成份股、备选成份股。为更好地实现投资目标,本基金可少量投资于非成份股(包括中小板、创业板及其他经中国证监会核准上市的股票)、存托凭证、债券(含国债、金融债、企业债、公司债、央行票据、中期票据、短期融资券、超短期融资券、政府支持机构债、地方政府债、公开发行的次级债、可转换债券、可交换债券、中小企业私募债及其他经中国证监会允许投资的债券)、货币市场工具(含同业存单等)、权证、资产支持证券、股指期货以及法律法规或中国证监会允许基金投资的其他金融工具(但须符合中国证监会相关规定)。</w:t>
      </w:r>
    </w:p>
    <w:p w14:paraId="2633BF57"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 xml:space="preserve">如法律法规或监管机构以后允许基金投资其他品种,基金管理人在履行适当程序后,可以将其纳入投资范围。 </w:t>
      </w:r>
    </w:p>
    <w:p w14:paraId="2A402255"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的投资组合比例为：股票资产占基金资产的比例不低于80%，投资标的指数成份股及其备选成份股的比例不低于非现金基金资产的80%；每个交易日日终在扣除股指期货合约需缴纳的交易保证金后，保持不低于基金资产净值5%的现金或到期日在一年以内的政府债券，其中现金不包括结算备付金、存出保证金、应收申购款等；权证、股指期货及其他金融工具的投资比例依照法律法规或监管机构的规定执行。</w:t>
      </w:r>
    </w:p>
    <w:p w14:paraId="7971D36B"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如果法律法规或中国证监会变更投资品种的投资比例限制，基金管理人在履行适当程序后，可以调整上述投资品种的投资比例。</w:t>
      </w:r>
    </w:p>
    <w:p w14:paraId="1EC8A716"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2、本基金各类品种的投资比例、投资限制为：</w:t>
      </w:r>
    </w:p>
    <w:p w14:paraId="12BEAA2C"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基金的投资组合应遵循以下限制：</w:t>
      </w:r>
    </w:p>
    <w:p w14:paraId="37930FC9"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（1）股票资产占基金资产的比例不低于80%，投资沪深300指数成份股及其备选成份股的比例不低于非现金基金资产的80%；</w:t>
      </w:r>
    </w:p>
    <w:p w14:paraId="1FD15588"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（2）每个交易日日终在扣除股指期货合约需缴纳的交易保证金后，保持不低于基金资产净值5％的现金或者到期日在一年以内的政府债券，其中现金不包括结算备付金、存出保证金、应收申购款等；</w:t>
      </w:r>
    </w:p>
    <w:p w14:paraId="3CCB0F22"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lastRenderedPageBreak/>
        <w:t>（3）本基金持有一家公司发行的证券，其市值不超过基金资产净值的10％，但完全按照标的指数的构成比例进行投资的部分不受此限制；</w:t>
      </w:r>
    </w:p>
    <w:p w14:paraId="55106531"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（4）本基金管理人管理的全部基金持有一家公司发行的证券，不超过该证券的10％，但完全按照标的指数的构成比例进行投资的部分不受此限制；</w:t>
      </w:r>
    </w:p>
    <w:p w14:paraId="7106DA78"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（5）本基金持有的全部权证，其市值不得超过基金资产净值的3％；</w:t>
      </w:r>
    </w:p>
    <w:p w14:paraId="2EF82D59"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（6）本基金管理人管理的全部基金持有的同一权证，不得超过该权证的   10％；</w:t>
      </w:r>
    </w:p>
    <w:p w14:paraId="01F07DA3"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（7）本基金在任何交易日买入权证的总金额，不得超过上一交易日基金资产净值的0.5％；</w:t>
      </w:r>
    </w:p>
    <w:p w14:paraId="02108294"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（8）本基金投资于同一原始权益人的各类资产支持证券的比例，不得超过基金资产净值的10％；</w:t>
      </w:r>
    </w:p>
    <w:p w14:paraId="4E6E0943"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（9）本基金持有的全部资产支持证券，其市值不得超过基金资产净值的20％，中国证监会规定的特殊品种除外；</w:t>
      </w:r>
    </w:p>
    <w:p w14:paraId="6E66213B"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（10）本基金持有的同一(指同一信用级别)资产支持证券的比例，不得超过该资产支持证券规模的10％；</w:t>
      </w:r>
    </w:p>
    <w:p w14:paraId="5F15BB15"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（11）本基金管理人管理的全部基金投资于同一原始权益人的各类资产支持证券，不得超过其各类资产支持证券合计规模的10％；</w:t>
      </w:r>
    </w:p>
    <w:p w14:paraId="5FB70F23"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（12）本基金应投资于信用级别评级为BBB以上(含BBB)的资产支持证券。基金持有资产支持证券期间，如果其信用等级下降、不再符合投资标准，应在评级报告发布之日起3个月内予以全部卖出；</w:t>
      </w:r>
    </w:p>
    <w:p w14:paraId="0CCC8AE2"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（13）基金财产参与股票发行申购，本基金所申报的金额不超过本基金的总资产，本基金所申报的股票数量不超过拟发行股票公司本次发行股票的总量；</w:t>
      </w:r>
    </w:p>
    <w:p w14:paraId="1DF8B96D"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（14）本基金进入全国银行间同业市场进行债券回购的资金余额不得超过基金资产净值的40%，在全国银行间同业市场的债券回购最长期限为1年，债券回购到期后不得展期；</w:t>
      </w:r>
    </w:p>
    <w:p w14:paraId="69EE3C59"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（15）本基金总资产不得超过基金净资产的 140%；</w:t>
      </w:r>
    </w:p>
    <w:p w14:paraId="738E138C"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（16）本基金持有单只中小企业私募债券，其市值不得超过本基金资产净值的10%；基金投资于中小企业私募债的比例不超过基金资产净值的20%；</w:t>
      </w:r>
    </w:p>
    <w:p w14:paraId="2C90CD4F"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（17）本基金参与股指期货交易，需遵守下列规定：</w:t>
      </w:r>
    </w:p>
    <w:p w14:paraId="4A211575"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lastRenderedPageBreak/>
        <w:t>1）本基金在任何交易日日终，持有的买入股指期货合约价值，不得超过基金资产净值的10%；</w:t>
      </w:r>
    </w:p>
    <w:p w14:paraId="72410776"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本基金在任何交易日日终，持有的买入股指期货合约价值与有价证券市值之和，不得超过基金资产净值的95%，其中，有价证券指股票、债券（不含到期日在一年以内的政府债券）、权证、资产支持证券、买入返售金融资产（不含质押式回购）等；</w:t>
      </w:r>
    </w:p>
    <w:p w14:paraId="43C83187"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3）本基金在任何交易日日终，持有的卖出股指期货合约价值不得超过基金持有的股票总市值的20%；</w:t>
      </w:r>
    </w:p>
    <w:p w14:paraId="7220E507"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4）本基金在任何交易日内交易（不包括平仓）的股指期货合约的成交金额不得超过上一交易日基金资产净值的20%；</w:t>
      </w:r>
    </w:p>
    <w:p w14:paraId="72FF2757"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5）本基金所持有的股票市值和买入、卖出股指期货合约价值，合计（轧差计算）应当符合基金合同关于股票投资比例的有关规定；</w:t>
      </w:r>
    </w:p>
    <w:p w14:paraId="419520BA"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18）本基金管理人管理的全部开放式基金（包括开放式基金以及处于开放期的定期开放基金）持有一家上市公司发行的可流通股票，不得超过该上市公司可流通股票的15%；本基金管理人管理的全部投资组合持有一家上市公司发行的可流通股票，不得超过该上市公司可流通股票的30%；完全按照有关指数的构成比例进行证券投资的开放式基金以及中国证监会认定的特殊投资组合可不受前述比例限制；</w:t>
      </w:r>
    </w:p>
    <w:p w14:paraId="11155D9C"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（19）本基金主动投资于流动性受限资产的市值合计不得超过基金资产净值的15%；</w:t>
      </w:r>
    </w:p>
    <w:p w14:paraId="7BB4DB92"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因证券市场波动、上市公司股票停牌、基金规模变动等基金管理人之外的因素致使基金不符合前款所规定比例限制的，基金管理人不得主动新增流动性受限资产的投资；</w:t>
      </w:r>
    </w:p>
    <w:p w14:paraId="64586F31"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（20）本基金与私募类证券资管产品及中国证监会认定的其他主体为交易对手开展逆回购交易的，可接受质押品的资质要求应当与基金合同约定的投资范围保持一致；</w:t>
      </w:r>
    </w:p>
    <w:p w14:paraId="2FAE8E15"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（21）本基金投资存托凭证的比例限制依照境内上市交易的股票执行，与境内上市交易的股票合并计算；</w:t>
      </w:r>
    </w:p>
    <w:p w14:paraId="568D88F4"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（22）法律法规及中国证监会规定的和《基金合同》约定的其他投资限制。</w:t>
      </w:r>
    </w:p>
    <w:p w14:paraId="0ECBE3DE"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lastRenderedPageBreak/>
        <w:t>除上述第（2）、（12）、（19）、（20）项外，因证券、期货市场波动、上市公司合并、基金规模变动、股权分置改革中支付对价等基金管理人之外的因素致使基金投资比例不符合上述规定投资比例的，基金管理人应当在10个交易日内进行调整，但中国证监会规定的特殊情形除外。</w:t>
      </w:r>
    </w:p>
    <w:p w14:paraId="3EF16C5A"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应当自基金合同生效之日起6个月内使基金的投资组合比例符合基金合同的有关约定。在上述期间内，本基金的投资范围、投资策略应当符合基金合同的约定。基金托管人对基金的投资的监督与检查自基金合同生效之日起开始。</w:t>
      </w:r>
    </w:p>
    <w:p w14:paraId="4ED69515"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法律法规或监管部门取消或调整上述限制，如适用于本基金，基金管理人在履行适当程序后，则本基金投资不再受相关限制或按调整后的规定执行。</w:t>
      </w:r>
    </w:p>
    <w:p w14:paraId="19221F0C"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3、本基金财产不得用于以下投资或者活动：</w:t>
      </w:r>
    </w:p>
    <w:p w14:paraId="4D0DCFB9"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（1）承销证券；</w:t>
      </w:r>
    </w:p>
    <w:p w14:paraId="25E6C72C"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（2）违反规定向他人贷款或者提供担保；</w:t>
      </w:r>
    </w:p>
    <w:p w14:paraId="2173AA18"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（3）从事承担无限责任的投资；</w:t>
      </w:r>
    </w:p>
    <w:p w14:paraId="6D511CA7"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（4）买卖其他基金份额，但是中国证监会另有规定的除外；</w:t>
      </w:r>
    </w:p>
    <w:p w14:paraId="5BC52CE0"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（5）向基金管理人、基金托管人出资；</w:t>
      </w:r>
    </w:p>
    <w:p w14:paraId="3657711B"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（6）从事内幕交易、操纵证券交易价格及其他不正当的证券交易活动；</w:t>
      </w:r>
    </w:p>
    <w:p w14:paraId="539AE995"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（7）法律、行政法规或者中国证监会规定禁止的其他活动。</w:t>
      </w:r>
    </w:p>
    <w:p w14:paraId="78FFCB9F"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基金管理人运用基金财产买卖基金管理人、基金托管人及其控股股东、实际控制人或者与其有其他重大利害关系的公司发行的证券或者承销期内承销的证券，或者从事其他重大关联交易的，应当符合基金的投资目标和投资策略，遵循基金份额持有人利益优先的原则，防范利益冲突，建立健全内部审批机制和评估机制，按照市场公平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08339271"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二）基金托管人根据有关法律法规的规定及《基金合同》的约定，对基金管理人选择存款银行进行监督。基金投资银行定期存款的，基金管理人应根据法律法规的规定及《基金合同》的约定，确定符合条件的所有存款银行的名单，并</w:t>
      </w:r>
      <w:r>
        <w:rPr>
          <w:rFonts w:asciiTheme="minorEastAsia" w:hAnsiTheme="minorEastAsia" w:cs="Arial" w:hint="eastAsia"/>
          <w:color w:val="000000"/>
          <w:sz w:val="24"/>
          <w:szCs w:val="24"/>
        </w:rPr>
        <w:lastRenderedPageBreak/>
        <w:t>及时提供给基金托管人，基金托管人应据以对基金投资银行存款的交易对手是否符合有关规定进行监督。对于不符合规定的银行存款，基金托管人可以拒绝执行，并通知基金管理人。</w:t>
      </w:r>
    </w:p>
    <w:p w14:paraId="3D85C04F"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本基金投资银行存款应符合如下规定：</w:t>
      </w:r>
    </w:p>
    <w:p w14:paraId="4F2F6692"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本基金投资于有固定期限银行存款的比例，不得超过基金资产净值的30%，但投资于有存款期限，根据协议可提前支取的银行存款不受上述比例限制;本基金投资于具有基金托管人资格的同一商业银行的银行存款、同业存单占基金资产净值的比例合计不得超过 20%，投资于不具有基金托管人资格的同一商业银行的银行存款、同业存单占基金资产净值的比例合计不得超过 5%。</w:t>
      </w:r>
    </w:p>
    <w:p w14:paraId="687EE101"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有关法律法规或监管部门制定或修改新的定期存款投资政策，基金管理人履行适当程序后，可相应调整投资组合限制的规定。</w:t>
      </w:r>
    </w:p>
    <w:p w14:paraId="668AC7C4"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基金管理人负责对本基金存款银行的评估与研究，建立健全银行存款的业务流程、岗位职责、风险控制措施和监察稽核制度，切实防范有关风险。基金托管人负责对本基金银行定期存款业务的监督与核查，审查、复核相关协议、账户资料、投资指令、存款证实书等有关文件，切实履行托管职责。</w:t>
      </w:r>
    </w:p>
    <w:p w14:paraId="751E9353"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（1）基金管理人负责控制信用风险。信用风险主要包括存款银行的信用等级、存款银行的支付能力等涉及到存款银行选择方面的风险。因选择存款银行不当造成基金财产损失的，由基金管理人承担责任。</w:t>
      </w:r>
    </w:p>
    <w:p w14:paraId="3106D149"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基金管理人负责控制流动性风险，并承担因控制不力而造成的损失。流动性风险主要包括基金管理人要求全部提前支取、部分提前支取或到期支取而存款银行未能及时兑付的风险、基金投资银行存款不能满足基金正常结算业务的风险、因全部提前支取或部分提前支取而涉及的利息损失影响估值等涉及到基金流动性方面的风险。</w:t>
      </w:r>
    </w:p>
    <w:p w14:paraId="6D97BA5A"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（3）基金管理人须加强内部风险控制制度的建设。如因基金管理人员工职务行为导致基金财产受到损失的，需由基金管理人承担由此造成的损失。</w:t>
      </w:r>
    </w:p>
    <w:p w14:paraId="70D510EB"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（4）基金管理人与基金托管人在开展基金存款业务时，应严格遵守《基金法》、《运作办法》等有关法律法规，以及国家有关账户管理、利率管理、支付结算等的各项规定。</w:t>
      </w:r>
    </w:p>
    <w:p w14:paraId="38F6FBE3"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（三）基金投资银行存款协议的签订、账户开设与管理、投资指令与资金划</w:t>
      </w:r>
      <w:r>
        <w:rPr>
          <w:rFonts w:asciiTheme="minorEastAsia" w:hAnsiTheme="minorEastAsia" w:cs="Arial" w:hint="eastAsia"/>
          <w:color w:val="000000"/>
          <w:sz w:val="24"/>
          <w:szCs w:val="24"/>
        </w:rPr>
        <w:lastRenderedPageBreak/>
        <w:t>付、账目核对、到期兑付、提前支取</w:t>
      </w:r>
    </w:p>
    <w:p w14:paraId="7629F852"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1.基金投资银行存款协议的签订</w:t>
      </w:r>
    </w:p>
    <w:p w14:paraId="43285F38"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基金管理人应与符合资格的存款银行总行或其授权分行签订《基金存款业务总体合作协议》（以下简称《总体合作协议》），确定《存款协议书》的格式范本。《总体合作协议》和《存款协议书》的格式范本由基金托管人与基金管理人共同商定。</w:t>
      </w:r>
    </w:p>
    <w:p w14:paraId="7ED9C3E0"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（2）基金托管人依据相关法规对《总体合作协议》和《存款协议书》的内容进行复核，审查存款银行资格等。</w:t>
      </w:r>
    </w:p>
    <w:p w14:paraId="033C7518"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（3）基金管理人应在《存款协议书》中明确存款证实书或其他有效存款凭证的办理方式、邮寄地址、联系人和联系电话，以及存款证实书或其他有效凭证在邮寄过程中遗失后，存款余额的确认及兑付办法等。</w:t>
      </w:r>
    </w:p>
    <w:p w14:paraId="4164D1FD"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由存款银行指定的存放存款的分支机构（以下简称“存款分支机构”）寄送或上门交付存款证实书或其他有效存款凭证的，基金托管人可向存款分支机构的上级行发出存款余额询证函，存款分支机构及其上级行应予配合。</w:t>
      </w:r>
    </w:p>
    <w:p w14:paraId="53D8C08F"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（5）基金管理人应在《存款协议书》中规定，基金存放到期或提前兑付的资金应全部划转到指定的基金托管账户，并在《存款协议书》写明账户名称和账号，未划入指定账户的，由存款银行承担一切责任。</w:t>
      </w:r>
    </w:p>
    <w:p w14:paraId="3D602323"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6）基金管理人应在《存款协议书》中规定，在存期内，如本基金银行账户、预留印鉴发生变更，管理人应及时书面通知存款行，书面通知应加盖基金托管人预留印鉴。存款分支机构应及时就变更事项向基金管理人、基金托管人出具正式书面确认书。变更通知的送达方式同开户手续。在存期内，存款分支机构和基金托管人的指定联系人变更，应及时加盖公章书面通知对方。</w:t>
      </w:r>
    </w:p>
    <w:p w14:paraId="2C30D2DA"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（7）基金管理人应在《存款协议书》中规定，因定期存款产生的存单不得被质押或以任何方式被抵押，不得用于转让和背书。</w:t>
      </w:r>
    </w:p>
    <w:p w14:paraId="6815C691"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2.基金投资银行存款时的账户开设与管理</w:t>
      </w:r>
    </w:p>
    <w:p w14:paraId="266F8C8F"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（1）基金投资于银行存款时，基金管理人应当依据基金管理人与存款银行签订的《总体合作协议》、《存款协议书》等，以基金的名义在存款银行总行或授权分行指定的分支机构开立银行账户。</w:t>
      </w:r>
    </w:p>
    <w:p w14:paraId="2070024C"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（2）基金投资于银行存款时的预留印鉴由基金托管人保管和使用。</w:t>
      </w:r>
    </w:p>
    <w:p w14:paraId="0414E7DE"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lastRenderedPageBreak/>
        <w:t>3.存款凭证传递、账目核对及到期兑付</w:t>
      </w:r>
    </w:p>
    <w:p w14:paraId="310FE35A"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（1）存款证实书等存款凭证传递</w:t>
      </w:r>
    </w:p>
    <w:p w14:paraId="4991B3E9"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存款资金只能存放于存款银行总行或者其授权分行指定的分支机构。基金管理人应在《存款协议书》中规定，存款银行分支机构应为基金开具存款证实书或其他有效存款凭证（下称“存款凭证”），该存款凭证为基金存款确认或到期提款的有效凭证，且对应每笔存款仅能开具唯一存款凭证。资金到账当日，由存款银行分支机构指定的会计主管传真一份存款凭证复印件并与基金托管人电话确认收妥后，将存款凭证原件通过快递寄送或上门交付至基金托管人指定联系人；若存款银行分支机构代为保管存款凭证的，由存款银行分支机构指定会计主管传真一份存款凭证复印件并与基金托管人电话确认收妥。</w:t>
      </w:r>
    </w:p>
    <w:p w14:paraId="75AFBEAB"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（2）存款凭证的遗失补办</w:t>
      </w:r>
    </w:p>
    <w:p w14:paraId="72329BD5"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存款凭证在邮寄过程中遗失的，由基金管理人向存款银行提出补办申请，基金管理人应督促存款银行尽快补办存款凭证，并按以上（1）的方式快递或上门交付至托管人，原存款凭证自动作废。</w:t>
      </w:r>
    </w:p>
    <w:p w14:paraId="1A912202"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（3）账目核对</w:t>
      </w:r>
    </w:p>
    <w:p w14:paraId="4CD2624B"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每个工作日，基金管理人应与基金托管人核对各项银行存款投资余额及应计利息。</w:t>
      </w:r>
    </w:p>
    <w:p w14:paraId="3E11C099"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应在《存款协议书》中规定，对于存期超过3个月的定期存款，存款银行应于每季末后5个工作日内向基金托管人指定人员寄送对账单。因存款银行未寄送对账单造成的资金被挪用、盗取的责任由存款银行承担。</w:t>
      </w:r>
    </w:p>
    <w:p w14:paraId="4A166FE5"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存款银行应配合基金托管人对存款凭证的询证，并在询证函上加盖存款银行公章寄送至基金托管人指定联系人。</w:t>
      </w:r>
    </w:p>
    <w:p w14:paraId="59CF7483"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（4）到期兑付</w:t>
      </w:r>
    </w:p>
    <w:p w14:paraId="06B5BB02"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提前通知基金托管人通过快递将存款凭证原件寄给存款银行分支机构指定的会计主管。存款银行未收到存款凭证原件的，应与基金托管人电话询问。存款到期前基金管理人与存款银行确认存款凭证收到并于到期日兑付存款本息事宜。</w:t>
      </w:r>
    </w:p>
    <w:p w14:paraId="04D3E10B"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基金托管人在存款到期日未收到存款本息或存款本息金额不符时，通知基金管理人与存款银行接洽存款到账时间及利息补付事宜。基金管理人应将接洽结果</w:t>
      </w:r>
      <w:r>
        <w:rPr>
          <w:rFonts w:asciiTheme="minorEastAsia" w:hAnsiTheme="minorEastAsia" w:cs="Arial" w:hint="eastAsia"/>
          <w:color w:val="000000"/>
          <w:sz w:val="24"/>
          <w:szCs w:val="24"/>
        </w:rPr>
        <w:lastRenderedPageBreak/>
        <w:t>告知基金托管人，基金托管人收妥存款本息的当日通知基金管理人。</w:t>
      </w:r>
    </w:p>
    <w:p w14:paraId="4F6D2801"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应在《存款协议书》中规定，存款凭证在邮寄过程中遗失的，存款银行应立即通知基金托管人，基金托管人在原存款凭证复印件上加盖公章并出具相关证明文件后，与存款银行指定会计主管电话确认后，存款银行应在到期日将存款本息划至指定的基金资金账户。如果存款到期日为法定节假日，存款银行顺延至到期后第一个工作日支付，存款银行需按原协议约定利率和实际延期天数支付延期利息。</w:t>
      </w:r>
    </w:p>
    <w:p w14:paraId="29A4935E"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4.提前支取</w:t>
      </w:r>
    </w:p>
    <w:p w14:paraId="29B6514B"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如果在存款期限内，由于基金规模发生缩减的原因或者出于流动性管理的需要等原因，基金管理人可以提前支取全部或部分资金。</w:t>
      </w:r>
    </w:p>
    <w:p w14:paraId="52598369"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提前支取的具体事项按照基金管理人与存款银行签订的《存款协议书》执行。</w:t>
      </w:r>
    </w:p>
    <w:p w14:paraId="4F1332D4"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5.基金投资银行存款的监督</w:t>
      </w:r>
    </w:p>
    <w:p w14:paraId="2E91C722"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基金托管人发现基金管理人在进行存款投资时有违反有关法律法规的规定及《基金合同》的约定的行为，应及时以书面形式通知基金管理人在10 个工作日内纠正。基金管理人对基金托管人通知的违规事项未能在10 个工作日内纠正的，基金托管人应报告中国证监会。基金托管人发现基金管理人有重大违规行为，应立即报告中国证监会，同时通知基金管理人在10 个工作日内纠正或拒绝结算，若因基金管理人拒不执行造成基金财产损失的，相关损失由基金管理人承担，基金托管人不承担任何责任。</w:t>
      </w:r>
    </w:p>
    <w:p w14:paraId="29912E35"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四）基金托管人根据有关法律法规的规定及《基金合同》的约定，对基金管理人参与银行间债券市场进行监督。基金管理人应在基金投资运作之前向基金托管人提供符合法律法规及行业标准的、经慎重选择的、本基金适用的银行间债券市场交易对手名单并约定各交易对手所适用的交易结算方式。基金管理人有责任确保及时将更新后的交易对手名单发送给基金托管人，否则由此造成的损失应由基金管理人承担。基金管理人应严格按照交易对手名单的范围在银行间债券市场选择交易对手。基金托管人监督基金管理人是否按事前提供的银行间债券市场交易对手名单进行交易。在基金存续期间基金管理人可以调整交易对手名单，但应将调整结果至少提前一个工作日书面通知基金托管人。新名单确定时已与本次剔除的交易对手所进行但尚未结算的交易，仍应按照协议进行结算，但不得再发</w:t>
      </w:r>
      <w:r>
        <w:rPr>
          <w:rFonts w:asciiTheme="minorEastAsia" w:hAnsiTheme="minorEastAsia" w:cs="Arial" w:hint="eastAsia"/>
          <w:color w:val="000000"/>
          <w:sz w:val="24"/>
          <w:szCs w:val="24"/>
        </w:rPr>
        <w:lastRenderedPageBreak/>
        <w:t>生新的交易。如基金管理人根据市场需要临时调整银行间债券交易对手名单及结算方式的，应向基金托管人说明理由，并在与交易对手发生交易前3个交易日内与基金托管人协商解决。</w:t>
      </w:r>
    </w:p>
    <w:p w14:paraId="41A66C57"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负责对交易对手的资信控制，按银行间债券市场的交易规则进行交易，并负责解决因交易对手不履行合同而造成的纠纷及损失。若未履约的交易对手在基金管理人确定的时间内仍未承担违约责任及其他相关法律责任的，基金管理人可以对相应损失先行予以承担，然后再向相关交易对手追偿。基金托管人则根据银行间债券市场成交单对合同履行情况进行监督。如基金托管人事后发现基金管理人没有按照事先约定的交易对手进行交易时，基金托管人应及时提醒基金管理人，基金托管人不承担由此造成的任何损失和责任。</w:t>
      </w:r>
    </w:p>
    <w:p w14:paraId="28970B37"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（五）本基金投资流通受限证券，应遵守《关于基金投资非公开发行股票等流通受限证券有关问题的通知》等有关监管规定。</w:t>
      </w:r>
    </w:p>
    <w:p w14:paraId="45960D01"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流通受限证券包括由《上市公司证券发行管理办法》规范的非公开发行股票、公开发行股票网下配售部分等在发行时明确一定期限锁定期的可交易证券，不包括由于发布重大消息或其他原因而临时停牌的证券、已发行未上市证券、回购交易中的质押券等流通受限证券。</w:t>
      </w:r>
    </w:p>
    <w:p w14:paraId="287DB8E8"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本基金可以投资经中国证监会批准的非公开发行证券，且限于由中国证券登记结算有限责任公司、中央国债登记结算有限责任公司或银行间市场清算所股份有限公司负责登记和存管的，并可在证券交易所或全国银行间债券市场交易的证券。</w:t>
      </w:r>
    </w:p>
    <w:p w14:paraId="7A2B5214"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本基金不得投资未经中国证监会批准的非公开发行证券。</w:t>
      </w:r>
    </w:p>
    <w:p w14:paraId="6AF8B323"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本基金不得投资有锁定期但锁定期不明确的证券。</w:t>
      </w:r>
    </w:p>
    <w:p w14:paraId="61FD38E1"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 基金管理人应在基金首次投资流通受限证券前，向基金托管人提供经基金管理人董事会批准的有关基金投资流通受限证券的投资决策流程、风险控制制度。基金投资非公开发行股票，基金管理人还应提供基金管理人董事会批准的流动性风险处置预案。上述资料应包括但不限于基金投资流通受限证券的投资额度和投资比例控制情况。</w:t>
      </w:r>
    </w:p>
    <w:p w14:paraId="4A7BF09F"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基金管理人应至少于首次执行投资指令之前两个工作日将上述资料书面发至基金托管人，保证基金托管人有足够的时间进行审核。基金托管人应在收到上</w:t>
      </w:r>
      <w:r>
        <w:rPr>
          <w:rFonts w:asciiTheme="minorEastAsia" w:hAnsiTheme="minorEastAsia" w:cs="Arial" w:hint="eastAsia"/>
          <w:color w:val="000000"/>
          <w:sz w:val="24"/>
          <w:szCs w:val="24"/>
        </w:rPr>
        <w:lastRenderedPageBreak/>
        <w:t>述资料后两个工作日内，以书面或其他双方认可的方式确认收到上述资料。</w:t>
      </w:r>
    </w:p>
    <w:p w14:paraId="0FCAD849"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对本基金投资流通受限证券的流动性风险负责，确保对相关风险采取积极有效的措施，在合理的时间内有效解决基金运作的流动性问题。如因基金巨额赎回或市场发生剧烈变动等原因而导致基金现金周转困难时，基金管理人应保证提供足额现金确保基金的支付结算，并承担所有损失。对本基金因投资流通受限证券导致的流动性风险，基金托管人不承担任何责任。</w:t>
      </w:r>
    </w:p>
    <w:p w14:paraId="73D817CC"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基金投资流通受限证券前，基金管理人应向基金托管人提供符合法律法规要求的有关书面信息，包括但不限于拟发行证券主体的中国证监会批准文件、发行证券数量、发行价格、锁定期，基金拟认购的数量、价格、总成本、应划付的认购款、资金划付时间等。基金管理人应保证上述信息的真实、完整，并应至少于拟执行投资指令前两个工作日将上述信息书面发至基金托管人，保证基金托管人有足够的时间进行审核。</w:t>
      </w:r>
    </w:p>
    <w:p w14:paraId="4415DE8D"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由于基金管理人未及时提供有关证券的具体的必要的信息，致使托管人无法审核认购指令而影响认购款项划拨的，基金托管人免于承担责任。</w:t>
      </w:r>
    </w:p>
    <w:p w14:paraId="1607A15D"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基金托管人依照法律法规、《基金合同》、《托管协议》审核基金管理人投资流通受限证券的行为。如发现基金管理人违反了《基金合同》、《托管协议》以及其他相关法律法规的有关规定，应及时通知基金管理人，并呈报中国证监会，同时采取合理措施保护基金投资人的利益。基金托管人有权对基金管理人的违法、违规以及违反《基金合同》、《托管协议》的投资指令不予执行，并立即通知基金管理人纠正，基金管理人不予纠正或已代表基金签署合同不得不执行时，基金托管人应向中国证监会报告。</w:t>
      </w:r>
    </w:p>
    <w:p w14:paraId="3DC633F8"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5. 基金管理人应在基金投资非公开发行股票后两个交易日内,在中国证监会指定媒介披露所投资非公开发行股票的名称、数量、总成本、账面价值,以及总成本和账面价值占基金资产净值的比例、锁定期等信息。</w:t>
      </w:r>
    </w:p>
    <w:p w14:paraId="77C479FF"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（六）基金管理人应当对投资中期票据业务进行研究，认真评估中期票据投资业务的风险，本着审慎、勤勉尽责的原则进行中期票据的投资业务，并应符合法律法规及监管机构的相关规定。</w:t>
      </w:r>
    </w:p>
    <w:p w14:paraId="478921B9"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（七）基金托管人根据有关法律法规的规定及《基金合同》的约定，对基金资产净值计算、基金份额净值计算、基金费用开支及收入确定、基金收益分配、</w:t>
      </w:r>
      <w:r>
        <w:rPr>
          <w:rFonts w:asciiTheme="minorEastAsia" w:hAnsiTheme="minorEastAsia" w:cs="Arial" w:hint="eastAsia"/>
          <w:color w:val="000000"/>
          <w:sz w:val="24"/>
          <w:szCs w:val="24"/>
        </w:rPr>
        <w:lastRenderedPageBreak/>
        <w:t>相关信息披露、基金宣传推介材料中登载基金业绩表现数据等进行监督和核查。</w:t>
      </w:r>
    </w:p>
    <w:p w14:paraId="72DF9A3C"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八）基金托管人发现基金管理人的上述事项及投资指令或实际投资运作违反法律法规、《基金合同》和本托管协议的规定，应及时以电话提醒或书面提示等方式通知基金管理人限期纠正。基金管理人应积极配合和协助基金托管人的监督和核查。基金管理人收到通知后应及时核对并回复基金托管人，对于收到的书面通知，基金管理人应以书面形式给基金托管人发出回函，就基金托管人的疑义进行解释或举证，说明违规原因及纠正期限。在上述规定期限内，基金托管人有权随时对通知事项进行复查，督促基金管理人改正。基金管理人对基金托管人通知的违规事项未能在限期内纠正的，基金托管人应报告中国证监会。</w:t>
      </w:r>
    </w:p>
    <w:p w14:paraId="072CDC72"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九）基金管理人有义务配合和协助基金托管人依照法律法规、《基金合同》和本托管协议对基金业务执行核查。包括但不限于：对基金托管人发出的提示，基金管理人应在规定时间内答复并改正，或就基金托管人的疑义进行解释或举证；对基金托管人按照法律法规、基金合同和本托管协议的要求需向中国证监会报送基金监督报告的事项，基金管理人应积极配合提供相关数据资料和制度等。</w:t>
      </w:r>
    </w:p>
    <w:p w14:paraId="5F11C393"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十）若基金托管人发现基金管理人依据交易程序已经生效的指令违反法律、行政法规和其他有关规定，或者违反基金合同约定的，应当立即通知基金管理人及时纠正，由此造成的损失由基金管理人承担，托管人在履行其通知义务后，予以免责。</w:t>
      </w:r>
    </w:p>
    <w:p w14:paraId="4788C727"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（十一）基金托管人发现基金管理人有重大违规行为，应及时报告中国证监会，同时通知基金管理人限期纠正。</w:t>
      </w:r>
    </w:p>
    <w:p w14:paraId="654CFA75" w14:textId="77777777" w:rsidR="003568C2" w:rsidRDefault="00695B03">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三、基金管理人对基金托管人的业务核查</w:t>
      </w:r>
    </w:p>
    <w:p w14:paraId="55314BCB"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基金管理人对基金托管人履行托管职责情况进行核查，核查事项包括基金托管人安全保管基金财产、开设基金财产的资金账户、证券账户等投资所需账户、复核基金管理人计算的基金资产净值和基金份额净值、根据基金管理人指令办理清算交收、相关信息披露和监督基金投资运作等行为。</w:t>
      </w:r>
    </w:p>
    <w:p w14:paraId="5F359D29"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基金管理人发现基金托管人擅自挪用基金财产、未对基金财产实行分账管理、未执行或无故延迟执行基金管理人资金划拨指令、泄露基金投资信息等违反《基金法》、基金合同、托管协议及其他有关规定时，应及时以书面形式通知基金托管人限期纠正。基金托管人收到书面通知后应在下一工作日前及时核对</w:t>
      </w:r>
      <w:r>
        <w:rPr>
          <w:rFonts w:asciiTheme="minorEastAsia" w:hAnsiTheme="minorEastAsia" w:cs="Arial" w:hint="eastAsia"/>
          <w:sz w:val="24"/>
          <w:szCs w:val="24"/>
        </w:rPr>
        <w:lastRenderedPageBreak/>
        <w:t>并以书面形式给基金管理人发出回函，说明违规原因及纠正期限，并保证在规定期限内及时改正。在上述规定期限内，基金管理人有权随时对通知事项进行复查，督促基金托管人改正。</w:t>
      </w:r>
    </w:p>
    <w:p w14:paraId="26DB15BF"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三）基金托管人有义务配合和协助基金管理人依照法律法规、基金合同和本托管协议对基金业务执行核查，包括但不限于：对基金管理人发出的书面提示，基金托管人应在规定时间内答复并改正，或就基金管理人的疑义进行解释或举证；基金托管人应积极配合提供相关资料以供基金管理人核查托管财产的完整性和真实性。</w:t>
      </w:r>
    </w:p>
    <w:p w14:paraId="3DDE10C9"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（四）基金管理人发现基金托管人有重大违规行为，应及时报告中国证监会，同时通知基金托管人限期纠正，并将纠正结果报告中国证监会。</w:t>
      </w:r>
    </w:p>
    <w:p w14:paraId="0B36C50A" w14:textId="77777777" w:rsidR="003568C2" w:rsidRDefault="00695B03">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四、基金财产的保管</w:t>
      </w:r>
    </w:p>
    <w:p w14:paraId="4F31D830"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（一）基金财产保管的原则</w:t>
      </w:r>
    </w:p>
    <w:p w14:paraId="463F952F"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1.基金财产应独立于基金管理人、基金托管人的固有财产。</w:t>
      </w:r>
    </w:p>
    <w:p w14:paraId="104B0D8F"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2.基金托管人应安全保管基金财产。</w:t>
      </w:r>
    </w:p>
    <w:p w14:paraId="2A53E67D"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3.基金托管人按照规定开设基金财产投资所需的相关账户。</w:t>
      </w:r>
    </w:p>
    <w:p w14:paraId="6FBE2472"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4.基金托管人对所托管的不同基金财产分别设置账户，确保基金财产的完整与独立。</w:t>
      </w:r>
    </w:p>
    <w:p w14:paraId="6C891DDA"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基金托管人根据基金管理人的指令，按照基金合同和本协议的约定保管基金财产。未经基金管理人的正当指令，不得自行运用、处分、分配基金的任何资产。不属于基金托管人实际有效控制下的资产及实物证券等在基金托管人保管期间的损坏、灭失，基金托管人不承担由此产生的责任。</w:t>
      </w:r>
    </w:p>
    <w:p w14:paraId="634B1886"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6.对于因为基金投资产生的应收资产，应由基金管理人负责与有关当事人确定到账日期并通知基金托管人，到账日基金财产没有到达基金资金账户的，基金托管人应及时通知基金管理人采取措施进行催收，基金管理人应负责向有关当事人追偿基金财产的损失。</w:t>
      </w:r>
    </w:p>
    <w:p w14:paraId="52F8AEE9"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7.基金托管人对因为基金管理人投资产生的存放或存管在基金托管人以外机构的基金资产，或交由期货公司或证券公司负责清算交收的基金资产（包括但不限于期货保证金账户内的资金、期货合约等）及其收益，由于该等机构或该机构会员单位等本协议当事人外第三方的欺诈、疏忽、过失或破产等原因给基金资</w:t>
      </w:r>
      <w:r>
        <w:rPr>
          <w:rFonts w:asciiTheme="minorEastAsia" w:hAnsiTheme="minorEastAsia" w:cs="Arial" w:hint="eastAsia"/>
          <w:sz w:val="24"/>
          <w:szCs w:val="24"/>
        </w:rPr>
        <w:lastRenderedPageBreak/>
        <w:t>产造成的损失等不承担责任。</w:t>
      </w:r>
    </w:p>
    <w:p w14:paraId="295AFF81"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8.除依据法律法规和基金合同的规定外，基金托管人不得委托第三人托管基金财产。</w:t>
      </w:r>
    </w:p>
    <w:p w14:paraId="2308D00E"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（二）基金资金账户的开立和管理</w:t>
      </w:r>
    </w:p>
    <w:p w14:paraId="24227AE9"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托管人以本基金的名义在其营业机构开立基金的资金账户（也可称为“托管账户”），保管基金的银行存款，并根据基金管理人的指令办理资金收付。托管账户名称应为“富荣沪深300指数增强型证券投资基金”，预留印鉴为基金托管人印章。</w:t>
      </w:r>
    </w:p>
    <w:p w14:paraId="59D1FD9B"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2.基金资金账户的开立和使用，限于满足开展本基金业务的需要。基金托管人和基金管理人不得假借本基金的名义开立任何其他银行账户；亦不得使用基金的任何账户进行本基金业务以外的活动。</w:t>
      </w:r>
    </w:p>
    <w:p w14:paraId="67FB0FA7"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3.基金资金账户的开立和管理应符合法律法规及银行业监督管理机构的有关规定。</w:t>
      </w:r>
    </w:p>
    <w:p w14:paraId="25946C89"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（三）基金证券账户和结算备付金账户的开立和管理</w:t>
      </w:r>
    </w:p>
    <w:p w14:paraId="4A1488B4"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1.基金托管人在中国证券登记结算有限责任公司上海分公司、深圳分公司为基金开立基金托管人与基金联名的证券账户。</w:t>
      </w:r>
    </w:p>
    <w:p w14:paraId="10CD3F6E"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2.基金证券账户的开立和使用，仅限于满足开展本基金业务的需要。基金托管人和基金管理人不得出借或未经对方同意擅自转让基金的任何证券账户，亦不得使用基金的任何账户进行本基金业务以外的活动。</w:t>
      </w:r>
    </w:p>
    <w:p w14:paraId="2D0710DD"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3.基金证券账户的开立和证券账户卡的保管由基金托管人负责，账户资产的管理和运用由基金管理人负责。</w:t>
      </w:r>
    </w:p>
    <w:p w14:paraId="031EC714"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4.基金托管人以基金托管人的名义在中国证券登记结算有限责任公司开立结算备付金账户，并代表所托管的基金完成与中国证券登记结算有限责任公司的一级法人清算工作，基金管理人应予以积极协助。结算备付金、结算保证金等的收取按照中国证券登记结算有限责任公司的规定执行。</w:t>
      </w:r>
    </w:p>
    <w:p w14:paraId="4EC8071B"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若中国证监会或其他监管机构在本托管协议订立日之后允许基金从事其他投资品种的投资业务，涉及相关账户的开立、使用的，按有关规定开立、使用并管理；若无相关规定，则基金托管人比照上述关于账户开立、使用的规定执行。</w:t>
      </w:r>
    </w:p>
    <w:p w14:paraId="6AC58388"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（四）债券托管专户的开设和管理</w:t>
      </w:r>
    </w:p>
    <w:p w14:paraId="3653D864"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基金合同生效后，基金托管人根据中国人民银行、中央国债登记结算有限责任公司和银行间市场清算所股份有限公司的有关规定，以基金的名义在银行间登记结算机构开立债券托管账户，并代表基金进行银行间市场债券的结算。</w:t>
      </w:r>
    </w:p>
    <w:p w14:paraId="49A14207"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（五）其他账户的开立和管理</w:t>
      </w:r>
    </w:p>
    <w:p w14:paraId="4A6EEE3E"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管理人根据投资需要按照规定开立期货保证金账户及期货交易编码等，基金托管人按照规定开立期货结算账户等投资所需账户。完成上述账户开立后，基金管理人应以书面形式将期货公司提供的期货保证金账户的初始资金密码和保证金监控中心的登录用户名及密码告知基金托管人。资金密码和保证金监控中心登录密码重置由基金管理人进行，重置后务必及时通知托管人。</w:t>
      </w:r>
    </w:p>
    <w:p w14:paraId="1CB6A95A"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基金托管人和基金管理人应当在开户过程中相互配合，并提供所需资料。基金管理人保证所提供的账户开户材料的真实性和有效性，且在相关资料变更后及时将变更的资料提供给基金托管人。</w:t>
      </w:r>
    </w:p>
    <w:p w14:paraId="268B9998"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2.因业务发展需要而开立的其他账户，可以根据法律法规和基金合同的规定，由基金管理人协助基金托管人按照有关法律法规和本协议的约定协商后开立。新账户按有关规定使用并管理。</w:t>
      </w:r>
    </w:p>
    <w:p w14:paraId="54902306"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3.法律法规等有关规定对相关账户的开立和管理另有规定的，从其规定办理。</w:t>
      </w:r>
    </w:p>
    <w:p w14:paraId="389C8FF8"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（六）基金财产投资的有关有价凭证等的保管</w:t>
      </w:r>
    </w:p>
    <w:p w14:paraId="694C016C"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财产投资的有关实物证券等有价凭证按约定由基金托管人存放于基金托管人的保管库，或存入中央国债登记结算有限责任公司、银行间市场清算所股份有限公司、中国证券登记结算有限责任公司或票据营业中心的代保管库，实物保管凭证由基金托管人持有。实物证券等有价凭证的购买和转让，由基金托管人根据基金管理人的指令办理。基金托管人对由上述存放机构及基金托管人以外机构实际有效控制的有价凭证不承担保管责任。</w:t>
      </w:r>
    </w:p>
    <w:p w14:paraId="23DF6E64"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（七）与基金财产有关的重大合同的保管</w:t>
      </w:r>
    </w:p>
    <w:p w14:paraId="4D9ACA38"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由基金管理人代表基金签署的、与基金财产有关的重大合同的原件分别由基金管理人、基金托管人保管。除本协议另有规定外，基金管理人代表基金签署的与基金财产有关的重大合同应保证基金管理人和基金托管人至少各持有一份正本的原件。基金管理人应在重大合同签署后及时将重大合同传真给基金托管人，并在三十个工作日内将正本送达基金托管人处。因基金管理人发送的合同传真件</w:t>
      </w:r>
      <w:r>
        <w:rPr>
          <w:rFonts w:asciiTheme="minorEastAsia" w:hAnsiTheme="minorEastAsia" w:cs="Arial" w:hint="eastAsia"/>
          <w:sz w:val="24"/>
          <w:szCs w:val="24"/>
        </w:rPr>
        <w:lastRenderedPageBreak/>
        <w:t>与事后送达的合同原件不一致所造成的后果，由基金管理人负责。重大合同的保管期限为基金合同终止后不少于15年。</w:t>
      </w:r>
    </w:p>
    <w:p w14:paraId="464CA2A8"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对于无法取得二份以上的正本的，基金管理人应向基金托管人提供加盖公章的合同传真件，未经双方协商一致，合同原件不得转移。基金管理人向基金托管人提供的合同传真件与基金管理人留存原件不一致的，以传真件为准。</w:t>
      </w:r>
    </w:p>
    <w:p w14:paraId="0508D87B" w14:textId="77777777" w:rsidR="003568C2" w:rsidRDefault="00695B03">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五、基金资产净值计算、估值和会计核算</w:t>
      </w:r>
    </w:p>
    <w:p w14:paraId="3F65AB2B"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（一）基金资产净值的计算、复核与完成的时间及程序</w:t>
      </w:r>
    </w:p>
    <w:p w14:paraId="3A646B36"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1.基金资产净值</w:t>
      </w:r>
    </w:p>
    <w:p w14:paraId="3971C13F"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基金资产净值是指基金资产总值减去基金负债后的价值。</w:t>
      </w:r>
    </w:p>
    <w:p w14:paraId="5C0F646D"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各类基金份额净值是指估值日该类基金资产净值除以估值日该类基金份额总数，基金份额净值的计算，精确到0.0001元，小数点后第五位四舍五入，国家另有规定的，从其规定。</w:t>
      </w:r>
    </w:p>
    <w:p w14:paraId="558CA1EE"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基金管理人每个工作日计算基金资产净值、两类基金份额净值，经基金托管人复核，按规定公告。</w:t>
      </w:r>
    </w:p>
    <w:p w14:paraId="0F2D1CBA"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2.复核程序</w:t>
      </w:r>
    </w:p>
    <w:p w14:paraId="50B3C94F"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基金管理人每工作日对基金资产进行估值后，将基金资产净值、两类基金份额净值发送基金托管人，经基金托管人复核无误后，由基金管理人对外公布。</w:t>
      </w:r>
    </w:p>
    <w:p w14:paraId="1C3ECF51"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根据有关法律法规，基金资产净值计算和基金会计核算的义务由基金管理人承担。本基金的基金会计责任方由基金管理人担任，因此，就与本基金有关的会计问题，如经相关各方在平等基础上充分讨论后，仍无法达成一致意见的，按照基金管理人对基金资产净值的计算结果对外予以公布。</w:t>
      </w:r>
    </w:p>
    <w:p w14:paraId="30A41451"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（二）基金资产的估值</w:t>
      </w:r>
    </w:p>
    <w:p w14:paraId="21AC429E"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基金管理人及基金托管人应当按照《基金合同》的约定进行估值。</w:t>
      </w:r>
    </w:p>
    <w:p w14:paraId="68845D0C"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（三）基金份额净值错误的处理方式</w:t>
      </w:r>
    </w:p>
    <w:p w14:paraId="38F2714C"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基金管理人及基金托管人应当按照《基金合同》的约定处理份额净值错误。</w:t>
      </w:r>
    </w:p>
    <w:p w14:paraId="47F14594"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（四）基金会计制度</w:t>
      </w:r>
    </w:p>
    <w:p w14:paraId="0E0717DC"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按国家有关部门规定的会计制度执行。</w:t>
      </w:r>
    </w:p>
    <w:p w14:paraId="412B0546"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（五）基金账册的建立</w:t>
      </w:r>
    </w:p>
    <w:p w14:paraId="2A762AAB"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基金管理人和基金托管人在基金合同生效后，应按照双方约定的同一记账方</w:t>
      </w:r>
      <w:r>
        <w:rPr>
          <w:rFonts w:asciiTheme="minorEastAsia" w:hAnsiTheme="minorEastAsia" w:cs="Arial" w:hint="eastAsia"/>
          <w:sz w:val="24"/>
          <w:szCs w:val="24"/>
        </w:rPr>
        <w:lastRenderedPageBreak/>
        <w:t>法和会计处理原则，分别独立地设置、记录和保管本基金的全套账册，对相关各方各自的账册定期进行核对，互相监督，以保证基金资产的安全。</w:t>
      </w:r>
    </w:p>
    <w:p w14:paraId="124FAC9A"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（六）基金财务报表与报告的编制和复核</w:t>
      </w:r>
    </w:p>
    <w:p w14:paraId="159D588E"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1.财务报表的编制</w:t>
      </w:r>
    </w:p>
    <w:p w14:paraId="505AF370"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基金财务报表由基金管理人编制，基金托管人复核。</w:t>
      </w:r>
    </w:p>
    <w:p w14:paraId="4C39DDD6"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2.报表复核</w:t>
      </w:r>
    </w:p>
    <w:p w14:paraId="630045E3"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基金托管人在收到基金管理人编制的基金财务报表后，进行独立的复核。核对不符时，应及时通知基金管理人共同查出原因，进行调整，直至双方数据完全一致。</w:t>
      </w:r>
    </w:p>
    <w:p w14:paraId="1C860BEE"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3.财务报表的编制与复核时间安排</w:t>
      </w:r>
    </w:p>
    <w:p w14:paraId="5D84639B"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基金托管人应当在每月结束后5个工作日内完成月度报表的编制及复核；在每个季度结束之日起15个工作日内完成基金季度报告的编制及复核；在上半年结束之日起两个月内完成基金中期报告的编制及复核；在每年结束之日起三个月内完成基金年度报告的编制及复核。基金托管人在复核过程中，发现双方的报表存在不符时，基金管理人和基金托管人应共同查明原因，进行调整，调整以国家有关规定为准。基金年度报告的财务会计报告应当经过审计。基金合同生效不足两个月的，基金管理人可以不编制当期季度报告、中期报告或者年度报告。</w:t>
      </w:r>
    </w:p>
    <w:p w14:paraId="3AEE095A"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（七）在有需要时，基金管理人应每季度向基金托管人提供基金业绩比较基准的基础数据和编制结果。</w:t>
      </w:r>
    </w:p>
    <w:p w14:paraId="58E98594" w14:textId="77777777" w:rsidR="003568C2" w:rsidRDefault="00695B03">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六、基金份额持有人名册的保管</w:t>
      </w:r>
    </w:p>
    <w:p w14:paraId="11B66E56"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份额持有人名册至少应包括基金份额持有人的名称、证件号码和持有的基金份额。基金份额持有人名册由基金登记机构根据基金管理人的指令编制和保管，基金管理人和基金托管人应分别保管基金份额持有人名册，保存期不少于15年。如不能妥善保管，则按相关法律法规承担责任。</w:t>
      </w:r>
    </w:p>
    <w:p w14:paraId="1EB39E7A"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在基金托管人要求或编制半年报和年报前，基金管理人应将有关资料送交基金托管人，不得无故拒绝或延误提供，并保证其的真实性、准确性和完整性。基金管理人和托管人不得将所保管的基金份额持有人名册用于基金托管业务以外的其他用途，并应遵守保密义务。</w:t>
      </w:r>
    </w:p>
    <w:p w14:paraId="6BD381DD" w14:textId="77777777" w:rsidR="003568C2" w:rsidRDefault="00695B03">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lastRenderedPageBreak/>
        <w:t>七、争议解决方式</w:t>
      </w:r>
    </w:p>
    <w:p w14:paraId="2C29E96E"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各方当事人同意，因本协议而产生的或与本协议有关的一切争议，如经友好协商未能解决的，任何一方均有权将争议提交华南国际经济贸易仲裁委员会，按照华南国际经济贸易仲裁委员会届时有效的仲裁规则进行仲裁。</w:t>
      </w:r>
      <w:r>
        <w:rPr>
          <w:rFonts w:ascii="宋体" w:hAnsi="宋体" w:hint="eastAsia"/>
          <w:sz w:val="24"/>
          <w:szCs w:val="24"/>
        </w:rPr>
        <w:t>仲裁地点为深圳市。仲裁裁决是终局的，对各方当事人均有约束力，仲裁费用由败诉方承担</w:t>
      </w:r>
      <w:r>
        <w:rPr>
          <w:rFonts w:asciiTheme="minorEastAsia" w:hAnsiTheme="minorEastAsia" w:cs="Times New Roman" w:hint="eastAsia"/>
          <w:sz w:val="24"/>
          <w:szCs w:val="24"/>
        </w:rPr>
        <w:t>。</w:t>
      </w:r>
    </w:p>
    <w:p w14:paraId="5EECFB66"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争议处理期间，双方当事人应恪守基金管理人和基金托管人职责，各自继续忠实、勤勉、尽责地履行基金合同和本托管协议规定的义务，维护基金份额持有人的合法权益。</w:t>
      </w:r>
    </w:p>
    <w:p w14:paraId="44755B1C"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本协议受中华人民共和国法律（不含港澳台立法）管辖。</w:t>
      </w:r>
    </w:p>
    <w:p w14:paraId="65351FF4" w14:textId="77777777" w:rsidR="003568C2" w:rsidRDefault="00695B03">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八、</w:t>
      </w:r>
      <w:r>
        <w:rPr>
          <w:rFonts w:asciiTheme="minorEastAsia" w:hAnsiTheme="minorEastAsia" w:cs="Times New Roman" w:hint="eastAsia"/>
          <w:b/>
          <w:color w:val="000000"/>
          <w:sz w:val="24"/>
          <w:szCs w:val="24"/>
        </w:rPr>
        <w:t>托管协议的变更、终止与基金财产的清算</w:t>
      </w:r>
    </w:p>
    <w:p w14:paraId="4217CB3A" w14:textId="77777777" w:rsidR="003568C2" w:rsidRDefault="00695B03">
      <w:pPr>
        <w:spacing w:line="360" w:lineRule="auto"/>
        <w:ind w:firstLineChars="200" w:firstLine="480"/>
        <w:rPr>
          <w:rFonts w:ascii="宋体" w:hAnsi="宋体"/>
          <w:sz w:val="24"/>
          <w:szCs w:val="24"/>
        </w:rPr>
      </w:pPr>
      <w:r>
        <w:rPr>
          <w:rFonts w:ascii="宋体" w:hAnsi="宋体" w:hint="eastAsia"/>
          <w:sz w:val="24"/>
          <w:szCs w:val="24"/>
        </w:rPr>
        <w:t>（一）托管协议的变更程序</w:t>
      </w:r>
    </w:p>
    <w:p w14:paraId="25DC4604" w14:textId="77777777" w:rsidR="003568C2" w:rsidRDefault="00695B03">
      <w:pPr>
        <w:spacing w:line="360" w:lineRule="auto"/>
        <w:ind w:firstLineChars="200" w:firstLine="480"/>
        <w:rPr>
          <w:rFonts w:ascii="宋体" w:hAnsi="宋体"/>
          <w:sz w:val="24"/>
          <w:szCs w:val="24"/>
        </w:rPr>
      </w:pPr>
      <w:r>
        <w:rPr>
          <w:rFonts w:ascii="宋体" w:hAnsi="宋体" w:hint="eastAsia"/>
          <w:sz w:val="24"/>
          <w:szCs w:val="24"/>
        </w:rPr>
        <w:t>本协议双方当事人经协商一致，可以对协议进行修改。修改后的新协议，其内容不得与基金合同的规定有任何冲突。基金托管协议的变更应报中国证监会备案。</w:t>
      </w:r>
    </w:p>
    <w:p w14:paraId="0E76C80B" w14:textId="77777777" w:rsidR="003568C2" w:rsidRDefault="00695B03">
      <w:pPr>
        <w:spacing w:line="360" w:lineRule="auto"/>
        <w:ind w:firstLineChars="200" w:firstLine="480"/>
        <w:rPr>
          <w:rFonts w:ascii="宋体" w:hAnsi="宋体"/>
          <w:sz w:val="24"/>
          <w:szCs w:val="24"/>
        </w:rPr>
      </w:pPr>
      <w:r>
        <w:rPr>
          <w:rFonts w:ascii="宋体" w:hAnsi="宋体" w:hint="eastAsia"/>
          <w:sz w:val="24"/>
          <w:szCs w:val="24"/>
        </w:rPr>
        <w:t>（二）基金托管协议终止的情形</w:t>
      </w:r>
    </w:p>
    <w:p w14:paraId="7DE5177F" w14:textId="77777777" w:rsidR="003568C2" w:rsidRDefault="00695B03">
      <w:pPr>
        <w:spacing w:line="360" w:lineRule="auto"/>
        <w:ind w:firstLineChars="200" w:firstLine="480"/>
        <w:rPr>
          <w:rFonts w:ascii="宋体" w:hAnsi="宋体"/>
          <w:sz w:val="24"/>
          <w:szCs w:val="24"/>
        </w:rPr>
      </w:pPr>
      <w:r>
        <w:rPr>
          <w:rFonts w:ascii="宋体" w:hAnsi="宋体" w:hint="eastAsia"/>
          <w:sz w:val="24"/>
          <w:szCs w:val="24"/>
        </w:rPr>
        <w:t>1、《基金合同》终止；</w:t>
      </w:r>
    </w:p>
    <w:p w14:paraId="58C36A9B" w14:textId="77777777" w:rsidR="003568C2" w:rsidRDefault="00695B03">
      <w:pPr>
        <w:spacing w:line="360" w:lineRule="auto"/>
        <w:ind w:firstLineChars="200" w:firstLine="480"/>
        <w:rPr>
          <w:rFonts w:ascii="宋体" w:hAnsi="宋体"/>
          <w:sz w:val="24"/>
          <w:szCs w:val="24"/>
        </w:rPr>
      </w:pPr>
      <w:r>
        <w:rPr>
          <w:rFonts w:ascii="宋体" w:hAnsi="宋体" w:hint="eastAsia"/>
          <w:sz w:val="24"/>
          <w:szCs w:val="24"/>
        </w:rPr>
        <w:t>2、基金托管人因解散、破产、撤销等事由，不能继续担任基金托管人的职务，而在6个月内无其他适当的托管机构承接其原有权利义务；</w:t>
      </w:r>
    </w:p>
    <w:p w14:paraId="5BDDA5BB" w14:textId="77777777" w:rsidR="003568C2" w:rsidRDefault="00695B03">
      <w:pPr>
        <w:spacing w:line="360" w:lineRule="auto"/>
        <w:ind w:firstLineChars="200" w:firstLine="480"/>
        <w:rPr>
          <w:rFonts w:ascii="宋体" w:hAnsi="宋体"/>
          <w:sz w:val="24"/>
          <w:szCs w:val="24"/>
        </w:rPr>
      </w:pPr>
      <w:r>
        <w:rPr>
          <w:rFonts w:ascii="宋体" w:hAnsi="宋体" w:hint="eastAsia"/>
          <w:sz w:val="24"/>
          <w:szCs w:val="24"/>
        </w:rPr>
        <w:t>3、基金管理人因解散、破产、撤销等事由，不能继续担任基金管理人的职务，而在6个月内无其他适当的基金管理公司承接其原有权利义务；</w:t>
      </w:r>
    </w:p>
    <w:p w14:paraId="612BE693" w14:textId="77777777" w:rsidR="003568C2" w:rsidRDefault="00695B03">
      <w:pPr>
        <w:spacing w:line="360" w:lineRule="auto"/>
        <w:ind w:firstLineChars="200" w:firstLine="480"/>
        <w:rPr>
          <w:rFonts w:ascii="宋体" w:hAnsi="宋体"/>
          <w:sz w:val="24"/>
          <w:szCs w:val="24"/>
        </w:rPr>
      </w:pPr>
      <w:r>
        <w:rPr>
          <w:rFonts w:ascii="宋体" w:hAnsi="宋体" w:hint="eastAsia"/>
          <w:sz w:val="24"/>
          <w:szCs w:val="24"/>
        </w:rPr>
        <w:t>4、发生法律法规或《基金合同》规定的其他终止事项。</w:t>
      </w:r>
    </w:p>
    <w:p w14:paraId="6C3987F7" w14:textId="77777777" w:rsidR="003568C2" w:rsidRDefault="00695B03">
      <w:pPr>
        <w:spacing w:line="360" w:lineRule="auto"/>
        <w:ind w:firstLineChars="200" w:firstLine="480"/>
        <w:rPr>
          <w:rFonts w:ascii="宋体" w:hAnsi="宋体"/>
          <w:sz w:val="24"/>
          <w:szCs w:val="24"/>
        </w:rPr>
      </w:pPr>
      <w:r>
        <w:rPr>
          <w:rFonts w:ascii="宋体" w:hAnsi="宋体" w:hint="eastAsia"/>
          <w:sz w:val="24"/>
          <w:szCs w:val="24"/>
        </w:rPr>
        <w:t>（三）基金财产的清算</w:t>
      </w:r>
    </w:p>
    <w:p w14:paraId="76220484" w14:textId="77777777" w:rsidR="003568C2" w:rsidRDefault="00695B03">
      <w:pPr>
        <w:adjustRightInd w:val="0"/>
        <w:snapToGrid w:val="0"/>
        <w:spacing w:line="360" w:lineRule="auto"/>
        <w:ind w:firstLineChars="200" w:firstLine="480"/>
        <w:rPr>
          <w:rFonts w:ascii="宋体" w:hAnsi="宋体"/>
          <w:sz w:val="24"/>
          <w:szCs w:val="24"/>
        </w:rPr>
      </w:pPr>
      <w:r>
        <w:rPr>
          <w:rFonts w:ascii="宋体" w:hAnsi="宋体" w:hint="eastAsia"/>
          <w:sz w:val="24"/>
          <w:szCs w:val="24"/>
        </w:rPr>
        <w:t>基金管理人与基金托管人按照《基金合同》的约定处理基金财产的清算。</w:t>
      </w:r>
      <w:r>
        <w:rPr>
          <w:rFonts w:ascii="宋体" w:hAnsi="宋体"/>
          <w:sz w:val="24"/>
          <w:szCs w:val="24"/>
        </w:rPr>
        <w:br w:type="page"/>
      </w:r>
    </w:p>
    <w:p w14:paraId="12142A7A" w14:textId="77777777" w:rsidR="003568C2" w:rsidRDefault="00695B03">
      <w:pPr>
        <w:pStyle w:val="1"/>
        <w:jc w:val="center"/>
        <w:rPr>
          <w:sz w:val="30"/>
          <w:szCs w:val="30"/>
        </w:rPr>
      </w:pPr>
      <w:bookmarkStart w:id="401" w:name="_Toc15892933"/>
      <w:bookmarkStart w:id="402" w:name="_Toc263092328"/>
      <w:bookmarkStart w:id="403" w:name="_Toc21073396"/>
      <w:bookmarkStart w:id="404" w:name="_Toc12357176"/>
      <w:bookmarkStart w:id="405" w:name="_Toc214873621"/>
      <w:bookmarkStart w:id="406" w:name="_Toc416264555"/>
      <w:bookmarkStart w:id="407" w:name="_Toc147463123"/>
      <w:bookmarkStart w:id="408" w:name="_Toc123112249"/>
      <w:bookmarkStart w:id="409" w:name="_Toc141703902"/>
      <w:bookmarkStart w:id="410" w:name="_Toc24923"/>
      <w:bookmarkStart w:id="411" w:name="_Toc30350"/>
      <w:bookmarkStart w:id="412" w:name="_Toc6202"/>
      <w:bookmarkStart w:id="413" w:name="_Toc7288"/>
      <w:bookmarkStart w:id="414" w:name="_Toc3319"/>
      <w:bookmarkStart w:id="415" w:name="_Toc21983"/>
      <w:bookmarkStart w:id="416" w:name="_Toc98560366"/>
      <w:bookmarkStart w:id="417" w:name="_Toc139991751"/>
      <w:bookmarkStart w:id="418" w:name="_Toc123051467"/>
      <w:bookmarkStart w:id="419" w:name="_Toc25651"/>
      <w:bookmarkStart w:id="420" w:name="_Toc6110"/>
      <w:bookmarkStart w:id="421" w:name="_Toc1790"/>
      <w:bookmarkStart w:id="422" w:name="_Toc123102468"/>
      <w:bookmarkStart w:id="423" w:name="_Toc352229767"/>
      <w:bookmarkStart w:id="424" w:name="_Toc8636"/>
      <w:bookmarkStart w:id="425" w:name="_Toc23999"/>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r>
        <w:rPr>
          <w:rFonts w:hint="eastAsia"/>
          <w:sz w:val="30"/>
          <w:szCs w:val="30"/>
        </w:rPr>
        <w:lastRenderedPageBreak/>
        <w:t>第二十部分</w:t>
      </w:r>
      <w:r>
        <w:rPr>
          <w:sz w:val="30"/>
          <w:szCs w:val="30"/>
        </w:rPr>
        <w:t xml:space="preserve">  </w:t>
      </w:r>
      <w:r>
        <w:rPr>
          <w:rFonts w:hint="eastAsia"/>
          <w:sz w:val="30"/>
          <w:szCs w:val="30"/>
        </w:rPr>
        <w:t>对基金份额持有人的服务</w:t>
      </w:r>
      <w:bookmarkEnd w:id="401"/>
    </w:p>
    <w:p w14:paraId="2AAE3ACD" w14:textId="77777777" w:rsidR="003568C2" w:rsidRDefault="00695B0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基金管理人承诺为基金份额持有人提供一系列服务，基金管理人根据基金份额持有人的需要和市场的变化，有权增加或变更服务项目。主要服务内容如下：</w:t>
      </w:r>
    </w:p>
    <w:p w14:paraId="791291F3" w14:textId="77777777" w:rsidR="003568C2" w:rsidRDefault="00695B0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（一）电话人工咨询服务</w:t>
      </w:r>
    </w:p>
    <w:p w14:paraId="5876226B" w14:textId="77777777" w:rsidR="003568C2" w:rsidRDefault="00695B0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14:paraId="4713488C" w14:textId="77777777" w:rsidR="003568C2" w:rsidRDefault="00695B0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（二）自助查询服务</w:t>
      </w:r>
    </w:p>
    <w:p w14:paraId="49D30F5B" w14:textId="77777777" w:rsidR="003568C2" w:rsidRDefault="00695B0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投资者可通过基金管理人呼叫中心自动语音系统、基金管理人网上账户查询系统进行账户余额、交易情况、基金净值等信息查询。</w:t>
      </w:r>
    </w:p>
    <w:p w14:paraId="4100F07F" w14:textId="77777777" w:rsidR="003568C2" w:rsidRDefault="00695B0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（三）邮件咨询服务</w:t>
      </w:r>
    </w:p>
    <w:p w14:paraId="5C171B31" w14:textId="77777777" w:rsidR="003568C2" w:rsidRDefault="00695B0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投资者可通过电子邮件的形式向基金管理人提出疑问，针对投资者的问题，基金管理人将设有专员进行及时回复。</w:t>
      </w:r>
    </w:p>
    <w:p w14:paraId="7D7B0595" w14:textId="77777777" w:rsidR="003568C2" w:rsidRDefault="00695B0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（四）免费信息订阅服务</w:t>
      </w:r>
    </w:p>
    <w:p w14:paraId="73921CB6" w14:textId="77777777" w:rsidR="003568C2" w:rsidRDefault="00695B0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电子邮件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14:paraId="47646E6C" w14:textId="77777777" w:rsidR="003568C2" w:rsidRDefault="00695B0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（五）资料邮寄服务</w:t>
      </w:r>
    </w:p>
    <w:p w14:paraId="72ED0C42" w14:textId="77777777" w:rsidR="003568C2" w:rsidRDefault="00695B0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基金管理人可免费为基金投资人提供基金持有证明和交易对账单邮寄服务。投资者可根据需要，通过基金管理人网站或客服热线定制、修改或取消该服务。</w:t>
      </w:r>
    </w:p>
    <w:p w14:paraId="0AFC36D1" w14:textId="77777777" w:rsidR="003568C2" w:rsidRDefault="00695B0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（六）客户投诉受理服务</w:t>
      </w:r>
    </w:p>
    <w:p w14:paraId="08CFA6B4" w14:textId="77777777" w:rsidR="003568C2" w:rsidRDefault="00695B0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投资人可以通过客服热线、书信、电子邮件等渠道，对基金管理人和销售机构所提供的服务进行投诉。</w:t>
      </w:r>
    </w:p>
    <w:p w14:paraId="213AF267" w14:textId="77777777" w:rsidR="003568C2" w:rsidRDefault="00695B0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对于工作日期间受理的投诉，以“及时回复”为处理原则，对于不能及时回复的投诉，基金管理人承诺在 3 个工作日之内对基金投资人的投诉做出回复。</w:t>
      </w:r>
      <w:r>
        <w:rPr>
          <w:rFonts w:asciiTheme="minorEastAsia" w:hAnsiTheme="minorEastAsia" w:cs="Arial" w:hint="eastAsia"/>
          <w:sz w:val="24"/>
          <w:szCs w:val="24"/>
        </w:rPr>
        <w:lastRenderedPageBreak/>
        <w:t>对于非工作日提出的投诉，基金管理人将在顺延到下 1 个工作日进行回复。</w:t>
      </w:r>
    </w:p>
    <w:p w14:paraId="6D7216EF" w14:textId="77777777" w:rsidR="003568C2" w:rsidRDefault="00695B0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 xml:space="preserve">（七）基金管理人联系方式 </w:t>
      </w:r>
    </w:p>
    <w:p w14:paraId="4CE6AD88" w14:textId="77777777" w:rsidR="003568C2" w:rsidRDefault="00695B0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基金管理人网址： www.furamc.com .</w:t>
      </w:r>
      <w:proofErr w:type="spellStart"/>
      <w:r>
        <w:rPr>
          <w:rFonts w:asciiTheme="minorEastAsia" w:hAnsiTheme="minorEastAsia" w:cs="Arial" w:hint="eastAsia"/>
          <w:sz w:val="24"/>
          <w:szCs w:val="24"/>
        </w:rPr>
        <w:t>cn</w:t>
      </w:r>
      <w:proofErr w:type="spellEnd"/>
    </w:p>
    <w:p w14:paraId="489C2B06" w14:textId="77777777" w:rsidR="003568C2" w:rsidRDefault="00695B0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电子信箱：service@furamc.com.cn</w:t>
      </w:r>
    </w:p>
    <w:p w14:paraId="2A2B5F3F" w14:textId="77777777" w:rsidR="003568C2" w:rsidRDefault="00695B0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客服热线：4006855600</w:t>
      </w:r>
    </w:p>
    <w:p w14:paraId="5CF1B419" w14:textId="77777777" w:rsidR="003568C2" w:rsidRDefault="00695B0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客户服务部门地址：广东省深圳市福田区八卦四路52号安吉尔大厦24层，富荣基金管理有限公司客户服务部门（收）</w:t>
      </w:r>
    </w:p>
    <w:p w14:paraId="3F971679" w14:textId="77777777" w:rsidR="003568C2" w:rsidRDefault="00695B0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邮编：518038</w:t>
      </w:r>
    </w:p>
    <w:p w14:paraId="2245EF4F" w14:textId="77777777" w:rsidR="003568C2" w:rsidRDefault="00695B03">
      <w:pPr>
        <w:spacing w:line="360" w:lineRule="auto"/>
        <w:ind w:firstLineChars="200" w:firstLine="480"/>
        <w:rPr>
          <w:rFonts w:asciiTheme="minorEastAsia" w:hAnsiTheme="minorEastAsia"/>
          <w:sz w:val="24"/>
          <w:szCs w:val="24"/>
        </w:rPr>
        <w:sectPr w:rsidR="003568C2">
          <w:footerReference w:type="default" r:id="rId19"/>
          <w:pgSz w:w="11906" w:h="16838"/>
          <w:pgMar w:top="1440" w:right="1800" w:bottom="1440" w:left="1800" w:header="851" w:footer="992" w:gutter="0"/>
          <w:pgNumType w:start="1" w:chapStyle="1"/>
          <w:cols w:space="720"/>
          <w:docGrid w:type="lines" w:linePitch="312"/>
        </w:sectPr>
      </w:pPr>
      <w:r>
        <w:rPr>
          <w:rFonts w:asciiTheme="minorEastAsia" w:hAnsiTheme="minorEastAsia" w:cs="Arial" w:hint="eastAsia"/>
          <w:sz w:val="24"/>
          <w:szCs w:val="24"/>
        </w:rPr>
        <w:t>（八）如本招募说明书存在任何您/贵机构无法理解的内容，请通过上述联系方式联系基金管理人。请确保投资前，您/贵机构已经全面理解了本招募说明书</w:t>
      </w:r>
      <w:r>
        <w:rPr>
          <w:rFonts w:asciiTheme="minorEastAsia" w:hAnsiTheme="minorEastAsia" w:cs="Arial"/>
          <w:sz w:val="24"/>
          <w:szCs w:val="24"/>
        </w:rPr>
        <w:t>。</w:t>
      </w:r>
    </w:p>
    <w:p w14:paraId="6FFA6AE2" w14:textId="77777777" w:rsidR="003568C2" w:rsidRDefault="00695B03">
      <w:pPr>
        <w:pStyle w:val="1"/>
        <w:jc w:val="center"/>
        <w:rPr>
          <w:sz w:val="30"/>
          <w:szCs w:val="30"/>
        </w:rPr>
      </w:pPr>
      <w:bookmarkStart w:id="426" w:name="_Toc15892934"/>
      <w:bookmarkStart w:id="427" w:name="_Toc214873622"/>
      <w:bookmarkStart w:id="428" w:name="_Toc416264556"/>
      <w:bookmarkStart w:id="429" w:name="_Toc530223198"/>
      <w:bookmarkStart w:id="430" w:name="_Toc263092329"/>
      <w:bookmarkEnd w:id="402"/>
      <w:bookmarkEnd w:id="403"/>
      <w:bookmarkEnd w:id="404"/>
      <w:bookmarkEnd w:id="405"/>
      <w:bookmarkEnd w:id="406"/>
      <w:bookmarkEnd w:id="407"/>
      <w:r>
        <w:rPr>
          <w:rFonts w:hint="eastAsia"/>
          <w:sz w:val="30"/>
          <w:szCs w:val="30"/>
        </w:rPr>
        <w:lastRenderedPageBreak/>
        <w:t>第二十一部分</w:t>
      </w:r>
      <w:r>
        <w:rPr>
          <w:sz w:val="30"/>
          <w:szCs w:val="30"/>
        </w:rPr>
        <w:t xml:space="preserve">  </w:t>
      </w:r>
      <w:r>
        <w:rPr>
          <w:rFonts w:hint="eastAsia"/>
          <w:sz w:val="30"/>
          <w:szCs w:val="30"/>
        </w:rPr>
        <w:t>其他应披露事项</w:t>
      </w:r>
      <w:bookmarkEnd w:id="426"/>
    </w:p>
    <w:tbl>
      <w:tblPr>
        <w:tblStyle w:val="af8"/>
        <w:tblW w:w="8647" w:type="dxa"/>
        <w:tblInd w:w="108" w:type="dxa"/>
        <w:tblLayout w:type="fixed"/>
        <w:tblLook w:val="04A0" w:firstRow="1" w:lastRow="0" w:firstColumn="1" w:lastColumn="0" w:noHBand="0" w:noVBand="1"/>
      </w:tblPr>
      <w:tblGrid>
        <w:gridCol w:w="993"/>
        <w:gridCol w:w="5244"/>
        <w:gridCol w:w="2410"/>
      </w:tblGrid>
      <w:tr w:rsidR="003568C2" w14:paraId="669AB9B9" w14:textId="77777777">
        <w:tc>
          <w:tcPr>
            <w:tcW w:w="993" w:type="dxa"/>
          </w:tcPr>
          <w:p w14:paraId="74E3615A" w14:textId="77777777" w:rsidR="003568C2" w:rsidRPr="00C80148" w:rsidRDefault="00695B03">
            <w:pPr>
              <w:jc w:val="center"/>
              <w:rPr>
                <w:rFonts w:asciiTheme="minorEastAsia" w:hAnsiTheme="minorEastAsia"/>
                <w:b/>
                <w:kern w:val="0"/>
                <w:sz w:val="24"/>
              </w:rPr>
            </w:pPr>
            <w:r w:rsidRPr="00C80148">
              <w:rPr>
                <w:rFonts w:asciiTheme="minorEastAsia" w:hAnsiTheme="minorEastAsia" w:hint="eastAsia"/>
                <w:b/>
                <w:kern w:val="0"/>
                <w:sz w:val="24"/>
              </w:rPr>
              <w:t>序号</w:t>
            </w:r>
          </w:p>
        </w:tc>
        <w:tc>
          <w:tcPr>
            <w:tcW w:w="5244" w:type="dxa"/>
          </w:tcPr>
          <w:p w14:paraId="521AA045" w14:textId="77777777" w:rsidR="003568C2" w:rsidRPr="00C80148" w:rsidRDefault="00695B03">
            <w:pPr>
              <w:jc w:val="center"/>
              <w:rPr>
                <w:rFonts w:asciiTheme="minorEastAsia" w:hAnsiTheme="minorEastAsia"/>
                <w:b/>
                <w:kern w:val="0"/>
                <w:sz w:val="24"/>
              </w:rPr>
            </w:pPr>
            <w:r w:rsidRPr="00C80148">
              <w:rPr>
                <w:rFonts w:asciiTheme="minorEastAsia" w:hAnsiTheme="minorEastAsia" w:hint="eastAsia"/>
                <w:b/>
                <w:kern w:val="0"/>
                <w:sz w:val="24"/>
              </w:rPr>
              <w:t>公告事项</w:t>
            </w:r>
          </w:p>
        </w:tc>
        <w:tc>
          <w:tcPr>
            <w:tcW w:w="2410" w:type="dxa"/>
          </w:tcPr>
          <w:p w14:paraId="62836A87" w14:textId="77777777" w:rsidR="003568C2" w:rsidRPr="00C80148" w:rsidRDefault="00695B03">
            <w:pPr>
              <w:jc w:val="center"/>
              <w:rPr>
                <w:rFonts w:asciiTheme="minorEastAsia" w:hAnsiTheme="minorEastAsia"/>
                <w:b/>
                <w:kern w:val="0"/>
                <w:sz w:val="24"/>
              </w:rPr>
            </w:pPr>
            <w:r w:rsidRPr="00C80148">
              <w:rPr>
                <w:rFonts w:asciiTheme="minorEastAsia" w:hAnsiTheme="minorEastAsia" w:hint="eastAsia"/>
                <w:b/>
                <w:kern w:val="0"/>
                <w:sz w:val="24"/>
              </w:rPr>
              <w:t>披露日期</w:t>
            </w:r>
          </w:p>
        </w:tc>
      </w:tr>
      <w:tr w:rsidR="00AC1361" w:rsidRPr="00C80148" w:rsidDel="00912505" w14:paraId="391B2010" w14:textId="77777777" w:rsidTr="00AF7038">
        <w:tc>
          <w:tcPr>
            <w:tcW w:w="993" w:type="dxa"/>
          </w:tcPr>
          <w:p w14:paraId="7BC94396" w14:textId="77777777" w:rsidR="00AC1361" w:rsidRPr="00F61A1B" w:rsidDel="00912505" w:rsidRDefault="00AC1361" w:rsidP="00AF7038">
            <w:pPr>
              <w:rPr>
                <w:rFonts w:asciiTheme="minorEastAsia" w:hAnsiTheme="minorEastAsia"/>
                <w:color w:val="000000"/>
                <w:kern w:val="0"/>
                <w:sz w:val="24"/>
              </w:rPr>
            </w:pPr>
            <w:r w:rsidRPr="00F61A1B">
              <w:rPr>
                <w:rFonts w:asciiTheme="minorEastAsia" w:hAnsiTheme="minorEastAsia"/>
                <w:color w:val="000000"/>
                <w:kern w:val="0"/>
                <w:sz w:val="24"/>
              </w:rPr>
              <w:t>1</w:t>
            </w:r>
          </w:p>
        </w:tc>
        <w:tc>
          <w:tcPr>
            <w:tcW w:w="5244" w:type="dxa"/>
            <w:vAlign w:val="bottom"/>
          </w:tcPr>
          <w:p w14:paraId="7332DD9B" w14:textId="77777777" w:rsidR="00AC1361" w:rsidRPr="00C80148" w:rsidDel="00912505" w:rsidRDefault="00AC1361" w:rsidP="00AF7038">
            <w:pPr>
              <w:rPr>
                <w:rFonts w:asciiTheme="minorEastAsia" w:hAnsiTheme="minorEastAsia"/>
                <w:color w:val="000000"/>
                <w:kern w:val="0"/>
                <w:sz w:val="24"/>
              </w:rPr>
            </w:pPr>
            <w:r w:rsidRPr="00F61A1B">
              <w:rPr>
                <w:rFonts w:asciiTheme="minorEastAsia" w:hAnsiTheme="minorEastAsia" w:hint="eastAsia"/>
                <w:color w:val="000000"/>
                <w:kern w:val="0"/>
                <w:sz w:val="24"/>
              </w:rPr>
              <w:t>富荣基金管理有限公司关于旗下部分基金新增和耕传承基金销售有限公司为销售机构并开通基金定期定额投资业务和基金转换业务的公告</w:t>
            </w:r>
          </w:p>
        </w:tc>
        <w:tc>
          <w:tcPr>
            <w:tcW w:w="2410" w:type="dxa"/>
            <w:vAlign w:val="center"/>
          </w:tcPr>
          <w:p w14:paraId="016C76ED" w14:textId="77777777" w:rsidR="00AC1361" w:rsidRPr="00C80148" w:rsidDel="00912505" w:rsidRDefault="00AC1361" w:rsidP="00AF7038">
            <w:pPr>
              <w:rPr>
                <w:rFonts w:asciiTheme="minorEastAsia" w:hAnsiTheme="minorEastAsia"/>
                <w:color w:val="000000"/>
                <w:kern w:val="0"/>
                <w:sz w:val="24"/>
              </w:rPr>
            </w:pPr>
            <w:r w:rsidRPr="00F61A1B">
              <w:rPr>
                <w:rFonts w:asciiTheme="minorEastAsia" w:hAnsiTheme="minorEastAsia" w:hint="eastAsia"/>
                <w:color w:val="000000"/>
                <w:kern w:val="0"/>
                <w:sz w:val="24"/>
              </w:rPr>
              <w:t>2020年8月7日</w:t>
            </w:r>
          </w:p>
        </w:tc>
      </w:tr>
      <w:tr w:rsidR="00AC1361" w:rsidRPr="00C80148" w:rsidDel="00912505" w14:paraId="710A21B6" w14:textId="77777777" w:rsidTr="00AF7038">
        <w:tc>
          <w:tcPr>
            <w:tcW w:w="993" w:type="dxa"/>
          </w:tcPr>
          <w:p w14:paraId="60A9E7F8" w14:textId="77777777" w:rsidR="00AC1361" w:rsidRPr="00F61A1B" w:rsidDel="00912505" w:rsidRDefault="00AC1361" w:rsidP="00AF7038">
            <w:pPr>
              <w:rPr>
                <w:rFonts w:asciiTheme="minorEastAsia" w:hAnsiTheme="minorEastAsia"/>
                <w:color w:val="000000"/>
                <w:kern w:val="0"/>
                <w:sz w:val="24"/>
              </w:rPr>
            </w:pPr>
            <w:r w:rsidRPr="00F61A1B">
              <w:rPr>
                <w:rFonts w:asciiTheme="minorEastAsia" w:hAnsiTheme="minorEastAsia"/>
                <w:color w:val="000000"/>
                <w:kern w:val="0"/>
                <w:sz w:val="24"/>
              </w:rPr>
              <w:t>2</w:t>
            </w:r>
          </w:p>
        </w:tc>
        <w:tc>
          <w:tcPr>
            <w:tcW w:w="5244" w:type="dxa"/>
            <w:vAlign w:val="bottom"/>
          </w:tcPr>
          <w:p w14:paraId="7134F872" w14:textId="77777777" w:rsidR="00AC1361" w:rsidRPr="00C80148" w:rsidDel="00912505" w:rsidRDefault="00AC1361" w:rsidP="00AF7038">
            <w:pPr>
              <w:rPr>
                <w:rFonts w:asciiTheme="minorEastAsia" w:hAnsiTheme="minorEastAsia"/>
                <w:color w:val="000000"/>
                <w:kern w:val="0"/>
                <w:sz w:val="24"/>
              </w:rPr>
            </w:pPr>
            <w:r w:rsidRPr="00F61A1B">
              <w:rPr>
                <w:rFonts w:asciiTheme="minorEastAsia" w:hAnsiTheme="minorEastAsia" w:hint="eastAsia"/>
                <w:color w:val="000000"/>
                <w:kern w:val="0"/>
                <w:sz w:val="24"/>
              </w:rPr>
              <w:t>富荣基金管理有限公司关于旗下部分基金参加和耕传承基金销售有限公司基金认申购及定期定额投资申购费率优惠活动的公告</w:t>
            </w:r>
          </w:p>
        </w:tc>
        <w:tc>
          <w:tcPr>
            <w:tcW w:w="2410" w:type="dxa"/>
            <w:vAlign w:val="center"/>
          </w:tcPr>
          <w:p w14:paraId="182C2813" w14:textId="77777777" w:rsidR="00AC1361" w:rsidRPr="00C80148" w:rsidDel="00912505" w:rsidRDefault="00AC1361" w:rsidP="00AF7038">
            <w:pPr>
              <w:rPr>
                <w:rFonts w:asciiTheme="minorEastAsia" w:hAnsiTheme="minorEastAsia"/>
                <w:color w:val="000000"/>
                <w:kern w:val="0"/>
                <w:sz w:val="24"/>
              </w:rPr>
            </w:pPr>
            <w:r w:rsidRPr="00F61A1B">
              <w:rPr>
                <w:rFonts w:asciiTheme="minorEastAsia" w:hAnsiTheme="minorEastAsia" w:hint="eastAsia"/>
                <w:color w:val="000000"/>
                <w:kern w:val="0"/>
                <w:sz w:val="24"/>
              </w:rPr>
              <w:t>2020年8月7日</w:t>
            </w:r>
          </w:p>
        </w:tc>
      </w:tr>
      <w:tr w:rsidR="00AC1361" w:rsidRPr="00C80148" w:rsidDel="00912505" w14:paraId="6837B891" w14:textId="77777777" w:rsidTr="00AF7038">
        <w:tc>
          <w:tcPr>
            <w:tcW w:w="993" w:type="dxa"/>
          </w:tcPr>
          <w:p w14:paraId="2CBC47E4" w14:textId="77777777" w:rsidR="00AC1361" w:rsidRPr="00F61A1B" w:rsidDel="00912505" w:rsidRDefault="00AC1361" w:rsidP="00AF7038">
            <w:pPr>
              <w:rPr>
                <w:rFonts w:asciiTheme="minorEastAsia" w:hAnsiTheme="minorEastAsia"/>
                <w:color w:val="000000"/>
                <w:kern w:val="0"/>
                <w:sz w:val="24"/>
              </w:rPr>
            </w:pPr>
            <w:r w:rsidRPr="00F61A1B">
              <w:rPr>
                <w:rFonts w:asciiTheme="minorEastAsia" w:hAnsiTheme="minorEastAsia"/>
                <w:color w:val="000000"/>
                <w:kern w:val="0"/>
                <w:sz w:val="24"/>
              </w:rPr>
              <w:t>3</w:t>
            </w:r>
          </w:p>
        </w:tc>
        <w:tc>
          <w:tcPr>
            <w:tcW w:w="5244" w:type="dxa"/>
            <w:vAlign w:val="bottom"/>
          </w:tcPr>
          <w:p w14:paraId="4E1ECA92" w14:textId="77777777" w:rsidR="00AC1361" w:rsidRPr="00C80148" w:rsidDel="00912505" w:rsidRDefault="00AC1361" w:rsidP="00AF7038">
            <w:pPr>
              <w:rPr>
                <w:rFonts w:asciiTheme="minorEastAsia" w:hAnsiTheme="minorEastAsia"/>
                <w:color w:val="000000"/>
                <w:kern w:val="0"/>
                <w:sz w:val="24"/>
              </w:rPr>
            </w:pPr>
            <w:r w:rsidRPr="00F61A1B">
              <w:rPr>
                <w:rFonts w:asciiTheme="minorEastAsia" w:hAnsiTheme="minorEastAsia" w:hint="eastAsia"/>
                <w:color w:val="000000"/>
                <w:kern w:val="0"/>
                <w:sz w:val="24"/>
              </w:rPr>
              <w:t>富荣基金管理有限公司关于旗下基金披露基金产品资料概要的提示性公告</w:t>
            </w:r>
          </w:p>
        </w:tc>
        <w:tc>
          <w:tcPr>
            <w:tcW w:w="2410" w:type="dxa"/>
            <w:vAlign w:val="center"/>
          </w:tcPr>
          <w:p w14:paraId="0E4E2D97" w14:textId="77777777" w:rsidR="00AC1361" w:rsidRPr="00C80148" w:rsidDel="00912505" w:rsidRDefault="00AC1361" w:rsidP="00AF7038">
            <w:pPr>
              <w:rPr>
                <w:rFonts w:asciiTheme="minorEastAsia" w:hAnsiTheme="minorEastAsia"/>
                <w:color w:val="000000"/>
                <w:kern w:val="0"/>
                <w:sz w:val="24"/>
              </w:rPr>
            </w:pPr>
            <w:r w:rsidRPr="00F61A1B">
              <w:rPr>
                <w:rFonts w:asciiTheme="minorEastAsia" w:hAnsiTheme="minorEastAsia" w:hint="eastAsia"/>
                <w:color w:val="000000"/>
                <w:kern w:val="0"/>
                <w:sz w:val="24"/>
              </w:rPr>
              <w:t>2020年8月31日</w:t>
            </w:r>
          </w:p>
        </w:tc>
      </w:tr>
      <w:tr w:rsidR="00AC1361" w:rsidRPr="00C80148" w:rsidDel="00912505" w14:paraId="4BE43571" w14:textId="77777777" w:rsidTr="00AF7038">
        <w:tc>
          <w:tcPr>
            <w:tcW w:w="993" w:type="dxa"/>
          </w:tcPr>
          <w:p w14:paraId="3CB09427" w14:textId="77777777" w:rsidR="00AC1361" w:rsidRPr="00F61A1B" w:rsidDel="00912505" w:rsidRDefault="00AC1361" w:rsidP="00AF7038">
            <w:pPr>
              <w:rPr>
                <w:rFonts w:asciiTheme="minorEastAsia" w:hAnsiTheme="minorEastAsia"/>
                <w:color w:val="000000"/>
                <w:kern w:val="0"/>
                <w:sz w:val="24"/>
              </w:rPr>
            </w:pPr>
            <w:r w:rsidRPr="00F61A1B">
              <w:rPr>
                <w:rFonts w:asciiTheme="minorEastAsia" w:hAnsiTheme="minorEastAsia"/>
                <w:color w:val="000000"/>
                <w:kern w:val="0"/>
                <w:sz w:val="24"/>
              </w:rPr>
              <w:t>4</w:t>
            </w:r>
          </w:p>
        </w:tc>
        <w:tc>
          <w:tcPr>
            <w:tcW w:w="5244" w:type="dxa"/>
            <w:vAlign w:val="bottom"/>
          </w:tcPr>
          <w:p w14:paraId="5D307136" w14:textId="77777777" w:rsidR="00AC1361" w:rsidRPr="00C80148" w:rsidDel="00912505" w:rsidRDefault="00AC1361" w:rsidP="00AF7038">
            <w:pPr>
              <w:rPr>
                <w:rFonts w:asciiTheme="minorEastAsia" w:hAnsiTheme="minorEastAsia"/>
                <w:color w:val="000000"/>
                <w:kern w:val="0"/>
                <w:sz w:val="24"/>
              </w:rPr>
            </w:pPr>
            <w:r w:rsidRPr="00F61A1B">
              <w:rPr>
                <w:rFonts w:asciiTheme="minorEastAsia" w:hAnsiTheme="minorEastAsia" w:hint="eastAsia"/>
                <w:color w:val="000000"/>
                <w:kern w:val="0"/>
                <w:sz w:val="24"/>
              </w:rPr>
              <w:t>富荣基金管理有限公司旗下全部基金2020年中期报告提示性公告</w:t>
            </w:r>
          </w:p>
        </w:tc>
        <w:tc>
          <w:tcPr>
            <w:tcW w:w="2410" w:type="dxa"/>
            <w:vAlign w:val="center"/>
          </w:tcPr>
          <w:p w14:paraId="267404AD" w14:textId="77777777" w:rsidR="00AC1361" w:rsidRPr="00C80148" w:rsidDel="00912505" w:rsidRDefault="00AC1361" w:rsidP="00AF7038">
            <w:pPr>
              <w:rPr>
                <w:rFonts w:asciiTheme="minorEastAsia" w:hAnsiTheme="minorEastAsia"/>
                <w:color w:val="000000"/>
                <w:kern w:val="0"/>
                <w:sz w:val="24"/>
              </w:rPr>
            </w:pPr>
            <w:r w:rsidRPr="00F61A1B">
              <w:rPr>
                <w:rFonts w:asciiTheme="minorEastAsia" w:hAnsiTheme="minorEastAsia" w:hint="eastAsia"/>
                <w:color w:val="000000"/>
                <w:kern w:val="0"/>
                <w:sz w:val="24"/>
              </w:rPr>
              <w:t>2020年8月31日</w:t>
            </w:r>
          </w:p>
        </w:tc>
      </w:tr>
      <w:tr w:rsidR="00AC1361" w:rsidRPr="00C80148" w:rsidDel="00912505" w14:paraId="474A24B5" w14:textId="77777777" w:rsidTr="00AF7038">
        <w:tc>
          <w:tcPr>
            <w:tcW w:w="993" w:type="dxa"/>
          </w:tcPr>
          <w:p w14:paraId="0CE30CAA" w14:textId="77777777" w:rsidR="00AC1361" w:rsidRPr="00F61A1B" w:rsidDel="00912505" w:rsidRDefault="00AC1361" w:rsidP="00AF7038">
            <w:pPr>
              <w:rPr>
                <w:rFonts w:asciiTheme="minorEastAsia" w:hAnsiTheme="minorEastAsia"/>
                <w:color w:val="000000"/>
                <w:kern w:val="0"/>
                <w:sz w:val="24"/>
              </w:rPr>
            </w:pPr>
            <w:r w:rsidRPr="00F61A1B">
              <w:rPr>
                <w:rFonts w:asciiTheme="minorEastAsia" w:hAnsiTheme="minorEastAsia"/>
                <w:color w:val="000000"/>
                <w:kern w:val="0"/>
                <w:sz w:val="24"/>
              </w:rPr>
              <w:t>5</w:t>
            </w:r>
          </w:p>
        </w:tc>
        <w:tc>
          <w:tcPr>
            <w:tcW w:w="5244" w:type="dxa"/>
            <w:vAlign w:val="bottom"/>
          </w:tcPr>
          <w:p w14:paraId="7D699CB6" w14:textId="77777777" w:rsidR="00AC1361" w:rsidRPr="00C80148" w:rsidDel="00912505" w:rsidRDefault="00AC1361" w:rsidP="00AF7038">
            <w:pPr>
              <w:rPr>
                <w:rFonts w:asciiTheme="minorEastAsia" w:hAnsiTheme="minorEastAsia"/>
                <w:color w:val="000000"/>
                <w:kern w:val="0"/>
                <w:sz w:val="24"/>
              </w:rPr>
            </w:pPr>
            <w:r w:rsidRPr="00F61A1B">
              <w:rPr>
                <w:rFonts w:asciiTheme="minorEastAsia" w:hAnsiTheme="minorEastAsia" w:hint="eastAsia"/>
                <w:color w:val="000000"/>
                <w:kern w:val="0"/>
                <w:sz w:val="24"/>
              </w:rPr>
              <w:t>富荣沪深300指数增强型证券投资基金</w:t>
            </w:r>
            <w:r w:rsidRPr="00F61A1B">
              <w:rPr>
                <w:rFonts w:asciiTheme="minorEastAsia" w:hAnsiTheme="minorEastAsia"/>
                <w:color w:val="000000"/>
                <w:kern w:val="0"/>
                <w:sz w:val="24"/>
              </w:rPr>
              <w:t xml:space="preserve"> </w:t>
            </w:r>
            <w:r w:rsidRPr="00F61A1B">
              <w:rPr>
                <w:rFonts w:asciiTheme="minorEastAsia" w:hAnsiTheme="minorEastAsia" w:hint="eastAsia"/>
                <w:color w:val="000000"/>
                <w:kern w:val="0"/>
                <w:sz w:val="24"/>
              </w:rPr>
              <w:t>招募说明书更新及产品资料概要更新的提示性公告</w:t>
            </w:r>
          </w:p>
        </w:tc>
        <w:tc>
          <w:tcPr>
            <w:tcW w:w="2410" w:type="dxa"/>
            <w:vAlign w:val="center"/>
          </w:tcPr>
          <w:p w14:paraId="57ADF2D8" w14:textId="77777777" w:rsidR="00AC1361" w:rsidRPr="00C80148" w:rsidDel="00912505" w:rsidRDefault="00AC1361" w:rsidP="00AF7038">
            <w:pPr>
              <w:rPr>
                <w:rFonts w:asciiTheme="minorEastAsia" w:hAnsiTheme="minorEastAsia"/>
                <w:color w:val="000000"/>
                <w:kern w:val="0"/>
                <w:sz w:val="24"/>
              </w:rPr>
            </w:pPr>
            <w:r w:rsidRPr="00F61A1B">
              <w:rPr>
                <w:rFonts w:asciiTheme="minorEastAsia" w:hAnsiTheme="minorEastAsia" w:hint="eastAsia"/>
                <w:color w:val="000000"/>
                <w:kern w:val="0"/>
                <w:sz w:val="24"/>
              </w:rPr>
              <w:t>2020年8月31日</w:t>
            </w:r>
          </w:p>
        </w:tc>
      </w:tr>
      <w:tr w:rsidR="00AC1361" w:rsidRPr="00C80148" w:rsidDel="00912505" w14:paraId="55231D14" w14:textId="77777777" w:rsidTr="00AF7038">
        <w:tc>
          <w:tcPr>
            <w:tcW w:w="993" w:type="dxa"/>
          </w:tcPr>
          <w:p w14:paraId="026EFE3D" w14:textId="77777777" w:rsidR="00AC1361" w:rsidRPr="00F61A1B" w:rsidDel="00912505" w:rsidRDefault="00AC1361" w:rsidP="00AF7038">
            <w:pPr>
              <w:rPr>
                <w:rFonts w:asciiTheme="minorEastAsia" w:hAnsiTheme="minorEastAsia"/>
                <w:color w:val="000000"/>
                <w:kern w:val="0"/>
                <w:sz w:val="24"/>
              </w:rPr>
            </w:pPr>
            <w:r w:rsidRPr="00F61A1B">
              <w:rPr>
                <w:rFonts w:asciiTheme="minorEastAsia" w:hAnsiTheme="minorEastAsia"/>
                <w:color w:val="000000"/>
                <w:kern w:val="0"/>
                <w:sz w:val="24"/>
              </w:rPr>
              <w:t>6</w:t>
            </w:r>
          </w:p>
        </w:tc>
        <w:tc>
          <w:tcPr>
            <w:tcW w:w="5244" w:type="dxa"/>
            <w:vAlign w:val="bottom"/>
          </w:tcPr>
          <w:p w14:paraId="771C0C66" w14:textId="77777777" w:rsidR="00AC1361" w:rsidRPr="00C80148" w:rsidDel="00912505" w:rsidRDefault="00AC1361" w:rsidP="00AF7038">
            <w:pPr>
              <w:rPr>
                <w:rFonts w:asciiTheme="minorEastAsia" w:hAnsiTheme="minorEastAsia"/>
                <w:color w:val="000000"/>
                <w:kern w:val="0"/>
                <w:sz w:val="24"/>
              </w:rPr>
            </w:pPr>
            <w:r w:rsidRPr="00F61A1B">
              <w:rPr>
                <w:rFonts w:asciiTheme="minorEastAsia" w:hAnsiTheme="minorEastAsia" w:hint="eastAsia"/>
                <w:color w:val="000000"/>
                <w:kern w:val="0"/>
                <w:sz w:val="24"/>
              </w:rPr>
              <w:t>富荣基金管理有限公司高级管理人员变更公告</w:t>
            </w:r>
          </w:p>
        </w:tc>
        <w:tc>
          <w:tcPr>
            <w:tcW w:w="2410" w:type="dxa"/>
            <w:vAlign w:val="center"/>
          </w:tcPr>
          <w:p w14:paraId="0A14A5A3" w14:textId="77777777" w:rsidR="00AC1361" w:rsidRPr="00C80148" w:rsidDel="00912505" w:rsidRDefault="00AC1361" w:rsidP="00AF7038">
            <w:pPr>
              <w:rPr>
                <w:rFonts w:asciiTheme="minorEastAsia" w:hAnsiTheme="minorEastAsia"/>
                <w:color w:val="000000"/>
                <w:kern w:val="0"/>
                <w:sz w:val="24"/>
              </w:rPr>
            </w:pPr>
            <w:r w:rsidRPr="00F61A1B">
              <w:rPr>
                <w:rFonts w:asciiTheme="minorEastAsia" w:hAnsiTheme="minorEastAsia" w:hint="eastAsia"/>
                <w:color w:val="000000"/>
                <w:kern w:val="0"/>
                <w:sz w:val="24"/>
              </w:rPr>
              <w:t>2020年9月26日</w:t>
            </w:r>
          </w:p>
        </w:tc>
      </w:tr>
      <w:tr w:rsidR="00AC1361" w:rsidRPr="00C80148" w:rsidDel="00912505" w14:paraId="5433D74A" w14:textId="77777777" w:rsidTr="00AF7038">
        <w:tc>
          <w:tcPr>
            <w:tcW w:w="993" w:type="dxa"/>
          </w:tcPr>
          <w:p w14:paraId="3F1F7151" w14:textId="77777777" w:rsidR="00AC1361" w:rsidRPr="00F61A1B" w:rsidDel="00912505" w:rsidRDefault="00AC1361" w:rsidP="00AF7038">
            <w:pPr>
              <w:rPr>
                <w:rFonts w:asciiTheme="minorEastAsia" w:hAnsiTheme="minorEastAsia"/>
                <w:color w:val="000000"/>
                <w:kern w:val="0"/>
                <w:sz w:val="24"/>
              </w:rPr>
            </w:pPr>
            <w:r w:rsidRPr="00F61A1B">
              <w:rPr>
                <w:rFonts w:asciiTheme="minorEastAsia" w:hAnsiTheme="minorEastAsia"/>
                <w:color w:val="000000"/>
                <w:kern w:val="0"/>
                <w:sz w:val="24"/>
              </w:rPr>
              <w:t>7</w:t>
            </w:r>
          </w:p>
        </w:tc>
        <w:tc>
          <w:tcPr>
            <w:tcW w:w="5244" w:type="dxa"/>
            <w:vAlign w:val="bottom"/>
          </w:tcPr>
          <w:p w14:paraId="344AFD3A" w14:textId="77777777" w:rsidR="00AC1361" w:rsidRPr="00C80148" w:rsidDel="00912505" w:rsidRDefault="00AC1361" w:rsidP="00AF7038">
            <w:pPr>
              <w:rPr>
                <w:rFonts w:asciiTheme="minorEastAsia" w:hAnsiTheme="minorEastAsia"/>
                <w:color w:val="000000"/>
                <w:kern w:val="0"/>
                <w:sz w:val="24"/>
              </w:rPr>
            </w:pPr>
            <w:r w:rsidRPr="00F61A1B">
              <w:rPr>
                <w:rFonts w:asciiTheme="minorEastAsia" w:hAnsiTheme="minorEastAsia" w:hint="eastAsia"/>
                <w:color w:val="000000"/>
                <w:kern w:val="0"/>
                <w:sz w:val="24"/>
              </w:rPr>
              <w:t>富荣基金管理有限公司关于旗下部分基金新增北京新浪仓石基金销售有限公司为销售机构并开通基金定期定额投资业务和基金转换业务的公告</w:t>
            </w:r>
          </w:p>
        </w:tc>
        <w:tc>
          <w:tcPr>
            <w:tcW w:w="2410" w:type="dxa"/>
            <w:vAlign w:val="center"/>
          </w:tcPr>
          <w:p w14:paraId="3BE17AE1" w14:textId="77777777" w:rsidR="00AC1361" w:rsidRPr="00C80148" w:rsidDel="00912505" w:rsidRDefault="00AC1361" w:rsidP="00AF7038">
            <w:pPr>
              <w:rPr>
                <w:rFonts w:asciiTheme="minorEastAsia" w:hAnsiTheme="minorEastAsia"/>
                <w:color w:val="000000"/>
                <w:kern w:val="0"/>
                <w:sz w:val="24"/>
              </w:rPr>
            </w:pPr>
            <w:r w:rsidRPr="00F61A1B">
              <w:rPr>
                <w:rFonts w:asciiTheme="minorEastAsia" w:hAnsiTheme="minorEastAsia" w:hint="eastAsia"/>
                <w:color w:val="000000"/>
                <w:kern w:val="0"/>
                <w:sz w:val="24"/>
              </w:rPr>
              <w:t>2020年9月30日</w:t>
            </w:r>
          </w:p>
        </w:tc>
      </w:tr>
      <w:tr w:rsidR="00AC1361" w:rsidRPr="00C80148" w:rsidDel="00912505" w14:paraId="1CB7AE03" w14:textId="77777777" w:rsidTr="00AF7038">
        <w:tc>
          <w:tcPr>
            <w:tcW w:w="993" w:type="dxa"/>
          </w:tcPr>
          <w:p w14:paraId="63D70BA5" w14:textId="77777777" w:rsidR="00AC1361" w:rsidRPr="00F61A1B" w:rsidDel="00912505" w:rsidRDefault="00AC1361" w:rsidP="00AF7038">
            <w:pPr>
              <w:rPr>
                <w:rFonts w:asciiTheme="minorEastAsia" w:hAnsiTheme="minorEastAsia"/>
                <w:color w:val="000000"/>
                <w:kern w:val="0"/>
                <w:sz w:val="24"/>
              </w:rPr>
            </w:pPr>
            <w:r w:rsidRPr="00F61A1B">
              <w:rPr>
                <w:rFonts w:asciiTheme="minorEastAsia" w:hAnsiTheme="minorEastAsia"/>
                <w:color w:val="000000"/>
                <w:kern w:val="0"/>
                <w:sz w:val="24"/>
              </w:rPr>
              <w:t>8</w:t>
            </w:r>
          </w:p>
        </w:tc>
        <w:tc>
          <w:tcPr>
            <w:tcW w:w="5244" w:type="dxa"/>
            <w:vAlign w:val="bottom"/>
          </w:tcPr>
          <w:p w14:paraId="4BE6AA02" w14:textId="77777777" w:rsidR="00AC1361" w:rsidRPr="00C80148" w:rsidDel="00912505" w:rsidRDefault="00AC1361" w:rsidP="00AF7038">
            <w:pPr>
              <w:rPr>
                <w:rFonts w:asciiTheme="minorEastAsia" w:hAnsiTheme="minorEastAsia"/>
                <w:color w:val="000000"/>
                <w:kern w:val="0"/>
                <w:sz w:val="24"/>
              </w:rPr>
            </w:pPr>
            <w:r w:rsidRPr="00F61A1B">
              <w:rPr>
                <w:rFonts w:asciiTheme="minorEastAsia" w:hAnsiTheme="minorEastAsia" w:hint="eastAsia"/>
                <w:color w:val="000000"/>
                <w:kern w:val="0"/>
                <w:sz w:val="24"/>
              </w:rPr>
              <w:t>富荣基金管理有限公司关于旗下部分基金参加北京新浪仓石基金销售有限公司基金申购及定期定额投资申购费率优惠活动的公告</w:t>
            </w:r>
          </w:p>
        </w:tc>
        <w:tc>
          <w:tcPr>
            <w:tcW w:w="2410" w:type="dxa"/>
            <w:vAlign w:val="center"/>
          </w:tcPr>
          <w:p w14:paraId="6B14EC3C" w14:textId="77777777" w:rsidR="00AC1361" w:rsidRPr="00C80148" w:rsidDel="00912505" w:rsidRDefault="00AC1361" w:rsidP="00AF7038">
            <w:pPr>
              <w:rPr>
                <w:rFonts w:asciiTheme="minorEastAsia" w:hAnsiTheme="minorEastAsia"/>
                <w:color w:val="000000"/>
                <w:kern w:val="0"/>
                <w:sz w:val="24"/>
              </w:rPr>
            </w:pPr>
            <w:r w:rsidRPr="00F61A1B">
              <w:rPr>
                <w:rFonts w:asciiTheme="minorEastAsia" w:hAnsiTheme="minorEastAsia" w:hint="eastAsia"/>
                <w:color w:val="000000"/>
                <w:kern w:val="0"/>
                <w:sz w:val="24"/>
              </w:rPr>
              <w:t>2020年9月30日</w:t>
            </w:r>
          </w:p>
        </w:tc>
      </w:tr>
      <w:tr w:rsidR="00AC1361" w:rsidRPr="00C80148" w:rsidDel="00912505" w14:paraId="1CEEDDDD" w14:textId="77777777" w:rsidTr="00AF7038">
        <w:tc>
          <w:tcPr>
            <w:tcW w:w="993" w:type="dxa"/>
          </w:tcPr>
          <w:p w14:paraId="4D9B7870" w14:textId="77777777" w:rsidR="00AC1361" w:rsidRPr="00F61A1B" w:rsidDel="00912505" w:rsidRDefault="00AC1361" w:rsidP="00AF7038">
            <w:pPr>
              <w:rPr>
                <w:rFonts w:asciiTheme="minorEastAsia" w:hAnsiTheme="minorEastAsia"/>
                <w:color w:val="000000"/>
                <w:kern w:val="0"/>
                <w:sz w:val="24"/>
              </w:rPr>
            </w:pPr>
            <w:r w:rsidRPr="00F61A1B">
              <w:rPr>
                <w:rFonts w:asciiTheme="minorEastAsia" w:hAnsiTheme="minorEastAsia"/>
                <w:color w:val="000000"/>
                <w:kern w:val="0"/>
                <w:sz w:val="24"/>
              </w:rPr>
              <w:t>9</w:t>
            </w:r>
          </w:p>
        </w:tc>
        <w:tc>
          <w:tcPr>
            <w:tcW w:w="5244" w:type="dxa"/>
            <w:vAlign w:val="bottom"/>
          </w:tcPr>
          <w:p w14:paraId="6068483D" w14:textId="77777777" w:rsidR="00AC1361" w:rsidRPr="00C80148" w:rsidDel="00912505" w:rsidRDefault="00AC1361" w:rsidP="00AF7038">
            <w:pPr>
              <w:rPr>
                <w:rFonts w:asciiTheme="minorEastAsia" w:hAnsiTheme="minorEastAsia"/>
                <w:color w:val="000000"/>
                <w:kern w:val="0"/>
                <w:sz w:val="24"/>
              </w:rPr>
            </w:pPr>
            <w:r w:rsidRPr="00F61A1B">
              <w:rPr>
                <w:rFonts w:asciiTheme="minorEastAsia" w:hAnsiTheme="minorEastAsia" w:hint="eastAsia"/>
                <w:color w:val="000000"/>
                <w:kern w:val="0"/>
                <w:sz w:val="24"/>
              </w:rPr>
              <w:t>富荣基金管理有限公司关于终止泰诚财富基金销售（大连）有限公司办理旗下基金相关销售业务的公告</w:t>
            </w:r>
          </w:p>
        </w:tc>
        <w:tc>
          <w:tcPr>
            <w:tcW w:w="2410" w:type="dxa"/>
            <w:vAlign w:val="center"/>
          </w:tcPr>
          <w:p w14:paraId="1BA8270D" w14:textId="77777777" w:rsidR="00AC1361" w:rsidRPr="00C80148" w:rsidDel="00912505" w:rsidRDefault="00AC1361" w:rsidP="00AF7038">
            <w:pPr>
              <w:rPr>
                <w:rFonts w:asciiTheme="minorEastAsia" w:hAnsiTheme="minorEastAsia"/>
                <w:color w:val="000000"/>
                <w:kern w:val="0"/>
                <w:sz w:val="24"/>
              </w:rPr>
            </w:pPr>
            <w:r w:rsidRPr="00F61A1B">
              <w:rPr>
                <w:rFonts w:asciiTheme="minorEastAsia" w:hAnsiTheme="minorEastAsia" w:hint="eastAsia"/>
                <w:color w:val="000000"/>
                <w:kern w:val="0"/>
                <w:sz w:val="24"/>
              </w:rPr>
              <w:t>2020年10月14日</w:t>
            </w:r>
          </w:p>
        </w:tc>
      </w:tr>
      <w:tr w:rsidR="00AC1361" w:rsidRPr="00C80148" w:rsidDel="00912505" w14:paraId="3D86CBB2" w14:textId="77777777" w:rsidTr="00AF7038">
        <w:tc>
          <w:tcPr>
            <w:tcW w:w="993" w:type="dxa"/>
          </w:tcPr>
          <w:p w14:paraId="12C22D59" w14:textId="77777777" w:rsidR="00AC1361" w:rsidRPr="00F61A1B" w:rsidDel="00912505" w:rsidRDefault="00AC1361" w:rsidP="00AF7038">
            <w:pPr>
              <w:rPr>
                <w:rFonts w:asciiTheme="minorEastAsia" w:hAnsiTheme="minorEastAsia"/>
                <w:color w:val="000000"/>
                <w:kern w:val="0"/>
                <w:sz w:val="24"/>
              </w:rPr>
            </w:pPr>
            <w:r w:rsidRPr="00F61A1B">
              <w:rPr>
                <w:rFonts w:asciiTheme="minorEastAsia" w:hAnsiTheme="minorEastAsia"/>
                <w:color w:val="000000"/>
                <w:kern w:val="0"/>
                <w:sz w:val="24"/>
              </w:rPr>
              <w:t>10</w:t>
            </w:r>
          </w:p>
        </w:tc>
        <w:tc>
          <w:tcPr>
            <w:tcW w:w="5244" w:type="dxa"/>
            <w:vAlign w:val="bottom"/>
          </w:tcPr>
          <w:p w14:paraId="3E525C70" w14:textId="77777777" w:rsidR="00AC1361" w:rsidRPr="00C80148" w:rsidDel="00912505" w:rsidRDefault="00AC1361" w:rsidP="00AF7038">
            <w:pPr>
              <w:rPr>
                <w:rFonts w:asciiTheme="minorEastAsia" w:hAnsiTheme="minorEastAsia"/>
                <w:color w:val="000000"/>
                <w:kern w:val="0"/>
                <w:sz w:val="24"/>
              </w:rPr>
            </w:pPr>
            <w:r w:rsidRPr="00F61A1B">
              <w:rPr>
                <w:rFonts w:asciiTheme="minorEastAsia" w:hAnsiTheme="minorEastAsia" w:hint="eastAsia"/>
                <w:color w:val="000000"/>
                <w:kern w:val="0"/>
                <w:sz w:val="24"/>
              </w:rPr>
              <w:t>富荣基金管理有限公司旗下全部基金2020年第3季度报告提示性公告</w:t>
            </w:r>
          </w:p>
        </w:tc>
        <w:tc>
          <w:tcPr>
            <w:tcW w:w="2410" w:type="dxa"/>
            <w:vAlign w:val="center"/>
          </w:tcPr>
          <w:p w14:paraId="78B11BDC" w14:textId="77777777" w:rsidR="00AC1361" w:rsidRPr="00C80148" w:rsidDel="00912505" w:rsidRDefault="00AC1361" w:rsidP="00AF7038">
            <w:pPr>
              <w:rPr>
                <w:rFonts w:asciiTheme="minorEastAsia" w:hAnsiTheme="minorEastAsia"/>
                <w:color w:val="000000"/>
                <w:kern w:val="0"/>
                <w:sz w:val="24"/>
              </w:rPr>
            </w:pPr>
            <w:r w:rsidRPr="00F61A1B">
              <w:rPr>
                <w:rFonts w:asciiTheme="minorEastAsia" w:hAnsiTheme="minorEastAsia" w:hint="eastAsia"/>
                <w:color w:val="000000"/>
                <w:kern w:val="0"/>
                <w:sz w:val="24"/>
              </w:rPr>
              <w:t>2020年10月28日</w:t>
            </w:r>
          </w:p>
        </w:tc>
      </w:tr>
      <w:tr w:rsidR="00AC1361" w:rsidRPr="00C80148" w:rsidDel="00912505" w14:paraId="1DD3D113" w14:textId="77777777" w:rsidTr="00AF7038">
        <w:tc>
          <w:tcPr>
            <w:tcW w:w="993" w:type="dxa"/>
          </w:tcPr>
          <w:p w14:paraId="77414068" w14:textId="77777777" w:rsidR="00AC1361" w:rsidRPr="00F61A1B" w:rsidDel="00912505" w:rsidRDefault="00AC1361" w:rsidP="00AF7038">
            <w:pPr>
              <w:rPr>
                <w:rFonts w:asciiTheme="minorEastAsia" w:hAnsiTheme="minorEastAsia"/>
                <w:color w:val="000000"/>
                <w:kern w:val="0"/>
                <w:sz w:val="24"/>
              </w:rPr>
            </w:pPr>
            <w:r w:rsidRPr="00F61A1B">
              <w:rPr>
                <w:rFonts w:asciiTheme="minorEastAsia" w:hAnsiTheme="minorEastAsia"/>
                <w:color w:val="000000"/>
                <w:kern w:val="0"/>
                <w:sz w:val="24"/>
              </w:rPr>
              <w:t>11</w:t>
            </w:r>
          </w:p>
        </w:tc>
        <w:tc>
          <w:tcPr>
            <w:tcW w:w="5244" w:type="dxa"/>
            <w:vAlign w:val="bottom"/>
          </w:tcPr>
          <w:p w14:paraId="1D50C055" w14:textId="77777777" w:rsidR="00AC1361" w:rsidRPr="00C80148" w:rsidDel="00912505" w:rsidRDefault="00AC1361" w:rsidP="00AF7038">
            <w:pPr>
              <w:rPr>
                <w:rFonts w:asciiTheme="minorEastAsia" w:hAnsiTheme="minorEastAsia"/>
                <w:color w:val="000000"/>
                <w:kern w:val="0"/>
                <w:sz w:val="24"/>
              </w:rPr>
            </w:pPr>
            <w:r w:rsidRPr="00F61A1B">
              <w:rPr>
                <w:rFonts w:asciiTheme="minorEastAsia" w:hAnsiTheme="minorEastAsia" w:hint="eastAsia"/>
                <w:color w:val="000000"/>
                <w:kern w:val="0"/>
                <w:sz w:val="24"/>
              </w:rPr>
              <w:t>富荣基金管理有限公司关于终止大泰金石基金销售有限公司办理旗下基金相关销售业务的公告</w:t>
            </w:r>
          </w:p>
        </w:tc>
        <w:tc>
          <w:tcPr>
            <w:tcW w:w="2410" w:type="dxa"/>
            <w:vAlign w:val="center"/>
          </w:tcPr>
          <w:p w14:paraId="3DEF3BBF" w14:textId="77777777" w:rsidR="00AC1361" w:rsidRPr="00C80148" w:rsidDel="00912505" w:rsidRDefault="00AC1361" w:rsidP="00AF7038">
            <w:pPr>
              <w:rPr>
                <w:rFonts w:asciiTheme="minorEastAsia" w:hAnsiTheme="minorEastAsia"/>
                <w:color w:val="000000"/>
                <w:kern w:val="0"/>
                <w:sz w:val="24"/>
              </w:rPr>
            </w:pPr>
            <w:r w:rsidRPr="00F61A1B">
              <w:rPr>
                <w:rFonts w:asciiTheme="minorEastAsia" w:hAnsiTheme="minorEastAsia" w:hint="eastAsia"/>
                <w:color w:val="000000"/>
                <w:kern w:val="0"/>
                <w:sz w:val="24"/>
              </w:rPr>
              <w:t>2020年11月2日</w:t>
            </w:r>
          </w:p>
        </w:tc>
      </w:tr>
      <w:tr w:rsidR="00AC1361" w:rsidRPr="00C80148" w:rsidDel="00912505" w14:paraId="50E0471B" w14:textId="77777777" w:rsidTr="00AF7038">
        <w:tc>
          <w:tcPr>
            <w:tcW w:w="993" w:type="dxa"/>
          </w:tcPr>
          <w:p w14:paraId="620892B4" w14:textId="77777777" w:rsidR="00AC1361" w:rsidRPr="00F61A1B" w:rsidDel="00912505" w:rsidRDefault="00AC1361" w:rsidP="00AF7038">
            <w:pPr>
              <w:rPr>
                <w:rFonts w:asciiTheme="minorEastAsia" w:hAnsiTheme="minorEastAsia"/>
                <w:color w:val="000000"/>
                <w:kern w:val="0"/>
                <w:sz w:val="24"/>
              </w:rPr>
            </w:pPr>
            <w:r w:rsidRPr="00F61A1B">
              <w:rPr>
                <w:rFonts w:asciiTheme="minorEastAsia" w:hAnsiTheme="minorEastAsia"/>
                <w:color w:val="000000"/>
                <w:kern w:val="0"/>
                <w:sz w:val="24"/>
              </w:rPr>
              <w:t>12</w:t>
            </w:r>
          </w:p>
        </w:tc>
        <w:tc>
          <w:tcPr>
            <w:tcW w:w="5244" w:type="dxa"/>
            <w:vAlign w:val="bottom"/>
          </w:tcPr>
          <w:p w14:paraId="7DF0E432" w14:textId="77777777" w:rsidR="00AC1361" w:rsidRPr="00C80148" w:rsidDel="00912505" w:rsidRDefault="00AC1361" w:rsidP="00AF7038">
            <w:pPr>
              <w:rPr>
                <w:rFonts w:asciiTheme="minorEastAsia" w:hAnsiTheme="minorEastAsia"/>
                <w:color w:val="000000"/>
                <w:kern w:val="0"/>
                <w:sz w:val="24"/>
              </w:rPr>
            </w:pPr>
            <w:r w:rsidRPr="00F61A1B">
              <w:rPr>
                <w:rFonts w:asciiTheme="minorEastAsia" w:hAnsiTheme="minorEastAsia" w:hint="eastAsia"/>
                <w:color w:val="000000"/>
                <w:kern w:val="0"/>
                <w:sz w:val="24"/>
              </w:rPr>
              <w:t>关于富荣基金管理有限公司2020年行业高级管理人员变更公告</w:t>
            </w:r>
          </w:p>
        </w:tc>
        <w:tc>
          <w:tcPr>
            <w:tcW w:w="2410" w:type="dxa"/>
            <w:vAlign w:val="center"/>
          </w:tcPr>
          <w:p w14:paraId="1D6F4615" w14:textId="77777777" w:rsidR="00AC1361" w:rsidRPr="00C80148" w:rsidDel="00912505" w:rsidRDefault="00AC1361" w:rsidP="00AF7038">
            <w:pPr>
              <w:rPr>
                <w:rFonts w:asciiTheme="minorEastAsia" w:hAnsiTheme="minorEastAsia"/>
                <w:color w:val="000000"/>
                <w:kern w:val="0"/>
                <w:sz w:val="24"/>
              </w:rPr>
            </w:pPr>
            <w:r w:rsidRPr="00F61A1B">
              <w:rPr>
                <w:rFonts w:asciiTheme="minorEastAsia" w:hAnsiTheme="minorEastAsia" w:hint="eastAsia"/>
                <w:color w:val="000000"/>
                <w:kern w:val="0"/>
                <w:sz w:val="24"/>
              </w:rPr>
              <w:t>2020年11月10日</w:t>
            </w:r>
          </w:p>
        </w:tc>
      </w:tr>
      <w:tr w:rsidR="00AC1361" w:rsidRPr="00C80148" w:rsidDel="00912505" w14:paraId="5CEA38BD" w14:textId="77777777" w:rsidTr="00AF7038">
        <w:tc>
          <w:tcPr>
            <w:tcW w:w="993" w:type="dxa"/>
          </w:tcPr>
          <w:p w14:paraId="4714A87B" w14:textId="77777777" w:rsidR="00AC1361" w:rsidRPr="00F61A1B" w:rsidDel="00912505" w:rsidRDefault="00AC1361" w:rsidP="00AF7038">
            <w:pPr>
              <w:rPr>
                <w:rFonts w:asciiTheme="minorEastAsia" w:hAnsiTheme="minorEastAsia"/>
                <w:color w:val="000000"/>
                <w:kern w:val="0"/>
                <w:sz w:val="24"/>
              </w:rPr>
            </w:pPr>
            <w:r w:rsidRPr="00F61A1B">
              <w:rPr>
                <w:rFonts w:asciiTheme="minorEastAsia" w:hAnsiTheme="minorEastAsia"/>
                <w:color w:val="000000"/>
                <w:kern w:val="0"/>
                <w:sz w:val="24"/>
              </w:rPr>
              <w:t>13</w:t>
            </w:r>
          </w:p>
        </w:tc>
        <w:tc>
          <w:tcPr>
            <w:tcW w:w="5244" w:type="dxa"/>
            <w:vAlign w:val="bottom"/>
          </w:tcPr>
          <w:p w14:paraId="7E905012" w14:textId="77777777" w:rsidR="00AC1361" w:rsidRPr="00C80148" w:rsidDel="00912505" w:rsidRDefault="00AC1361" w:rsidP="00AF7038">
            <w:pPr>
              <w:rPr>
                <w:rFonts w:asciiTheme="minorEastAsia" w:hAnsiTheme="minorEastAsia"/>
                <w:color w:val="000000"/>
                <w:kern w:val="0"/>
                <w:sz w:val="24"/>
              </w:rPr>
            </w:pPr>
            <w:r w:rsidRPr="00F61A1B">
              <w:rPr>
                <w:rFonts w:asciiTheme="minorEastAsia" w:hAnsiTheme="minorEastAsia" w:hint="eastAsia"/>
                <w:color w:val="000000"/>
                <w:kern w:val="0"/>
                <w:sz w:val="24"/>
              </w:rPr>
              <w:t>富荣基金管理有限公司关于旗下部分基金新增北京钱景基金销售有限公司为销售机构并开通基金定期定额投资业务和基金转换业务的公告</w:t>
            </w:r>
          </w:p>
        </w:tc>
        <w:tc>
          <w:tcPr>
            <w:tcW w:w="2410" w:type="dxa"/>
            <w:vAlign w:val="center"/>
          </w:tcPr>
          <w:p w14:paraId="015CB722" w14:textId="77777777" w:rsidR="00AC1361" w:rsidRPr="00C80148" w:rsidDel="00912505" w:rsidRDefault="00AC1361" w:rsidP="00AF7038">
            <w:pPr>
              <w:rPr>
                <w:rFonts w:asciiTheme="minorEastAsia" w:hAnsiTheme="minorEastAsia"/>
                <w:color w:val="000000"/>
                <w:kern w:val="0"/>
                <w:sz w:val="24"/>
              </w:rPr>
            </w:pPr>
            <w:r w:rsidRPr="00F61A1B">
              <w:rPr>
                <w:rFonts w:asciiTheme="minorEastAsia" w:hAnsiTheme="minorEastAsia" w:hint="eastAsia"/>
                <w:color w:val="000000"/>
                <w:kern w:val="0"/>
                <w:sz w:val="24"/>
              </w:rPr>
              <w:t>2020年12月15日</w:t>
            </w:r>
          </w:p>
        </w:tc>
      </w:tr>
      <w:tr w:rsidR="00AC1361" w:rsidRPr="00C80148" w:rsidDel="00912505" w14:paraId="6C8E8DAC" w14:textId="77777777" w:rsidTr="00AF7038">
        <w:tc>
          <w:tcPr>
            <w:tcW w:w="993" w:type="dxa"/>
          </w:tcPr>
          <w:p w14:paraId="208F9D01" w14:textId="77777777" w:rsidR="00AC1361" w:rsidRPr="00F61A1B" w:rsidDel="00912505" w:rsidRDefault="00AC1361" w:rsidP="00AF7038">
            <w:pPr>
              <w:rPr>
                <w:rFonts w:asciiTheme="minorEastAsia" w:hAnsiTheme="minorEastAsia"/>
                <w:color w:val="000000"/>
                <w:kern w:val="0"/>
                <w:sz w:val="24"/>
              </w:rPr>
            </w:pPr>
            <w:r w:rsidRPr="00F61A1B">
              <w:rPr>
                <w:rFonts w:asciiTheme="minorEastAsia" w:hAnsiTheme="minorEastAsia"/>
                <w:color w:val="000000"/>
                <w:kern w:val="0"/>
                <w:sz w:val="24"/>
              </w:rPr>
              <w:t>14</w:t>
            </w:r>
          </w:p>
        </w:tc>
        <w:tc>
          <w:tcPr>
            <w:tcW w:w="5244" w:type="dxa"/>
            <w:vAlign w:val="bottom"/>
          </w:tcPr>
          <w:p w14:paraId="4086F559" w14:textId="77777777" w:rsidR="00AC1361" w:rsidRPr="00C80148" w:rsidDel="00912505" w:rsidRDefault="00AC1361" w:rsidP="00AF7038">
            <w:pPr>
              <w:rPr>
                <w:rFonts w:asciiTheme="minorEastAsia" w:hAnsiTheme="minorEastAsia"/>
                <w:color w:val="000000"/>
                <w:kern w:val="0"/>
                <w:sz w:val="24"/>
              </w:rPr>
            </w:pPr>
            <w:r w:rsidRPr="00F61A1B">
              <w:rPr>
                <w:rFonts w:asciiTheme="minorEastAsia" w:hAnsiTheme="minorEastAsia" w:hint="eastAsia"/>
                <w:color w:val="000000"/>
                <w:kern w:val="0"/>
                <w:sz w:val="24"/>
              </w:rPr>
              <w:t>富荣基金管理有限公司关于旗下部分基金参加北京钱景基金销售有限公司基金申购及定期定额投资申购费率优惠活动的公告</w:t>
            </w:r>
          </w:p>
        </w:tc>
        <w:tc>
          <w:tcPr>
            <w:tcW w:w="2410" w:type="dxa"/>
            <w:vAlign w:val="center"/>
          </w:tcPr>
          <w:p w14:paraId="147F23D6" w14:textId="77777777" w:rsidR="00AC1361" w:rsidRPr="00C80148" w:rsidDel="00912505" w:rsidRDefault="00AC1361" w:rsidP="00AF7038">
            <w:pPr>
              <w:rPr>
                <w:rFonts w:asciiTheme="minorEastAsia" w:hAnsiTheme="minorEastAsia"/>
                <w:color w:val="000000"/>
                <w:kern w:val="0"/>
                <w:sz w:val="24"/>
              </w:rPr>
            </w:pPr>
            <w:r w:rsidRPr="00F61A1B">
              <w:rPr>
                <w:rFonts w:asciiTheme="minorEastAsia" w:hAnsiTheme="minorEastAsia" w:hint="eastAsia"/>
                <w:color w:val="000000"/>
                <w:kern w:val="0"/>
                <w:sz w:val="24"/>
              </w:rPr>
              <w:t>2020年12月15日</w:t>
            </w:r>
          </w:p>
        </w:tc>
      </w:tr>
      <w:tr w:rsidR="00AC1361" w:rsidRPr="00C80148" w:rsidDel="00912505" w14:paraId="6E4CAF48" w14:textId="77777777" w:rsidTr="00AF7038">
        <w:tc>
          <w:tcPr>
            <w:tcW w:w="993" w:type="dxa"/>
          </w:tcPr>
          <w:p w14:paraId="33DE03E2" w14:textId="77777777" w:rsidR="00AC1361" w:rsidRPr="00F61A1B" w:rsidDel="00912505" w:rsidRDefault="00AC1361" w:rsidP="00AF7038">
            <w:pPr>
              <w:rPr>
                <w:rFonts w:asciiTheme="minorEastAsia" w:hAnsiTheme="minorEastAsia"/>
                <w:color w:val="000000"/>
                <w:kern w:val="0"/>
                <w:sz w:val="24"/>
              </w:rPr>
            </w:pPr>
            <w:r w:rsidRPr="00F61A1B">
              <w:rPr>
                <w:rFonts w:asciiTheme="minorEastAsia" w:hAnsiTheme="minorEastAsia"/>
                <w:color w:val="000000"/>
                <w:kern w:val="0"/>
                <w:sz w:val="24"/>
              </w:rPr>
              <w:t>15</w:t>
            </w:r>
          </w:p>
        </w:tc>
        <w:tc>
          <w:tcPr>
            <w:tcW w:w="5244" w:type="dxa"/>
            <w:vAlign w:val="bottom"/>
          </w:tcPr>
          <w:p w14:paraId="6747CD71" w14:textId="77777777" w:rsidR="00AC1361" w:rsidRPr="00C80148" w:rsidDel="00912505" w:rsidRDefault="00AC1361" w:rsidP="00AF7038">
            <w:pPr>
              <w:rPr>
                <w:rFonts w:asciiTheme="minorEastAsia" w:hAnsiTheme="minorEastAsia"/>
                <w:color w:val="000000"/>
                <w:kern w:val="0"/>
                <w:sz w:val="24"/>
              </w:rPr>
            </w:pPr>
            <w:r w:rsidRPr="00F61A1B">
              <w:rPr>
                <w:rFonts w:asciiTheme="minorEastAsia" w:hAnsiTheme="minorEastAsia" w:hint="eastAsia"/>
                <w:color w:val="000000"/>
                <w:kern w:val="0"/>
                <w:sz w:val="24"/>
              </w:rPr>
              <w:t>富荣基金管理有限公司关于终止深圳盈信基金销售有限公司办理旗下基金相关销售业务的公告</w:t>
            </w:r>
          </w:p>
        </w:tc>
        <w:tc>
          <w:tcPr>
            <w:tcW w:w="2410" w:type="dxa"/>
            <w:vAlign w:val="center"/>
          </w:tcPr>
          <w:p w14:paraId="48A147CF" w14:textId="77777777" w:rsidR="00AC1361" w:rsidRPr="00C80148" w:rsidDel="00912505" w:rsidRDefault="00AC1361" w:rsidP="00AF7038">
            <w:pPr>
              <w:rPr>
                <w:rFonts w:asciiTheme="minorEastAsia" w:hAnsiTheme="minorEastAsia"/>
                <w:color w:val="000000"/>
                <w:kern w:val="0"/>
                <w:sz w:val="24"/>
              </w:rPr>
            </w:pPr>
            <w:r w:rsidRPr="00F61A1B">
              <w:rPr>
                <w:rFonts w:asciiTheme="minorEastAsia" w:hAnsiTheme="minorEastAsia" w:hint="eastAsia"/>
                <w:color w:val="000000"/>
                <w:kern w:val="0"/>
                <w:sz w:val="24"/>
              </w:rPr>
              <w:t>2020年12月15日</w:t>
            </w:r>
          </w:p>
        </w:tc>
      </w:tr>
      <w:tr w:rsidR="00AC1361" w:rsidRPr="00C80148" w:rsidDel="00912505" w14:paraId="0B900AB2" w14:textId="77777777" w:rsidTr="00AF7038">
        <w:tc>
          <w:tcPr>
            <w:tcW w:w="993" w:type="dxa"/>
          </w:tcPr>
          <w:p w14:paraId="0EED4A41" w14:textId="77777777" w:rsidR="00AC1361" w:rsidRPr="00F61A1B" w:rsidDel="00912505" w:rsidRDefault="00AC1361" w:rsidP="00AF7038">
            <w:pPr>
              <w:rPr>
                <w:rFonts w:asciiTheme="minorEastAsia" w:hAnsiTheme="minorEastAsia"/>
                <w:color w:val="000000"/>
                <w:kern w:val="0"/>
                <w:sz w:val="24"/>
              </w:rPr>
            </w:pPr>
            <w:r w:rsidRPr="00F61A1B">
              <w:rPr>
                <w:rFonts w:asciiTheme="minorEastAsia" w:hAnsiTheme="minorEastAsia"/>
                <w:color w:val="000000"/>
                <w:kern w:val="0"/>
                <w:sz w:val="24"/>
              </w:rPr>
              <w:lastRenderedPageBreak/>
              <w:t>16</w:t>
            </w:r>
          </w:p>
        </w:tc>
        <w:tc>
          <w:tcPr>
            <w:tcW w:w="5244" w:type="dxa"/>
            <w:vAlign w:val="bottom"/>
          </w:tcPr>
          <w:p w14:paraId="40466512" w14:textId="77777777" w:rsidR="00AC1361" w:rsidRPr="00C80148" w:rsidDel="00912505" w:rsidRDefault="00AC1361" w:rsidP="00AF7038">
            <w:pPr>
              <w:rPr>
                <w:rFonts w:asciiTheme="minorEastAsia" w:hAnsiTheme="minorEastAsia"/>
                <w:color w:val="000000"/>
                <w:kern w:val="0"/>
                <w:sz w:val="24"/>
              </w:rPr>
            </w:pPr>
            <w:r w:rsidRPr="00F61A1B">
              <w:rPr>
                <w:rFonts w:asciiTheme="minorEastAsia" w:hAnsiTheme="minorEastAsia" w:hint="eastAsia"/>
                <w:color w:val="000000"/>
                <w:kern w:val="0"/>
                <w:sz w:val="24"/>
              </w:rPr>
              <w:t>富荣基金管理有限公司关于通过泰诚财富基金销售（大连）有限公司购买并持有本公司旗下基金的投资者及时办理转托管的提示性公告</w:t>
            </w:r>
          </w:p>
        </w:tc>
        <w:tc>
          <w:tcPr>
            <w:tcW w:w="2410" w:type="dxa"/>
            <w:vAlign w:val="center"/>
          </w:tcPr>
          <w:p w14:paraId="67A04BFD" w14:textId="77777777" w:rsidR="00AC1361" w:rsidRPr="00C80148" w:rsidDel="00912505" w:rsidRDefault="00AC1361" w:rsidP="00AF7038">
            <w:pPr>
              <w:rPr>
                <w:rFonts w:asciiTheme="minorEastAsia" w:hAnsiTheme="minorEastAsia"/>
                <w:color w:val="000000"/>
                <w:kern w:val="0"/>
                <w:sz w:val="24"/>
              </w:rPr>
            </w:pPr>
            <w:r w:rsidRPr="00F61A1B">
              <w:rPr>
                <w:rFonts w:asciiTheme="minorEastAsia" w:hAnsiTheme="minorEastAsia" w:hint="eastAsia"/>
                <w:color w:val="000000"/>
                <w:kern w:val="0"/>
                <w:sz w:val="24"/>
              </w:rPr>
              <w:t>2020年12月22日</w:t>
            </w:r>
          </w:p>
        </w:tc>
      </w:tr>
      <w:tr w:rsidR="00AC1361" w:rsidRPr="00F61A1B" w14:paraId="789AFA8F" w14:textId="77777777" w:rsidTr="00AF7038">
        <w:tc>
          <w:tcPr>
            <w:tcW w:w="993" w:type="dxa"/>
          </w:tcPr>
          <w:p w14:paraId="2FF703B7" w14:textId="77777777" w:rsidR="00AC1361" w:rsidRPr="00F61A1B" w:rsidRDefault="00AC1361" w:rsidP="00AF7038">
            <w:pPr>
              <w:rPr>
                <w:rFonts w:asciiTheme="minorEastAsia" w:hAnsiTheme="minorEastAsia"/>
                <w:color w:val="000000"/>
                <w:kern w:val="0"/>
                <w:sz w:val="24"/>
              </w:rPr>
            </w:pPr>
            <w:r w:rsidRPr="00F61A1B">
              <w:rPr>
                <w:rFonts w:asciiTheme="minorEastAsia" w:hAnsiTheme="minorEastAsia"/>
                <w:color w:val="000000"/>
                <w:kern w:val="0"/>
                <w:sz w:val="24"/>
              </w:rPr>
              <w:t>17</w:t>
            </w:r>
          </w:p>
        </w:tc>
        <w:tc>
          <w:tcPr>
            <w:tcW w:w="5244" w:type="dxa"/>
            <w:vAlign w:val="center"/>
          </w:tcPr>
          <w:p w14:paraId="32564E09" w14:textId="77777777" w:rsidR="00AC1361" w:rsidRPr="00F61A1B" w:rsidRDefault="00AC1361" w:rsidP="00AF7038">
            <w:pPr>
              <w:rPr>
                <w:rFonts w:asciiTheme="minorEastAsia" w:hAnsiTheme="minorEastAsia"/>
                <w:color w:val="000000"/>
                <w:kern w:val="0"/>
                <w:sz w:val="24"/>
              </w:rPr>
            </w:pPr>
            <w:r w:rsidRPr="00F61A1B">
              <w:rPr>
                <w:rFonts w:asciiTheme="minorEastAsia" w:hAnsiTheme="minorEastAsia" w:hint="eastAsia"/>
                <w:color w:val="000000"/>
                <w:kern w:val="0"/>
                <w:sz w:val="24"/>
              </w:rPr>
              <w:t>富荣基金管理有限公司旗下全部基金2020年第4季度报告提示性公告</w:t>
            </w:r>
          </w:p>
        </w:tc>
        <w:tc>
          <w:tcPr>
            <w:tcW w:w="2410" w:type="dxa"/>
            <w:vAlign w:val="center"/>
          </w:tcPr>
          <w:p w14:paraId="33FC7ED8" w14:textId="77777777" w:rsidR="00AC1361" w:rsidRPr="00F61A1B" w:rsidRDefault="00AC1361" w:rsidP="00AF7038">
            <w:pPr>
              <w:rPr>
                <w:rFonts w:asciiTheme="minorEastAsia" w:hAnsiTheme="minorEastAsia"/>
                <w:color w:val="000000"/>
                <w:kern w:val="0"/>
                <w:sz w:val="24"/>
              </w:rPr>
            </w:pPr>
            <w:r w:rsidRPr="00F61A1B">
              <w:rPr>
                <w:rFonts w:asciiTheme="minorEastAsia" w:hAnsiTheme="minorEastAsia" w:hint="eastAsia"/>
                <w:color w:val="000000"/>
                <w:kern w:val="0"/>
                <w:sz w:val="24"/>
              </w:rPr>
              <w:t>2021年1月22日</w:t>
            </w:r>
          </w:p>
        </w:tc>
      </w:tr>
      <w:tr w:rsidR="00AC1361" w:rsidRPr="00F61A1B" w14:paraId="0128859E" w14:textId="77777777" w:rsidTr="00AF7038">
        <w:tc>
          <w:tcPr>
            <w:tcW w:w="993" w:type="dxa"/>
          </w:tcPr>
          <w:p w14:paraId="6C8B34D6" w14:textId="77777777" w:rsidR="00AC1361" w:rsidRPr="00F61A1B" w:rsidRDefault="00AC1361" w:rsidP="00AF7038">
            <w:pPr>
              <w:rPr>
                <w:rFonts w:asciiTheme="minorEastAsia" w:hAnsiTheme="minorEastAsia"/>
                <w:color w:val="000000"/>
                <w:kern w:val="0"/>
                <w:sz w:val="24"/>
              </w:rPr>
            </w:pPr>
            <w:r w:rsidRPr="00F61A1B">
              <w:rPr>
                <w:rFonts w:asciiTheme="minorEastAsia" w:hAnsiTheme="minorEastAsia"/>
                <w:color w:val="000000"/>
                <w:kern w:val="0"/>
                <w:sz w:val="24"/>
              </w:rPr>
              <w:t>18</w:t>
            </w:r>
          </w:p>
        </w:tc>
        <w:tc>
          <w:tcPr>
            <w:tcW w:w="5244" w:type="dxa"/>
            <w:vAlign w:val="bottom"/>
          </w:tcPr>
          <w:p w14:paraId="3376DD5E" w14:textId="77777777" w:rsidR="00AC1361" w:rsidRPr="00F61A1B" w:rsidRDefault="00AC1361" w:rsidP="00AF7038">
            <w:pPr>
              <w:rPr>
                <w:rFonts w:asciiTheme="minorEastAsia" w:hAnsiTheme="minorEastAsia"/>
                <w:color w:val="000000"/>
                <w:kern w:val="0"/>
                <w:sz w:val="24"/>
              </w:rPr>
            </w:pPr>
            <w:r w:rsidRPr="00F61A1B">
              <w:rPr>
                <w:rFonts w:asciiTheme="minorEastAsia" w:hAnsiTheme="minorEastAsia" w:hint="eastAsia"/>
                <w:color w:val="000000"/>
                <w:kern w:val="0"/>
                <w:sz w:val="24"/>
              </w:rPr>
              <w:t>富荣基金管理有限公司基金行业高级管理人员变更公告</w:t>
            </w:r>
          </w:p>
        </w:tc>
        <w:tc>
          <w:tcPr>
            <w:tcW w:w="2410" w:type="dxa"/>
            <w:vAlign w:val="center"/>
          </w:tcPr>
          <w:p w14:paraId="72174114" w14:textId="77777777" w:rsidR="00AC1361" w:rsidRPr="00F61A1B" w:rsidRDefault="00AC1361" w:rsidP="00AF7038">
            <w:pPr>
              <w:rPr>
                <w:rFonts w:asciiTheme="minorEastAsia" w:hAnsiTheme="minorEastAsia"/>
                <w:color w:val="000000"/>
                <w:kern w:val="0"/>
                <w:sz w:val="24"/>
              </w:rPr>
            </w:pPr>
            <w:r w:rsidRPr="00F61A1B">
              <w:rPr>
                <w:rFonts w:asciiTheme="minorEastAsia" w:hAnsiTheme="minorEastAsia" w:hint="eastAsia"/>
                <w:color w:val="000000"/>
                <w:kern w:val="0"/>
                <w:sz w:val="24"/>
              </w:rPr>
              <w:t>2021年3月20日</w:t>
            </w:r>
          </w:p>
        </w:tc>
      </w:tr>
      <w:tr w:rsidR="00AC1361" w:rsidRPr="00F61A1B" w14:paraId="172199CB" w14:textId="77777777" w:rsidTr="00AF7038">
        <w:tc>
          <w:tcPr>
            <w:tcW w:w="993" w:type="dxa"/>
          </w:tcPr>
          <w:p w14:paraId="0A9AC0DD" w14:textId="77777777" w:rsidR="00AC1361" w:rsidRPr="00F61A1B" w:rsidRDefault="00AC1361" w:rsidP="00AF7038">
            <w:pPr>
              <w:rPr>
                <w:rFonts w:asciiTheme="minorEastAsia" w:hAnsiTheme="minorEastAsia"/>
                <w:color w:val="000000"/>
                <w:kern w:val="0"/>
                <w:sz w:val="24"/>
              </w:rPr>
            </w:pPr>
            <w:r w:rsidRPr="00F61A1B">
              <w:rPr>
                <w:rFonts w:asciiTheme="minorEastAsia" w:hAnsiTheme="minorEastAsia"/>
                <w:color w:val="000000"/>
                <w:kern w:val="0"/>
                <w:sz w:val="24"/>
              </w:rPr>
              <w:t>19</w:t>
            </w:r>
          </w:p>
        </w:tc>
        <w:tc>
          <w:tcPr>
            <w:tcW w:w="5244" w:type="dxa"/>
            <w:vAlign w:val="bottom"/>
          </w:tcPr>
          <w:p w14:paraId="6DE5962E" w14:textId="77777777" w:rsidR="00AC1361" w:rsidRPr="00F61A1B" w:rsidRDefault="00AC1361" w:rsidP="00AF7038">
            <w:pPr>
              <w:rPr>
                <w:rFonts w:asciiTheme="minorEastAsia" w:hAnsiTheme="minorEastAsia"/>
                <w:color w:val="000000"/>
                <w:kern w:val="0"/>
                <w:sz w:val="24"/>
              </w:rPr>
            </w:pPr>
            <w:r w:rsidRPr="00F61A1B">
              <w:rPr>
                <w:rFonts w:asciiTheme="minorEastAsia" w:hAnsiTheme="minorEastAsia" w:hint="eastAsia"/>
                <w:color w:val="000000"/>
                <w:kern w:val="0"/>
                <w:sz w:val="24"/>
              </w:rPr>
              <w:t>富荣基金管理有限公司关于旗下部分基金根据《公开募集证券投资基金运作指引第</w:t>
            </w:r>
            <w:r w:rsidRPr="00F61A1B">
              <w:rPr>
                <w:rFonts w:asciiTheme="minorEastAsia" w:hAnsiTheme="minorEastAsia"/>
                <w:color w:val="000000"/>
                <w:kern w:val="0"/>
                <w:sz w:val="24"/>
              </w:rPr>
              <w:t>3</w:t>
            </w:r>
            <w:r w:rsidRPr="00F61A1B">
              <w:rPr>
                <w:rFonts w:asciiTheme="minorEastAsia" w:hAnsiTheme="minorEastAsia" w:hint="eastAsia"/>
                <w:color w:val="000000"/>
                <w:kern w:val="0"/>
                <w:sz w:val="24"/>
              </w:rPr>
              <w:t>号</w:t>
            </w:r>
            <w:r w:rsidRPr="00F61A1B">
              <w:rPr>
                <w:rFonts w:asciiTheme="minorEastAsia" w:hAnsiTheme="minorEastAsia"/>
                <w:color w:val="000000"/>
                <w:kern w:val="0"/>
                <w:sz w:val="24"/>
              </w:rPr>
              <w:t>-</w:t>
            </w:r>
            <w:r w:rsidRPr="00F61A1B">
              <w:rPr>
                <w:rFonts w:asciiTheme="minorEastAsia" w:hAnsiTheme="minorEastAsia" w:hint="eastAsia"/>
                <w:color w:val="000000"/>
                <w:kern w:val="0"/>
                <w:sz w:val="24"/>
              </w:rPr>
              <w:t>指数基金指引》修改基金合同部分条款的公告</w:t>
            </w:r>
          </w:p>
        </w:tc>
        <w:tc>
          <w:tcPr>
            <w:tcW w:w="2410" w:type="dxa"/>
            <w:vAlign w:val="center"/>
          </w:tcPr>
          <w:p w14:paraId="1BBF5B63" w14:textId="77777777" w:rsidR="00AC1361" w:rsidRPr="00F61A1B" w:rsidRDefault="00AC1361" w:rsidP="00AF7038">
            <w:pPr>
              <w:rPr>
                <w:rFonts w:asciiTheme="minorEastAsia" w:hAnsiTheme="minorEastAsia"/>
                <w:color w:val="000000"/>
                <w:kern w:val="0"/>
                <w:sz w:val="24"/>
              </w:rPr>
            </w:pPr>
            <w:r w:rsidRPr="00F61A1B">
              <w:rPr>
                <w:rFonts w:asciiTheme="minorEastAsia" w:hAnsiTheme="minorEastAsia" w:hint="eastAsia"/>
                <w:color w:val="000000"/>
                <w:kern w:val="0"/>
                <w:sz w:val="24"/>
              </w:rPr>
              <w:t>2021年3月29日</w:t>
            </w:r>
          </w:p>
        </w:tc>
      </w:tr>
      <w:tr w:rsidR="00AC1361" w:rsidRPr="00F61A1B" w14:paraId="5D093E8A" w14:textId="77777777" w:rsidTr="00AF7038">
        <w:tc>
          <w:tcPr>
            <w:tcW w:w="993" w:type="dxa"/>
          </w:tcPr>
          <w:p w14:paraId="7F15B664" w14:textId="77777777" w:rsidR="00AC1361" w:rsidRPr="00F61A1B" w:rsidRDefault="00AC1361" w:rsidP="00AF7038">
            <w:pPr>
              <w:rPr>
                <w:rFonts w:asciiTheme="minorEastAsia" w:hAnsiTheme="minorEastAsia"/>
                <w:color w:val="000000"/>
                <w:kern w:val="0"/>
                <w:sz w:val="24"/>
              </w:rPr>
            </w:pPr>
            <w:r w:rsidRPr="00F61A1B">
              <w:rPr>
                <w:rFonts w:asciiTheme="minorEastAsia" w:hAnsiTheme="minorEastAsia"/>
                <w:color w:val="000000"/>
                <w:kern w:val="0"/>
                <w:sz w:val="24"/>
              </w:rPr>
              <w:t>20</w:t>
            </w:r>
          </w:p>
        </w:tc>
        <w:tc>
          <w:tcPr>
            <w:tcW w:w="5244" w:type="dxa"/>
            <w:vAlign w:val="bottom"/>
          </w:tcPr>
          <w:p w14:paraId="7F031CA0" w14:textId="77777777" w:rsidR="00AC1361" w:rsidRPr="00F61A1B" w:rsidRDefault="00AC1361" w:rsidP="00AF7038">
            <w:pPr>
              <w:rPr>
                <w:rFonts w:asciiTheme="minorEastAsia" w:hAnsiTheme="minorEastAsia"/>
                <w:color w:val="000000"/>
                <w:kern w:val="0"/>
                <w:sz w:val="24"/>
              </w:rPr>
            </w:pPr>
            <w:r w:rsidRPr="00F61A1B">
              <w:rPr>
                <w:rFonts w:asciiTheme="minorEastAsia" w:hAnsiTheme="minorEastAsia" w:hint="eastAsia"/>
                <w:color w:val="000000"/>
                <w:kern w:val="0"/>
                <w:sz w:val="24"/>
              </w:rPr>
              <w:t>富荣基金管理有限公司旗下全部基金2020年年度报告提示性公告</w:t>
            </w:r>
          </w:p>
        </w:tc>
        <w:tc>
          <w:tcPr>
            <w:tcW w:w="2410" w:type="dxa"/>
            <w:vAlign w:val="center"/>
          </w:tcPr>
          <w:p w14:paraId="356E2188" w14:textId="77777777" w:rsidR="00AC1361" w:rsidRPr="00F61A1B" w:rsidRDefault="00AC1361" w:rsidP="00AF7038">
            <w:pPr>
              <w:rPr>
                <w:rFonts w:asciiTheme="minorEastAsia" w:hAnsiTheme="minorEastAsia"/>
                <w:color w:val="000000"/>
                <w:kern w:val="0"/>
                <w:sz w:val="24"/>
              </w:rPr>
            </w:pPr>
            <w:r w:rsidRPr="00F61A1B">
              <w:rPr>
                <w:rFonts w:asciiTheme="minorEastAsia" w:hAnsiTheme="minorEastAsia" w:hint="eastAsia"/>
                <w:color w:val="000000"/>
                <w:kern w:val="0"/>
                <w:sz w:val="24"/>
              </w:rPr>
              <w:t>2021年3月31日</w:t>
            </w:r>
          </w:p>
        </w:tc>
      </w:tr>
      <w:tr w:rsidR="00AC1361" w:rsidRPr="00F61A1B" w14:paraId="06A33E22" w14:textId="77777777" w:rsidTr="00AF7038">
        <w:tc>
          <w:tcPr>
            <w:tcW w:w="993" w:type="dxa"/>
          </w:tcPr>
          <w:p w14:paraId="46B10FB2" w14:textId="77777777" w:rsidR="00AC1361" w:rsidRPr="00F61A1B" w:rsidRDefault="00AC1361" w:rsidP="00AF7038">
            <w:pPr>
              <w:rPr>
                <w:rFonts w:asciiTheme="minorEastAsia" w:hAnsiTheme="minorEastAsia"/>
                <w:color w:val="000000"/>
                <w:kern w:val="0"/>
                <w:sz w:val="24"/>
              </w:rPr>
            </w:pPr>
            <w:r w:rsidRPr="00F61A1B">
              <w:rPr>
                <w:rFonts w:asciiTheme="minorEastAsia" w:hAnsiTheme="minorEastAsia"/>
                <w:color w:val="000000"/>
                <w:kern w:val="0"/>
                <w:sz w:val="24"/>
              </w:rPr>
              <w:t>21</w:t>
            </w:r>
          </w:p>
        </w:tc>
        <w:tc>
          <w:tcPr>
            <w:tcW w:w="5244" w:type="dxa"/>
            <w:vAlign w:val="bottom"/>
          </w:tcPr>
          <w:p w14:paraId="11B3F828" w14:textId="77777777" w:rsidR="00AC1361" w:rsidRPr="00F61A1B" w:rsidRDefault="00AC1361" w:rsidP="00AF7038">
            <w:pPr>
              <w:rPr>
                <w:rFonts w:asciiTheme="minorEastAsia" w:hAnsiTheme="minorEastAsia"/>
                <w:color w:val="000000"/>
                <w:kern w:val="0"/>
                <w:sz w:val="24"/>
              </w:rPr>
            </w:pPr>
            <w:r w:rsidRPr="00F61A1B">
              <w:rPr>
                <w:rFonts w:asciiTheme="minorEastAsia" w:hAnsiTheme="minorEastAsia" w:hint="eastAsia"/>
                <w:color w:val="000000"/>
                <w:kern w:val="0"/>
                <w:sz w:val="24"/>
              </w:rPr>
              <w:t>关于富荣沪深300指数增强型证券投资基金恢复大额申购、大额转换转入和大额定期定额投资业务的公告</w:t>
            </w:r>
          </w:p>
        </w:tc>
        <w:tc>
          <w:tcPr>
            <w:tcW w:w="2410" w:type="dxa"/>
            <w:vAlign w:val="center"/>
          </w:tcPr>
          <w:p w14:paraId="4043DDDD" w14:textId="77777777" w:rsidR="00AC1361" w:rsidRPr="00F61A1B" w:rsidRDefault="00AC1361" w:rsidP="00AF7038">
            <w:pPr>
              <w:rPr>
                <w:rFonts w:asciiTheme="minorEastAsia" w:hAnsiTheme="minorEastAsia"/>
                <w:color w:val="000000"/>
                <w:kern w:val="0"/>
                <w:sz w:val="24"/>
              </w:rPr>
            </w:pPr>
            <w:r w:rsidRPr="00F61A1B">
              <w:rPr>
                <w:rFonts w:asciiTheme="minorEastAsia" w:hAnsiTheme="minorEastAsia" w:hint="eastAsia"/>
                <w:color w:val="000000"/>
                <w:kern w:val="0"/>
                <w:sz w:val="24"/>
              </w:rPr>
              <w:t>2021年4月14日</w:t>
            </w:r>
          </w:p>
        </w:tc>
      </w:tr>
      <w:tr w:rsidR="00AC1361" w:rsidRPr="00F61A1B" w14:paraId="65AEB310" w14:textId="77777777" w:rsidTr="00AF7038">
        <w:tc>
          <w:tcPr>
            <w:tcW w:w="993" w:type="dxa"/>
          </w:tcPr>
          <w:p w14:paraId="3F933F78" w14:textId="77777777" w:rsidR="00AC1361" w:rsidRPr="00F61A1B" w:rsidRDefault="00AC1361" w:rsidP="00AF7038">
            <w:pPr>
              <w:rPr>
                <w:rFonts w:asciiTheme="minorEastAsia" w:hAnsiTheme="minorEastAsia"/>
                <w:color w:val="000000"/>
                <w:kern w:val="0"/>
                <w:sz w:val="24"/>
              </w:rPr>
            </w:pPr>
            <w:r w:rsidRPr="00F61A1B">
              <w:rPr>
                <w:rFonts w:asciiTheme="minorEastAsia" w:hAnsiTheme="minorEastAsia"/>
                <w:color w:val="000000"/>
                <w:kern w:val="0"/>
                <w:sz w:val="24"/>
              </w:rPr>
              <w:t>22</w:t>
            </w:r>
          </w:p>
        </w:tc>
        <w:tc>
          <w:tcPr>
            <w:tcW w:w="5244" w:type="dxa"/>
            <w:vAlign w:val="bottom"/>
          </w:tcPr>
          <w:p w14:paraId="0EF6C360" w14:textId="77777777" w:rsidR="00AC1361" w:rsidRPr="00F61A1B" w:rsidRDefault="00AC1361" w:rsidP="00AF7038">
            <w:pPr>
              <w:rPr>
                <w:rFonts w:asciiTheme="minorEastAsia" w:hAnsiTheme="minorEastAsia"/>
                <w:color w:val="000000"/>
                <w:kern w:val="0"/>
                <w:sz w:val="24"/>
              </w:rPr>
            </w:pPr>
            <w:r w:rsidRPr="00F61A1B">
              <w:rPr>
                <w:rFonts w:asciiTheme="minorEastAsia" w:hAnsiTheme="minorEastAsia" w:hint="eastAsia"/>
                <w:color w:val="000000"/>
                <w:kern w:val="0"/>
                <w:sz w:val="24"/>
              </w:rPr>
              <w:t>富荣基金管理有限公司关于调整旗下部分基金投资范围、增加侧袋机制并相应修改法律文件的公告</w:t>
            </w:r>
          </w:p>
        </w:tc>
        <w:tc>
          <w:tcPr>
            <w:tcW w:w="2410" w:type="dxa"/>
            <w:vAlign w:val="center"/>
          </w:tcPr>
          <w:p w14:paraId="2BB1F91E" w14:textId="77777777" w:rsidR="00AC1361" w:rsidRPr="00F61A1B" w:rsidRDefault="00AC1361" w:rsidP="00AF7038">
            <w:pPr>
              <w:rPr>
                <w:rFonts w:asciiTheme="minorEastAsia" w:hAnsiTheme="minorEastAsia"/>
                <w:color w:val="000000"/>
                <w:kern w:val="0"/>
                <w:sz w:val="24"/>
              </w:rPr>
            </w:pPr>
            <w:r w:rsidRPr="00F61A1B">
              <w:rPr>
                <w:rFonts w:asciiTheme="minorEastAsia" w:hAnsiTheme="minorEastAsia" w:hint="eastAsia"/>
                <w:color w:val="000000"/>
                <w:kern w:val="0"/>
                <w:sz w:val="24"/>
              </w:rPr>
              <w:t>2021年4月19日</w:t>
            </w:r>
          </w:p>
        </w:tc>
      </w:tr>
      <w:tr w:rsidR="00AC1361" w:rsidRPr="00F61A1B" w14:paraId="0F48B183" w14:textId="77777777" w:rsidTr="00AF7038">
        <w:tc>
          <w:tcPr>
            <w:tcW w:w="993" w:type="dxa"/>
          </w:tcPr>
          <w:p w14:paraId="7A184B5E" w14:textId="77777777" w:rsidR="00AC1361" w:rsidRPr="00F61A1B" w:rsidRDefault="00AC1361" w:rsidP="00AF7038">
            <w:pPr>
              <w:rPr>
                <w:rFonts w:asciiTheme="minorEastAsia" w:hAnsiTheme="minorEastAsia"/>
                <w:color w:val="000000"/>
                <w:kern w:val="0"/>
                <w:sz w:val="24"/>
              </w:rPr>
            </w:pPr>
            <w:r w:rsidRPr="00F61A1B">
              <w:rPr>
                <w:rFonts w:asciiTheme="minorEastAsia" w:hAnsiTheme="minorEastAsia"/>
                <w:color w:val="000000"/>
                <w:kern w:val="0"/>
                <w:sz w:val="24"/>
              </w:rPr>
              <w:t>23</w:t>
            </w:r>
          </w:p>
        </w:tc>
        <w:tc>
          <w:tcPr>
            <w:tcW w:w="5244" w:type="dxa"/>
            <w:vAlign w:val="bottom"/>
          </w:tcPr>
          <w:p w14:paraId="11105E32" w14:textId="77777777" w:rsidR="00AC1361" w:rsidRPr="00F61A1B" w:rsidRDefault="00AC1361" w:rsidP="00AF7038">
            <w:pPr>
              <w:rPr>
                <w:rFonts w:asciiTheme="minorEastAsia" w:hAnsiTheme="minorEastAsia"/>
                <w:color w:val="000000"/>
                <w:kern w:val="0"/>
                <w:sz w:val="24"/>
              </w:rPr>
            </w:pPr>
            <w:r w:rsidRPr="00F61A1B">
              <w:rPr>
                <w:rFonts w:asciiTheme="minorEastAsia" w:hAnsiTheme="minorEastAsia" w:hint="eastAsia"/>
                <w:color w:val="000000"/>
                <w:kern w:val="0"/>
                <w:sz w:val="24"/>
              </w:rPr>
              <w:t>富荣基金管理有限公司旗下全部基金2021年第1季度报告提示性公告</w:t>
            </w:r>
          </w:p>
        </w:tc>
        <w:tc>
          <w:tcPr>
            <w:tcW w:w="2410" w:type="dxa"/>
            <w:vAlign w:val="center"/>
          </w:tcPr>
          <w:p w14:paraId="3BFA602F" w14:textId="77777777" w:rsidR="00AC1361" w:rsidRPr="00F61A1B" w:rsidRDefault="00AC1361" w:rsidP="00AF7038">
            <w:pPr>
              <w:rPr>
                <w:rFonts w:asciiTheme="minorEastAsia" w:hAnsiTheme="minorEastAsia"/>
                <w:color w:val="000000"/>
                <w:kern w:val="0"/>
                <w:sz w:val="24"/>
              </w:rPr>
            </w:pPr>
            <w:r w:rsidRPr="00F61A1B">
              <w:rPr>
                <w:rFonts w:asciiTheme="minorEastAsia" w:hAnsiTheme="minorEastAsia" w:hint="eastAsia"/>
                <w:color w:val="000000"/>
                <w:kern w:val="0"/>
                <w:sz w:val="24"/>
              </w:rPr>
              <w:t>2021年4月22日</w:t>
            </w:r>
          </w:p>
        </w:tc>
      </w:tr>
      <w:tr w:rsidR="00AC1361" w:rsidRPr="00F61A1B" w14:paraId="2F8312FC" w14:textId="77777777" w:rsidTr="00AF7038">
        <w:tc>
          <w:tcPr>
            <w:tcW w:w="993" w:type="dxa"/>
          </w:tcPr>
          <w:p w14:paraId="72CE982C" w14:textId="77777777" w:rsidR="00AC1361" w:rsidRPr="00F61A1B" w:rsidRDefault="00AC1361" w:rsidP="00AF7038">
            <w:pPr>
              <w:rPr>
                <w:rFonts w:asciiTheme="minorEastAsia" w:hAnsiTheme="minorEastAsia"/>
                <w:color w:val="000000"/>
                <w:kern w:val="0"/>
                <w:sz w:val="24"/>
              </w:rPr>
            </w:pPr>
            <w:r w:rsidRPr="00F61A1B">
              <w:rPr>
                <w:rFonts w:asciiTheme="minorEastAsia" w:hAnsiTheme="minorEastAsia"/>
                <w:color w:val="000000"/>
                <w:kern w:val="0"/>
                <w:sz w:val="24"/>
              </w:rPr>
              <w:t>24</w:t>
            </w:r>
          </w:p>
        </w:tc>
        <w:tc>
          <w:tcPr>
            <w:tcW w:w="5244" w:type="dxa"/>
            <w:vAlign w:val="bottom"/>
          </w:tcPr>
          <w:p w14:paraId="7AB0C8EA" w14:textId="77777777" w:rsidR="00AC1361" w:rsidRPr="00F61A1B" w:rsidRDefault="00AC1361" w:rsidP="00AF7038">
            <w:pPr>
              <w:rPr>
                <w:rFonts w:asciiTheme="minorEastAsia" w:hAnsiTheme="minorEastAsia"/>
                <w:color w:val="000000"/>
                <w:kern w:val="0"/>
                <w:sz w:val="24"/>
              </w:rPr>
            </w:pPr>
            <w:r w:rsidRPr="00F61A1B">
              <w:rPr>
                <w:rFonts w:asciiTheme="minorEastAsia" w:hAnsiTheme="minorEastAsia" w:hint="eastAsia"/>
                <w:color w:val="000000"/>
                <w:kern w:val="0"/>
                <w:sz w:val="24"/>
              </w:rPr>
              <w:t>富荣基金管理有限公司关于提醒投资者防范不法分子假冒本公司名义从事诈骗活动的公告</w:t>
            </w:r>
          </w:p>
        </w:tc>
        <w:tc>
          <w:tcPr>
            <w:tcW w:w="2410" w:type="dxa"/>
            <w:vAlign w:val="center"/>
          </w:tcPr>
          <w:p w14:paraId="6B18BFCD" w14:textId="77777777" w:rsidR="00AC1361" w:rsidRPr="00F61A1B" w:rsidRDefault="00AC1361" w:rsidP="00AF7038">
            <w:pPr>
              <w:rPr>
                <w:rFonts w:asciiTheme="minorEastAsia" w:hAnsiTheme="minorEastAsia"/>
                <w:color w:val="000000"/>
                <w:kern w:val="0"/>
                <w:sz w:val="24"/>
              </w:rPr>
            </w:pPr>
            <w:r w:rsidRPr="00F61A1B">
              <w:rPr>
                <w:rFonts w:asciiTheme="minorEastAsia" w:hAnsiTheme="minorEastAsia" w:hint="eastAsia"/>
                <w:color w:val="000000"/>
                <w:kern w:val="0"/>
                <w:sz w:val="24"/>
              </w:rPr>
              <w:t>2021年5月6日</w:t>
            </w:r>
          </w:p>
        </w:tc>
      </w:tr>
      <w:tr w:rsidR="00AC1361" w:rsidRPr="00F61A1B" w14:paraId="310B3B69" w14:textId="77777777" w:rsidTr="00AF7038">
        <w:tc>
          <w:tcPr>
            <w:tcW w:w="993" w:type="dxa"/>
          </w:tcPr>
          <w:p w14:paraId="527C1C98" w14:textId="77777777" w:rsidR="00AC1361" w:rsidRPr="00F61A1B" w:rsidRDefault="00AC1361" w:rsidP="00AF7038">
            <w:pPr>
              <w:rPr>
                <w:rFonts w:asciiTheme="minorEastAsia" w:hAnsiTheme="minorEastAsia"/>
                <w:color w:val="000000"/>
                <w:kern w:val="0"/>
                <w:sz w:val="24"/>
              </w:rPr>
            </w:pPr>
            <w:r w:rsidRPr="00F61A1B">
              <w:rPr>
                <w:rFonts w:asciiTheme="minorEastAsia" w:hAnsiTheme="minorEastAsia"/>
                <w:color w:val="000000"/>
                <w:kern w:val="0"/>
                <w:sz w:val="24"/>
              </w:rPr>
              <w:t>25</w:t>
            </w:r>
          </w:p>
        </w:tc>
        <w:tc>
          <w:tcPr>
            <w:tcW w:w="5244" w:type="dxa"/>
            <w:vAlign w:val="bottom"/>
          </w:tcPr>
          <w:p w14:paraId="7E61E542" w14:textId="77777777" w:rsidR="00AC1361" w:rsidRPr="00F61A1B" w:rsidRDefault="00AC1361" w:rsidP="00AF7038">
            <w:pPr>
              <w:rPr>
                <w:rFonts w:asciiTheme="minorEastAsia" w:hAnsiTheme="minorEastAsia"/>
                <w:color w:val="000000"/>
                <w:kern w:val="0"/>
                <w:sz w:val="24"/>
              </w:rPr>
            </w:pPr>
            <w:r w:rsidRPr="00F61A1B">
              <w:rPr>
                <w:rFonts w:asciiTheme="minorEastAsia" w:hAnsiTheme="minorEastAsia" w:hint="eastAsia"/>
                <w:color w:val="000000"/>
                <w:kern w:val="0"/>
                <w:sz w:val="24"/>
              </w:rPr>
              <w:t>富荣基金管理有限公司关于旗下部分基金新增财咨道信息技术有限公司为销售机构并开通基金定期定额投资业务和基金转换业务的公告</w:t>
            </w:r>
          </w:p>
        </w:tc>
        <w:tc>
          <w:tcPr>
            <w:tcW w:w="2410" w:type="dxa"/>
            <w:vAlign w:val="center"/>
          </w:tcPr>
          <w:p w14:paraId="0CA5005A" w14:textId="77777777" w:rsidR="00AC1361" w:rsidRPr="00F61A1B" w:rsidRDefault="00AC1361" w:rsidP="00AF7038">
            <w:pPr>
              <w:rPr>
                <w:rFonts w:asciiTheme="minorEastAsia" w:hAnsiTheme="minorEastAsia"/>
                <w:color w:val="000000"/>
                <w:kern w:val="0"/>
                <w:sz w:val="24"/>
              </w:rPr>
            </w:pPr>
            <w:r w:rsidRPr="00F61A1B">
              <w:rPr>
                <w:rFonts w:asciiTheme="minorEastAsia" w:hAnsiTheme="minorEastAsia" w:hint="eastAsia"/>
                <w:color w:val="000000"/>
                <w:kern w:val="0"/>
                <w:sz w:val="24"/>
              </w:rPr>
              <w:t>2021年5月26日</w:t>
            </w:r>
          </w:p>
        </w:tc>
      </w:tr>
      <w:tr w:rsidR="00AC1361" w:rsidRPr="00F61A1B" w14:paraId="489687F8" w14:textId="77777777" w:rsidTr="00AF7038">
        <w:tc>
          <w:tcPr>
            <w:tcW w:w="993" w:type="dxa"/>
          </w:tcPr>
          <w:p w14:paraId="16F30643" w14:textId="77777777" w:rsidR="00AC1361" w:rsidRPr="00F61A1B" w:rsidRDefault="00AC1361" w:rsidP="00AF7038">
            <w:pPr>
              <w:rPr>
                <w:rFonts w:asciiTheme="minorEastAsia" w:hAnsiTheme="minorEastAsia"/>
                <w:color w:val="000000"/>
                <w:kern w:val="0"/>
                <w:sz w:val="24"/>
              </w:rPr>
            </w:pPr>
            <w:r w:rsidRPr="00F61A1B">
              <w:rPr>
                <w:rFonts w:asciiTheme="minorEastAsia" w:hAnsiTheme="minorEastAsia"/>
                <w:color w:val="000000"/>
                <w:kern w:val="0"/>
                <w:sz w:val="24"/>
              </w:rPr>
              <w:t>26</w:t>
            </w:r>
          </w:p>
        </w:tc>
        <w:tc>
          <w:tcPr>
            <w:tcW w:w="5244" w:type="dxa"/>
            <w:vAlign w:val="bottom"/>
          </w:tcPr>
          <w:p w14:paraId="0443E706" w14:textId="77777777" w:rsidR="00AC1361" w:rsidRPr="00F61A1B" w:rsidRDefault="00AC1361" w:rsidP="00AF7038">
            <w:pPr>
              <w:rPr>
                <w:rFonts w:asciiTheme="minorEastAsia" w:hAnsiTheme="minorEastAsia"/>
                <w:color w:val="000000"/>
                <w:kern w:val="0"/>
                <w:sz w:val="24"/>
              </w:rPr>
            </w:pPr>
            <w:r w:rsidRPr="00F61A1B">
              <w:rPr>
                <w:rFonts w:asciiTheme="minorEastAsia" w:hAnsiTheme="minorEastAsia" w:hint="eastAsia"/>
                <w:color w:val="000000"/>
                <w:kern w:val="0"/>
                <w:sz w:val="24"/>
              </w:rPr>
              <w:t>富荣基金管理有限公司关于旗下部分基金参加财咨道信息技术有限公司基金申购及定期定额投资申购费率优惠活动的公告</w:t>
            </w:r>
          </w:p>
        </w:tc>
        <w:tc>
          <w:tcPr>
            <w:tcW w:w="2410" w:type="dxa"/>
            <w:vAlign w:val="center"/>
          </w:tcPr>
          <w:p w14:paraId="3C028AE0" w14:textId="77777777" w:rsidR="00AC1361" w:rsidRPr="00F61A1B" w:rsidRDefault="00AC1361" w:rsidP="00AF7038">
            <w:pPr>
              <w:rPr>
                <w:rFonts w:asciiTheme="minorEastAsia" w:hAnsiTheme="minorEastAsia"/>
                <w:color w:val="000000"/>
                <w:kern w:val="0"/>
                <w:sz w:val="24"/>
              </w:rPr>
            </w:pPr>
            <w:r w:rsidRPr="00F61A1B">
              <w:rPr>
                <w:rFonts w:asciiTheme="minorEastAsia" w:hAnsiTheme="minorEastAsia" w:hint="eastAsia"/>
                <w:color w:val="000000"/>
                <w:kern w:val="0"/>
                <w:sz w:val="24"/>
              </w:rPr>
              <w:t>2021年5月26日</w:t>
            </w:r>
          </w:p>
        </w:tc>
      </w:tr>
      <w:tr w:rsidR="00AC1361" w:rsidRPr="00F61A1B" w14:paraId="1073D5C6" w14:textId="77777777" w:rsidTr="00AF7038">
        <w:tc>
          <w:tcPr>
            <w:tcW w:w="993" w:type="dxa"/>
          </w:tcPr>
          <w:p w14:paraId="51EB11B4" w14:textId="77777777" w:rsidR="00AC1361" w:rsidRPr="00F61A1B" w:rsidRDefault="00AC1361" w:rsidP="00AF7038">
            <w:pPr>
              <w:rPr>
                <w:rFonts w:asciiTheme="minorEastAsia" w:hAnsiTheme="minorEastAsia"/>
                <w:color w:val="000000"/>
                <w:kern w:val="0"/>
                <w:sz w:val="24"/>
              </w:rPr>
            </w:pPr>
            <w:r w:rsidRPr="00F61A1B">
              <w:rPr>
                <w:rFonts w:asciiTheme="minorEastAsia" w:hAnsiTheme="minorEastAsia"/>
                <w:color w:val="000000"/>
                <w:kern w:val="0"/>
                <w:sz w:val="24"/>
              </w:rPr>
              <w:t>27</w:t>
            </w:r>
          </w:p>
        </w:tc>
        <w:tc>
          <w:tcPr>
            <w:tcW w:w="5244" w:type="dxa"/>
            <w:vAlign w:val="bottom"/>
          </w:tcPr>
          <w:p w14:paraId="421313B6" w14:textId="77777777" w:rsidR="00AC1361" w:rsidRPr="00F61A1B" w:rsidRDefault="00AC1361" w:rsidP="00AF7038">
            <w:pPr>
              <w:rPr>
                <w:rFonts w:asciiTheme="minorEastAsia" w:hAnsiTheme="minorEastAsia"/>
                <w:color w:val="000000"/>
                <w:kern w:val="0"/>
                <w:sz w:val="24"/>
              </w:rPr>
            </w:pPr>
            <w:r w:rsidRPr="00F61A1B">
              <w:rPr>
                <w:rFonts w:asciiTheme="minorEastAsia" w:hAnsiTheme="minorEastAsia" w:hint="eastAsia"/>
                <w:color w:val="000000"/>
                <w:kern w:val="0"/>
                <w:sz w:val="24"/>
              </w:rPr>
              <w:t>富荣基金管理有限公司基金行业高级管理人员变更公告</w:t>
            </w:r>
          </w:p>
        </w:tc>
        <w:tc>
          <w:tcPr>
            <w:tcW w:w="2410" w:type="dxa"/>
            <w:vAlign w:val="center"/>
          </w:tcPr>
          <w:p w14:paraId="70E8077A" w14:textId="77777777" w:rsidR="00AC1361" w:rsidRPr="00F61A1B" w:rsidRDefault="00AC1361" w:rsidP="00AF7038">
            <w:pPr>
              <w:rPr>
                <w:rFonts w:asciiTheme="minorEastAsia" w:hAnsiTheme="minorEastAsia"/>
                <w:color w:val="000000"/>
                <w:kern w:val="0"/>
                <w:sz w:val="24"/>
              </w:rPr>
            </w:pPr>
            <w:r w:rsidRPr="00F61A1B">
              <w:rPr>
                <w:rFonts w:asciiTheme="minorEastAsia" w:hAnsiTheme="minorEastAsia" w:hint="eastAsia"/>
                <w:color w:val="000000"/>
                <w:kern w:val="0"/>
                <w:sz w:val="24"/>
              </w:rPr>
              <w:t>2021年6月24日</w:t>
            </w:r>
          </w:p>
        </w:tc>
      </w:tr>
      <w:tr w:rsidR="00AC1361" w:rsidRPr="00F61A1B" w14:paraId="36E4765F" w14:textId="77777777" w:rsidTr="00AF7038">
        <w:tc>
          <w:tcPr>
            <w:tcW w:w="993" w:type="dxa"/>
          </w:tcPr>
          <w:p w14:paraId="46DCC98C" w14:textId="77777777" w:rsidR="00AC1361" w:rsidRPr="00F61A1B" w:rsidRDefault="00AC1361" w:rsidP="00AF7038">
            <w:pPr>
              <w:rPr>
                <w:rFonts w:asciiTheme="minorEastAsia" w:hAnsiTheme="minorEastAsia"/>
                <w:color w:val="000000"/>
                <w:kern w:val="0"/>
                <w:sz w:val="24"/>
              </w:rPr>
            </w:pPr>
            <w:r w:rsidRPr="00F61A1B">
              <w:rPr>
                <w:rFonts w:asciiTheme="minorEastAsia" w:hAnsiTheme="minorEastAsia"/>
                <w:color w:val="000000"/>
                <w:kern w:val="0"/>
                <w:sz w:val="24"/>
              </w:rPr>
              <w:t>28</w:t>
            </w:r>
          </w:p>
        </w:tc>
        <w:tc>
          <w:tcPr>
            <w:tcW w:w="5244" w:type="dxa"/>
            <w:vAlign w:val="bottom"/>
          </w:tcPr>
          <w:p w14:paraId="1F2CD7AD" w14:textId="77777777" w:rsidR="00AC1361" w:rsidRPr="00F61A1B" w:rsidRDefault="00AC1361" w:rsidP="00AF7038">
            <w:pPr>
              <w:rPr>
                <w:rFonts w:asciiTheme="minorEastAsia" w:hAnsiTheme="minorEastAsia"/>
                <w:color w:val="000000"/>
                <w:kern w:val="0"/>
                <w:sz w:val="24"/>
              </w:rPr>
            </w:pPr>
            <w:r w:rsidRPr="00F61A1B">
              <w:rPr>
                <w:rFonts w:asciiTheme="minorEastAsia" w:hAnsiTheme="minorEastAsia" w:hint="eastAsia"/>
                <w:color w:val="000000"/>
                <w:kern w:val="0"/>
                <w:sz w:val="24"/>
              </w:rPr>
              <w:t>富荣基金管理有限公司关于旗下部分基金新增北京度小满基金销售有限公司为销售机构并开通基金定期定额投资业务和基金转换业务的公告</w:t>
            </w:r>
          </w:p>
        </w:tc>
        <w:tc>
          <w:tcPr>
            <w:tcW w:w="2410" w:type="dxa"/>
            <w:vAlign w:val="center"/>
          </w:tcPr>
          <w:p w14:paraId="165ADD32" w14:textId="77777777" w:rsidR="00AC1361" w:rsidRPr="00F61A1B" w:rsidRDefault="00AC1361" w:rsidP="00AF7038">
            <w:pPr>
              <w:rPr>
                <w:rFonts w:asciiTheme="minorEastAsia" w:hAnsiTheme="minorEastAsia"/>
                <w:color w:val="000000"/>
                <w:kern w:val="0"/>
                <w:sz w:val="24"/>
              </w:rPr>
            </w:pPr>
            <w:r w:rsidRPr="00F61A1B">
              <w:rPr>
                <w:rFonts w:asciiTheme="minorEastAsia" w:hAnsiTheme="minorEastAsia" w:hint="eastAsia"/>
                <w:color w:val="000000"/>
                <w:kern w:val="0"/>
                <w:sz w:val="24"/>
              </w:rPr>
              <w:t>2021年6月29日</w:t>
            </w:r>
          </w:p>
        </w:tc>
      </w:tr>
      <w:tr w:rsidR="00AC1361" w:rsidRPr="00F61A1B" w14:paraId="6AE4768E" w14:textId="77777777" w:rsidTr="00AF7038">
        <w:tc>
          <w:tcPr>
            <w:tcW w:w="993" w:type="dxa"/>
          </w:tcPr>
          <w:p w14:paraId="759DDE9E" w14:textId="77777777" w:rsidR="00AC1361" w:rsidRPr="00F61A1B" w:rsidRDefault="00AC1361" w:rsidP="00AF7038">
            <w:pPr>
              <w:rPr>
                <w:rFonts w:asciiTheme="minorEastAsia" w:hAnsiTheme="minorEastAsia"/>
                <w:color w:val="000000"/>
                <w:kern w:val="0"/>
                <w:sz w:val="24"/>
              </w:rPr>
            </w:pPr>
            <w:r w:rsidRPr="00F61A1B">
              <w:rPr>
                <w:rFonts w:asciiTheme="minorEastAsia" w:hAnsiTheme="minorEastAsia"/>
                <w:color w:val="000000"/>
                <w:kern w:val="0"/>
                <w:sz w:val="24"/>
              </w:rPr>
              <w:t>29</w:t>
            </w:r>
          </w:p>
        </w:tc>
        <w:tc>
          <w:tcPr>
            <w:tcW w:w="5244" w:type="dxa"/>
            <w:vAlign w:val="bottom"/>
          </w:tcPr>
          <w:p w14:paraId="447257DF" w14:textId="77777777" w:rsidR="00AC1361" w:rsidRPr="00F61A1B" w:rsidRDefault="00AC1361" w:rsidP="00AF7038">
            <w:pPr>
              <w:rPr>
                <w:rFonts w:asciiTheme="minorEastAsia" w:hAnsiTheme="minorEastAsia"/>
                <w:color w:val="000000"/>
                <w:kern w:val="0"/>
                <w:sz w:val="24"/>
              </w:rPr>
            </w:pPr>
            <w:r w:rsidRPr="00F61A1B">
              <w:rPr>
                <w:rFonts w:asciiTheme="minorEastAsia" w:hAnsiTheme="minorEastAsia" w:hint="eastAsia"/>
                <w:color w:val="000000"/>
                <w:kern w:val="0"/>
                <w:sz w:val="24"/>
              </w:rPr>
              <w:t>富荣基金管理有限公司关于旗下部分基金参加北京度小满基金销售有限公司基金申购及定期定额投资申购费率优惠活动的公告</w:t>
            </w:r>
          </w:p>
        </w:tc>
        <w:tc>
          <w:tcPr>
            <w:tcW w:w="2410" w:type="dxa"/>
            <w:vAlign w:val="center"/>
          </w:tcPr>
          <w:p w14:paraId="71A1E53E" w14:textId="77777777" w:rsidR="00AC1361" w:rsidRPr="00F61A1B" w:rsidRDefault="00AC1361" w:rsidP="00AF7038">
            <w:pPr>
              <w:rPr>
                <w:rFonts w:asciiTheme="minorEastAsia" w:hAnsiTheme="minorEastAsia"/>
                <w:color w:val="000000"/>
                <w:kern w:val="0"/>
                <w:sz w:val="24"/>
              </w:rPr>
            </w:pPr>
            <w:r w:rsidRPr="00F61A1B">
              <w:rPr>
                <w:rFonts w:asciiTheme="minorEastAsia" w:hAnsiTheme="minorEastAsia" w:hint="eastAsia"/>
                <w:color w:val="000000"/>
                <w:kern w:val="0"/>
                <w:sz w:val="24"/>
              </w:rPr>
              <w:t>2021年6月29日</w:t>
            </w:r>
          </w:p>
        </w:tc>
      </w:tr>
    </w:tbl>
    <w:p w14:paraId="0A037889" w14:textId="77777777" w:rsidR="003568C2" w:rsidRDefault="003568C2"/>
    <w:p w14:paraId="4233DBCA" w14:textId="77777777" w:rsidR="003568C2" w:rsidRDefault="003568C2"/>
    <w:p w14:paraId="5A839AD0" w14:textId="77777777" w:rsidR="003568C2" w:rsidRDefault="003568C2"/>
    <w:p w14:paraId="05D713E1" w14:textId="77777777" w:rsidR="003568C2" w:rsidRDefault="003568C2"/>
    <w:p w14:paraId="27224AF3" w14:textId="77777777" w:rsidR="003568C2" w:rsidRDefault="003568C2"/>
    <w:p w14:paraId="69A20632" w14:textId="77777777" w:rsidR="003568C2" w:rsidRDefault="003568C2"/>
    <w:p w14:paraId="11D5750A" w14:textId="77777777" w:rsidR="003568C2" w:rsidRDefault="003568C2"/>
    <w:p w14:paraId="44F7CDE2" w14:textId="77777777" w:rsidR="003568C2" w:rsidRDefault="00695B03">
      <w:pPr>
        <w:pStyle w:val="1"/>
        <w:jc w:val="center"/>
        <w:rPr>
          <w:sz w:val="30"/>
          <w:szCs w:val="30"/>
        </w:rPr>
      </w:pPr>
      <w:bookmarkStart w:id="431" w:name="_Toc15892935"/>
      <w:r>
        <w:rPr>
          <w:rFonts w:hint="eastAsia"/>
          <w:sz w:val="30"/>
          <w:szCs w:val="30"/>
        </w:rPr>
        <w:t>第二十二部分</w:t>
      </w:r>
      <w:r>
        <w:rPr>
          <w:sz w:val="30"/>
          <w:szCs w:val="30"/>
        </w:rPr>
        <w:t xml:space="preserve">  </w:t>
      </w:r>
      <w:r>
        <w:rPr>
          <w:rFonts w:hint="eastAsia"/>
          <w:sz w:val="30"/>
          <w:szCs w:val="30"/>
        </w:rPr>
        <w:t>招募说明书存放及查阅方式</w:t>
      </w:r>
      <w:bookmarkEnd w:id="427"/>
      <w:bookmarkEnd w:id="428"/>
      <w:bookmarkEnd w:id="429"/>
      <w:bookmarkEnd w:id="430"/>
      <w:bookmarkEnd w:id="431"/>
    </w:p>
    <w:p w14:paraId="71A23B5A" w14:textId="77777777" w:rsidR="003568C2" w:rsidRDefault="00695B0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依法必须披露的信息发布后，基金管理人、基金托管人应当按照相关法律法规规定将信息置备于公司住所、基金上市交易的证券交易所，供社会公众查阅、复制；投资人在支付工本费后，可在合理时间内取得上述文件复制件或复印件。对投资人按此种方式所获得的文件及其复印件，基金管理人保证文本的内容与所公告的内容完全一致。</w:t>
      </w:r>
    </w:p>
    <w:p w14:paraId="77CBED3E" w14:textId="77777777" w:rsidR="003568C2" w:rsidRDefault="00695B03">
      <w:pPr>
        <w:widowControl/>
        <w:adjustRightInd w:val="0"/>
        <w:snapToGrid w:val="0"/>
        <w:spacing w:line="360" w:lineRule="auto"/>
        <w:ind w:rightChars="-85" w:right="-178" w:firstLineChars="200" w:firstLine="480"/>
        <w:rPr>
          <w:rFonts w:asciiTheme="minorEastAsia" w:hAnsiTheme="minorEastAsia"/>
          <w:szCs w:val="24"/>
        </w:rPr>
      </w:pPr>
      <w:r>
        <w:rPr>
          <w:rFonts w:asciiTheme="minorEastAsia" w:hAnsiTheme="minorEastAsia" w:cs="Arial" w:hint="eastAsia"/>
          <w:kern w:val="0"/>
          <w:sz w:val="24"/>
          <w:szCs w:val="24"/>
        </w:rPr>
        <w:t>投资人还可以直接登录基金管理人的网站（www.furamc.com.cn）查阅和下载招募说明书。</w:t>
      </w:r>
      <w:bookmarkEnd w:id="61"/>
      <w:bookmarkEnd w:id="62"/>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r>
        <w:rPr>
          <w:rFonts w:asciiTheme="minorEastAsia" w:hAnsiTheme="minorEastAsia"/>
          <w:szCs w:val="24"/>
        </w:rPr>
        <w:br w:type="page"/>
      </w:r>
    </w:p>
    <w:p w14:paraId="655965F9" w14:textId="77777777" w:rsidR="003568C2" w:rsidRDefault="00695B03">
      <w:pPr>
        <w:pStyle w:val="1"/>
        <w:jc w:val="center"/>
        <w:rPr>
          <w:sz w:val="30"/>
          <w:szCs w:val="30"/>
        </w:rPr>
      </w:pPr>
      <w:bookmarkStart w:id="432" w:name="_Toc15892936"/>
      <w:r>
        <w:rPr>
          <w:sz w:val="30"/>
          <w:szCs w:val="30"/>
        </w:rPr>
        <w:lastRenderedPageBreak/>
        <w:t>第二十</w:t>
      </w:r>
      <w:r>
        <w:rPr>
          <w:rFonts w:hint="eastAsia"/>
          <w:sz w:val="30"/>
          <w:szCs w:val="30"/>
        </w:rPr>
        <w:t>三</w:t>
      </w:r>
      <w:r>
        <w:rPr>
          <w:sz w:val="30"/>
          <w:szCs w:val="30"/>
        </w:rPr>
        <w:t>部分  备查文件</w:t>
      </w:r>
      <w:bookmarkEnd w:id="432"/>
    </w:p>
    <w:p w14:paraId="31A9E470" w14:textId="77777777" w:rsidR="003568C2" w:rsidRDefault="003568C2">
      <w:pPr>
        <w:rPr>
          <w:rFonts w:asciiTheme="minorEastAsia" w:hAnsiTheme="minorEastAsia" w:cs="Times New Roman"/>
          <w:sz w:val="24"/>
          <w:szCs w:val="24"/>
        </w:rPr>
      </w:pPr>
    </w:p>
    <w:p w14:paraId="5DAD7481" w14:textId="77777777" w:rsidR="003568C2" w:rsidRDefault="00695B0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以下备查文件存放在基金管理人的办公场所，在办公时间可供免费查阅。</w:t>
      </w:r>
    </w:p>
    <w:p w14:paraId="625B4E34" w14:textId="77777777" w:rsidR="003568C2" w:rsidRDefault="00695B0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（一）中国证监会</w:t>
      </w:r>
      <w:r>
        <w:rPr>
          <w:rFonts w:asciiTheme="minorEastAsia" w:hAnsiTheme="minorEastAsia" w:cs="Arial" w:hint="eastAsia"/>
          <w:kern w:val="0"/>
          <w:sz w:val="24"/>
          <w:szCs w:val="24"/>
        </w:rPr>
        <w:t>准予</w:t>
      </w:r>
      <w:r>
        <w:rPr>
          <w:rFonts w:ascii="宋体" w:hAnsi="宋体" w:cs="Arial" w:hint="eastAsia"/>
          <w:sz w:val="24"/>
          <w:szCs w:val="21"/>
        </w:rPr>
        <w:t>富荣福泰灵活配置混合型证券投资基金变更</w:t>
      </w:r>
      <w:r>
        <w:rPr>
          <w:rFonts w:asciiTheme="minorEastAsia" w:hAnsiTheme="minorEastAsia" w:cs="Arial" w:hint="eastAsia"/>
          <w:kern w:val="0"/>
          <w:sz w:val="24"/>
          <w:szCs w:val="24"/>
        </w:rPr>
        <w:t>注册</w:t>
      </w:r>
      <w:r>
        <w:rPr>
          <w:rFonts w:asciiTheme="minorEastAsia" w:hAnsiTheme="minorEastAsia" w:cs="Arial"/>
          <w:kern w:val="0"/>
          <w:sz w:val="24"/>
          <w:szCs w:val="24"/>
        </w:rPr>
        <w:t xml:space="preserve">的文件 </w:t>
      </w:r>
    </w:p>
    <w:p w14:paraId="63D41CD2" w14:textId="77777777" w:rsidR="003568C2" w:rsidRDefault="00695B0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 xml:space="preserve">（二）《富荣沪深300指数增强型证券投资基金基金合同》 </w:t>
      </w:r>
    </w:p>
    <w:p w14:paraId="5B628EC3" w14:textId="77777777" w:rsidR="003568C2" w:rsidRDefault="00695B0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 xml:space="preserve">（三）《富荣沪深300指数增强型证券投资基金托管协议》 </w:t>
      </w:r>
    </w:p>
    <w:p w14:paraId="6F0BACF2" w14:textId="77777777" w:rsidR="003568C2" w:rsidRDefault="00695B0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（四）基金管理人业务资格批件、营业执照</w:t>
      </w:r>
    </w:p>
    <w:p w14:paraId="2DF6C583" w14:textId="77777777" w:rsidR="003568C2" w:rsidRDefault="00695B0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（五）基金托管人业务资格批件、营业执照</w:t>
      </w:r>
    </w:p>
    <w:p w14:paraId="6F040755" w14:textId="77777777" w:rsidR="003568C2" w:rsidRDefault="00695B0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（六）关于申请</w:t>
      </w:r>
      <w:r>
        <w:rPr>
          <w:rFonts w:asciiTheme="minorEastAsia" w:hAnsiTheme="minorEastAsia" w:cs="Arial" w:hint="eastAsia"/>
          <w:kern w:val="0"/>
          <w:sz w:val="24"/>
          <w:szCs w:val="24"/>
        </w:rPr>
        <w:t>富荣福泰灵活配置混合型证券投资基金变更注册的</w:t>
      </w:r>
      <w:r>
        <w:rPr>
          <w:rFonts w:asciiTheme="minorEastAsia" w:hAnsiTheme="minorEastAsia" w:cs="Arial"/>
          <w:kern w:val="0"/>
          <w:sz w:val="24"/>
          <w:szCs w:val="24"/>
        </w:rPr>
        <w:t>法律意见书</w:t>
      </w:r>
    </w:p>
    <w:p w14:paraId="089A326E" w14:textId="77777777" w:rsidR="003568C2" w:rsidRDefault="00695B0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（七）中国证监会要求的其他文件</w:t>
      </w:r>
    </w:p>
    <w:p w14:paraId="1E8D64D4" w14:textId="77777777" w:rsidR="003568C2" w:rsidRDefault="00695B0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查阅方式：投资者可在营业时间免费查阅，也可按工本费购买复印件。</w:t>
      </w:r>
    </w:p>
    <w:p w14:paraId="3161DBB4" w14:textId="77777777" w:rsidR="003568C2" w:rsidRDefault="003568C2">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12365532" w14:textId="77777777" w:rsidR="003568C2" w:rsidRDefault="003568C2">
      <w:pPr>
        <w:widowControl/>
        <w:adjustRightInd w:val="0"/>
        <w:snapToGrid w:val="0"/>
        <w:spacing w:line="360" w:lineRule="auto"/>
        <w:ind w:rightChars="-85" w:right="-178" w:firstLineChars="200" w:firstLine="420"/>
        <w:rPr>
          <w:rFonts w:ascii="Arial" w:eastAsia="宋体" w:hAnsi="Arial" w:cs="Arial"/>
          <w:kern w:val="0"/>
          <w:szCs w:val="21"/>
        </w:rPr>
      </w:pPr>
    </w:p>
    <w:p w14:paraId="496F199C" w14:textId="77777777" w:rsidR="003568C2" w:rsidRDefault="003568C2">
      <w:pPr>
        <w:widowControl/>
        <w:adjustRightInd w:val="0"/>
        <w:snapToGrid w:val="0"/>
        <w:spacing w:line="360" w:lineRule="auto"/>
        <w:ind w:rightChars="-85" w:right="-178" w:firstLineChars="200" w:firstLine="420"/>
        <w:rPr>
          <w:rFonts w:ascii="Arial" w:eastAsia="宋体" w:hAnsi="Arial" w:cs="Arial"/>
          <w:kern w:val="0"/>
          <w:szCs w:val="21"/>
        </w:rPr>
      </w:pPr>
    </w:p>
    <w:p w14:paraId="46364339" w14:textId="77777777" w:rsidR="003568C2" w:rsidRDefault="003568C2">
      <w:pPr>
        <w:widowControl/>
        <w:adjustRightInd w:val="0"/>
        <w:snapToGrid w:val="0"/>
        <w:spacing w:line="360" w:lineRule="auto"/>
        <w:ind w:rightChars="-85" w:right="-178" w:firstLineChars="200" w:firstLine="420"/>
        <w:rPr>
          <w:rFonts w:ascii="Arial" w:eastAsia="宋体" w:hAnsi="Arial" w:cs="Arial"/>
          <w:kern w:val="0"/>
          <w:szCs w:val="21"/>
        </w:rPr>
      </w:pPr>
    </w:p>
    <w:p w14:paraId="2ABDBB79" w14:textId="77777777" w:rsidR="003568C2" w:rsidRDefault="003568C2">
      <w:pPr>
        <w:widowControl/>
        <w:adjustRightInd w:val="0"/>
        <w:snapToGrid w:val="0"/>
        <w:spacing w:line="360" w:lineRule="auto"/>
        <w:ind w:rightChars="-85" w:right="-178" w:firstLineChars="200" w:firstLine="420"/>
        <w:rPr>
          <w:rFonts w:ascii="Arial" w:eastAsia="宋体" w:hAnsi="Arial" w:cs="Arial"/>
          <w:kern w:val="0"/>
          <w:szCs w:val="21"/>
        </w:rPr>
      </w:pPr>
    </w:p>
    <w:p w14:paraId="4BCDDBA9" w14:textId="77777777" w:rsidR="003568C2" w:rsidRDefault="003568C2">
      <w:pPr>
        <w:widowControl/>
        <w:adjustRightInd w:val="0"/>
        <w:snapToGrid w:val="0"/>
        <w:spacing w:line="360" w:lineRule="auto"/>
        <w:ind w:rightChars="-85" w:right="-178" w:firstLineChars="200" w:firstLine="420"/>
        <w:rPr>
          <w:rFonts w:ascii="Arial" w:eastAsia="宋体" w:hAnsi="Arial" w:cs="Arial"/>
          <w:kern w:val="0"/>
          <w:szCs w:val="21"/>
        </w:rPr>
      </w:pPr>
    </w:p>
    <w:p w14:paraId="3370BFE8" w14:textId="77777777" w:rsidR="003568C2" w:rsidRDefault="003568C2">
      <w:pPr>
        <w:widowControl/>
        <w:adjustRightInd w:val="0"/>
        <w:snapToGrid w:val="0"/>
        <w:spacing w:line="360" w:lineRule="auto"/>
        <w:ind w:rightChars="-85" w:right="-178" w:firstLineChars="200" w:firstLine="420"/>
        <w:rPr>
          <w:rFonts w:ascii="Arial" w:eastAsia="宋体" w:hAnsi="Arial" w:cs="Arial"/>
          <w:kern w:val="0"/>
          <w:szCs w:val="21"/>
        </w:rPr>
      </w:pPr>
    </w:p>
    <w:p w14:paraId="077EF523" w14:textId="77777777" w:rsidR="003568C2" w:rsidRDefault="003568C2">
      <w:pPr>
        <w:widowControl/>
        <w:adjustRightInd w:val="0"/>
        <w:snapToGrid w:val="0"/>
        <w:spacing w:line="360" w:lineRule="auto"/>
        <w:ind w:rightChars="-85" w:right="-178" w:firstLineChars="200" w:firstLine="420"/>
        <w:rPr>
          <w:rFonts w:ascii="Arial" w:eastAsia="宋体" w:hAnsi="Arial" w:cs="Arial"/>
          <w:kern w:val="0"/>
          <w:szCs w:val="21"/>
        </w:rPr>
      </w:pPr>
    </w:p>
    <w:p w14:paraId="2C8EE8A1" w14:textId="77777777" w:rsidR="003568C2" w:rsidRDefault="003568C2">
      <w:pPr>
        <w:widowControl/>
        <w:adjustRightInd w:val="0"/>
        <w:snapToGrid w:val="0"/>
        <w:spacing w:line="360" w:lineRule="auto"/>
        <w:ind w:rightChars="-85" w:right="-178" w:firstLineChars="200" w:firstLine="420"/>
        <w:rPr>
          <w:rFonts w:ascii="Arial" w:eastAsia="宋体" w:hAnsi="Arial" w:cs="Arial"/>
          <w:kern w:val="0"/>
          <w:szCs w:val="21"/>
        </w:rPr>
      </w:pPr>
    </w:p>
    <w:p w14:paraId="017F22B6" w14:textId="77777777" w:rsidR="003568C2" w:rsidRDefault="003568C2">
      <w:pPr>
        <w:widowControl/>
        <w:adjustRightInd w:val="0"/>
        <w:snapToGrid w:val="0"/>
        <w:spacing w:line="360" w:lineRule="auto"/>
        <w:ind w:rightChars="-85" w:right="-178" w:firstLineChars="200" w:firstLine="420"/>
        <w:rPr>
          <w:rFonts w:ascii="Arial" w:eastAsia="宋体" w:hAnsi="Arial" w:cs="Arial"/>
          <w:kern w:val="0"/>
          <w:szCs w:val="21"/>
        </w:rPr>
      </w:pPr>
    </w:p>
    <w:p w14:paraId="056358C4" w14:textId="77777777" w:rsidR="003568C2" w:rsidRDefault="003568C2">
      <w:pPr>
        <w:widowControl/>
        <w:adjustRightInd w:val="0"/>
        <w:snapToGrid w:val="0"/>
        <w:spacing w:line="360" w:lineRule="auto"/>
        <w:ind w:rightChars="-85" w:right="-178" w:firstLineChars="200" w:firstLine="420"/>
        <w:rPr>
          <w:rFonts w:ascii="Arial" w:eastAsia="宋体" w:hAnsi="Arial" w:cs="Arial"/>
          <w:kern w:val="0"/>
          <w:szCs w:val="21"/>
        </w:rPr>
      </w:pPr>
    </w:p>
    <w:p w14:paraId="4F5116F8" w14:textId="77777777" w:rsidR="003568C2" w:rsidRDefault="003568C2">
      <w:pPr>
        <w:widowControl/>
        <w:adjustRightInd w:val="0"/>
        <w:snapToGrid w:val="0"/>
        <w:spacing w:line="360" w:lineRule="auto"/>
        <w:ind w:rightChars="-85" w:right="-178" w:firstLineChars="200" w:firstLine="420"/>
        <w:rPr>
          <w:rFonts w:ascii="Arial" w:eastAsia="宋体" w:hAnsi="Arial" w:cs="Arial"/>
          <w:kern w:val="0"/>
          <w:szCs w:val="21"/>
        </w:rPr>
      </w:pPr>
    </w:p>
    <w:p w14:paraId="74EAFD2B" w14:textId="77777777" w:rsidR="003568C2" w:rsidRDefault="003568C2">
      <w:pPr>
        <w:widowControl/>
        <w:adjustRightInd w:val="0"/>
        <w:snapToGrid w:val="0"/>
        <w:spacing w:line="360" w:lineRule="auto"/>
        <w:ind w:rightChars="-85" w:right="-178" w:firstLineChars="200" w:firstLine="420"/>
        <w:rPr>
          <w:rFonts w:ascii="Arial" w:eastAsia="宋体" w:hAnsi="Arial" w:cs="Arial"/>
          <w:kern w:val="0"/>
          <w:szCs w:val="21"/>
        </w:rPr>
      </w:pPr>
    </w:p>
    <w:p w14:paraId="75FF49BD" w14:textId="77777777" w:rsidR="003568C2" w:rsidRDefault="003568C2">
      <w:pPr>
        <w:widowControl/>
        <w:adjustRightInd w:val="0"/>
        <w:snapToGrid w:val="0"/>
        <w:spacing w:line="360" w:lineRule="auto"/>
        <w:ind w:rightChars="-85" w:right="-178" w:firstLineChars="200" w:firstLine="420"/>
        <w:rPr>
          <w:rFonts w:ascii="Arial" w:eastAsia="宋体" w:hAnsi="Arial" w:cs="Arial"/>
          <w:kern w:val="0"/>
          <w:szCs w:val="21"/>
        </w:rPr>
      </w:pPr>
    </w:p>
    <w:p w14:paraId="5DBCBFE2" w14:textId="77777777" w:rsidR="003568C2" w:rsidRDefault="003568C2">
      <w:pPr>
        <w:widowControl/>
        <w:adjustRightInd w:val="0"/>
        <w:snapToGrid w:val="0"/>
        <w:spacing w:line="360" w:lineRule="auto"/>
        <w:ind w:rightChars="-85" w:right="-178" w:firstLineChars="200" w:firstLine="420"/>
        <w:rPr>
          <w:rFonts w:ascii="Arial" w:eastAsia="宋体" w:hAnsi="Arial" w:cs="Arial"/>
          <w:kern w:val="0"/>
          <w:szCs w:val="21"/>
        </w:rPr>
      </w:pPr>
    </w:p>
    <w:p w14:paraId="2D1A346B" w14:textId="77777777" w:rsidR="003568C2" w:rsidRDefault="00695B03">
      <w:pPr>
        <w:widowControl/>
        <w:adjustRightInd w:val="0"/>
        <w:snapToGrid w:val="0"/>
        <w:spacing w:line="360" w:lineRule="auto"/>
        <w:ind w:rightChars="-85" w:right="-178"/>
        <w:jc w:val="right"/>
        <w:rPr>
          <w:rFonts w:asciiTheme="minorEastAsia" w:hAnsiTheme="minorEastAsia" w:cs="Arial"/>
          <w:kern w:val="0"/>
          <w:sz w:val="24"/>
          <w:szCs w:val="24"/>
        </w:rPr>
      </w:pPr>
      <w:r>
        <w:rPr>
          <w:rFonts w:asciiTheme="minorEastAsia" w:hAnsiTheme="minorEastAsia" w:cs="Arial" w:hint="eastAsia"/>
          <w:kern w:val="0"/>
          <w:sz w:val="24"/>
          <w:szCs w:val="24"/>
        </w:rPr>
        <w:t xml:space="preserve">富荣基金管理有限公司 </w:t>
      </w:r>
    </w:p>
    <w:p w14:paraId="6159B540" w14:textId="0433488A" w:rsidR="003568C2" w:rsidRDefault="0091649D">
      <w:pPr>
        <w:widowControl/>
        <w:adjustRightInd w:val="0"/>
        <w:snapToGrid w:val="0"/>
        <w:spacing w:line="360" w:lineRule="auto"/>
        <w:ind w:rightChars="-85" w:right="-178"/>
        <w:jc w:val="right"/>
        <w:rPr>
          <w:rFonts w:asciiTheme="minorEastAsia" w:hAnsiTheme="minorEastAsia" w:cs="Arial"/>
          <w:kern w:val="0"/>
          <w:sz w:val="24"/>
          <w:szCs w:val="24"/>
        </w:rPr>
      </w:pPr>
      <w:r>
        <w:rPr>
          <w:rFonts w:asciiTheme="minorEastAsia" w:hAnsiTheme="minorEastAsia" w:cs="Arial" w:hint="eastAsia"/>
          <w:kern w:val="0"/>
          <w:sz w:val="24"/>
          <w:szCs w:val="24"/>
        </w:rPr>
        <w:t>20</w:t>
      </w:r>
      <w:r>
        <w:rPr>
          <w:rFonts w:asciiTheme="minorEastAsia" w:hAnsiTheme="minorEastAsia" w:cs="Arial"/>
          <w:kern w:val="0"/>
          <w:sz w:val="24"/>
          <w:szCs w:val="24"/>
        </w:rPr>
        <w:t>22</w:t>
      </w:r>
      <w:r w:rsidR="00695B03">
        <w:rPr>
          <w:rFonts w:asciiTheme="minorEastAsia" w:hAnsiTheme="minorEastAsia" w:cs="Arial" w:hint="eastAsia"/>
          <w:kern w:val="0"/>
          <w:sz w:val="24"/>
          <w:szCs w:val="24"/>
        </w:rPr>
        <w:t>年</w:t>
      </w:r>
      <w:r w:rsidR="0081086D">
        <w:rPr>
          <w:rFonts w:asciiTheme="minorEastAsia" w:hAnsiTheme="minorEastAsia" w:cs="Arial"/>
          <w:kern w:val="0"/>
          <w:sz w:val="24"/>
          <w:szCs w:val="24"/>
        </w:rPr>
        <w:t>8</w:t>
      </w:r>
      <w:r w:rsidR="00695B03">
        <w:rPr>
          <w:rFonts w:asciiTheme="minorEastAsia" w:hAnsiTheme="minorEastAsia" w:cs="Arial" w:hint="eastAsia"/>
          <w:kern w:val="0"/>
          <w:sz w:val="24"/>
          <w:szCs w:val="24"/>
        </w:rPr>
        <w:t>月</w:t>
      </w:r>
      <w:r w:rsidR="00691BD4">
        <w:rPr>
          <w:rFonts w:asciiTheme="minorEastAsia" w:hAnsiTheme="minorEastAsia" w:cs="Arial" w:hint="eastAsia"/>
          <w:kern w:val="0"/>
          <w:sz w:val="24"/>
          <w:szCs w:val="24"/>
        </w:rPr>
        <w:t>1</w:t>
      </w:r>
      <w:r w:rsidR="00691BD4">
        <w:rPr>
          <w:rFonts w:asciiTheme="minorEastAsia" w:hAnsiTheme="minorEastAsia" w:cs="Arial"/>
          <w:kern w:val="0"/>
          <w:sz w:val="24"/>
          <w:szCs w:val="24"/>
        </w:rPr>
        <w:t>0</w:t>
      </w:r>
      <w:r w:rsidR="004B5830">
        <w:rPr>
          <w:rFonts w:asciiTheme="minorEastAsia" w:hAnsiTheme="minorEastAsia" w:cs="Arial" w:hint="eastAsia"/>
          <w:kern w:val="0"/>
          <w:sz w:val="24"/>
          <w:szCs w:val="24"/>
        </w:rPr>
        <w:t>日</w:t>
      </w:r>
    </w:p>
    <w:p w14:paraId="498B43EC" w14:textId="77777777" w:rsidR="003568C2" w:rsidRDefault="003568C2">
      <w:pPr>
        <w:widowControl/>
        <w:adjustRightInd w:val="0"/>
        <w:snapToGrid w:val="0"/>
        <w:spacing w:line="360" w:lineRule="auto"/>
        <w:ind w:rightChars="-85" w:right="-178" w:firstLineChars="3050" w:firstLine="6405"/>
      </w:pPr>
    </w:p>
    <w:sectPr w:rsidR="003568C2" w:rsidSect="0029610B">
      <w:footerReference w:type="default" r:id="rId20"/>
      <w:pgSz w:w="11906" w:h="16838"/>
      <w:pgMar w:top="1440" w:right="1800" w:bottom="1440" w:left="1800" w:header="851" w:footer="992" w:gutter="0"/>
      <w:pgNumType w:chapStyle="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86F22E" w14:textId="77777777" w:rsidR="003E7FB1" w:rsidRDefault="003E7FB1">
      <w:r>
        <w:separator/>
      </w:r>
    </w:p>
  </w:endnote>
  <w:endnote w:type="continuationSeparator" w:id="0">
    <w:p w14:paraId="4A0B5945" w14:textId="77777777" w:rsidR="003E7FB1" w:rsidRDefault="003E7F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ˎ̥">
    <w:altName w:val="微软雅黑"/>
    <w:panose1 w:val="00000000000000000000"/>
    <w:charset w:val="00"/>
    <w:family w:val="roman"/>
    <w:notTrueType/>
    <w:pitch w:val="default"/>
  </w:font>
  <w:font w:name="方正仿宋简体">
    <w:altName w:val="微软雅黑"/>
    <w:charset w:val="86"/>
    <w:family w:val="auto"/>
    <w:pitch w:val="default"/>
    <w:sig w:usb0="00000000" w:usb1="0000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89887988"/>
    </w:sdtPr>
    <w:sdtContent>
      <w:sdt>
        <w:sdtPr>
          <w:id w:val="1022829221"/>
          <w:docPartObj>
            <w:docPartGallery w:val="AutoText"/>
          </w:docPartObj>
        </w:sdtPr>
        <w:sdtContent>
          <w:p w14:paraId="10339C0B" w14:textId="77777777" w:rsidR="0046612A" w:rsidRDefault="0046612A">
            <w:pPr>
              <w:pStyle w:val="ae"/>
              <w:jc w:val="center"/>
            </w:pPr>
            <w:r>
              <w:rPr>
                <w:lang w:val="zh-CN"/>
              </w:rPr>
              <w:fldChar w:fldCharType="begin"/>
            </w:r>
            <w:r>
              <w:rPr>
                <w:lang w:val="zh-CN"/>
              </w:rPr>
              <w:instrText>PAGE   \* MERGEFORMAT</w:instrText>
            </w:r>
            <w:r>
              <w:rPr>
                <w:lang w:val="zh-CN"/>
              </w:rPr>
              <w:fldChar w:fldCharType="separate"/>
            </w:r>
            <w:r>
              <w:rPr>
                <w:lang w:val="zh-CN"/>
              </w:rPr>
              <w:t>3</w:t>
            </w:r>
            <w:r>
              <w:rPr>
                <w:lang w:val="zh-CN"/>
              </w:rPr>
              <w:fldChar w:fldCharType="end"/>
            </w:r>
          </w:p>
        </w:sdtContent>
      </w:sdt>
    </w:sdtContent>
  </w:sdt>
  <w:p w14:paraId="26F608FF" w14:textId="77777777" w:rsidR="0046612A" w:rsidRDefault="0046612A">
    <w:pPr>
      <w:pStyle w:val="a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95319027"/>
    </w:sdtPr>
    <w:sdtContent>
      <w:sdt>
        <w:sdtPr>
          <w:id w:val="-1545286645"/>
          <w:docPartObj>
            <w:docPartGallery w:val="AutoText"/>
          </w:docPartObj>
        </w:sdtPr>
        <w:sdtContent>
          <w:p w14:paraId="403D9EBD" w14:textId="77777777" w:rsidR="0046612A" w:rsidRDefault="0046612A">
            <w:pPr>
              <w:pStyle w:val="ae"/>
              <w:jc w:val="center"/>
            </w:pPr>
            <w:r>
              <w:rPr>
                <w:lang w:val="zh-CN"/>
              </w:rPr>
              <w:fldChar w:fldCharType="begin"/>
            </w:r>
            <w:r>
              <w:rPr>
                <w:lang w:val="zh-CN"/>
              </w:rPr>
              <w:instrText>PAGE   \* MERGEFORMAT</w:instrText>
            </w:r>
            <w:r>
              <w:rPr>
                <w:lang w:val="zh-CN"/>
              </w:rPr>
              <w:fldChar w:fldCharType="separate"/>
            </w:r>
            <w:r w:rsidR="00741113">
              <w:rPr>
                <w:noProof/>
                <w:lang w:val="zh-CN"/>
              </w:rPr>
              <w:t>14</w:t>
            </w:r>
            <w:r>
              <w:rPr>
                <w:lang w:val="zh-CN"/>
              </w:rPr>
              <w:fldChar w:fldCharType="end"/>
            </w:r>
          </w:p>
        </w:sdtContent>
      </w:sdt>
      <w:p w14:paraId="16FF987F" w14:textId="77777777" w:rsidR="0046612A" w:rsidRDefault="00000000">
        <w:pPr>
          <w:pStyle w:val="ae"/>
          <w:jc w:val="center"/>
        </w:pPr>
      </w:p>
    </w:sdtContent>
  </w:sdt>
  <w:p w14:paraId="6689FFD3" w14:textId="77777777" w:rsidR="0046612A" w:rsidRDefault="0046612A">
    <w:pPr>
      <w:pStyle w:val="a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06505350"/>
    </w:sdtPr>
    <w:sdtContent>
      <w:sdt>
        <w:sdtPr>
          <w:id w:val="2047792557"/>
          <w:docPartObj>
            <w:docPartGallery w:val="AutoText"/>
          </w:docPartObj>
        </w:sdtPr>
        <w:sdtContent>
          <w:p w14:paraId="5E0C6014" w14:textId="77777777" w:rsidR="0046612A" w:rsidRDefault="0046612A">
            <w:pPr>
              <w:pStyle w:val="ae"/>
              <w:jc w:val="center"/>
            </w:pPr>
            <w:r>
              <w:rPr>
                <w:lang w:val="zh-CN"/>
              </w:rPr>
              <w:fldChar w:fldCharType="begin"/>
            </w:r>
            <w:r>
              <w:rPr>
                <w:lang w:val="zh-CN"/>
              </w:rPr>
              <w:instrText>PAGE   \* MERGEFORMAT</w:instrText>
            </w:r>
            <w:r>
              <w:rPr>
                <w:lang w:val="zh-CN"/>
              </w:rPr>
              <w:fldChar w:fldCharType="separate"/>
            </w:r>
            <w:r w:rsidR="00741113">
              <w:rPr>
                <w:noProof/>
                <w:lang w:val="zh-CN"/>
              </w:rPr>
              <w:t>130</w:t>
            </w:r>
            <w:r>
              <w:rPr>
                <w:lang w:val="zh-CN"/>
              </w:rPr>
              <w:fldChar w:fldCharType="end"/>
            </w:r>
          </w:p>
        </w:sdtContent>
      </w:sdt>
      <w:p w14:paraId="1BCED9A0" w14:textId="452D1CD0" w:rsidR="0046612A" w:rsidRDefault="00000000">
        <w:pPr>
          <w:pStyle w:val="ae"/>
          <w:jc w:val="center"/>
        </w:pPr>
      </w:p>
    </w:sdtContent>
  </w:sdt>
  <w:p w14:paraId="697F9A5A" w14:textId="77777777" w:rsidR="0046612A" w:rsidRDefault="0046612A">
    <w:pPr>
      <w:pStyle w:val="a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0EBDBF2" w14:textId="77777777" w:rsidR="003E7FB1" w:rsidRDefault="003E7FB1">
      <w:r>
        <w:separator/>
      </w:r>
    </w:p>
  </w:footnote>
  <w:footnote w:type="continuationSeparator" w:id="0">
    <w:p w14:paraId="7C769E24" w14:textId="77777777" w:rsidR="003E7FB1" w:rsidRDefault="003E7F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BA8226" w14:textId="44912584" w:rsidR="0046612A" w:rsidRDefault="0046612A">
    <w:pPr>
      <w:pStyle w:val="af0"/>
      <w:jc w:val="left"/>
    </w:pPr>
    <w:r>
      <w:rPr>
        <w:rFonts w:ascii="Arial" w:hAnsi="Arial" w:cs="Arial" w:hint="eastAsia"/>
        <w:szCs w:val="21"/>
      </w:rPr>
      <w:t>富荣沪深</w:t>
    </w:r>
    <w:r>
      <w:rPr>
        <w:rFonts w:ascii="Arial" w:hAnsi="Arial" w:cs="Arial" w:hint="eastAsia"/>
        <w:szCs w:val="21"/>
      </w:rPr>
      <w:t>300</w:t>
    </w:r>
    <w:r>
      <w:rPr>
        <w:rFonts w:ascii="Arial" w:hAnsi="Arial" w:cs="Arial" w:hint="eastAsia"/>
        <w:szCs w:val="21"/>
      </w:rPr>
      <w:t>指数增强型证券投资基金</w:t>
    </w:r>
    <w:r>
      <w:rPr>
        <w:rFonts w:hint="eastAsia"/>
      </w:rPr>
      <w:t>更新的招募说明书（</w:t>
    </w:r>
    <w:r>
      <w:rPr>
        <w:rFonts w:hint="eastAsia"/>
      </w:rPr>
      <w:t>2022</w:t>
    </w:r>
    <w:r>
      <w:rPr>
        <w:rFonts w:hint="eastAsia"/>
      </w:rPr>
      <w:t>年第</w:t>
    </w:r>
    <w:r w:rsidR="00564A25">
      <w:t>1</w:t>
    </w:r>
    <w:r>
      <w:rPr>
        <w:rFonts w:hint="eastAsia"/>
      </w:rPr>
      <w:t>号）</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000000D"/>
    <w:multiLevelType w:val="singleLevel"/>
    <w:tmpl w:val="0000000D"/>
    <w:lvl w:ilvl="0">
      <w:start w:val="1"/>
      <w:numFmt w:val="bullet"/>
      <w:pStyle w:val="Listbullet"/>
      <w:lvlText w:val=""/>
      <w:lvlJc w:val="left"/>
      <w:pPr>
        <w:tabs>
          <w:tab w:val="left" w:pos="360"/>
        </w:tabs>
        <w:ind w:left="360" w:hanging="360"/>
      </w:pPr>
      <w:rPr>
        <w:rFonts w:ascii="Symbol" w:hAnsi="Symbol" w:hint="default"/>
        <w:color w:val="auto"/>
      </w:rPr>
    </w:lvl>
  </w:abstractNum>
  <w:abstractNum w:abstractNumId="2" w15:restartNumberingAfterBreak="0">
    <w:nsid w:val="32EA6CF3"/>
    <w:multiLevelType w:val="multilevel"/>
    <w:tmpl w:val="32EA6CF3"/>
    <w:lvl w:ilvl="0">
      <w:start w:val="2"/>
      <w:numFmt w:val="japaneseCounting"/>
      <w:lvlText w:val="%1、"/>
      <w:lvlJc w:val="left"/>
      <w:pPr>
        <w:ind w:left="872" w:hanging="450"/>
      </w:pPr>
      <w:rPr>
        <w:rFonts w:hint="default"/>
      </w:rPr>
    </w:lvl>
    <w:lvl w:ilvl="1">
      <w:start w:val="1"/>
      <w:numFmt w:val="lowerLetter"/>
      <w:lvlText w:val="%2)"/>
      <w:lvlJc w:val="left"/>
      <w:pPr>
        <w:ind w:left="1262" w:hanging="420"/>
      </w:pPr>
    </w:lvl>
    <w:lvl w:ilvl="2">
      <w:start w:val="1"/>
      <w:numFmt w:val="lowerRoman"/>
      <w:lvlText w:val="%3."/>
      <w:lvlJc w:val="right"/>
      <w:pPr>
        <w:ind w:left="1682" w:hanging="420"/>
      </w:pPr>
    </w:lvl>
    <w:lvl w:ilvl="3">
      <w:start w:val="1"/>
      <w:numFmt w:val="decimal"/>
      <w:lvlText w:val="%4."/>
      <w:lvlJc w:val="left"/>
      <w:pPr>
        <w:ind w:left="2102" w:hanging="420"/>
      </w:pPr>
    </w:lvl>
    <w:lvl w:ilvl="4">
      <w:start w:val="1"/>
      <w:numFmt w:val="lowerLetter"/>
      <w:lvlText w:val="%5)"/>
      <w:lvlJc w:val="left"/>
      <w:pPr>
        <w:ind w:left="2522" w:hanging="420"/>
      </w:pPr>
    </w:lvl>
    <w:lvl w:ilvl="5">
      <w:start w:val="1"/>
      <w:numFmt w:val="lowerRoman"/>
      <w:lvlText w:val="%6."/>
      <w:lvlJc w:val="right"/>
      <w:pPr>
        <w:ind w:left="2942" w:hanging="420"/>
      </w:pPr>
    </w:lvl>
    <w:lvl w:ilvl="6">
      <w:start w:val="1"/>
      <w:numFmt w:val="decimal"/>
      <w:lvlText w:val="%7."/>
      <w:lvlJc w:val="left"/>
      <w:pPr>
        <w:ind w:left="3362" w:hanging="420"/>
      </w:pPr>
    </w:lvl>
    <w:lvl w:ilvl="7">
      <w:start w:val="1"/>
      <w:numFmt w:val="lowerLetter"/>
      <w:lvlText w:val="%8)"/>
      <w:lvlJc w:val="left"/>
      <w:pPr>
        <w:ind w:left="3782" w:hanging="420"/>
      </w:pPr>
    </w:lvl>
    <w:lvl w:ilvl="8">
      <w:start w:val="1"/>
      <w:numFmt w:val="lowerRoman"/>
      <w:lvlText w:val="%9."/>
      <w:lvlJc w:val="right"/>
      <w:pPr>
        <w:ind w:left="4202" w:hanging="420"/>
      </w:pPr>
    </w:lvl>
  </w:abstractNum>
  <w:abstractNum w:abstractNumId="3" w15:restartNumberingAfterBreak="0">
    <w:nsid w:val="63A211E1"/>
    <w:multiLevelType w:val="multilevel"/>
    <w:tmpl w:val="63A211E1"/>
    <w:lvl w:ilvl="0">
      <w:start w:val="1"/>
      <w:numFmt w:val="none"/>
      <w:lvlText w:val="一、"/>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num w:numId="1" w16cid:durableId="1159542841">
    <w:abstractNumId w:val="0"/>
  </w:num>
  <w:num w:numId="2" w16cid:durableId="1197885201">
    <w:abstractNumId w:val="1"/>
  </w:num>
  <w:num w:numId="3" w16cid:durableId="83214305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54082463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hideSpellingErrors/>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562CC"/>
    <w:rsid w:val="0000336D"/>
    <w:rsid w:val="00011E0C"/>
    <w:rsid w:val="00011FD4"/>
    <w:rsid w:val="000141DC"/>
    <w:rsid w:val="000150A1"/>
    <w:rsid w:val="0001510A"/>
    <w:rsid w:val="00015D13"/>
    <w:rsid w:val="00016B2F"/>
    <w:rsid w:val="00021C6F"/>
    <w:rsid w:val="00026A47"/>
    <w:rsid w:val="00030C62"/>
    <w:rsid w:val="00032242"/>
    <w:rsid w:val="00032C15"/>
    <w:rsid w:val="00035E7D"/>
    <w:rsid w:val="00043AE3"/>
    <w:rsid w:val="0004467C"/>
    <w:rsid w:val="000455CE"/>
    <w:rsid w:val="00045A50"/>
    <w:rsid w:val="000507C1"/>
    <w:rsid w:val="00050E32"/>
    <w:rsid w:val="0005270F"/>
    <w:rsid w:val="00055889"/>
    <w:rsid w:val="000572C6"/>
    <w:rsid w:val="0006090B"/>
    <w:rsid w:val="00061EFE"/>
    <w:rsid w:val="00062C1B"/>
    <w:rsid w:val="00066597"/>
    <w:rsid w:val="0006726F"/>
    <w:rsid w:val="00072066"/>
    <w:rsid w:val="00076E9C"/>
    <w:rsid w:val="00080105"/>
    <w:rsid w:val="000817BB"/>
    <w:rsid w:val="00082619"/>
    <w:rsid w:val="0008486B"/>
    <w:rsid w:val="00084A9D"/>
    <w:rsid w:val="00086DB3"/>
    <w:rsid w:val="00092123"/>
    <w:rsid w:val="000929F7"/>
    <w:rsid w:val="00092FE3"/>
    <w:rsid w:val="00093B11"/>
    <w:rsid w:val="00094C41"/>
    <w:rsid w:val="0009505B"/>
    <w:rsid w:val="0009610D"/>
    <w:rsid w:val="00096D0E"/>
    <w:rsid w:val="00096E15"/>
    <w:rsid w:val="000A1798"/>
    <w:rsid w:val="000A2809"/>
    <w:rsid w:val="000A4D7B"/>
    <w:rsid w:val="000B0075"/>
    <w:rsid w:val="000B4328"/>
    <w:rsid w:val="000B4BA4"/>
    <w:rsid w:val="000B4DA0"/>
    <w:rsid w:val="000B6836"/>
    <w:rsid w:val="000B720D"/>
    <w:rsid w:val="000B7428"/>
    <w:rsid w:val="000B7ACE"/>
    <w:rsid w:val="000C1265"/>
    <w:rsid w:val="000C2A62"/>
    <w:rsid w:val="000C3020"/>
    <w:rsid w:val="000C36FD"/>
    <w:rsid w:val="000C4C8F"/>
    <w:rsid w:val="000D03C0"/>
    <w:rsid w:val="000D086E"/>
    <w:rsid w:val="000D3337"/>
    <w:rsid w:val="000E1E9B"/>
    <w:rsid w:val="000E2B9A"/>
    <w:rsid w:val="000E380D"/>
    <w:rsid w:val="000E3917"/>
    <w:rsid w:val="000E3D34"/>
    <w:rsid w:val="000E4187"/>
    <w:rsid w:val="000E4492"/>
    <w:rsid w:val="000F1285"/>
    <w:rsid w:val="000F4000"/>
    <w:rsid w:val="000F5C40"/>
    <w:rsid w:val="000F63F5"/>
    <w:rsid w:val="00102D5B"/>
    <w:rsid w:val="0010342E"/>
    <w:rsid w:val="001050ED"/>
    <w:rsid w:val="001055B0"/>
    <w:rsid w:val="00107B10"/>
    <w:rsid w:val="00107FD3"/>
    <w:rsid w:val="00112609"/>
    <w:rsid w:val="00113410"/>
    <w:rsid w:val="00117085"/>
    <w:rsid w:val="0012019B"/>
    <w:rsid w:val="00121603"/>
    <w:rsid w:val="00126858"/>
    <w:rsid w:val="00127843"/>
    <w:rsid w:val="00127ED5"/>
    <w:rsid w:val="00132839"/>
    <w:rsid w:val="00135275"/>
    <w:rsid w:val="001369D9"/>
    <w:rsid w:val="0014117E"/>
    <w:rsid w:val="00145063"/>
    <w:rsid w:val="00147133"/>
    <w:rsid w:val="00147C35"/>
    <w:rsid w:val="00147F4A"/>
    <w:rsid w:val="0015303A"/>
    <w:rsid w:val="001609F9"/>
    <w:rsid w:val="00161C83"/>
    <w:rsid w:val="0016339F"/>
    <w:rsid w:val="001635EE"/>
    <w:rsid w:val="00163A7F"/>
    <w:rsid w:val="00166406"/>
    <w:rsid w:val="0016706A"/>
    <w:rsid w:val="001704C4"/>
    <w:rsid w:val="001745C9"/>
    <w:rsid w:val="00175A3B"/>
    <w:rsid w:val="00181F45"/>
    <w:rsid w:val="001833CC"/>
    <w:rsid w:val="00183900"/>
    <w:rsid w:val="00183D3D"/>
    <w:rsid w:val="001840D3"/>
    <w:rsid w:val="00184AAE"/>
    <w:rsid w:val="00184E9F"/>
    <w:rsid w:val="00185938"/>
    <w:rsid w:val="001904AE"/>
    <w:rsid w:val="001A0D71"/>
    <w:rsid w:val="001A1315"/>
    <w:rsid w:val="001A1C76"/>
    <w:rsid w:val="001A3539"/>
    <w:rsid w:val="001A4924"/>
    <w:rsid w:val="001A684E"/>
    <w:rsid w:val="001B101B"/>
    <w:rsid w:val="001B1976"/>
    <w:rsid w:val="001B1C13"/>
    <w:rsid w:val="001B598D"/>
    <w:rsid w:val="001B716E"/>
    <w:rsid w:val="001B77C0"/>
    <w:rsid w:val="001B7D3E"/>
    <w:rsid w:val="001C0273"/>
    <w:rsid w:val="001C3000"/>
    <w:rsid w:val="001C404F"/>
    <w:rsid w:val="001C747B"/>
    <w:rsid w:val="001D4615"/>
    <w:rsid w:val="001E05E8"/>
    <w:rsid w:val="001E3B99"/>
    <w:rsid w:val="001E3E89"/>
    <w:rsid w:val="001E5D76"/>
    <w:rsid w:val="001F141D"/>
    <w:rsid w:val="001F2A1F"/>
    <w:rsid w:val="001F32BF"/>
    <w:rsid w:val="001F39FE"/>
    <w:rsid w:val="001F4A95"/>
    <w:rsid w:val="001F4FBD"/>
    <w:rsid w:val="001F7512"/>
    <w:rsid w:val="00201826"/>
    <w:rsid w:val="00201AB5"/>
    <w:rsid w:val="002078F3"/>
    <w:rsid w:val="00207CD5"/>
    <w:rsid w:val="00222350"/>
    <w:rsid w:val="00224EE1"/>
    <w:rsid w:val="0022597A"/>
    <w:rsid w:val="00227859"/>
    <w:rsid w:val="00232353"/>
    <w:rsid w:val="0023618C"/>
    <w:rsid w:val="00237C9B"/>
    <w:rsid w:val="002417E3"/>
    <w:rsid w:val="00241ACA"/>
    <w:rsid w:val="00242CDE"/>
    <w:rsid w:val="002430FE"/>
    <w:rsid w:val="002507FE"/>
    <w:rsid w:val="0025184A"/>
    <w:rsid w:val="00251BEE"/>
    <w:rsid w:val="0025398C"/>
    <w:rsid w:val="00257A12"/>
    <w:rsid w:val="002601E9"/>
    <w:rsid w:val="00260AE0"/>
    <w:rsid w:val="00263835"/>
    <w:rsid w:val="00263BCA"/>
    <w:rsid w:val="0026498C"/>
    <w:rsid w:val="00266A12"/>
    <w:rsid w:val="00267C81"/>
    <w:rsid w:val="002701CE"/>
    <w:rsid w:val="002715CE"/>
    <w:rsid w:val="00272F3A"/>
    <w:rsid w:val="00275236"/>
    <w:rsid w:val="002760BB"/>
    <w:rsid w:val="00283A8E"/>
    <w:rsid w:val="00283F15"/>
    <w:rsid w:val="00284AA6"/>
    <w:rsid w:val="002863C8"/>
    <w:rsid w:val="00287D32"/>
    <w:rsid w:val="00291943"/>
    <w:rsid w:val="00295DB8"/>
    <w:rsid w:val="0029610B"/>
    <w:rsid w:val="002966EC"/>
    <w:rsid w:val="002A1DD0"/>
    <w:rsid w:val="002A45ED"/>
    <w:rsid w:val="002A6E10"/>
    <w:rsid w:val="002A7EBC"/>
    <w:rsid w:val="002B01D8"/>
    <w:rsid w:val="002B64A8"/>
    <w:rsid w:val="002C4229"/>
    <w:rsid w:val="002C438F"/>
    <w:rsid w:val="002C62EA"/>
    <w:rsid w:val="002D32E2"/>
    <w:rsid w:val="002D55F0"/>
    <w:rsid w:val="002D5A2C"/>
    <w:rsid w:val="002D5CEC"/>
    <w:rsid w:val="002E2B52"/>
    <w:rsid w:val="002E3270"/>
    <w:rsid w:val="002E342B"/>
    <w:rsid w:val="002E3582"/>
    <w:rsid w:val="002E7363"/>
    <w:rsid w:val="002E7690"/>
    <w:rsid w:val="002E7FCF"/>
    <w:rsid w:val="002F0AEB"/>
    <w:rsid w:val="002F2C30"/>
    <w:rsid w:val="002F2CC1"/>
    <w:rsid w:val="002F6A3D"/>
    <w:rsid w:val="002F775D"/>
    <w:rsid w:val="0030351C"/>
    <w:rsid w:val="003051EA"/>
    <w:rsid w:val="003136E4"/>
    <w:rsid w:val="003155E3"/>
    <w:rsid w:val="00315A89"/>
    <w:rsid w:val="00315D57"/>
    <w:rsid w:val="003202B9"/>
    <w:rsid w:val="00323273"/>
    <w:rsid w:val="00326A72"/>
    <w:rsid w:val="00327DF4"/>
    <w:rsid w:val="00327F7E"/>
    <w:rsid w:val="00330F86"/>
    <w:rsid w:val="003325C8"/>
    <w:rsid w:val="0033271C"/>
    <w:rsid w:val="0033347C"/>
    <w:rsid w:val="00333E36"/>
    <w:rsid w:val="00341BE7"/>
    <w:rsid w:val="00342B3E"/>
    <w:rsid w:val="00344461"/>
    <w:rsid w:val="003464D5"/>
    <w:rsid w:val="0034714A"/>
    <w:rsid w:val="00351F7C"/>
    <w:rsid w:val="00352C16"/>
    <w:rsid w:val="00353591"/>
    <w:rsid w:val="00353C09"/>
    <w:rsid w:val="00354A44"/>
    <w:rsid w:val="003555ED"/>
    <w:rsid w:val="003568C2"/>
    <w:rsid w:val="00365C58"/>
    <w:rsid w:val="0036697D"/>
    <w:rsid w:val="00367E2C"/>
    <w:rsid w:val="00370B4F"/>
    <w:rsid w:val="00371EC6"/>
    <w:rsid w:val="00371ED5"/>
    <w:rsid w:val="00372861"/>
    <w:rsid w:val="00375788"/>
    <w:rsid w:val="00377542"/>
    <w:rsid w:val="0038018C"/>
    <w:rsid w:val="00386A86"/>
    <w:rsid w:val="00390719"/>
    <w:rsid w:val="003928DF"/>
    <w:rsid w:val="00392C0F"/>
    <w:rsid w:val="003962D5"/>
    <w:rsid w:val="003A1C92"/>
    <w:rsid w:val="003A3022"/>
    <w:rsid w:val="003A4FE4"/>
    <w:rsid w:val="003A6148"/>
    <w:rsid w:val="003A733C"/>
    <w:rsid w:val="003A7580"/>
    <w:rsid w:val="003B2336"/>
    <w:rsid w:val="003B2407"/>
    <w:rsid w:val="003B318D"/>
    <w:rsid w:val="003B36F2"/>
    <w:rsid w:val="003B374D"/>
    <w:rsid w:val="003C0A28"/>
    <w:rsid w:val="003C3BD4"/>
    <w:rsid w:val="003C4E68"/>
    <w:rsid w:val="003C732C"/>
    <w:rsid w:val="003D32C5"/>
    <w:rsid w:val="003D4F54"/>
    <w:rsid w:val="003D79BE"/>
    <w:rsid w:val="003E33DE"/>
    <w:rsid w:val="003E7FB1"/>
    <w:rsid w:val="003F024E"/>
    <w:rsid w:val="003F0D6B"/>
    <w:rsid w:val="003F1645"/>
    <w:rsid w:val="003F2C03"/>
    <w:rsid w:val="003F3052"/>
    <w:rsid w:val="003F7179"/>
    <w:rsid w:val="00402349"/>
    <w:rsid w:val="00404915"/>
    <w:rsid w:val="004052E3"/>
    <w:rsid w:val="00405C4A"/>
    <w:rsid w:val="004109C0"/>
    <w:rsid w:val="00412850"/>
    <w:rsid w:val="004135A3"/>
    <w:rsid w:val="00413B26"/>
    <w:rsid w:val="00416668"/>
    <w:rsid w:val="0041693E"/>
    <w:rsid w:val="00416A03"/>
    <w:rsid w:val="00417728"/>
    <w:rsid w:val="00420493"/>
    <w:rsid w:val="004212F9"/>
    <w:rsid w:val="00422C43"/>
    <w:rsid w:val="00424284"/>
    <w:rsid w:val="004254CB"/>
    <w:rsid w:val="00425763"/>
    <w:rsid w:val="00425EA6"/>
    <w:rsid w:val="004276F6"/>
    <w:rsid w:val="00427D57"/>
    <w:rsid w:val="0043227E"/>
    <w:rsid w:val="00432722"/>
    <w:rsid w:val="004334EC"/>
    <w:rsid w:val="004335CA"/>
    <w:rsid w:val="004344F1"/>
    <w:rsid w:val="004345B3"/>
    <w:rsid w:val="00434ACE"/>
    <w:rsid w:val="00441598"/>
    <w:rsid w:val="004419FB"/>
    <w:rsid w:val="0045384B"/>
    <w:rsid w:val="00456F27"/>
    <w:rsid w:val="0046116D"/>
    <w:rsid w:val="00462940"/>
    <w:rsid w:val="00463AC0"/>
    <w:rsid w:val="00463D15"/>
    <w:rsid w:val="004657EA"/>
    <w:rsid w:val="0046612A"/>
    <w:rsid w:val="004661A5"/>
    <w:rsid w:val="004669C8"/>
    <w:rsid w:val="00467494"/>
    <w:rsid w:val="00467618"/>
    <w:rsid w:val="00467F0E"/>
    <w:rsid w:val="00470701"/>
    <w:rsid w:val="0047103A"/>
    <w:rsid w:val="00480B5F"/>
    <w:rsid w:val="004822FB"/>
    <w:rsid w:val="004863FD"/>
    <w:rsid w:val="0048715E"/>
    <w:rsid w:val="00487357"/>
    <w:rsid w:val="00493DA8"/>
    <w:rsid w:val="00494FA6"/>
    <w:rsid w:val="004A0D5F"/>
    <w:rsid w:val="004A746C"/>
    <w:rsid w:val="004B5830"/>
    <w:rsid w:val="004C27F1"/>
    <w:rsid w:val="004C2EFE"/>
    <w:rsid w:val="004C4A0F"/>
    <w:rsid w:val="004C53CC"/>
    <w:rsid w:val="004C576E"/>
    <w:rsid w:val="004D2D86"/>
    <w:rsid w:val="004D3208"/>
    <w:rsid w:val="004D3887"/>
    <w:rsid w:val="004D73CA"/>
    <w:rsid w:val="004D7A1C"/>
    <w:rsid w:val="004E08FD"/>
    <w:rsid w:val="004E2641"/>
    <w:rsid w:val="004E3FD5"/>
    <w:rsid w:val="004E714C"/>
    <w:rsid w:val="004F02E3"/>
    <w:rsid w:val="004F2D90"/>
    <w:rsid w:val="004F4E5A"/>
    <w:rsid w:val="004F7007"/>
    <w:rsid w:val="00503979"/>
    <w:rsid w:val="005043F9"/>
    <w:rsid w:val="00506A9D"/>
    <w:rsid w:val="00510554"/>
    <w:rsid w:val="00511CCD"/>
    <w:rsid w:val="00517167"/>
    <w:rsid w:val="00520016"/>
    <w:rsid w:val="00521930"/>
    <w:rsid w:val="005223F2"/>
    <w:rsid w:val="005229F7"/>
    <w:rsid w:val="00522F88"/>
    <w:rsid w:val="00524016"/>
    <w:rsid w:val="0052547C"/>
    <w:rsid w:val="005266D4"/>
    <w:rsid w:val="00530548"/>
    <w:rsid w:val="0053450F"/>
    <w:rsid w:val="00540285"/>
    <w:rsid w:val="0054299E"/>
    <w:rsid w:val="005435FB"/>
    <w:rsid w:val="00544B42"/>
    <w:rsid w:val="00544E7F"/>
    <w:rsid w:val="00550B96"/>
    <w:rsid w:val="00552750"/>
    <w:rsid w:val="00554A31"/>
    <w:rsid w:val="00555BA2"/>
    <w:rsid w:val="00556041"/>
    <w:rsid w:val="0055734F"/>
    <w:rsid w:val="00560B0A"/>
    <w:rsid w:val="0056181B"/>
    <w:rsid w:val="005622B6"/>
    <w:rsid w:val="00564A25"/>
    <w:rsid w:val="00565585"/>
    <w:rsid w:val="005677AD"/>
    <w:rsid w:val="00571308"/>
    <w:rsid w:val="00571CBD"/>
    <w:rsid w:val="005730A9"/>
    <w:rsid w:val="0057704C"/>
    <w:rsid w:val="005803F4"/>
    <w:rsid w:val="00585A88"/>
    <w:rsid w:val="0059102D"/>
    <w:rsid w:val="005916C4"/>
    <w:rsid w:val="0059486A"/>
    <w:rsid w:val="005953F3"/>
    <w:rsid w:val="00597B85"/>
    <w:rsid w:val="005A0EE3"/>
    <w:rsid w:val="005A1905"/>
    <w:rsid w:val="005A3605"/>
    <w:rsid w:val="005A4328"/>
    <w:rsid w:val="005A7A85"/>
    <w:rsid w:val="005B0D69"/>
    <w:rsid w:val="005B2408"/>
    <w:rsid w:val="005B766D"/>
    <w:rsid w:val="005C5145"/>
    <w:rsid w:val="005C57D1"/>
    <w:rsid w:val="005C7ACF"/>
    <w:rsid w:val="005D1388"/>
    <w:rsid w:val="005E0196"/>
    <w:rsid w:val="005E02B9"/>
    <w:rsid w:val="005E092A"/>
    <w:rsid w:val="005F3735"/>
    <w:rsid w:val="005F3AD5"/>
    <w:rsid w:val="005F4305"/>
    <w:rsid w:val="005F62D9"/>
    <w:rsid w:val="00601DA1"/>
    <w:rsid w:val="00602B88"/>
    <w:rsid w:val="006038C3"/>
    <w:rsid w:val="00611CEA"/>
    <w:rsid w:val="006132D5"/>
    <w:rsid w:val="006140CC"/>
    <w:rsid w:val="0061438B"/>
    <w:rsid w:val="00615CFF"/>
    <w:rsid w:val="006212EC"/>
    <w:rsid w:val="00623803"/>
    <w:rsid w:val="00624228"/>
    <w:rsid w:val="00624634"/>
    <w:rsid w:val="006259CB"/>
    <w:rsid w:val="00627DBF"/>
    <w:rsid w:val="00631F0A"/>
    <w:rsid w:val="00632249"/>
    <w:rsid w:val="00634110"/>
    <w:rsid w:val="00634EFB"/>
    <w:rsid w:val="00635709"/>
    <w:rsid w:val="006367A1"/>
    <w:rsid w:val="00637A2B"/>
    <w:rsid w:val="00637F1C"/>
    <w:rsid w:val="00642105"/>
    <w:rsid w:val="006424F1"/>
    <w:rsid w:val="006425A4"/>
    <w:rsid w:val="006450B3"/>
    <w:rsid w:val="00645AE9"/>
    <w:rsid w:val="0064649E"/>
    <w:rsid w:val="00646DF1"/>
    <w:rsid w:val="00647036"/>
    <w:rsid w:val="00656F9A"/>
    <w:rsid w:val="00660DA4"/>
    <w:rsid w:val="006620BA"/>
    <w:rsid w:val="00662717"/>
    <w:rsid w:val="00665A74"/>
    <w:rsid w:val="006662A1"/>
    <w:rsid w:val="00670221"/>
    <w:rsid w:val="00673746"/>
    <w:rsid w:val="00673AEB"/>
    <w:rsid w:val="00673BD7"/>
    <w:rsid w:val="006748D6"/>
    <w:rsid w:val="00675885"/>
    <w:rsid w:val="00680E67"/>
    <w:rsid w:val="0068156F"/>
    <w:rsid w:val="00681B79"/>
    <w:rsid w:val="006827D6"/>
    <w:rsid w:val="006845DD"/>
    <w:rsid w:val="00685995"/>
    <w:rsid w:val="006873BF"/>
    <w:rsid w:val="00687D80"/>
    <w:rsid w:val="006918EE"/>
    <w:rsid w:val="006919B6"/>
    <w:rsid w:val="00691BD4"/>
    <w:rsid w:val="00692ACC"/>
    <w:rsid w:val="00693376"/>
    <w:rsid w:val="0069341B"/>
    <w:rsid w:val="00695B03"/>
    <w:rsid w:val="006A3AEA"/>
    <w:rsid w:val="006A609D"/>
    <w:rsid w:val="006A62A6"/>
    <w:rsid w:val="006B324A"/>
    <w:rsid w:val="006B5E4E"/>
    <w:rsid w:val="006B788D"/>
    <w:rsid w:val="006C2816"/>
    <w:rsid w:val="006C632A"/>
    <w:rsid w:val="006D0194"/>
    <w:rsid w:val="006D11CD"/>
    <w:rsid w:val="006D1EEB"/>
    <w:rsid w:val="006D389E"/>
    <w:rsid w:val="006D4512"/>
    <w:rsid w:val="006D6E03"/>
    <w:rsid w:val="006E3CD9"/>
    <w:rsid w:val="006E55E8"/>
    <w:rsid w:val="006E58C1"/>
    <w:rsid w:val="006F0C78"/>
    <w:rsid w:val="006F36D3"/>
    <w:rsid w:val="006F4638"/>
    <w:rsid w:val="006F6561"/>
    <w:rsid w:val="006F719F"/>
    <w:rsid w:val="00702DD7"/>
    <w:rsid w:val="00703F25"/>
    <w:rsid w:val="00704D7F"/>
    <w:rsid w:val="00705294"/>
    <w:rsid w:val="007066B5"/>
    <w:rsid w:val="00710D35"/>
    <w:rsid w:val="00712774"/>
    <w:rsid w:val="00713346"/>
    <w:rsid w:val="00713F1D"/>
    <w:rsid w:val="00714B25"/>
    <w:rsid w:val="0071539E"/>
    <w:rsid w:val="00716D3B"/>
    <w:rsid w:val="00717030"/>
    <w:rsid w:val="00717797"/>
    <w:rsid w:val="00722704"/>
    <w:rsid w:val="00726A5B"/>
    <w:rsid w:val="00727D5A"/>
    <w:rsid w:val="0073268D"/>
    <w:rsid w:val="00732DA2"/>
    <w:rsid w:val="00732EDD"/>
    <w:rsid w:val="0073397D"/>
    <w:rsid w:val="007363B0"/>
    <w:rsid w:val="00736608"/>
    <w:rsid w:val="00740060"/>
    <w:rsid w:val="00740CBA"/>
    <w:rsid w:val="00741113"/>
    <w:rsid w:val="00741F92"/>
    <w:rsid w:val="00742372"/>
    <w:rsid w:val="00743C6B"/>
    <w:rsid w:val="0074463C"/>
    <w:rsid w:val="00744A5E"/>
    <w:rsid w:val="0074513A"/>
    <w:rsid w:val="007502C6"/>
    <w:rsid w:val="00750314"/>
    <w:rsid w:val="00750772"/>
    <w:rsid w:val="00752FBD"/>
    <w:rsid w:val="00753375"/>
    <w:rsid w:val="00762C1E"/>
    <w:rsid w:val="00763BC6"/>
    <w:rsid w:val="00766DBF"/>
    <w:rsid w:val="00766DC7"/>
    <w:rsid w:val="00767E9E"/>
    <w:rsid w:val="00771C0C"/>
    <w:rsid w:val="00771D0E"/>
    <w:rsid w:val="00773E87"/>
    <w:rsid w:val="007743FF"/>
    <w:rsid w:val="00774B7A"/>
    <w:rsid w:val="00780A15"/>
    <w:rsid w:val="00782D06"/>
    <w:rsid w:val="00785310"/>
    <w:rsid w:val="00787E2E"/>
    <w:rsid w:val="00790FC7"/>
    <w:rsid w:val="007929DD"/>
    <w:rsid w:val="00794AF0"/>
    <w:rsid w:val="00795893"/>
    <w:rsid w:val="00795A6A"/>
    <w:rsid w:val="0079619C"/>
    <w:rsid w:val="007A4C39"/>
    <w:rsid w:val="007A559F"/>
    <w:rsid w:val="007A57BE"/>
    <w:rsid w:val="007A659F"/>
    <w:rsid w:val="007A708A"/>
    <w:rsid w:val="007B0530"/>
    <w:rsid w:val="007B11A4"/>
    <w:rsid w:val="007B1A77"/>
    <w:rsid w:val="007B35D3"/>
    <w:rsid w:val="007B5DEC"/>
    <w:rsid w:val="007B6180"/>
    <w:rsid w:val="007B7FF5"/>
    <w:rsid w:val="007C2F7E"/>
    <w:rsid w:val="007C30A7"/>
    <w:rsid w:val="007C384C"/>
    <w:rsid w:val="007C5173"/>
    <w:rsid w:val="007C5BF3"/>
    <w:rsid w:val="007C6311"/>
    <w:rsid w:val="007C64BC"/>
    <w:rsid w:val="007C7D83"/>
    <w:rsid w:val="007D3AB8"/>
    <w:rsid w:val="007D3B33"/>
    <w:rsid w:val="007D7849"/>
    <w:rsid w:val="007E0DDF"/>
    <w:rsid w:val="007E6165"/>
    <w:rsid w:val="007E7483"/>
    <w:rsid w:val="007F0F86"/>
    <w:rsid w:val="007F2186"/>
    <w:rsid w:val="007F3452"/>
    <w:rsid w:val="007F3A18"/>
    <w:rsid w:val="007F5814"/>
    <w:rsid w:val="007F610C"/>
    <w:rsid w:val="007F64C2"/>
    <w:rsid w:val="007F72A0"/>
    <w:rsid w:val="008037C1"/>
    <w:rsid w:val="0080572F"/>
    <w:rsid w:val="008068C6"/>
    <w:rsid w:val="008101DA"/>
    <w:rsid w:val="0081086D"/>
    <w:rsid w:val="00810E8D"/>
    <w:rsid w:val="0081243C"/>
    <w:rsid w:val="00813BF8"/>
    <w:rsid w:val="00815169"/>
    <w:rsid w:val="008170B0"/>
    <w:rsid w:val="00817FFC"/>
    <w:rsid w:val="0082089D"/>
    <w:rsid w:val="00821726"/>
    <w:rsid w:val="00824FDE"/>
    <w:rsid w:val="008253FA"/>
    <w:rsid w:val="00826E64"/>
    <w:rsid w:val="00827565"/>
    <w:rsid w:val="008276B4"/>
    <w:rsid w:val="00827F46"/>
    <w:rsid w:val="008300DC"/>
    <w:rsid w:val="00830C24"/>
    <w:rsid w:val="00831A98"/>
    <w:rsid w:val="0083363A"/>
    <w:rsid w:val="00833F7E"/>
    <w:rsid w:val="00837041"/>
    <w:rsid w:val="00842B8A"/>
    <w:rsid w:val="00844E27"/>
    <w:rsid w:val="00847C44"/>
    <w:rsid w:val="00850961"/>
    <w:rsid w:val="00851AB6"/>
    <w:rsid w:val="008522C1"/>
    <w:rsid w:val="00853093"/>
    <w:rsid w:val="008610F7"/>
    <w:rsid w:val="00861813"/>
    <w:rsid w:val="00862879"/>
    <w:rsid w:val="00863A02"/>
    <w:rsid w:val="00864D27"/>
    <w:rsid w:val="0086578E"/>
    <w:rsid w:val="00865A22"/>
    <w:rsid w:val="008667D3"/>
    <w:rsid w:val="008719B1"/>
    <w:rsid w:val="0087330F"/>
    <w:rsid w:val="00874EA9"/>
    <w:rsid w:val="00876CFE"/>
    <w:rsid w:val="0088225F"/>
    <w:rsid w:val="00885489"/>
    <w:rsid w:val="00886530"/>
    <w:rsid w:val="0088667C"/>
    <w:rsid w:val="00886EAA"/>
    <w:rsid w:val="00890371"/>
    <w:rsid w:val="008929A7"/>
    <w:rsid w:val="0089384B"/>
    <w:rsid w:val="00896A56"/>
    <w:rsid w:val="008A181A"/>
    <w:rsid w:val="008A35AA"/>
    <w:rsid w:val="008A371E"/>
    <w:rsid w:val="008B2347"/>
    <w:rsid w:val="008B23EF"/>
    <w:rsid w:val="008B2FEF"/>
    <w:rsid w:val="008B535D"/>
    <w:rsid w:val="008C0854"/>
    <w:rsid w:val="008C6490"/>
    <w:rsid w:val="008C6BF2"/>
    <w:rsid w:val="008C72FF"/>
    <w:rsid w:val="008D1171"/>
    <w:rsid w:val="008D2EA1"/>
    <w:rsid w:val="008D3907"/>
    <w:rsid w:val="008D4429"/>
    <w:rsid w:val="008D682A"/>
    <w:rsid w:val="008D696E"/>
    <w:rsid w:val="008D70CC"/>
    <w:rsid w:val="008D769B"/>
    <w:rsid w:val="008E2FF2"/>
    <w:rsid w:val="008E3E03"/>
    <w:rsid w:val="008F2C92"/>
    <w:rsid w:val="008F6E8B"/>
    <w:rsid w:val="00902224"/>
    <w:rsid w:val="00904611"/>
    <w:rsid w:val="009046B4"/>
    <w:rsid w:val="00904EB3"/>
    <w:rsid w:val="0090511D"/>
    <w:rsid w:val="00905381"/>
    <w:rsid w:val="00906588"/>
    <w:rsid w:val="00906C26"/>
    <w:rsid w:val="0091166F"/>
    <w:rsid w:val="00913D49"/>
    <w:rsid w:val="0091649D"/>
    <w:rsid w:val="00916A1B"/>
    <w:rsid w:val="00917135"/>
    <w:rsid w:val="009202B7"/>
    <w:rsid w:val="009213F2"/>
    <w:rsid w:val="009277AE"/>
    <w:rsid w:val="009377DA"/>
    <w:rsid w:val="00943D86"/>
    <w:rsid w:val="00943E94"/>
    <w:rsid w:val="00946081"/>
    <w:rsid w:val="009466B0"/>
    <w:rsid w:val="0095094F"/>
    <w:rsid w:val="00953046"/>
    <w:rsid w:val="00953446"/>
    <w:rsid w:val="009540F6"/>
    <w:rsid w:val="009613DD"/>
    <w:rsid w:val="00961F52"/>
    <w:rsid w:val="00963887"/>
    <w:rsid w:val="009651E3"/>
    <w:rsid w:val="00965E53"/>
    <w:rsid w:val="009663B5"/>
    <w:rsid w:val="00971061"/>
    <w:rsid w:val="0097205A"/>
    <w:rsid w:val="00974932"/>
    <w:rsid w:val="00980EE0"/>
    <w:rsid w:val="00982F8A"/>
    <w:rsid w:val="00986F18"/>
    <w:rsid w:val="0098753F"/>
    <w:rsid w:val="00990719"/>
    <w:rsid w:val="00992BC7"/>
    <w:rsid w:val="009974C2"/>
    <w:rsid w:val="00997664"/>
    <w:rsid w:val="00997906"/>
    <w:rsid w:val="009A1160"/>
    <w:rsid w:val="009A4542"/>
    <w:rsid w:val="009A5C6A"/>
    <w:rsid w:val="009B2161"/>
    <w:rsid w:val="009B33F0"/>
    <w:rsid w:val="009B4C83"/>
    <w:rsid w:val="009B5534"/>
    <w:rsid w:val="009C148D"/>
    <w:rsid w:val="009C431D"/>
    <w:rsid w:val="009D11EF"/>
    <w:rsid w:val="009D2B1D"/>
    <w:rsid w:val="009D52E9"/>
    <w:rsid w:val="009D5E2C"/>
    <w:rsid w:val="009E0008"/>
    <w:rsid w:val="009E71B1"/>
    <w:rsid w:val="009F05AC"/>
    <w:rsid w:val="009F26BF"/>
    <w:rsid w:val="009F344E"/>
    <w:rsid w:val="009F421E"/>
    <w:rsid w:val="009F527B"/>
    <w:rsid w:val="009F797F"/>
    <w:rsid w:val="00A0316E"/>
    <w:rsid w:val="00A03E50"/>
    <w:rsid w:val="00A0497F"/>
    <w:rsid w:val="00A04A68"/>
    <w:rsid w:val="00A10026"/>
    <w:rsid w:val="00A10639"/>
    <w:rsid w:val="00A10B82"/>
    <w:rsid w:val="00A13228"/>
    <w:rsid w:val="00A2274E"/>
    <w:rsid w:val="00A22DD1"/>
    <w:rsid w:val="00A233EB"/>
    <w:rsid w:val="00A25F53"/>
    <w:rsid w:val="00A268F2"/>
    <w:rsid w:val="00A27350"/>
    <w:rsid w:val="00A27A58"/>
    <w:rsid w:val="00A31BDF"/>
    <w:rsid w:val="00A32856"/>
    <w:rsid w:val="00A36D05"/>
    <w:rsid w:val="00A4067D"/>
    <w:rsid w:val="00A40719"/>
    <w:rsid w:val="00A441D8"/>
    <w:rsid w:val="00A6084F"/>
    <w:rsid w:val="00A617C7"/>
    <w:rsid w:val="00A64091"/>
    <w:rsid w:val="00A66633"/>
    <w:rsid w:val="00A70800"/>
    <w:rsid w:val="00A70CD3"/>
    <w:rsid w:val="00A737CD"/>
    <w:rsid w:val="00A76B26"/>
    <w:rsid w:val="00A8326F"/>
    <w:rsid w:val="00A85BF2"/>
    <w:rsid w:val="00A85EE2"/>
    <w:rsid w:val="00A86555"/>
    <w:rsid w:val="00A90C15"/>
    <w:rsid w:val="00A94DDE"/>
    <w:rsid w:val="00A94EE3"/>
    <w:rsid w:val="00A9733E"/>
    <w:rsid w:val="00AA00C1"/>
    <w:rsid w:val="00AA06B3"/>
    <w:rsid w:val="00AA23F2"/>
    <w:rsid w:val="00AA412D"/>
    <w:rsid w:val="00AB0382"/>
    <w:rsid w:val="00AB0A67"/>
    <w:rsid w:val="00AB110D"/>
    <w:rsid w:val="00AB1657"/>
    <w:rsid w:val="00AB2D04"/>
    <w:rsid w:val="00AB6624"/>
    <w:rsid w:val="00AB773A"/>
    <w:rsid w:val="00AB7A62"/>
    <w:rsid w:val="00AC084D"/>
    <w:rsid w:val="00AC1361"/>
    <w:rsid w:val="00AC48B9"/>
    <w:rsid w:val="00AC6648"/>
    <w:rsid w:val="00AC6ACB"/>
    <w:rsid w:val="00AC7FFA"/>
    <w:rsid w:val="00AD2515"/>
    <w:rsid w:val="00AD29FB"/>
    <w:rsid w:val="00AD352B"/>
    <w:rsid w:val="00AD4A06"/>
    <w:rsid w:val="00AD6E5C"/>
    <w:rsid w:val="00AE3643"/>
    <w:rsid w:val="00AE3BBE"/>
    <w:rsid w:val="00AE45D9"/>
    <w:rsid w:val="00AE58E1"/>
    <w:rsid w:val="00AE7628"/>
    <w:rsid w:val="00AF188A"/>
    <w:rsid w:val="00AF2EDB"/>
    <w:rsid w:val="00AF3023"/>
    <w:rsid w:val="00AF666B"/>
    <w:rsid w:val="00AF7038"/>
    <w:rsid w:val="00AF7806"/>
    <w:rsid w:val="00B00CB2"/>
    <w:rsid w:val="00B01097"/>
    <w:rsid w:val="00B013D2"/>
    <w:rsid w:val="00B051BA"/>
    <w:rsid w:val="00B05F2B"/>
    <w:rsid w:val="00B06B61"/>
    <w:rsid w:val="00B06D38"/>
    <w:rsid w:val="00B11BD0"/>
    <w:rsid w:val="00B12705"/>
    <w:rsid w:val="00B2002F"/>
    <w:rsid w:val="00B208BE"/>
    <w:rsid w:val="00B2240D"/>
    <w:rsid w:val="00B230AC"/>
    <w:rsid w:val="00B257F8"/>
    <w:rsid w:val="00B26126"/>
    <w:rsid w:val="00B30490"/>
    <w:rsid w:val="00B3218B"/>
    <w:rsid w:val="00B376F3"/>
    <w:rsid w:val="00B378E1"/>
    <w:rsid w:val="00B378E4"/>
    <w:rsid w:val="00B421F7"/>
    <w:rsid w:val="00B43A68"/>
    <w:rsid w:val="00B4729B"/>
    <w:rsid w:val="00B50F59"/>
    <w:rsid w:val="00B518B3"/>
    <w:rsid w:val="00B53466"/>
    <w:rsid w:val="00B57A86"/>
    <w:rsid w:val="00B60CAE"/>
    <w:rsid w:val="00B6572D"/>
    <w:rsid w:val="00B713F9"/>
    <w:rsid w:val="00B725B9"/>
    <w:rsid w:val="00B7394E"/>
    <w:rsid w:val="00B76A24"/>
    <w:rsid w:val="00B80530"/>
    <w:rsid w:val="00B8097F"/>
    <w:rsid w:val="00B8145F"/>
    <w:rsid w:val="00B8308D"/>
    <w:rsid w:val="00B841A9"/>
    <w:rsid w:val="00B87247"/>
    <w:rsid w:val="00BA6769"/>
    <w:rsid w:val="00BA6922"/>
    <w:rsid w:val="00BB0F54"/>
    <w:rsid w:val="00BB13BF"/>
    <w:rsid w:val="00BB7BB6"/>
    <w:rsid w:val="00BC0159"/>
    <w:rsid w:val="00BC100E"/>
    <w:rsid w:val="00BD39BD"/>
    <w:rsid w:val="00BD69DE"/>
    <w:rsid w:val="00BD737D"/>
    <w:rsid w:val="00BD7B28"/>
    <w:rsid w:val="00BE059D"/>
    <w:rsid w:val="00BE31E8"/>
    <w:rsid w:val="00BE52BC"/>
    <w:rsid w:val="00BF29DC"/>
    <w:rsid w:val="00BF303E"/>
    <w:rsid w:val="00BF3DF9"/>
    <w:rsid w:val="00BF4A5E"/>
    <w:rsid w:val="00BF5CAD"/>
    <w:rsid w:val="00BF7B8F"/>
    <w:rsid w:val="00C01DB3"/>
    <w:rsid w:val="00C02B65"/>
    <w:rsid w:val="00C134F3"/>
    <w:rsid w:val="00C13C8B"/>
    <w:rsid w:val="00C15AE1"/>
    <w:rsid w:val="00C169CD"/>
    <w:rsid w:val="00C16E6C"/>
    <w:rsid w:val="00C21E72"/>
    <w:rsid w:val="00C22A38"/>
    <w:rsid w:val="00C3180D"/>
    <w:rsid w:val="00C325B9"/>
    <w:rsid w:val="00C33B54"/>
    <w:rsid w:val="00C35945"/>
    <w:rsid w:val="00C43018"/>
    <w:rsid w:val="00C4420B"/>
    <w:rsid w:val="00C451D8"/>
    <w:rsid w:val="00C45E81"/>
    <w:rsid w:val="00C470A2"/>
    <w:rsid w:val="00C5237F"/>
    <w:rsid w:val="00C569CB"/>
    <w:rsid w:val="00C61360"/>
    <w:rsid w:val="00C61A87"/>
    <w:rsid w:val="00C62978"/>
    <w:rsid w:val="00C63530"/>
    <w:rsid w:val="00C65201"/>
    <w:rsid w:val="00C71655"/>
    <w:rsid w:val="00C716C4"/>
    <w:rsid w:val="00C71CCE"/>
    <w:rsid w:val="00C74789"/>
    <w:rsid w:val="00C74E23"/>
    <w:rsid w:val="00C7780F"/>
    <w:rsid w:val="00C80148"/>
    <w:rsid w:val="00C8745B"/>
    <w:rsid w:val="00C8753E"/>
    <w:rsid w:val="00C87F34"/>
    <w:rsid w:val="00C91DC1"/>
    <w:rsid w:val="00C95DB7"/>
    <w:rsid w:val="00CA1A04"/>
    <w:rsid w:val="00CA3D1C"/>
    <w:rsid w:val="00CA6AE2"/>
    <w:rsid w:val="00CB483E"/>
    <w:rsid w:val="00CB7CC8"/>
    <w:rsid w:val="00CB7FDF"/>
    <w:rsid w:val="00CC016C"/>
    <w:rsid w:val="00CC1524"/>
    <w:rsid w:val="00CC38BC"/>
    <w:rsid w:val="00CC3FD6"/>
    <w:rsid w:val="00CC4646"/>
    <w:rsid w:val="00CC4BBF"/>
    <w:rsid w:val="00CC65D6"/>
    <w:rsid w:val="00CC6F62"/>
    <w:rsid w:val="00CD17CE"/>
    <w:rsid w:val="00CD2AB2"/>
    <w:rsid w:val="00CD3821"/>
    <w:rsid w:val="00CD6407"/>
    <w:rsid w:val="00CD6A6A"/>
    <w:rsid w:val="00CE5DD0"/>
    <w:rsid w:val="00CF0B16"/>
    <w:rsid w:val="00CF2220"/>
    <w:rsid w:val="00CF48EF"/>
    <w:rsid w:val="00CF5BB7"/>
    <w:rsid w:val="00D074F2"/>
    <w:rsid w:val="00D076A0"/>
    <w:rsid w:val="00D12CA9"/>
    <w:rsid w:val="00D153A1"/>
    <w:rsid w:val="00D15D01"/>
    <w:rsid w:val="00D201F4"/>
    <w:rsid w:val="00D20D5E"/>
    <w:rsid w:val="00D21C3E"/>
    <w:rsid w:val="00D30FB4"/>
    <w:rsid w:val="00D32E0A"/>
    <w:rsid w:val="00D3314C"/>
    <w:rsid w:val="00D3588A"/>
    <w:rsid w:val="00D37291"/>
    <w:rsid w:val="00D40F56"/>
    <w:rsid w:val="00D42938"/>
    <w:rsid w:val="00D439DA"/>
    <w:rsid w:val="00D45D19"/>
    <w:rsid w:val="00D51F1D"/>
    <w:rsid w:val="00D520A0"/>
    <w:rsid w:val="00D54704"/>
    <w:rsid w:val="00D54C3C"/>
    <w:rsid w:val="00D55CAB"/>
    <w:rsid w:val="00D56867"/>
    <w:rsid w:val="00D579D9"/>
    <w:rsid w:val="00D60C57"/>
    <w:rsid w:val="00D62D7A"/>
    <w:rsid w:val="00D646EF"/>
    <w:rsid w:val="00D65943"/>
    <w:rsid w:val="00D67634"/>
    <w:rsid w:val="00D678EB"/>
    <w:rsid w:val="00D67B99"/>
    <w:rsid w:val="00D70A40"/>
    <w:rsid w:val="00D72F9D"/>
    <w:rsid w:val="00D73195"/>
    <w:rsid w:val="00D73D18"/>
    <w:rsid w:val="00D773F7"/>
    <w:rsid w:val="00D82650"/>
    <w:rsid w:val="00D83769"/>
    <w:rsid w:val="00D841CA"/>
    <w:rsid w:val="00D90250"/>
    <w:rsid w:val="00D9048A"/>
    <w:rsid w:val="00D91187"/>
    <w:rsid w:val="00D93A54"/>
    <w:rsid w:val="00D93DA3"/>
    <w:rsid w:val="00D9445F"/>
    <w:rsid w:val="00D963EA"/>
    <w:rsid w:val="00D96D84"/>
    <w:rsid w:val="00DA3702"/>
    <w:rsid w:val="00DA3803"/>
    <w:rsid w:val="00DA53A0"/>
    <w:rsid w:val="00DA5FBF"/>
    <w:rsid w:val="00DA6765"/>
    <w:rsid w:val="00DA79A0"/>
    <w:rsid w:val="00DB36A1"/>
    <w:rsid w:val="00DB6A8E"/>
    <w:rsid w:val="00DB74D9"/>
    <w:rsid w:val="00DC18B9"/>
    <w:rsid w:val="00DC36B2"/>
    <w:rsid w:val="00DC66C4"/>
    <w:rsid w:val="00DD0A4B"/>
    <w:rsid w:val="00DD27F1"/>
    <w:rsid w:val="00DD409F"/>
    <w:rsid w:val="00DD4528"/>
    <w:rsid w:val="00DD53A7"/>
    <w:rsid w:val="00DD56A4"/>
    <w:rsid w:val="00DD6105"/>
    <w:rsid w:val="00DD71DE"/>
    <w:rsid w:val="00DD7270"/>
    <w:rsid w:val="00DE0A41"/>
    <w:rsid w:val="00DE3476"/>
    <w:rsid w:val="00DE633F"/>
    <w:rsid w:val="00DF17D0"/>
    <w:rsid w:val="00DF304F"/>
    <w:rsid w:val="00DF38F8"/>
    <w:rsid w:val="00DF45B1"/>
    <w:rsid w:val="00E005B9"/>
    <w:rsid w:val="00E02857"/>
    <w:rsid w:val="00E06194"/>
    <w:rsid w:val="00E07A0A"/>
    <w:rsid w:val="00E1375F"/>
    <w:rsid w:val="00E14466"/>
    <w:rsid w:val="00E16AA7"/>
    <w:rsid w:val="00E174CD"/>
    <w:rsid w:val="00E234AA"/>
    <w:rsid w:val="00E240DA"/>
    <w:rsid w:val="00E2460D"/>
    <w:rsid w:val="00E24BAE"/>
    <w:rsid w:val="00E30609"/>
    <w:rsid w:val="00E33B1F"/>
    <w:rsid w:val="00E355E6"/>
    <w:rsid w:val="00E36889"/>
    <w:rsid w:val="00E41248"/>
    <w:rsid w:val="00E5173A"/>
    <w:rsid w:val="00E63ED8"/>
    <w:rsid w:val="00E669D9"/>
    <w:rsid w:val="00E67553"/>
    <w:rsid w:val="00E70940"/>
    <w:rsid w:val="00E7129C"/>
    <w:rsid w:val="00E717B9"/>
    <w:rsid w:val="00E74B49"/>
    <w:rsid w:val="00E76519"/>
    <w:rsid w:val="00E80F55"/>
    <w:rsid w:val="00E85501"/>
    <w:rsid w:val="00E85E93"/>
    <w:rsid w:val="00E87BC9"/>
    <w:rsid w:val="00E93920"/>
    <w:rsid w:val="00E94FCE"/>
    <w:rsid w:val="00E961EC"/>
    <w:rsid w:val="00EA010A"/>
    <w:rsid w:val="00EA5AAD"/>
    <w:rsid w:val="00EB0F71"/>
    <w:rsid w:val="00EB3C3E"/>
    <w:rsid w:val="00EB3E27"/>
    <w:rsid w:val="00EB6DFC"/>
    <w:rsid w:val="00EB7500"/>
    <w:rsid w:val="00ED00EB"/>
    <w:rsid w:val="00ED161A"/>
    <w:rsid w:val="00ED5CF0"/>
    <w:rsid w:val="00ED759A"/>
    <w:rsid w:val="00EE2CAD"/>
    <w:rsid w:val="00EE2DDB"/>
    <w:rsid w:val="00EE361C"/>
    <w:rsid w:val="00EE3CD1"/>
    <w:rsid w:val="00EE44DA"/>
    <w:rsid w:val="00EE769B"/>
    <w:rsid w:val="00EF005C"/>
    <w:rsid w:val="00EF0BA8"/>
    <w:rsid w:val="00EF11BE"/>
    <w:rsid w:val="00EF322E"/>
    <w:rsid w:val="00EF6199"/>
    <w:rsid w:val="00EF666F"/>
    <w:rsid w:val="00F006C4"/>
    <w:rsid w:val="00F0312E"/>
    <w:rsid w:val="00F03B67"/>
    <w:rsid w:val="00F04D5C"/>
    <w:rsid w:val="00F0630A"/>
    <w:rsid w:val="00F12949"/>
    <w:rsid w:val="00F13903"/>
    <w:rsid w:val="00F152EA"/>
    <w:rsid w:val="00F16B98"/>
    <w:rsid w:val="00F20AB7"/>
    <w:rsid w:val="00F21671"/>
    <w:rsid w:val="00F23EAB"/>
    <w:rsid w:val="00F3153B"/>
    <w:rsid w:val="00F32B8F"/>
    <w:rsid w:val="00F343A0"/>
    <w:rsid w:val="00F37574"/>
    <w:rsid w:val="00F409E2"/>
    <w:rsid w:val="00F47904"/>
    <w:rsid w:val="00F52598"/>
    <w:rsid w:val="00F53671"/>
    <w:rsid w:val="00F559B1"/>
    <w:rsid w:val="00F562CC"/>
    <w:rsid w:val="00F5696E"/>
    <w:rsid w:val="00F57BAE"/>
    <w:rsid w:val="00F61F55"/>
    <w:rsid w:val="00F6215C"/>
    <w:rsid w:val="00F65A7F"/>
    <w:rsid w:val="00F66180"/>
    <w:rsid w:val="00F80437"/>
    <w:rsid w:val="00F8118C"/>
    <w:rsid w:val="00F814DB"/>
    <w:rsid w:val="00F831FB"/>
    <w:rsid w:val="00F8348C"/>
    <w:rsid w:val="00F84A56"/>
    <w:rsid w:val="00F84ED6"/>
    <w:rsid w:val="00F86BEF"/>
    <w:rsid w:val="00F919AC"/>
    <w:rsid w:val="00F928A1"/>
    <w:rsid w:val="00F92CCB"/>
    <w:rsid w:val="00F974D6"/>
    <w:rsid w:val="00FA6603"/>
    <w:rsid w:val="00FA7D39"/>
    <w:rsid w:val="00FB360B"/>
    <w:rsid w:val="00FB389B"/>
    <w:rsid w:val="00FB5917"/>
    <w:rsid w:val="00FC0457"/>
    <w:rsid w:val="00FC0ACE"/>
    <w:rsid w:val="00FC2736"/>
    <w:rsid w:val="00FC6C74"/>
    <w:rsid w:val="00FC761C"/>
    <w:rsid w:val="00FD13AE"/>
    <w:rsid w:val="00FD21E5"/>
    <w:rsid w:val="00FD3125"/>
    <w:rsid w:val="00FD40A6"/>
    <w:rsid w:val="00FD6888"/>
    <w:rsid w:val="00FE09BA"/>
    <w:rsid w:val="00FE6303"/>
    <w:rsid w:val="00FE71D4"/>
    <w:rsid w:val="00FF171F"/>
    <w:rsid w:val="00FF1AC9"/>
    <w:rsid w:val="00FF5B67"/>
    <w:rsid w:val="02104475"/>
    <w:rsid w:val="105B7CD5"/>
    <w:rsid w:val="20646191"/>
    <w:rsid w:val="301A2433"/>
    <w:rsid w:val="7FC63B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3E9B6C1"/>
  <w15:docId w15:val="{74195672-D005-47AD-AE68-1AFE7FD867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semiHidden="1" w:uiPriority="39" w:unhideWhenUsed="1"/>
    <w:lsdException w:name="toc 3" w:semiHidden="1" w:uiPriority="0"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iPriority="0" w:unhideWhenUsed="1" w:qFormat="1"/>
    <w:lsdException w:name="annotation text" w:uiPriority="0"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qFormat="1"/>
    <w:lsdException w:name="Body Text Indent 3" w:semiHidden="1" w:uiPriority="0" w:unhideWhenUsed="1" w:qFormat="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iPriority="0" w:unhideWhenUsed="1" w:qFormat="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semiHidden="1" w:uiPriority="0" w:unhideWhenUsed="1"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keepNext/>
      <w:keepLines/>
      <w:spacing w:before="120" w:after="120" w:line="360" w:lineRule="auto"/>
      <w:outlineLvl w:val="0"/>
    </w:pPr>
    <w:rPr>
      <w:rFonts w:ascii="宋体" w:eastAsia="宋体" w:hAnsi="Times New Roman" w:cs="Times New Roman"/>
      <w:b/>
      <w:color w:val="000000"/>
      <w:kern w:val="0"/>
      <w:sz w:val="24"/>
      <w:szCs w:val="20"/>
    </w:rPr>
  </w:style>
  <w:style w:type="paragraph" w:styleId="2">
    <w:name w:val="heading 2"/>
    <w:basedOn w:val="a"/>
    <w:next w:val="a"/>
    <w:link w:val="20"/>
    <w:semiHidden/>
    <w:unhideWhenUsed/>
    <w:qFormat/>
    <w:pPr>
      <w:keepNext/>
      <w:keepLines/>
      <w:numPr>
        <w:numId w:val="1"/>
      </w:numPr>
      <w:spacing w:before="260" w:after="260" w:line="412" w:lineRule="auto"/>
      <w:outlineLvl w:val="1"/>
    </w:pPr>
    <w:rPr>
      <w:rFonts w:ascii="Arial" w:eastAsia="黑体" w:hAnsi="Arial" w:cs="Times New Roman"/>
      <w:b/>
      <w:sz w:val="32"/>
      <w:szCs w:val="20"/>
    </w:rPr>
  </w:style>
  <w:style w:type="paragraph" w:styleId="3">
    <w:name w:val="heading 3"/>
    <w:basedOn w:val="a"/>
    <w:next w:val="a"/>
    <w:link w:val="30"/>
    <w:semiHidden/>
    <w:unhideWhenUsed/>
    <w:qFormat/>
    <w:pPr>
      <w:keepNext/>
      <w:keepLines/>
      <w:spacing w:before="260" w:after="260" w:line="412" w:lineRule="auto"/>
      <w:outlineLvl w:val="2"/>
    </w:pPr>
    <w:rPr>
      <w:rFonts w:ascii="Times New Roman" w:eastAsia="宋体" w:hAnsi="Times New Roman" w:cs="Times New Roman"/>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semiHidden/>
    <w:unhideWhenUsed/>
    <w:qFormat/>
    <w:pPr>
      <w:ind w:firstLineChars="200" w:firstLine="420"/>
    </w:pPr>
    <w:rPr>
      <w:rFonts w:ascii="Times New Roman" w:eastAsia="宋体" w:hAnsi="Times New Roman" w:cs="Times New Roman"/>
      <w:szCs w:val="20"/>
    </w:rPr>
  </w:style>
  <w:style w:type="paragraph" w:styleId="a4">
    <w:name w:val="Document Map"/>
    <w:basedOn w:val="a"/>
    <w:link w:val="a5"/>
    <w:semiHidden/>
    <w:unhideWhenUsed/>
    <w:qFormat/>
    <w:pPr>
      <w:shd w:val="clear" w:color="auto" w:fill="000080"/>
    </w:pPr>
    <w:rPr>
      <w:rFonts w:ascii="Times New Roman" w:eastAsia="宋体" w:hAnsi="Times New Roman" w:cs="Times New Roman"/>
      <w:szCs w:val="20"/>
    </w:rPr>
  </w:style>
  <w:style w:type="paragraph" w:styleId="a6">
    <w:name w:val="annotation text"/>
    <w:basedOn w:val="a"/>
    <w:link w:val="a7"/>
    <w:unhideWhenUsed/>
    <w:qFormat/>
    <w:pPr>
      <w:jc w:val="left"/>
    </w:pPr>
    <w:rPr>
      <w:rFonts w:ascii="Times New Roman" w:eastAsia="宋体" w:hAnsi="Times New Roman" w:cs="Times New Roman"/>
      <w:szCs w:val="20"/>
    </w:rPr>
  </w:style>
  <w:style w:type="paragraph" w:styleId="a8">
    <w:name w:val="Body Text"/>
    <w:basedOn w:val="a"/>
    <w:link w:val="a9"/>
    <w:semiHidden/>
    <w:unhideWhenUsed/>
    <w:qFormat/>
    <w:pPr>
      <w:autoSpaceDE w:val="0"/>
      <w:autoSpaceDN w:val="0"/>
      <w:adjustRightInd w:val="0"/>
      <w:spacing w:line="360" w:lineRule="auto"/>
      <w:jc w:val="left"/>
    </w:pPr>
    <w:rPr>
      <w:rFonts w:ascii="宋体" w:eastAsia="宋体" w:hAnsi="Calibri" w:cs="Times New Roman"/>
      <w:kern w:val="0"/>
    </w:rPr>
  </w:style>
  <w:style w:type="paragraph" w:styleId="TOC3">
    <w:name w:val="toc 3"/>
    <w:basedOn w:val="a"/>
    <w:next w:val="a"/>
    <w:semiHidden/>
    <w:unhideWhenUsed/>
    <w:qFormat/>
    <w:pPr>
      <w:ind w:leftChars="400" w:left="840"/>
    </w:pPr>
    <w:rPr>
      <w:rFonts w:ascii="Times New Roman" w:eastAsia="宋体" w:hAnsi="Times New Roman" w:cs="Times New Roman"/>
      <w:szCs w:val="20"/>
    </w:rPr>
  </w:style>
  <w:style w:type="paragraph" w:styleId="aa">
    <w:name w:val="Plain Text"/>
    <w:basedOn w:val="a"/>
    <w:link w:val="ab"/>
    <w:semiHidden/>
    <w:unhideWhenUsed/>
    <w:qFormat/>
    <w:pPr>
      <w:adjustRightInd w:val="0"/>
      <w:spacing w:line="312" w:lineRule="atLeast"/>
    </w:pPr>
    <w:rPr>
      <w:rFonts w:ascii="宋体" w:eastAsia="宋体" w:hAnsi="Courier New" w:cs="Times New Roman"/>
      <w:kern w:val="0"/>
      <w:szCs w:val="20"/>
    </w:rPr>
  </w:style>
  <w:style w:type="paragraph" w:styleId="21">
    <w:name w:val="Body Text Indent 2"/>
    <w:basedOn w:val="a"/>
    <w:link w:val="22"/>
    <w:semiHidden/>
    <w:unhideWhenUsed/>
    <w:qFormat/>
    <w:pPr>
      <w:spacing w:line="360" w:lineRule="auto"/>
      <w:ind w:firstLine="425"/>
    </w:pPr>
    <w:rPr>
      <w:rFonts w:ascii="仿宋_GB2312" w:eastAsia="仿宋_GB2312" w:hAnsi="Times New Roman" w:cs="Times New Roman"/>
      <w:sz w:val="28"/>
      <w:szCs w:val="20"/>
    </w:rPr>
  </w:style>
  <w:style w:type="paragraph" w:styleId="ac">
    <w:name w:val="Balloon Text"/>
    <w:basedOn w:val="a"/>
    <w:link w:val="ad"/>
    <w:semiHidden/>
    <w:unhideWhenUsed/>
    <w:rPr>
      <w:rFonts w:ascii="Times New Roman" w:eastAsia="宋体" w:hAnsi="Times New Roman" w:cs="Times New Roman"/>
      <w:sz w:val="18"/>
      <w:szCs w:val="20"/>
    </w:rPr>
  </w:style>
  <w:style w:type="paragraph" w:styleId="ae">
    <w:name w:val="footer"/>
    <w:basedOn w:val="a"/>
    <w:link w:val="af"/>
    <w:uiPriority w:val="99"/>
    <w:unhideWhenUsed/>
    <w:qFormat/>
    <w:pPr>
      <w:tabs>
        <w:tab w:val="center" w:pos="4153"/>
        <w:tab w:val="right" w:pos="8306"/>
      </w:tabs>
      <w:snapToGrid w:val="0"/>
      <w:jc w:val="left"/>
    </w:pPr>
    <w:rPr>
      <w:rFonts w:ascii="Times New Roman" w:eastAsia="宋体" w:hAnsi="Times New Roman" w:cs="Times New Roman"/>
      <w:sz w:val="18"/>
      <w:szCs w:val="18"/>
    </w:rPr>
  </w:style>
  <w:style w:type="paragraph" w:styleId="af0">
    <w:name w:val="header"/>
    <w:basedOn w:val="a"/>
    <w:link w:val="af1"/>
    <w:uiPriority w:val="99"/>
    <w:unhideWhenUsed/>
    <w:qFormat/>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paragraph" w:styleId="TOC1">
    <w:name w:val="toc 1"/>
    <w:basedOn w:val="a"/>
    <w:next w:val="a"/>
    <w:uiPriority w:val="39"/>
    <w:unhideWhenUsed/>
    <w:qFormat/>
    <w:pPr>
      <w:tabs>
        <w:tab w:val="right" w:leader="dot" w:pos="8296"/>
      </w:tabs>
      <w:spacing w:line="360" w:lineRule="auto"/>
    </w:pPr>
    <w:rPr>
      <w:rFonts w:ascii="Times New Roman" w:eastAsia="宋体" w:hAnsi="Times New Roman" w:cs="Times New Roman"/>
      <w:szCs w:val="20"/>
    </w:rPr>
  </w:style>
  <w:style w:type="paragraph" w:styleId="af2">
    <w:name w:val="footnote text"/>
    <w:basedOn w:val="a"/>
    <w:link w:val="af3"/>
    <w:semiHidden/>
    <w:unhideWhenUsed/>
    <w:qFormat/>
    <w:pPr>
      <w:snapToGrid w:val="0"/>
      <w:jc w:val="left"/>
    </w:pPr>
    <w:rPr>
      <w:rFonts w:ascii="Times New Roman" w:eastAsia="宋体" w:hAnsi="Times New Roman" w:cs="Times New Roman"/>
      <w:sz w:val="18"/>
      <w:szCs w:val="20"/>
    </w:rPr>
  </w:style>
  <w:style w:type="paragraph" w:styleId="31">
    <w:name w:val="Body Text Indent 3"/>
    <w:basedOn w:val="a"/>
    <w:link w:val="32"/>
    <w:semiHidden/>
    <w:unhideWhenUsed/>
    <w:qFormat/>
    <w:pPr>
      <w:autoSpaceDE w:val="0"/>
      <w:autoSpaceDN w:val="0"/>
      <w:adjustRightInd w:val="0"/>
      <w:spacing w:line="360" w:lineRule="auto"/>
      <w:ind w:left="420" w:firstLine="435"/>
    </w:pPr>
    <w:rPr>
      <w:rFonts w:ascii="Times New Roman" w:eastAsia="宋体" w:hAnsi="Times New Roman" w:cs="Times New Roman"/>
      <w:color w:val="0000FF"/>
      <w:szCs w:val="20"/>
    </w:rPr>
  </w:style>
  <w:style w:type="paragraph" w:styleId="af4">
    <w:name w:val="Title"/>
    <w:basedOn w:val="a"/>
    <w:next w:val="a"/>
    <w:link w:val="af5"/>
    <w:qFormat/>
    <w:pPr>
      <w:spacing w:before="240" w:after="60"/>
      <w:jc w:val="center"/>
      <w:outlineLvl w:val="0"/>
    </w:pPr>
    <w:rPr>
      <w:rFonts w:ascii="Cambria" w:eastAsia="宋体" w:hAnsi="Cambria" w:cs="Times New Roman"/>
      <w:b/>
      <w:sz w:val="32"/>
    </w:rPr>
  </w:style>
  <w:style w:type="paragraph" w:styleId="af6">
    <w:name w:val="annotation subject"/>
    <w:basedOn w:val="a6"/>
    <w:next w:val="a6"/>
    <w:link w:val="af7"/>
    <w:semiHidden/>
    <w:unhideWhenUsed/>
    <w:qFormat/>
    <w:rPr>
      <w:b/>
    </w:rPr>
  </w:style>
  <w:style w:type="table" w:styleId="af8">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9">
    <w:name w:val="FollowedHyperlink"/>
    <w:basedOn w:val="a0"/>
    <w:uiPriority w:val="99"/>
    <w:semiHidden/>
    <w:unhideWhenUsed/>
    <w:qFormat/>
    <w:rPr>
      <w:color w:val="800080" w:themeColor="followedHyperlink"/>
      <w:u w:val="single"/>
    </w:rPr>
  </w:style>
  <w:style w:type="character" w:styleId="afa">
    <w:name w:val="Hyperlink"/>
    <w:uiPriority w:val="99"/>
    <w:unhideWhenUsed/>
    <w:qFormat/>
    <w:rPr>
      <w:color w:val="0000FF"/>
      <w:u w:val="single"/>
    </w:rPr>
  </w:style>
  <w:style w:type="character" w:styleId="afb">
    <w:name w:val="annotation reference"/>
    <w:semiHidden/>
    <w:unhideWhenUsed/>
    <w:qFormat/>
    <w:rPr>
      <w:sz w:val="21"/>
    </w:rPr>
  </w:style>
  <w:style w:type="character" w:styleId="afc">
    <w:name w:val="footnote reference"/>
    <w:semiHidden/>
    <w:unhideWhenUsed/>
    <w:qFormat/>
    <w:rPr>
      <w:vertAlign w:val="superscript"/>
    </w:rPr>
  </w:style>
  <w:style w:type="character" w:customStyle="1" w:styleId="10">
    <w:name w:val="标题 1 字符"/>
    <w:basedOn w:val="a0"/>
    <w:link w:val="1"/>
    <w:uiPriority w:val="9"/>
    <w:qFormat/>
    <w:rPr>
      <w:rFonts w:ascii="宋体" w:eastAsia="宋体" w:hAnsi="Times New Roman" w:cs="Times New Roman"/>
      <w:b/>
      <w:color w:val="000000"/>
      <w:kern w:val="0"/>
      <w:sz w:val="24"/>
      <w:szCs w:val="20"/>
    </w:rPr>
  </w:style>
  <w:style w:type="character" w:customStyle="1" w:styleId="20">
    <w:name w:val="标题 2 字符"/>
    <w:basedOn w:val="a0"/>
    <w:link w:val="2"/>
    <w:semiHidden/>
    <w:qFormat/>
    <w:rPr>
      <w:rFonts w:ascii="Arial" w:eastAsia="黑体" w:hAnsi="Arial" w:cs="Times New Roman"/>
      <w:b/>
      <w:sz w:val="32"/>
      <w:szCs w:val="20"/>
    </w:rPr>
  </w:style>
  <w:style w:type="character" w:customStyle="1" w:styleId="30">
    <w:name w:val="标题 3 字符"/>
    <w:basedOn w:val="a0"/>
    <w:link w:val="3"/>
    <w:semiHidden/>
    <w:qFormat/>
    <w:rPr>
      <w:rFonts w:ascii="Times New Roman" w:eastAsia="宋体" w:hAnsi="Times New Roman" w:cs="Times New Roman"/>
      <w:b/>
      <w:kern w:val="0"/>
      <w:sz w:val="32"/>
      <w:szCs w:val="20"/>
    </w:rPr>
  </w:style>
  <w:style w:type="character" w:customStyle="1" w:styleId="af3">
    <w:name w:val="脚注文本 字符"/>
    <w:basedOn w:val="a0"/>
    <w:link w:val="af2"/>
    <w:semiHidden/>
    <w:qFormat/>
    <w:rPr>
      <w:rFonts w:ascii="Times New Roman" w:eastAsia="宋体" w:hAnsi="Times New Roman" w:cs="Times New Roman"/>
      <w:sz w:val="18"/>
      <w:szCs w:val="20"/>
    </w:rPr>
  </w:style>
  <w:style w:type="character" w:customStyle="1" w:styleId="Char">
    <w:name w:val="批注文字 Char"/>
    <w:basedOn w:val="a0"/>
    <w:qFormat/>
  </w:style>
  <w:style w:type="character" w:customStyle="1" w:styleId="af1">
    <w:name w:val="页眉 字符"/>
    <w:basedOn w:val="a0"/>
    <w:link w:val="af0"/>
    <w:uiPriority w:val="99"/>
    <w:qFormat/>
    <w:rPr>
      <w:rFonts w:ascii="Times New Roman" w:eastAsia="宋体" w:hAnsi="Times New Roman" w:cs="Times New Roman"/>
      <w:sz w:val="18"/>
      <w:szCs w:val="18"/>
    </w:rPr>
  </w:style>
  <w:style w:type="character" w:customStyle="1" w:styleId="af">
    <w:name w:val="页脚 字符"/>
    <w:basedOn w:val="a0"/>
    <w:link w:val="ae"/>
    <w:uiPriority w:val="99"/>
    <w:qFormat/>
    <w:rPr>
      <w:kern w:val="2"/>
      <w:sz w:val="18"/>
      <w:szCs w:val="18"/>
    </w:rPr>
  </w:style>
  <w:style w:type="character" w:customStyle="1" w:styleId="af5">
    <w:name w:val="标题 字符"/>
    <w:basedOn w:val="a0"/>
    <w:link w:val="af4"/>
    <w:qFormat/>
    <w:rPr>
      <w:rFonts w:ascii="Cambria" w:eastAsia="宋体" w:hAnsi="Cambria" w:cs="Times New Roman"/>
      <w:b/>
      <w:sz w:val="32"/>
    </w:rPr>
  </w:style>
  <w:style w:type="character" w:customStyle="1" w:styleId="a9">
    <w:name w:val="正文文本 字符"/>
    <w:basedOn w:val="a0"/>
    <w:link w:val="a8"/>
    <w:semiHidden/>
    <w:qFormat/>
    <w:rPr>
      <w:rFonts w:ascii="宋体" w:eastAsia="宋体" w:hAnsi="Calibri" w:cs="Times New Roman"/>
      <w:kern w:val="0"/>
    </w:rPr>
  </w:style>
  <w:style w:type="character" w:customStyle="1" w:styleId="22">
    <w:name w:val="正文文本缩进 2 字符"/>
    <w:basedOn w:val="a0"/>
    <w:link w:val="21"/>
    <w:semiHidden/>
    <w:qFormat/>
    <w:rPr>
      <w:rFonts w:ascii="仿宋_GB2312" w:eastAsia="仿宋_GB2312" w:hAnsi="Times New Roman" w:cs="Times New Roman"/>
      <w:sz w:val="28"/>
      <w:szCs w:val="20"/>
    </w:rPr>
  </w:style>
  <w:style w:type="character" w:customStyle="1" w:styleId="32">
    <w:name w:val="正文文本缩进 3 字符"/>
    <w:basedOn w:val="a0"/>
    <w:link w:val="31"/>
    <w:semiHidden/>
    <w:qFormat/>
    <w:rPr>
      <w:rFonts w:ascii="Times New Roman" w:eastAsia="宋体" w:hAnsi="Times New Roman" w:cs="Times New Roman"/>
      <w:color w:val="0000FF"/>
      <w:szCs w:val="20"/>
    </w:rPr>
  </w:style>
  <w:style w:type="character" w:customStyle="1" w:styleId="a5">
    <w:name w:val="文档结构图 字符"/>
    <w:basedOn w:val="a0"/>
    <w:link w:val="a4"/>
    <w:semiHidden/>
    <w:qFormat/>
    <w:rPr>
      <w:rFonts w:ascii="Times New Roman" w:eastAsia="宋体" w:hAnsi="Times New Roman" w:cs="Times New Roman"/>
      <w:szCs w:val="20"/>
      <w:shd w:val="clear" w:color="auto" w:fill="000080"/>
    </w:rPr>
  </w:style>
  <w:style w:type="character" w:customStyle="1" w:styleId="ab">
    <w:name w:val="纯文本 字符"/>
    <w:basedOn w:val="a0"/>
    <w:link w:val="aa"/>
    <w:semiHidden/>
    <w:qFormat/>
    <w:rPr>
      <w:rFonts w:ascii="宋体" w:hAnsi="Courier New"/>
      <w:sz w:val="21"/>
    </w:rPr>
  </w:style>
  <w:style w:type="character" w:customStyle="1" w:styleId="af7">
    <w:name w:val="批注主题 字符"/>
    <w:basedOn w:val="Char"/>
    <w:link w:val="af6"/>
    <w:semiHidden/>
    <w:qFormat/>
    <w:rPr>
      <w:rFonts w:ascii="Times New Roman" w:eastAsia="宋体" w:hAnsi="Times New Roman" w:cs="Times New Roman"/>
      <w:b/>
      <w:szCs w:val="20"/>
    </w:rPr>
  </w:style>
  <w:style w:type="character" w:customStyle="1" w:styleId="ad">
    <w:name w:val="批注框文本 字符"/>
    <w:basedOn w:val="a0"/>
    <w:link w:val="ac"/>
    <w:semiHidden/>
    <w:qFormat/>
    <w:rPr>
      <w:rFonts w:ascii="Times New Roman" w:eastAsia="宋体" w:hAnsi="Times New Roman" w:cs="Times New Roman"/>
      <w:sz w:val="18"/>
      <w:szCs w:val="20"/>
    </w:rPr>
  </w:style>
  <w:style w:type="paragraph" w:customStyle="1" w:styleId="11">
    <w:name w:val="修订1"/>
    <w:semiHidden/>
    <w:qFormat/>
    <w:rPr>
      <w:kern w:val="2"/>
      <w:sz w:val="21"/>
    </w:rPr>
  </w:style>
  <w:style w:type="paragraph" w:customStyle="1" w:styleId="Listbullet">
    <w:name w:val="List_bullet"/>
    <w:basedOn w:val="a"/>
    <w:pPr>
      <w:widowControl/>
      <w:numPr>
        <w:numId w:val="2"/>
      </w:numPr>
      <w:jc w:val="left"/>
    </w:pPr>
    <w:rPr>
      <w:rFonts w:ascii="Times New Roman" w:eastAsia="宋体" w:hAnsi="Times New Roman" w:cs="Times New Roman"/>
      <w:kern w:val="0"/>
      <w:sz w:val="24"/>
      <w:szCs w:val="20"/>
    </w:rPr>
  </w:style>
  <w:style w:type="paragraph" w:customStyle="1" w:styleId="CharCharChar">
    <w:name w:val="Char Char Char"/>
    <w:basedOn w:val="a"/>
    <w:qFormat/>
    <w:rPr>
      <w:rFonts w:ascii="Times New Roman" w:eastAsia="宋体" w:hAnsi="Times New Roman" w:cs="Times New Roman"/>
      <w:szCs w:val="20"/>
    </w:rPr>
  </w:style>
  <w:style w:type="paragraph" w:customStyle="1" w:styleId="afd">
    <w:name w:val="正文所"/>
    <w:basedOn w:val="a"/>
    <w:qFormat/>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pPr>
      <w:tabs>
        <w:tab w:val="left" w:pos="360"/>
      </w:tabs>
    </w:pPr>
    <w:rPr>
      <w:rFonts w:ascii="Times New Roman" w:eastAsia="宋体" w:hAnsi="Times New Roman" w:cs="Times New Roman"/>
      <w:szCs w:val="20"/>
    </w:rPr>
  </w:style>
  <w:style w:type="paragraph" w:customStyle="1" w:styleId="Char0">
    <w:name w:val="Char"/>
    <w:basedOn w:val="a"/>
    <w:qFormat/>
    <w:rPr>
      <w:rFonts w:ascii="Times New Roman" w:eastAsia="宋体" w:hAnsi="Times New Roman" w:cs="Times New Roman"/>
      <w:szCs w:val="20"/>
    </w:rPr>
  </w:style>
  <w:style w:type="paragraph" w:customStyle="1" w:styleId="unnamed1">
    <w:name w:val="unnamed1"/>
    <w:basedOn w:val="a"/>
    <w:qFormat/>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qFormat/>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8"/>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qFormat/>
    <w:pPr>
      <w:widowControl w:val="0"/>
      <w:jc w:val="both"/>
    </w:pPr>
    <w:rPr>
      <w:kern w:val="2"/>
      <w:sz w:val="21"/>
    </w:rPr>
  </w:style>
  <w:style w:type="paragraph" w:customStyle="1" w:styleId="CharChar">
    <w:name w:val="Char Char"/>
    <w:basedOn w:val="a"/>
    <w:qFormat/>
    <w:rPr>
      <w:rFonts w:ascii="Times New Roman" w:eastAsia="宋体" w:hAnsi="Times New Roman" w:cs="Times New Roman"/>
      <w:szCs w:val="20"/>
    </w:rPr>
  </w:style>
  <w:style w:type="paragraph" w:customStyle="1" w:styleId="CharChar1">
    <w:name w:val="Char Char1"/>
    <w:basedOn w:val="a"/>
    <w:qFormat/>
    <w:rPr>
      <w:rFonts w:ascii="Times New Roman" w:eastAsia="宋体" w:hAnsi="Times New Roman" w:cs="Times New Roman"/>
      <w:szCs w:val="20"/>
    </w:rPr>
  </w:style>
  <w:style w:type="paragraph" w:customStyle="1" w:styleId="afe">
    <w:name w:val="正文正文"/>
    <w:basedOn w:val="a"/>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pPr>
      <w:widowControl w:val="0"/>
      <w:autoSpaceDE w:val="0"/>
      <w:autoSpaceDN w:val="0"/>
      <w:adjustRightInd w:val="0"/>
    </w:pPr>
    <w:rPr>
      <w:rFonts w:ascii="宋体"/>
      <w:color w:val="000000"/>
      <w:sz w:val="24"/>
    </w:rPr>
  </w:style>
  <w:style w:type="character" w:customStyle="1" w:styleId="Char1">
    <w:name w:val="页眉 Char1"/>
    <w:qFormat/>
    <w:rPr>
      <w:rFonts w:ascii="Times New Roman" w:eastAsia="宋体" w:hAnsi="Times New Roman" w:cs="Times New Roman" w:hint="default"/>
      <w:sz w:val="18"/>
      <w:szCs w:val="18"/>
    </w:rPr>
  </w:style>
  <w:style w:type="character" w:customStyle="1" w:styleId="unnamed11">
    <w:name w:val="unnamed11"/>
    <w:qFormat/>
    <w:rPr>
      <w:rFonts w:ascii="宋体" w:eastAsia="宋体" w:hAnsi="宋体" w:hint="eastAsia"/>
      <w:sz w:val="18"/>
    </w:rPr>
  </w:style>
  <w:style w:type="character" w:customStyle="1" w:styleId="read">
    <w:name w:val="read"/>
    <w:basedOn w:val="a0"/>
    <w:qFormat/>
  </w:style>
  <w:style w:type="character" w:customStyle="1" w:styleId="Char10">
    <w:name w:val="正文文本 Char1"/>
    <w:rPr>
      <w:rFonts w:ascii="Times New Roman" w:eastAsia="宋体" w:hAnsi="Times New Roman" w:cs="Times New Roman" w:hint="default"/>
      <w:szCs w:val="20"/>
    </w:rPr>
  </w:style>
  <w:style w:type="character" w:customStyle="1" w:styleId="Char11">
    <w:name w:val="标题 Char1"/>
    <w:qFormat/>
    <w:rPr>
      <w:rFonts w:ascii="Cambria" w:eastAsia="宋体" w:hAnsi="Cambria" w:cs="Times New Roman" w:hint="default"/>
      <w:b/>
      <w:bCs/>
      <w:sz w:val="32"/>
      <w:szCs w:val="32"/>
    </w:rPr>
  </w:style>
  <w:style w:type="character" w:customStyle="1" w:styleId="Char2">
    <w:name w:val="正文文本 Char2"/>
    <w:basedOn w:val="a0"/>
    <w:uiPriority w:val="99"/>
    <w:semiHidden/>
    <w:rPr>
      <w:rFonts w:ascii="Times New Roman" w:eastAsia="宋体" w:hAnsi="Times New Roman" w:cs="Times New Roman" w:hint="default"/>
      <w:szCs w:val="20"/>
    </w:rPr>
  </w:style>
  <w:style w:type="character" w:customStyle="1" w:styleId="2Char1">
    <w:name w:val="正文文本缩进 2 Char1"/>
    <w:basedOn w:val="a0"/>
    <w:uiPriority w:val="99"/>
    <w:semiHidden/>
    <w:qFormat/>
    <w:rPr>
      <w:rFonts w:ascii="Times New Roman" w:eastAsia="宋体" w:hAnsi="Times New Roman" w:cs="Times New Roman" w:hint="default"/>
      <w:szCs w:val="20"/>
    </w:rPr>
  </w:style>
  <w:style w:type="character" w:customStyle="1" w:styleId="a7">
    <w:name w:val="批注文字 字符"/>
    <w:basedOn w:val="a0"/>
    <w:link w:val="a6"/>
    <w:locked/>
    <w:rPr>
      <w:rFonts w:ascii="Times New Roman" w:eastAsia="宋体" w:hAnsi="Times New Roman" w:cs="Times New Roman"/>
      <w:szCs w:val="20"/>
    </w:rPr>
  </w:style>
  <w:style w:type="character" w:customStyle="1" w:styleId="Char12">
    <w:name w:val="批注主题 Char1"/>
    <w:basedOn w:val="a7"/>
    <w:uiPriority w:val="99"/>
    <w:semiHidden/>
    <w:qFormat/>
    <w:rPr>
      <w:rFonts w:ascii="Times New Roman" w:eastAsia="宋体" w:hAnsi="Times New Roman" w:cs="Times New Roman"/>
      <w:b/>
      <w:bCs/>
      <w:szCs w:val="20"/>
    </w:rPr>
  </w:style>
  <w:style w:type="character" w:customStyle="1" w:styleId="3Char1">
    <w:name w:val="正文文本缩进 3 Char1"/>
    <w:basedOn w:val="a0"/>
    <w:uiPriority w:val="99"/>
    <w:semiHidden/>
    <w:rPr>
      <w:rFonts w:ascii="Times New Roman" w:eastAsia="宋体" w:hAnsi="Times New Roman" w:cs="Times New Roman" w:hint="default"/>
      <w:sz w:val="16"/>
      <w:szCs w:val="16"/>
    </w:rPr>
  </w:style>
  <w:style w:type="character" w:customStyle="1" w:styleId="Char13">
    <w:name w:val="纯文本 Char1"/>
    <w:basedOn w:val="a0"/>
    <w:uiPriority w:val="99"/>
    <w:semiHidden/>
    <w:qFormat/>
    <w:rPr>
      <w:rFonts w:ascii="宋体" w:eastAsia="宋体" w:hAnsi="Courier New" w:cs="Courier New" w:hint="eastAsia"/>
      <w:szCs w:val="21"/>
    </w:rPr>
  </w:style>
  <w:style w:type="character" w:customStyle="1" w:styleId="Char20">
    <w:name w:val="标题 Char2"/>
    <w:basedOn w:val="a0"/>
    <w:uiPriority w:val="10"/>
    <w:qFormat/>
    <w:rPr>
      <w:rFonts w:ascii="Cambria" w:eastAsia="宋体" w:hAnsi="Cambria" w:cs="Times New Roman" w:hint="default"/>
      <w:b/>
      <w:bCs/>
      <w:sz w:val="32"/>
      <w:szCs w:val="32"/>
    </w:rPr>
  </w:style>
  <w:style w:type="character" w:customStyle="1" w:styleId="Char14">
    <w:name w:val="文档结构图 Char1"/>
    <w:basedOn w:val="a0"/>
    <w:uiPriority w:val="99"/>
    <w:semiHidden/>
    <w:qFormat/>
    <w:rPr>
      <w:rFonts w:ascii="宋体" w:eastAsia="宋体" w:hAnsi="Times New Roman" w:cs="Times New Roman" w:hint="eastAsia"/>
      <w:sz w:val="18"/>
      <w:szCs w:val="18"/>
    </w:rPr>
  </w:style>
  <w:style w:type="character" w:customStyle="1" w:styleId="Char15">
    <w:name w:val="批注框文本 Char1"/>
    <w:basedOn w:val="a0"/>
    <w:uiPriority w:val="99"/>
    <w:semiHidden/>
    <w:qFormat/>
    <w:rPr>
      <w:rFonts w:ascii="Times New Roman" w:eastAsia="宋体" w:hAnsi="Times New Roman" w:cs="Times New Roman" w:hint="default"/>
      <w:sz w:val="18"/>
      <w:szCs w:val="18"/>
    </w:rPr>
  </w:style>
  <w:style w:type="character" w:customStyle="1" w:styleId="Char16">
    <w:name w:val="脚注文本 Char1"/>
    <w:basedOn w:val="a0"/>
    <w:uiPriority w:val="99"/>
    <w:semiHidden/>
    <w:qFormat/>
    <w:rPr>
      <w:rFonts w:ascii="Times New Roman" w:eastAsia="宋体" w:hAnsi="Times New Roman" w:cs="Times New Roman" w:hint="default"/>
      <w:sz w:val="18"/>
      <w:szCs w:val="18"/>
    </w:rPr>
  </w:style>
  <w:style w:type="character" w:customStyle="1" w:styleId="txtcontent11">
    <w:name w:val="txtcontent11"/>
    <w:qFormat/>
    <w:rPr>
      <w:rFonts w:ascii="ˎ̥" w:hAnsi="ˎ̥" w:hint="default"/>
      <w:color w:val="000000"/>
      <w:sz w:val="21"/>
      <w:szCs w:val="21"/>
    </w:rPr>
  </w:style>
  <w:style w:type="paragraph" w:styleId="aff">
    <w:name w:val="List Paragraph"/>
    <w:basedOn w:val="a"/>
    <w:uiPriority w:val="34"/>
    <w:qFormat/>
    <w:pPr>
      <w:ind w:firstLineChars="200" w:firstLine="420"/>
    </w:pPr>
  </w:style>
  <w:style w:type="paragraph" w:customStyle="1" w:styleId="CharCharCharCharCharChar1CharCharChar">
    <w:name w:val="Char Char Char Char Char Char1 Char Char Char"/>
    <w:basedOn w:val="a"/>
    <w:qFormat/>
    <w:pPr>
      <w:autoSpaceDE w:val="0"/>
      <w:autoSpaceDN w:val="0"/>
      <w:adjustRightInd w:val="0"/>
      <w:jc w:val="left"/>
      <w:textAlignment w:val="baseline"/>
    </w:pPr>
    <w:rPr>
      <w:rFonts w:ascii="Times New Roman" w:eastAsia="方正仿宋简体" w:hAnsi="Times New Roman" w:cs="Times New Roman"/>
      <w:sz w:val="32"/>
      <w:szCs w:val="20"/>
    </w:rPr>
  </w:style>
  <w:style w:type="character" w:customStyle="1" w:styleId="fontstyle01">
    <w:name w:val="fontstyle01"/>
    <w:qFormat/>
    <w:rPr>
      <w:rFonts w:ascii="宋体" w:eastAsia="宋体" w:hAnsi="宋体" w:hint="eastAsia"/>
      <w:color w:val="000000"/>
      <w:sz w:val="24"/>
      <w:szCs w:val="24"/>
    </w:rPr>
  </w:style>
  <w:style w:type="paragraph" w:customStyle="1" w:styleId="zhangjiep">
    <w:name w:val="zhangjie_p"/>
    <w:basedOn w:val="a"/>
    <w:qFormat/>
    <w:pPr>
      <w:widowControl/>
      <w:autoSpaceDE w:val="0"/>
      <w:autoSpaceDN w:val="0"/>
      <w:adjustRightInd w:val="0"/>
      <w:spacing w:before="24" w:line="288" w:lineRule="auto"/>
      <w:ind w:left="15"/>
      <w:jc w:val="left"/>
      <w:outlineLvl w:val="1"/>
    </w:pPr>
    <w:rPr>
      <w:rFonts w:ascii="宋体" w:eastAsia="宋体" w:hAnsi="宋体" w:cs="宋体"/>
      <w:kern w:val="0"/>
      <w:sz w:val="24"/>
      <w:szCs w:val="24"/>
    </w:rPr>
  </w:style>
  <w:style w:type="paragraph" w:customStyle="1" w:styleId="zhangjiep2">
    <w:name w:val="zhangjie_p2"/>
    <w:basedOn w:val="a"/>
    <w:qFormat/>
    <w:pPr>
      <w:widowControl/>
      <w:autoSpaceDE w:val="0"/>
      <w:autoSpaceDN w:val="0"/>
      <w:adjustRightInd w:val="0"/>
      <w:spacing w:before="24" w:line="288" w:lineRule="auto"/>
      <w:ind w:left="15"/>
      <w:jc w:val="left"/>
    </w:pPr>
    <w:rPr>
      <w:rFonts w:ascii="宋体" w:eastAsia="宋体" w:hAnsi="宋体" w:cs="宋体"/>
      <w:kern w:val="0"/>
      <w:sz w:val="24"/>
      <w:szCs w:val="24"/>
    </w:rPr>
  </w:style>
  <w:style w:type="paragraph" w:customStyle="1" w:styleId="biaogeleft">
    <w:name w:val="biaoge_left"/>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qFormat/>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biaogeright">
    <w:name w:val="biaoge_right"/>
    <w:basedOn w:val="a"/>
    <w:qFormat/>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neirong">
    <w:name w:val="neirong"/>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23">
    <w:name w:val="修订2"/>
    <w:hidden/>
    <w:semiHidden/>
    <w:qFormat/>
    <w:rPr>
      <w:rFonts w:asciiTheme="minorHAnsi" w:eastAsiaTheme="minorEastAsia" w:hAnsiTheme="minorHAnsi" w:cstheme="minorBidi"/>
      <w:kern w:val="2"/>
      <w:sz w:val="21"/>
      <w:szCs w:val="22"/>
    </w:rPr>
  </w:style>
  <w:style w:type="character" w:customStyle="1" w:styleId="3Char">
    <w:name w:val="标题 3 Char"/>
    <w:qFormat/>
    <w:rPr>
      <w:rFonts w:ascii="Times New Roman" w:eastAsia="宋体" w:hAnsi="Times New Roman" w:cs="Times New Roman"/>
      <w:b/>
      <w:sz w:val="32"/>
      <w:szCs w:val="20"/>
    </w:rPr>
  </w:style>
  <w:style w:type="character" w:customStyle="1" w:styleId="12">
    <w:name w:val="未处理的提及1"/>
    <w:basedOn w:val="a0"/>
    <w:uiPriority w:val="99"/>
    <w:semiHidden/>
    <w:unhideWhenUsed/>
    <w:qFormat/>
    <w:rPr>
      <w:color w:val="605E5C"/>
      <w:shd w:val="clear" w:color="auto" w:fill="E1DFDD"/>
    </w:rPr>
  </w:style>
  <w:style w:type="paragraph" w:styleId="aff0">
    <w:name w:val="Revision"/>
    <w:hidden/>
    <w:uiPriority w:val="99"/>
    <w:semiHidden/>
    <w:rsid w:val="00C80148"/>
    <w:rPr>
      <w:rFonts w:asciiTheme="minorHAnsi" w:eastAsiaTheme="minorEastAsia" w:hAnsiTheme="minorHAnsi" w:cstheme="minorBidi"/>
      <w:kern w:val="2"/>
      <w:sz w:val="21"/>
      <w:szCs w:val="22"/>
    </w:rPr>
  </w:style>
  <w:style w:type="paragraph" w:styleId="aff1">
    <w:name w:val="Normal (Web)"/>
    <w:basedOn w:val="a"/>
    <w:uiPriority w:val="99"/>
    <w:semiHidden/>
    <w:unhideWhenUsed/>
    <w:rsid w:val="00637F1C"/>
    <w:pPr>
      <w:widowControl/>
      <w:spacing w:before="100" w:beforeAutospacing="1" w:after="100" w:afterAutospacing="1"/>
      <w:jc w:val="left"/>
    </w:pPr>
    <w:rPr>
      <w:rFonts w:ascii="宋体" w:eastAsia="宋体" w:hAnsi="宋体" w:cs="宋体"/>
      <w:kern w:val="0"/>
      <w:sz w:val="24"/>
      <w:szCs w:val="24"/>
    </w:rPr>
  </w:style>
  <w:style w:type="character" w:styleId="aff2">
    <w:name w:val="Unresolved Mention"/>
    <w:basedOn w:val="a0"/>
    <w:uiPriority w:val="99"/>
    <w:semiHidden/>
    <w:unhideWhenUsed/>
    <w:rsid w:val="00035E7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7598437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18" Type="http://schemas.openxmlformats.org/officeDocument/2006/relationships/image" Target="media/image2.jpe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image" Target="media/image1.jpeg"/><Relationship Id="rId2" Type="http://schemas.openxmlformats.org/officeDocument/2006/relationships/customXml" Target="../customXml/item2.xml"/><Relationship Id="rId16" Type="http://schemas.openxmlformats.org/officeDocument/2006/relationships/hyperlink" Target="http://www.wacaijijin.com" TargetMode="Externa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http://www.jjmmw.com" TargetMode="External"/><Relationship Id="rId10" Type="http://schemas.openxmlformats.org/officeDocument/2006/relationships/footnotes" Target="footnote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www.zlfund.cn" TargetMode="External"/><Relationship Id="rId22"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s:customData xmlns="http://www.wps.cn/officeDocument/2013/wpsCustomData" xmlns:s="http://www.wps.cn/officeDocument/2013/wpsCustomData">
  <customSectProps>
    <customSectPr/>
    <customSectPr/>
    <customSectPr/>
    <customSectPr/>
  </customSectProps>
</s:customDat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BD9C35B-106B-4D28-A8C4-110D301C7420}">
  <ds:schemaRefs>
    <ds:schemaRef ds:uri="http://schemas.openxmlformats.org/officeDocument/2006/bibliography"/>
  </ds:schemaRefs>
</ds:datastoreItem>
</file>

<file path=customXml/itemProps2.xml><?xml version="1.0" encoding="utf-8"?>
<ds:datastoreItem xmlns:ds="http://schemas.openxmlformats.org/officeDocument/2006/customXml" ds:itemID="{1D8A119B-30D9-4242-95B9-1AEDE6E4BE06}">
  <ds:schemaRefs>
    <ds:schemaRef ds:uri="http://schemas.openxmlformats.org/officeDocument/2006/bibliography"/>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C854063C-4B93-412D-9DDC-AA2BBE377803}">
  <ds:schemaRefs>
    <ds:schemaRef ds:uri="http://schemas.openxmlformats.org/officeDocument/2006/bibliography"/>
  </ds:schemaRefs>
</ds:datastoreItem>
</file>

<file path=customXml/itemProps5.xml><?xml version="1.0" encoding="utf-8"?>
<ds:datastoreItem xmlns:ds="http://schemas.openxmlformats.org/officeDocument/2006/customXml" ds:itemID="{31718F6A-6BAA-4306-9D88-B5A07356EA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TotalTime>
  <Pages>131</Pages>
  <Words>13846</Words>
  <Characters>78928</Characters>
  <Application>Microsoft Office Word</Application>
  <DocSecurity>0</DocSecurity>
  <Lines>657</Lines>
  <Paragraphs>185</Paragraphs>
  <ScaleCrop>false</ScaleCrop>
  <LinksUpToDate>false</LinksUpToDate>
  <CharactersWithSpaces>92589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徐铮</cp:lastModifiedBy>
  <cp:lastPrinted>2019-07-25T06:04:00Z</cp:lastPrinted>
  <dcterms:created xsi:type="dcterms:W3CDTF">2022-08-08T05:10:00Z</dcterms:created>
  <dcterms:modified xsi:type="dcterms:W3CDTF">2022-08-09T01:04:00Z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6300E8D1430246AB9E8321521872F6D9</vt:lpwstr>
  </property>
</Properties>
</file>