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2.xml" ContentType="application/vnd.openxmlformats-officedocument.wordprocessingml.foot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footer3.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oter4.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oter5.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footer6.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footer7.xml" ContentType="application/vnd.openxmlformats-officedocument.wordprocessingml.foot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8.xml" ContentType="application/vnd.openxmlformats-officedocument.wordprocessingml.footer+xml"/>
  <Override PartName="/word/header30.xml" ContentType="application/vnd.openxmlformats-officedocument.wordprocessingml.header+xml"/>
  <Override PartName="/word/footer9.xml" ContentType="application/vnd.openxmlformats-officedocument.wordprocessingml.footer+xml"/>
  <Override PartName="/word/header31.xml" ContentType="application/vnd.openxmlformats-officedocument.wordprocessingml.header+xml"/>
  <Override PartName="/word/header32.xml" ContentType="application/vnd.openxmlformats-officedocument.wordprocessingml.header+xml"/>
  <Override PartName="/word/footer10.xml" ContentType="application/vnd.openxmlformats-officedocument.wordprocessingml.foot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footer11.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footer12.xml" ContentType="application/vnd.openxmlformats-officedocument.wordprocessingml.foot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1B38B" w14:textId="77777777" w:rsidR="00B67C49" w:rsidRDefault="00B67C49">
      <w:pPr>
        <w:tabs>
          <w:tab w:val="left" w:pos="6660"/>
        </w:tabs>
        <w:spacing w:line="360" w:lineRule="auto"/>
        <w:jc w:val="center"/>
        <w:rPr>
          <w:rFonts w:asciiTheme="minorEastAsia" w:hAnsiTheme="minorEastAsia" w:cs="Times New Roman"/>
          <w:bCs/>
          <w:sz w:val="48"/>
          <w:szCs w:val="48"/>
        </w:rPr>
      </w:pPr>
    </w:p>
    <w:p w14:paraId="2591AFCB" w14:textId="77777777" w:rsidR="00B67C49" w:rsidRDefault="00B67C49">
      <w:pPr>
        <w:spacing w:line="360" w:lineRule="auto"/>
        <w:jc w:val="center"/>
        <w:rPr>
          <w:rFonts w:asciiTheme="minorEastAsia" w:hAnsiTheme="minorEastAsia" w:cs="Times New Roman"/>
          <w:b/>
          <w:sz w:val="48"/>
          <w:szCs w:val="48"/>
        </w:rPr>
      </w:pPr>
    </w:p>
    <w:p w14:paraId="6111BF7C" w14:textId="77777777" w:rsidR="00B67C49" w:rsidRDefault="00B67C49">
      <w:pPr>
        <w:adjustRightInd w:val="0"/>
        <w:snapToGrid w:val="0"/>
        <w:spacing w:line="360" w:lineRule="auto"/>
        <w:jc w:val="center"/>
        <w:rPr>
          <w:rFonts w:asciiTheme="minorEastAsia" w:hAnsiTheme="minorEastAsia" w:cs="Arial"/>
          <w:sz w:val="48"/>
          <w:szCs w:val="48"/>
        </w:rPr>
      </w:pPr>
      <w:bookmarkStart w:id="0" w:name="_Toc123112227"/>
      <w:bookmarkStart w:id="1" w:name="_Toc139991729"/>
      <w:bookmarkStart w:id="2" w:name="_Toc123112266"/>
      <w:bookmarkStart w:id="3" w:name="_Toc123701386"/>
    </w:p>
    <w:p w14:paraId="00EBCF7E" w14:textId="77777777" w:rsidR="00B67C49"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富荣福耀混合型证券投资基金更新的</w:t>
      </w:r>
    </w:p>
    <w:p w14:paraId="7183C746" w14:textId="77777777" w:rsidR="00B67C49"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招募说明书</w:t>
      </w:r>
    </w:p>
    <w:p w14:paraId="6780B29A" w14:textId="3BA98B53" w:rsidR="00B67C49" w:rsidRDefault="0000000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2024</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4F50B229" w14:textId="77777777" w:rsidR="00B67C49" w:rsidRDefault="00B67C49">
      <w:pPr>
        <w:adjustRightInd w:val="0"/>
        <w:snapToGrid w:val="0"/>
        <w:spacing w:line="360" w:lineRule="auto"/>
        <w:jc w:val="center"/>
        <w:rPr>
          <w:rFonts w:asciiTheme="minorEastAsia" w:hAnsiTheme="minorEastAsia" w:cs="Arial"/>
          <w:sz w:val="36"/>
          <w:szCs w:val="36"/>
        </w:rPr>
      </w:pPr>
    </w:p>
    <w:p w14:paraId="65CF9E2B" w14:textId="77777777" w:rsidR="00B67C49" w:rsidRDefault="00B67C49">
      <w:pPr>
        <w:adjustRightInd w:val="0"/>
        <w:snapToGrid w:val="0"/>
        <w:spacing w:line="360" w:lineRule="auto"/>
        <w:jc w:val="center"/>
        <w:rPr>
          <w:rFonts w:asciiTheme="minorEastAsia" w:hAnsiTheme="minorEastAsia" w:cs="Arial"/>
          <w:sz w:val="36"/>
          <w:szCs w:val="36"/>
        </w:rPr>
      </w:pPr>
    </w:p>
    <w:p w14:paraId="68F3B834" w14:textId="77777777" w:rsidR="00B67C49" w:rsidRDefault="00B67C49">
      <w:pPr>
        <w:adjustRightInd w:val="0"/>
        <w:snapToGrid w:val="0"/>
        <w:spacing w:line="360" w:lineRule="auto"/>
        <w:jc w:val="center"/>
        <w:rPr>
          <w:rFonts w:asciiTheme="minorEastAsia" w:hAnsiTheme="minorEastAsia" w:cs="Arial"/>
          <w:sz w:val="36"/>
          <w:szCs w:val="36"/>
        </w:rPr>
      </w:pPr>
    </w:p>
    <w:p w14:paraId="68EE81E6" w14:textId="77777777" w:rsidR="00B67C49" w:rsidRDefault="00B67C49">
      <w:pPr>
        <w:adjustRightInd w:val="0"/>
        <w:snapToGrid w:val="0"/>
        <w:spacing w:line="360" w:lineRule="auto"/>
        <w:jc w:val="center"/>
        <w:rPr>
          <w:rFonts w:asciiTheme="minorEastAsia" w:hAnsiTheme="minorEastAsia" w:cs="Arial"/>
          <w:sz w:val="36"/>
          <w:szCs w:val="36"/>
        </w:rPr>
      </w:pPr>
    </w:p>
    <w:p w14:paraId="20FA3AAF" w14:textId="77777777" w:rsidR="00B67C49" w:rsidRDefault="00B67C49">
      <w:pPr>
        <w:adjustRightInd w:val="0"/>
        <w:snapToGrid w:val="0"/>
        <w:spacing w:line="360" w:lineRule="auto"/>
        <w:jc w:val="center"/>
        <w:rPr>
          <w:rFonts w:asciiTheme="minorEastAsia" w:hAnsiTheme="minorEastAsia" w:cs="Arial"/>
          <w:sz w:val="36"/>
          <w:szCs w:val="36"/>
        </w:rPr>
      </w:pPr>
    </w:p>
    <w:p w14:paraId="3AAA1528" w14:textId="77777777" w:rsidR="00B67C49" w:rsidRDefault="00B67C49">
      <w:pPr>
        <w:adjustRightInd w:val="0"/>
        <w:snapToGrid w:val="0"/>
        <w:spacing w:line="360" w:lineRule="auto"/>
        <w:jc w:val="center"/>
        <w:rPr>
          <w:rFonts w:asciiTheme="minorEastAsia" w:hAnsiTheme="minorEastAsia" w:cs="Arial"/>
          <w:sz w:val="36"/>
          <w:szCs w:val="36"/>
        </w:rPr>
      </w:pPr>
    </w:p>
    <w:p w14:paraId="29FA613F" w14:textId="77777777" w:rsidR="00B67C49" w:rsidRDefault="00000000">
      <w:pPr>
        <w:snapToGrid w:val="0"/>
        <w:spacing w:line="360" w:lineRule="auto"/>
        <w:jc w:val="center"/>
        <w:rPr>
          <w:rFonts w:ascii="Arial" w:eastAsia="宋体" w:hAnsi="Arial" w:cs="Times New Roman"/>
          <w:b/>
          <w:sz w:val="36"/>
          <w:szCs w:val="36"/>
        </w:rPr>
      </w:pPr>
      <w:bookmarkStart w:id="4" w:name="_Toc123112263"/>
      <w:bookmarkStart w:id="5" w:name="_Toc139992301"/>
      <w:bookmarkStart w:id="6" w:name="_Toc139991726"/>
      <w:bookmarkStart w:id="7" w:name="_Toc123701383"/>
      <w:bookmarkStart w:id="8" w:name="_Toc123112224"/>
      <w:r>
        <w:rPr>
          <w:rFonts w:ascii="Arial" w:eastAsia="宋体" w:hAnsi="Arial" w:cs="Times New Roman" w:hint="eastAsia"/>
          <w:b/>
          <w:sz w:val="36"/>
          <w:szCs w:val="36"/>
        </w:rPr>
        <w:t>基金管理人：</w:t>
      </w:r>
      <w:bookmarkEnd w:id="4"/>
      <w:bookmarkEnd w:id="5"/>
      <w:bookmarkEnd w:id="6"/>
      <w:bookmarkEnd w:id="7"/>
      <w:bookmarkEnd w:id="8"/>
      <w:r>
        <w:rPr>
          <w:rFonts w:ascii="Arial" w:eastAsia="宋体" w:hAnsi="Arial" w:cs="Times New Roman" w:hint="eastAsia"/>
          <w:b/>
          <w:sz w:val="36"/>
          <w:szCs w:val="36"/>
        </w:rPr>
        <w:t>富荣基金管理有限公司</w:t>
      </w:r>
    </w:p>
    <w:p w14:paraId="05716CD5" w14:textId="77777777" w:rsidR="00B67C49" w:rsidRDefault="00000000">
      <w:pPr>
        <w:autoSpaceDE w:val="0"/>
        <w:autoSpaceDN w:val="0"/>
        <w:adjustRightInd w:val="0"/>
        <w:snapToGrid w:val="0"/>
        <w:spacing w:line="360" w:lineRule="auto"/>
        <w:jc w:val="center"/>
        <w:rPr>
          <w:rFonts w:ascii="Arial" w:eastAsia="宋体" w:hAnsi="Arial" w:cs="Arial"/>
          <w:b/>
          <w:bCs/>
          <w:sz w:val="36"/>
          <w:szCs w:val="36"/>
        </w:rPr>
      </w:pPr>
      <w:bookmarkStart w:id="9" w:name="_Toc123112225"/>
      <w:bookmarkStart w:id="10" w:name="_Toc123701384"/>
      <w:bookmarkStart w:id="11" w:name="_Toc123112264"/>
      <w:bookmarkStart w:id="12" w:name="_Toc139992302"/>
      <w:bookmarkStart w:id="13" w:name="_Toc139991727"/>
      <w:r>
        <w:rPr>
          <w:rFonts w:ascii="Arial" w:eastAsia="宋体" w:hAnsi="Arial" w:cs="Times New Roman" w:hint="eastAsia"/>
          <w:b/>
          <w:sz w:val="36"/>
          <w:szCs w:val="36"/>
        </w:rPr>
        <w:t>基金托管人：</w:t>
      </w:r>
      <w:bookmarkEnd w:id="9"/>
      <w:bookmarkEnd w:id="10"/>
      <w:bookmarkEnd w:id="11"/>
      <w:bookmarkEnd w:id="12"/>
      <w:bookmarkEnd w:id="13"/>
      <w:r>
        <w:rPr>
          <w:rFonts w:ascii="Arial" w:eastAsia="宋体" w:hAnsi="Arial" w:cs="Times New Roman" w:hint="eastAsia"/>
          <w:b/>
          <w:sz w:val="36"/>
          <w:szCs w:val="36"/>
        </w:rPr>
        <w:t>国泰君安证券股份有限公司</w:t>
      </w:r>
    </w:p>
    <w:p w14:paraId="6B68CAAB" w14:textId="77777777" w:rsidR="00B67C49" w:rsidRDefault="00B67C49">
      <w:pPr>
        <w:autoSpaceDE w:val="0"/>
        <w:autoSpaceDN w:val="0"/>
        <w:adjustRightInd w:val="0"/>
        <w:snapToGrid w:val="0"/>
        <w:spacing w:line="360" w:lineRule="auto"/>
        <w:jc w:val="center"/>
        <w:rPr>
          <w:rFonts w:asciiTheme="minorEastAsia" w:hAnsiTheme="minorEastAsia" w:cs="Arial"/>
          <w:b/>
          <w:bCs/>
          <w:sz w:val="28"/>
          <w:szCs w:val="28"/>
        </w:rPr>
      </w:pPr>
    </w:p>
    <w:p w14:paraId="2E33F12B" w14:textId="77777777" w:rsidR="00B67C49" w:rsidRDefault="00B67C49">
      <w:pPr>
        <w:autoSpaceDE w:val="0"/>
        <w:autoSpaceDN w:val="0"/>
        <w:adjustRightInd w:val="0"/>
        <w:snapToGrid w:val="0"/>
        <w:spacing w:line="360" w:lineRule="auto"/>
        <w:jc w:val="center"/>
        <w:rPr>
          <w:rFonts w:asciiTheme="minorEastAsia" w:hAnsiTheme="minorEastAsia" w:cs="Arial"/>
          <w:b/>
          <w:bCs/>
          <w:sz w:val="28"/>
          <w:szCs w:val="28"/>
        </w:rPr>
      </w:pPr>
    </w:p>
    <w:p w14:paraId="457D230D" w14:textId="77777777" w:rsidR="00B67C49" w:rsidRDefault="00B67C49">
      <w:pPr>
        <w:widowControl/>
        <w:spacing w:line="360" w:lineRule="auto"/>
        <w:rPr>
          <w:rFonts w:ascii="Arial" w:eastAsia="宋体" w:hAnsi="Arial" w:cs="Arial"/>
          <w:b/>
          <w:bCs/>
          <w:kern w:val="0"/>
          <w:sz w:val="28"/>
          <w:szCs w:val="28"/>
        </w:rPr>
        <w:sectPr w:rsidR="00B67C49" w:rsidSect="00D84CBD">
          <w:headerReference w:type="even" r:id="rId9"/>
          <w:headerReference w:type="default" r:id="rId10"/>
          <w:footerReference w:type="default" r:id="rId11"/>
          <w:headerReference w:type="first" r:id="rId12"/>
          <w:pgSz w:w="11906" w:h="16838"/>
          <w:pgMar w:top="1440" w:right="1800" w:bottom="1440" w:left="1800" w:header="851" w:footer="992" w:gutter="0"/>
          <w:pgNumType w:start="1"/>
          <w:cols w:space="720"/>
          <w:titlePg/>
          <w:docGrid w:type="lines" w:linePitch="312"/>
        </w:sectPr>
      </w:pPr>
    </w:p>
    <w:p w14:paraId="6CB673AD" w14:textId="77777777" w:rsidR="00B67C49" w:rsidRDefault="00000000">
      <w:pPr>
        <w:autoSpaceDE w:val="0"/>
        <w:autoSpaceDN w:val="0"/>
        <w:adjustRightInd w:val="0"/>
        <w:snapToGrid w:val="0"/>
        <w:spacing w:line="360" w:lineRule="auto"/>
        <w:jc w:val="center"/>
        <w:rPr>
          <w:rFonts w:ascii="Arial" w:eastAsia="宋体" w:hAnsi="Arial" w:cs="Arial"/>
          <w:b/>
          <w:bCs/>
          <w:sz w:val="30"/>
          <w:szCs w:val="30"/>
        </w:rPr>
      </w:pPr>
      <w:r>
        <w:rPr>
          <w:rFonts w:ascii="Arial" w:eastAsia="宋体" w:hAnsi="Arial" w:cs="Arial" w:hint="eastAsia"/>
          <w:b/>
          <w:bCs/>
          <w:sz w:val="30"/>
          <w:szCs w:val="30"/>
        </w:rPr>
        <w:lastRenderedPageBreak/>
        <w:t>【重要提示】</w:t>
      </w:r>
    </w:p>
    <w:p w14:paraId="2E809867" w14:textId="77777777" w:rsidR="00B67C49" w:rsidRDefault="00B67C49">
      <w:pPr>
        <w:autoSpaceDE w:val="0"/>
        <w:autoSpaceDN w:val="0"/>
        <w:adjustRightInd w:val="0"/>
        <w:snapToGrid w:val="0"/>
        <w:spacing w:line="360" w:lineRule="auto"/>
        <w:rPr>
          <w:rFonts w:ascii="Arial" w:eastAsia="宋体" w:hAnsi="Arial" w:cs="Arial"/>
          <w:b/>
          <w:bCs/>
          <w:szCs w:val="21"/>
        </w:rPr>
      </w:pPr>
    </w:p>
    <w:p w14:paraId="16637845"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1、本基金根据</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年</w:t>
      </w:r>
      <w:r>
        <w:rPr>
          <w:rFonts w:asciiTheme="minorEastAsia" w:hAnsiTheme="minorEastAsia" w:cs="Arial"/>
          <w:bCs/>
          <w:color w:val="000000"/>
          <w:sz w:val="24"/>
          <w:szCs w:val="24"/>
        </w:rPr>
        <w:t>6</w:t>
      </w:r>
      <w:r>
        <w:rPr>
          <w:rFonts w:asciiTheme="minorEastAsia" w:hAnsiTheme="minorEastAsia" w:cs="Arial" w:hint="eastAsia"/>
          <w:bCs/>
          <w:color w:val="000000"/>
          <w:sz w:val="24"/>
          <w:szCs w:val="24"/>
        </w:rPr>
        <w:t>月</w:t>
      </w:r>
      <w:r>
        <w:rPr>
          <w:rFonts w:asciiTheme="minorEastAsia" w:hAnsiTheme="minorEastAsia" w:cs="Arial"/>
          <w:bCs/>
          <w:color w:val="000000"/>
          <w:sz w:val="24"/>
          <w:szCs w:val="24"/>
        </w:rPr>
        <w:t>21</w:t>
      </w:r>
      <w:r>
        <w:rPr>
          <w:rFonts w:asciiTheme="minorEastAsia" w:hAnsiTheme="minorEastAsia" w:cs="Arial" w:hint="eastAsia"/>
          <w:bCs/>
          <w:color w:val="000000"/>
          <w:sz w:val="24"/>
          <w:szCs w:val="24"/>
        </w:rPr>
        <w:t>日</w:t>
      </w:r>
      <w:r>
        <w:rPr>
          <w:rFonts w:asciiTheme="minorEastAsia" w:hAnsiTheme="minorEastAsia" w:cs="Arial" w:hint="eastAsia"/>
          <w:kern w:val="0"/>
          <w:sz w:val="24"/>
          <w:szCs w:val="24"/>
        </w:rPr>
        <w:t>中国证券监督管理委员会（以下简称“中国证监会”）《关于准予富荣福耀混合型证券投资基金注册的批复》（</w:t>
      </w:r>
      <w:r>
        <w:rPr>
          <w:rFonts w:asciiTheme="minorEastAsia" w:hAnsiTheme="minorEastAsia" w:cs="Arial" w:hint="eastAsia"/>
          <w:bCs/>
          <w:color w:val="000000"/>
          <w:kern w:val="0"/>
          <w:sz w:val="24"/>
          <w:szCs w:val="24"/>
        </w:rPr>
        <w:t>证监许可</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2021</w:t>
      </w:r>
      <w:r>
        <w:rPr>
          <w:rFonts w:asciiTheme="minorEastAsia" w:hAnsiTheme="minorEastAsia" w:cs="Arial" w:hint="eastAsia"/>
          <w:bCs/>
          <w:color w:val="000000"/>
          <w:sz w:val="24"/>
          <w:szCs w:val="24"/>
        </w:rPr>
        <w:t>]</w:t>
      </w:r>
      <w:r>
        <w:rPr>
          <w:rFonts w:asciiTheme="minorEastAsia" w:hAnsiTheme="minorEastAsia" w:cs="Arial"/>
          <w:bCs/>
          <w:color w:val="000000"/>
          <w:sz w:val="24"/>
          <w:szCs w:val="24"/>
        </w:rPr>
        <w:t>2091</w:t>
      </w:r>
      <w:r>
        <w:rPr>
          <w:rFonts w:asciiTheme="minorEastAsia" w:hAnsiTheme="minorEastAsia" w:cs="Arial" w:hint="eastAsia"/>
          <w:bCs/>
          <w:color w:val="000000"/>
          <w:sz w:val="24"/>
          <w:szCs w:val="24"/>
        </w:rPr>
        <w:t>号</w:t>
      </w:r>
      <w:r>
        <w:rPr>
          <w:rFonts w:asciiTheme="minorEastAsia" w:hAnsiTheme="minorEastAsia" w:cs="Arial" w:hint="eastAsia"/>
          <w:bCs/>
          <w:color w:val="000000"/>
          <w:kern w:val="0"/>
          <w:sz w:val="24"/>
          <w:szCs w:val="24"/>
        </w:rPr>
        <w:t>）进行募集。</w:t>
      </w:r>
    </w:p>
    <w:p w14:paraId="0109A22C"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2、本基金管理人保证招募说明书的内容真实、准确、完整。本招募说明书经中国证监会注册，但中国证监会对本基金募集的注册，并不表明其对本基金的投资价值、市场前景和收益</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实质性判断或保证，也不表明投资于本基金没有风险。</w:t>
      </w:r>
    </w:p>
    <w:p w14:paraId="699F20D0"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18BAB990"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Pr>
          <w:rFonts w:asciiTheme="minorEastAsia" w:hAnsiTheme="minorEastAsia" w:cs="Arial" w:hint="eastAsia"/>
          <w:sz w:val="24"/>
          <w:szCs w:val="24"/>
        </w:rPr>
        <w:t>流预测</w:t>
      </w:r>
      <w:proofErr w:type="gramEnd"/>
      <w:r>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4E6D7AC4"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590B868C"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当本基金持有特定资产且存在或潜在大额赎回申请时，基金管理人履行相应程序后，可以</w:t>
      </w:r>
      <w:proofErr w:type="gramStart"/>
      <w:r>
        <w:rPr>
          <w:rFonts w:asciiTheme="minorEastAsia" w:hAnsiTheme="minorEastAsia" w:cs="Arial" w:hint="eastAsia"/>
          <w:sz w:val="24"/>
          <w:szCs w:val="24"/>
        </w:rPr>
        <w:t>启用侧袋机制</w:t>
      </w:r>
      <w:proofErr w:type="gramEnd"/>
      <w:r>
        <w:rPr>
          <w:rFonts w:asciiTheme="minorEastAsia" w:hAnsiTheme="minorEastAsia" w:cs="Arial" w:hint="eastAsia"/>
          <w:sz w:val="24"/>
          <w:szCs w:val="24"/>
        </w:rPr>
        <w:t>，具体详见基金合同和本招募说明书“侧袋机制”等有关章节。</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实施期间，基金管理人将对基金简称进行特殊标识，并不</w:t>
      </w:r>
      <w:proofErr w:type="gramStart"/>
      <w:r>
        <w:rPr>
          <w:rFonts w:asciiTheme="minorEastAsia" w:hAnsiTheme="minorEastAsia" w:cs="Arial" w:hint="eastAsia"/>
          <w:sz w:val="24"/>
          <w:szCs w:val="24"/>
        </w:rPr>
        <w:t>办理侧袋账户</w:t>
      </w:r>
      <w:proofErr w:type="gramEnd"/>
      <w:r>
        <w:rPr>
          <w:rFonts w:asciiTheme="minorEastAsia" w:hAnsiTheme="minorEastAsia" w:cs="Arial" w:hint="eastAsia"/>
          <w:sz w:val="24"/>
          <w:szCs w:val="24"/>
        </w:rPr>
        <w:t>的申购赎回。</w:t>
      </w:r>
      <w:proofErr w:type="gramStart"/>
      <w:r>
        <w:rPr>
          <w:rFonts w:asciiTheme="minorEastAsia" w:hAnsiTheme="minorEastAsia" w:cs="Arial" w:hint="eastAsia"/>
          <w:sz w:val="24"/>
          <w:szCs w:val="24"/>
        </w:rPr>
        <w:t>请基金</w:t>
      </w:r>
      <w:proofErr w:type="gramEnd"/>
      <w:r>
        <w:rPr>
          <w:rFonts w:asciiTheme="minorEastAsia" w:hAnsiTheme="minorEastAsia" w:cs="Arial" w:hint="eastAsia"/>
          <w:sz w:val="24"/>
          <w:szCs w:val="24"/>
        </w:rPr>
        <w:t>份额持有人仔细阅读相关内容并关注本基金启用</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时的特定风险。</w:t>
      </w:r>
    </w:p>
    <w:p w14:paraId="2A357E6E"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本基金的投资范围包括股指期货、国债期货、股票期权，可能面临市场风险、流动性风险、</w:t>
      </w:r>
      <w:proofErr w:type="gramStart"/>
      <w:r>
        <w:rPr>
          <w:rFonts w:asciiTheme="minorEastAsia" w:hAnsiTheme="minorEastAsia" w:cs="Arial" w:hint="eastAsia"/>
          <w:sz w:val="24"/>
          <w:szCs w:val="24"/>
        </w:rPr>
        <w:t>基差风险</w:t>
      </w:r>
      <w:proofErr w:type="gramEnd"/>
      <w:r>
        <w:rPr>
          <w:rFonts w:asciiTheme="minorEastAsia" w:hAnsiTheme="minorEastAsia" w:cs="Arial" w:hint="eastAsia"/>
          <w:sz w:val="24"/>
          <w:szCs w:val="24"/>
        </w:rPr>
        <w:t>、保证金风险、信用风险和操作风险等。</w:t>
      </w:r>
    </w:p>
    <w:p w14:paraId="61400612"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4、本基金以</w:t>
      </w:r>
      <w:r>
        <w:rPr>
          <w:rFonts w:asciiTheme="minorEastAsia" w:hAnsiTheme="minorEastAsia" w:cs="Arial"/>
          <w:sz w:val="24"/>
          <w:szCs w:val="24"/>
        </w:rPr>
        <w:t>1.00</w:t>
      </w:r>
      <w:r>
        <w:rPr>
          <w:rFonts w:asciiTheme="minorEastAsia" w:hAnsiTheme="minorEastAsia" w:cs="Arial" w:hint="eastAsia"/>
          <w:sz w:val="24"/>
          <w:szCs w:val="24"/>
        </w:rPr>
        <w:t>元发售面值募集基金份额，在市场波动等因素的影响下，</w:t>
      </w:r>
      <w:r>
        <w:rPr>
          <w:rFonts w:asciiTheme="minorEastAsia" w:hAnsiTheme="minorEastAsia" w:cs="Arial" w:hint="eastAsia"/>
          <w:sz w:val="24"/>
          <w:szCs w:val="24"/>
        </w:rPr>
        <w:lastRenderedPageBreak/>
        <w:t>基金投资有可能出现亏损或基金份额净值低于初始面值。</w:t>
      </w:r>
    </w:p>
    <w:p w14:paraId="7035BEA5"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58DFC58A"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Pr>
          <w:rFonts w:asciiTheme="minorEastAsia" w:hAnsiTheme="minorEastAsia" w:cs="Arial"/>
          <w:sz w:val="24"/>
          <w:szCs w:val="24"/>
        </w:rPr>
        <w:t>“</w:t>
      </w:r>
      <w:r>
        <w:rPr>
          <w:rFonts w:asciiTheme="minorEastAsia" w:hAnsiTheme="minorEastAsia" w:cs="Arial" w:hint="eastAsia"/>
          <w:sz w:val="24"/>
          <w:szCs w:val="24"/>
        </w:rPr>
        <w:t>买者自负</w:t>
      </w:r>
      <w:r>
        <w:rPr>
          <w:rFonts w:asciiTheme="minorEastAsia" w:hAnsiTheme="minorEastAsia" w:cs="Arial"/>
          <w:sz w:val="24"/>
          <w:szCs w:val="24"/>
        </w:rPr>
        <w:t>”</w:t>
      </w:r>
      <w:r>
        <w:rPr>
          <w:rFonts w:asciiTheme="minorEastAsia" w:hAnsiTheme="minorEastAsia" w:cs="Arial" w:hint="eastAsia"/>
          <w:sz w:val="24"/>
          <w:szCs w:val="24"/>
        </w:rPr>
        <w:t>原则，在</w:t>
      </w:r>
      <w:proofErr w:type="gramStart"/>
      <w:r>
        <w:rPr>
          <w:rFonts w:asciiTheme="minorEastAsia" w:hAnsiTheme="minorEastAsia" w:cs="Arial" w:hint="eastAsia"/>
          <w:sz w:val="24"/>
          <w:szCs w:val="24"/>
        </w:rPr>
        <w:t>作出</w:t>
      </w:r>
      <w:proofErr w:type="gramEnd"/>
      <w:r>
        <w:rPr>
          <w:rFonts w:asciiTheme="minorEastAsia" w:hAnsiTheme="minorEastAsia" w:cs="Arial" w:hint="eastAsia"/>
          <w:sz w:val="24"/>
          <w:szCs w:val="24"/>
        </w:rPr>
        <w:t>投资决策后，基金运营状况与基金净值变化引致的投资风险，由投资者自行承担。</w:t>
      </w:r>
    </w:p>
    <w:p w14:paraId="1BAA13E1" w14:textId="77777777" w:rsidR="00B67C49" w:rsidRDefault="00000000">
      <w:pPr>
        <w:autoSpaceDE w:val="0"/>
        <w:autoSpaceDN w:val="0"/>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本次招募说明书仅对“基金管理人”部分的内容进行更新。</w:t>
      </w:r>
      <w:r>
        <w:rPr>
          <w:rFonts w:asciiTheme="minorEastAsia" w:hAnsiTheme="minorEastAsia" w:cs="Arial" w:hint="eastAsia"/>
          <w:sz w:val="24"/>
          <w:szCs w:val="24"/>
        </w:rPr>
        <w:t>本招募说明书所载其他内容截止日为202</w:t>
      </w:r>
      <w:r>
        <w:rPr>
          <w:rFonts w:asciiTheme="minorEastAsia" w:hAnsiTheme="minorEastAsia" w:cs="Arial"/>
          <w:sz w:val="24"/>
          <w:szCs w:val="24"/>
        </w:rPr>
        <w:t>3</w:t>
      </w:r>
      <w:r>
        <w:rPr>
          <w:rFonts w:asciiTheme="minorEastAsia" w:hAnsiTheme="minorEastAsia" w:cs="Arial" w:hint="eastAsia"/>
          <w:sz w:val="24"/>
          <w:szCs w:val="24"/>
        </w:rPr>
        <w:t>年</w:t>
      </w:r>
      <w:r>
        <w:rPr>
          <w:rFonts w:asciiTheme="minorEastAsia" w:hAnsiTheme="minorEastAsia" w:cs="Arial"/>
          <w:sz w:val="24"/>
          <w:szCs w:val="24"/>
        </w:rPr>
        <w:t>10</w:t>
      </w:r>
      <w:r>
        <w:rPr>
          <w:rFonts w:asciiTheme="minorEastAsia" w:hAnsiTheme="minorEastAsia" w:cs="Arial" w:hint="eastAsia"/>
          <w:sz w:val="24"/>
          <w:szCs w:val="24"/>
        </w:rPr>
        <w:t>月</w:t>
      </w:r>
      <w:r>
        <w:rPr>
          <w:rFonts w:asciiTheme="minorEastAsia" w:hAnsiTheme="minorEastAsia" w:cs="Arial"/>
          <w:sz w:val="24"/>
          <w:szCs w:val="24"/>
        </w:rPr>
        <w:t>9</w:t>
      </w:r>
      <w:r>
        <w:rPr>
          <w:rFonts w:asciiTheme="minorEastAsia" w:hAnsiTheme="minorEastAsia" w:cs="Arial" w:hint="eastAsia"/>
          <w:sz w:val="24"/>
          <w:szCs w:val="24"/>
        </w:rPr>
        <w:t>日，有关财务数据截止日为202</w:t>
      </w:r>
      <w:r>
        <w:rPr>
          <w:rFonts w:asciiTheme="minorEastAsia" w:hAnsiTheme="minorEastAsia" w:cs="Arial"/>
          <w:sz w:val="24"/>
          <w:szCs w:val="24"/>
        </w:rPr>
        <w:t>3</w:t>
      </w:r>
      <w:r>
        <w:rPr>
          <w:rFonts w:asciiTheme="minorEastAsia" w:hAnsiTheme="minorEastAsia" w:cs="Arial" w:hint="eastAsia"/>
          <w:sz w:val="24"/>
          <w:szCs w:val="24"/>
        </w:rPr>
        <w:t>年</w:t>
      </w:r>
      <w:r>
        <w:rPr>
          <w:rFonts w:asciiTheme="minorEastAsia" w:hAnsiTheme="minorEastAsia" w:cs="Arial"/>
          <w:sz w:val="24"/>
          <w:szCs w:val="24"/>
        </w:rPr>
        <w:t>9</w:t>
      </w:r>
      <w:r>
        <w:rPr>
          <w:rFonts w:asciiTheme="minorEastAsia" w:hAnsiTheme="minorEastAsia" w:cs="Arial" w:hint="eastAsia"/>
          <w:sz w:val="24"/>
          <w:szCs w:val="24"/>
        </w:rPr>
        <w:t>月30日，净值表现截止日为202</w:t>
      </w:r>
      <w:r>
        <w:rPr>
          <w:rFonts w:asciiTheme="minorEastAsia" w:hAnsiTheme="minorEastAsia" w:cs="Arial"/>
          <w:sz w:val="24"/>
          <w:szCs w:val="24"/>
        </w:rPr>
        <w:t>3</w:t>
      </w:r>
      <w:r>
        <w:rPr>
          <w:rFonts w:asciiTheme="minorEastAsia" w:hAnsiTheme="minorEastAsia" w:cs="Arial" w:hint="eastAsia"/>
          <w:sz w:val="24"/>
          <w:szCs w:val="24"/>
        </w:rPr>
        <w:t>年</w:t>
      </w:r>
      <w:r>
        <w:rPr>
          <w:rFonts w:asciiTheme="minorEastAsia" w:hAnsiTheme="minorEastAsia" w:cs="Arial"/>
          <w:sz w:val="24"/>
          <w:szCs w:val="24"/>
        </w:rPr>
        <w:t>9</w:t>
      </w:r>
      <w:r>
        <w:rPr>
          <w:rFonts w:asciiTheme="minorEastAsia" w:hAnsiTheme="minorEastAsia" w:cs="Arial" w:hint="eastAsia"/>
          <w:sz w:val="24"/>
          <w:szCs w:val="24"/>
        </w:rPr>
        <w:t>月30日。（财务数据未经审计）。</w:t>
      </w:r>
    </w:p>
    <w:p w14:paraId="66C962EC" w14:textId="77777777" w:rsidR="00B67C49" w:rsidRDefault="00000000">
      <w:pPr>
        <w:autoSpaceDE w:val="0"/>
        <w:autoSpaceDN w:val="0"/>
        <w:adjustRightInd w:val="0"/>
        <w:snapToGrid w:val="0"/>
        <w:spacing w:line="360" w:lineRule="auto"/>
        <w:jc w:val="center"/>
        <w:rPr>
          <w:rFonts w:ascii="Arial" w:eastAsia="宋体" w:hAnsi="Arial" w:cs="Arial"/>
          <w:b/>
          <w:bCs/>
          <w:sz w:val="28"/>
          <w:szCs w:val="28"/>
        </w:rPr>
      </w:pPr>
      <w:r>
        <w:rPr>
          <w:rFonts w:asciiTheme="minorEastAsia" w:hAnsiTheme="minorEastAsia" w:cs="Arial" w:hint="eastAsia"/>
          <w:sz w:val="24"/>
          <w:szCs w:val="24"/>
        </w:rPr>
        <w:t xml:space="preserve"> </w:t>
      </w:r>
      <w:r>
        <w:rPr>
          <w:rFonts w:asciiTheme="minorEastAsia" w:hAnsiTheme="minorEastAsia" w:cs="Arial"/>
          <w:sz w:val="24"/>
          <w:szCs w:val="24"/>
        </w:rPr>
        <w:t xml:space="preserve">   </w:t>
      </w:r>
    </w:p>
    <w:p w14:paraId="3926A8DA" w14:textId="77777777" w:rsidR="00B67C49" w:rsidRDefault="00B67C49">
      <w:pPr>
        <w:widowControl/>
        <w:spacing w:line="360" w:lineRule="auto"/>
        <w:jc w:val="left"/>
        <w:rPr>
          <w:rFonts w:ascii="Times New Roman" w:eastAsia="宋体" w:hAnsi="Times New Roman" w:cs="Times New Roman"/>
          <w:b/>
          <w:kern w:val="0"/>
          <w:sz w:val="30"/>
          <w:szCs w:val="30"/>
        </w:rPr>
        <w:sectPr w:rsidR="00B67C49" w:rsidSect="00D84CBD">
          <w:headerReference w:type="even" r:id="rId13"/>
          <w:headerReference w:type="default" r:id="rId14"/>
          <w:headerReference w:type="first" r:id="rId15"/>
          <w:pgSz w:w="11906" w:h="16838"/>
          <w:pgMar w:top="1440" w:right="1800" w:bottom="1440" w:left="1800" w:header="851" w:footer="992" w:gutter="0"/>
          <w:pgNumType w:start="1"/>
          <w:cols w:space="720"/>
          <w:docGrid w:type="lines" w:linePitch="312"/>
        </w:sectPr>
      </w:pPr>
      <w:bookmarkStart w:id="14" w:name="_Toc141703880"/>
      <w:bookmarkStart w:id="15" w:name="_Toc4867"/>
      <w:bookmarkStart w:id="16" w:name="_Toc11660"/>
      <w:bookmarkStart w:id="17" w:name="_Toc29629"/>
      <w:bookmarkStart w:id="18" w:name="_Toc4966"/>
      <w:bookmarkStart w:id="19" w:name="_Toc23386"/>
      <w:bookmarkStart w:id="20" w:name="_Toc8727"/>
      <w:bookmarkStart w:id="21" w:name="_Toc30935"/>
      <w:bookmarkStart w:id="22" w:name="_Toc32639"/>
      <w:bookmarkStart w:id="23" w:name="_Toc139991730"/>
      <w:bookmarkStart w:id="24" w:name="_Toc123112229"/>
      <w:bookmarkStart w:id="25" w:name="_Toc26897"/>
      <w:bookmarkStart w:id="26" w:name="_Toc123112268"/>
      <w:bookmarkStart w:id="27" w:name="_Toc15517"/>
      <w:bookmarkStart w:id="28" w:name="_Toc123701389"/>
      <w:bookmarkStart w:id="29" w:name="_Toc6306"/>
      <w:bookmarkStart w:id="30" w:name="_Toc352229746"/>
      <w:bookmarkStart w:id="31" w:name="_Toc233456271"/>
      <w:bookmarkEnd w:id="0"/>
      <w:bookmarkEnd w:id="1"/>
      <w:bookmarkEnd w:id="2"/>
      <w:bookmarkEnd w:id="3"/>
    </w:p>
    <w:p w14:paraId="1B288146" w14:textId="77777777" w:rsidR="00B67C49" w:rsidRDefault="00000000">
      <w:pPr>
        <w:jc w:val="center"/>
        <w:rPr>
          <w:b/>
          <w:bCs/>
          <w:sz w:val="24"/>
        </w:rPr>
      </w:pPr>
      <w:r>
        <w:rPr>
          <w:b/>
          <w:bCs/>
          <w:sz w:val="24"/>
        </w:rPr>
        <w:lastRenderedPageBreak/>
        <w:t>目</w:t>
      </w:r>
      <w:r>
        <w:rPr>
          <w:b/>
          <w:bCs/>
          <w:sz w:val="24"/>
        </w:rPr>
        <w:t xml:space="preserve">    </w:t>
      </w:r>
      <w:r>
        <w:rPr>
          <w:b/>
          <w:bCs/>
          <w:sz w:val="24"/>
        </w:rPr>
        <w:t>录</w:t>
      </w:r>
    </w:p>
    <w:p w14:paraId="7BF4183E" w14:textId="5B72E697" w:rsidR="00B67C49" w:rsidRDefault="00000000">
      <w:pPr>
        <w:pStyle w:val="TOC1"/>
        <w:rPr>
          <w:rFonts w:asciiTheme="minorHAnsi" w:eastAsiaTheme="minorEastAsia" w:hAnsiTheme="minorHAnsi" w:cstheme="minorBidi"/>
          <w:noProof/>
          <w:szCs w:val="22"/>
        </w:rPr>
      </w:pPr>
      <w:r>
        <w:rPr>
          <w:bCs/>
        </w:rPr>
        <w:fldChar w:fldCharType="begin"/>
      </w:r>
      <w:r>
        <w:rPr>
          <w:bCs/>
        </w:rPr>
        <w:instrText xml:space="preserve"> TOC \o "1-1" \h \z \u </w:instrText>
      </w:r>
      <w:r>
        <w:rPr>
          <w:bCs/>
        </w:rPr>
        <w:fldChar w:fldCharType="separate"/>
      </w:r>
      <w:hyperlink w:anchor="_Toc119568457" w:history="1">
        <w:r>
          <w:rPr>
            <w:rStyle w:val="afc"/>
            <w:noProof/>
          </w:rPr>
          <w:t>第一部分</w:t>
        </w:r>
        <w:r>
          <w:rPr>
            <w:rStyle w:val="afc"/>
            <w:noProof/>
          </w:rPr>
          <w:t xml:space="preserve">  </w:t>
        </w:r>
        <w:r>
          <w:rPr>
            <w:rStyle w:val="afc"/>
            <w:noProof/>
          </w:rPr>
          <w:t>绪言</w:t>
        </w:r>
        <w:r>
          <w:rPr>
            <w:noProof/>
          </w:rPr>
          <w:tab/>
        </w:r>
        <w:r>
          <w:rPr>
            <w:noProof/>
          </w:rPr>
          <w:fldChar w:fldCharType="begin"/>
        </w:r>
        <w:r>
          <w:rPr>
            <w:noProof/>
          </w:rPr>
          <w:instrText xml:space="preserve"> PAGEREF _Toc119568457 \h </w:instrText>
        </w:r>
        <w:r>
          <w:rPr>
            <w:noProof/>
          </w:rPr>
        </w:r>
        <w:r>
          <w:rPr>
            <w:noProof/>
          </w:rPr>
          <w:fldChar w:fldCharType="separate"/>
        </w:r>
        <w:r w:rsidR="009511BD">
          <w:rPr>
            <w:noProof/>
          </w:rPr>
          <w:t>4</w:t>
        </w:r>
        <w:r>
          <w:rPr>
            <w:noProof/>
          </w:rPr>
          <w:fldChar w:fldCharType="end"/>
        </w:r>
      </w:hyperlink>
    </w:p>
    <w:p w14:paraId="5E52FD1B" w14:textId="24963658" w:rsidR="00B67C49" w:rsidRDefault="00000000">
      <w:pPr>
        <w:pStyle w:val="TOC1"/>
        <w:rPr>
          <w:rFonts w:asciiTheme="minorHAnsi" w:eastAsiaTheme="minorEastAsia" w:hAnsiTheme="minorHAnsi" w:cstheme="minorBidi"/>
          <w:noProof/>
          <w:szCs w:val="22"/>
        </w:rPr>
      </w:pPr>
      <w:hyperlink w:anchor="_Toc119568458" w:history="1">
        <w:r>
          <w:rPr>
            <w:rStyle w:val="afc"/>
            <w:noProof/>
          </w:rPr>
          <w:t>第二部分</w:t>
        </w:r>
        <w:r>
          <w:rPr>
            <w:rStyle w:val="afc"/>
            <w:noProof/>
          </w:rPr>
          <w:t xml:space="preserve">  </w:t>
        </w:r>
        <w:r>
          <w:rPr>
            <w:rStyle w:val="afc"/>
            <w:noProof/>
          </w:rPr>
          <w:t>释义</w:t>
        </w:r>
        <w:r>
          <w:rPr>
            <w:noProof/>
          </w:rPr>
          <w:tab/>
        </w:r>
        <w:r>
          <w:rPr>
            <w:noProof/>
          </w:rPr>
          <w:fldChar w:fldCharType="begin"/>
        </w:r>
        <w:r>
          <w:rPr>
            <w:noProof/>
          </w:rPr>
          <w:instrText xml:space="preserve"> PAGEREF _Toc119568458 \h </w:instrText>
        </w:r>
        <w:r>
          <w:rPr>
            <w:noProof/>
          </w:rPr>
        </w:r>
        <w:r>
          <w:rPr>
            <w:noProof/>
          </w:rPr>
          <w:fldChar w:fldCharType="separate"/>
        </w:r>
        <w:r w:rsidR="009511BD">
          <w:rPr>
            <w:noProof/>
          </w:rPr>
          <w:t>5</w:t>
        </w:r>
        <w:r>
          <w:rPr>
            <w:noProof/>
          </w:rPr>
          <w:fldChar w:fldCharType="end"/>
        </w:r>
      </w:hyperlink>
    </w:p>
    <w:p w14:paraId="30C4D4F1" w14:textId="276AF5B0" w:rsidR="00B67C49" w:rsidRDefault="00000000">
      <w:pPr>
        <w:pStyle w:val="TOC1"/>
        <w:rPr>
          <w:rFonts w:asciiTheme="minorHAnsi" w:eastAsiaTheme="minorEastAsia" w:hAnsiTheme="minorHAnsi" w:cstheme="minorBidi"/>
          <w:noProof/>
          <w:szCs w:val="22"/>
        </w:rPr>
      </w:pPr>
      <w:hyperlink w:anchor="_Toc119568459" w:history="1">
        <w:r>
          <w:rPr>
            <w:rStyle w:val="afc"/>
            <w:noProof/>
          </w:rPr>
          <w:t>第三部分</w:t>
        </w:r>
        <w:r>
          <w:rPr>
            <w:rStyle w:val="afc"/>
            <w:noProof/>
          </w:rPr>
          <w:t xml:space="preserve">  </w:t>
        </w:r>
        <w:r>
          <w:rPr>
            <w:rStyle w:val="afc"/>
            <w:noProof/>
          </w:rPr>
          <w:t>基金管理人</w:t>
        </w:r>
        <w:r>
          <w:rPr>
            <w:noProof/>
          </w:rPr>
          <w:tab/>
        </w:r>
        <w:r>
          <w:rPr>
            <w:noProof/>
          </w:rPr>
          <w:fldChar w:fldCharType="begin"/>
        </w:r>
        <w:r>
          <w:rPr>
            <w:noProof/>
          </w:rPr>
          <w:instrText xml:space="preserve"> PAGEREF _Toc119568459 \h </w:instrText>
        </w:r>
        <w:r>
          <w:rPr>
            <w:noProof/>
          </w:rPr>
        </w:r>
        <w:r>
          <w:rPr>
            <w:noProof/>
          </w:rPr>
          <w:fldChar w:fldCharType="separate"/>
        </w:r>
        <w:r w:rsidR="009511BD">
          <w:rPr>
            <w:noProof/>
          </w:rPr>
          <w:t>10</w:t>
        </w:r>
        <w:r>
          <w:rPr>
            <w:noProof/>
          </w:rPr>
          <w:fldChar w:fldCharType="end"/>
        </w:r>
      </w:hyperlink>
    </w:p>
    <w:p w14:paraId="0A29FD1E" w14:textId="55F9CBC1" w:rsidR="00B67C49" w:rsidRDefault="00000000">
      <w:pPr>
        <w:pStyle w:val="TOC1"/>
        <w:rPr>
          <w:rFonts w:asciiTheme="minorHAnsi" w:eastAsiaTheme="minorEastAsia" w:hAnsiTheme="minorHAnsi" w:cstheme="minorBidi"/>
          <w:noProof/>
          <w:szCs w:val="22"/>
        </w:rPr>
      </w:pPr>
      <w:hyperlink w:anchor="_Toc119568460" w:history="1">
        <w:r>
          <w:rPr>
            <w:rStyle w:val="afc"/>
            <w:noProof/>
          </w:rPr>
          <w:t>第四部分</w:t>
        </w:r>
        <w:r>
          <w:rPr>
            <w:rStyle w:val="afc"/>
            <w:noProof/>
          </w:rPr>
          <w:t xml:space="preserve">  </w:t>
        </w:r>
        <w:r>
          <w:rPr>
            <w:rStyle w:val="afc"/>
            <w:noProof/>
          </w:rPr>
          <w:t>基金托管人</w:t>
        </w:r>
        <w:r>
          <w:rPr>
            <w:noProof/>
          </w:rPr>
          <w:tab/>
        </w:r>
        <w:r>
          <w:rPr>
            <w:noProof/>
          </w:rPr>
          <w:fldChar w:fldCharType="begin"/>
        </w:r>
        <w:r>
          <w:rPr>
            <w:noProof/>
          </w:rPr>
          <w:instrText xml:space="preserve"> PAGEREF _Toc119568460 \h </w:instrText>
        </w:r>
        <w:r>
          <w:rPr>
            <w:noProof/>
          </w:rPr>
        </w:r>
        <w:r>
          <w:rPr>
            <w:noProof/>
          </w:rPr>
          <w:fldChar w:fldCharType="separate"/>
        </w:r>
        <w:r w:rsidR="009511BD">
          <w:rPr>
            <w:noProof/>
          </w:rPr>
          <w:t>21</w:t>
        </w:r>
        <w:r>
          <w:rPr>
            <w:noProof/>
          </w:rPr>
          <w:fldChar w:fldCharType="end"/>
        </w:r>
      </w:hyperlink>
    </w:p>
    <w:p w14:paraId="07E01A07" w14:textId="76B26803" w:rsidR="00B67C49" w:rsidRDefault="00000000">
      <w:pPr>
        <w:pStyle w:val="TOC1"/>
        <w:rPr>
          <w:rFonts w:asciiTheme="minorHAnsi" w:eastAsiaTheme="minorEastAsia" w:hAnsiTheme="minorHAnsi" w:cstheme="minorBidi"/>
          <w:noProof/>
          <w:szCs w:val="22"/>
        </w:rPr>
      </w:pPr>
      <w:hyperlink w:anchor="_Toc119568461" w:history="1">
        <w:r>
          <w:rPr>
            <w:rStyle w:val="afc"/>
            <w:noProof/>
          </w:rPr>
          <w:t>第五部分</w:t>
        </w:r>
        <w:r>
          <w:rPr>
            <w:rStyle w:val="afc"/>
            <w:noProof/>
          </w:rPr>
          <w:t xml:space="preserve">  </w:t>
        </w:r>
        <w:r>
          <w:rPr>
            <w:rStyle w:val="afc"/>
            <w:noProof/>
          </w:rPr>
          <w:t>相关服务机构</w:t>
        </w:r>
        <w:r>
          <w:rPr>
            <w:noProof/>
          </w:rPr>
          <w:tab/>
        </w:r>
        <w:r>
          <w:rPr>
            <w:noProof/>
          </w:rPr>
          <w:fldChar w:fldCharType="begin"/>
        </w:r>
        <w:r>
          <w:rPr>
            <w:noProof/>
          </w:rPr>
          <w:instrText xml:space="preserve"> PAGEREF _Toc119568461 \h </w:instrText>
        </w:r>
        <w:r>
          <w:rPr>
            <w:noProof/>
          </w:rPr>
        </w:r>
        <w:r>
          <w:rPr>
            <w:noProof/>
          </w:rPr>
          <w:fldChar w:fldCharType="separate"/>
        </w:r>
        <w:r w:rsidR="009511BD">
          <w:rPr>
            <w:noProof/>
          </w:rPr>
          <w:t>25</w:t>
        </w:r>
        <w:r>
          <w:rPr>
            <w:noProof/>
          </w:rPr>
          <w:fldChar w:fldCharType="end"/>
        </w:r>
      </w:hyperlink>
    </w:p>
    <w:p w14:paraId="3B5345E0" w14:textId="7D943D70" w:rsidR="00B67C49" w:rsidRDefault="00000000">
      <w:pPr>
        <w:pStyle w:val="TOC1"/>
        <w:rPr>
          <w:rFonts w:asciiTheme="minorHAnsi" w:eastAsiaTheme="minorEastAsia" w:hAnsiTheme="minorHAnsi" w:cstheme="minorBidi"/>
          <w:noProof/>
          <w:szCs w:val="22"/>
        </w:rPr>
      </w:pPr>
      <w:hyperlink w:anchor="_Toc119568462" w:history="1">
        <w:r>
          <w:rPr>
            <w:rStyle w:val="afc"/>
            <w:noProof/>
          </w:rPr>
          <w:t>第六部分</w:t>
        </w:r>
        <w:r>
          <w:rPr>
            <w:rStyle w:val="afc"/>
            <w:noProof/>
          </w:rPr>
          <w:t xml:space="preserve">  </w:t>
        </w:r>
        <w:r>
          <w:rPr>
            <w:rStyle w:val="afc"/>
            <w:rFonts w:asciiTheme="minorEastAsia" w:hAnsiTheme="minorEastAsia"/>
            <w:noProof/>
          </w:rPr>
          <w:t>基金的募集</w:t>
        </w:r>
        <w:r>
          <w:rPr>
            <w:noProof/>
          </w:rPr>
          <w:tab/>
        </w:r>
        <w:r>
          <w:rPr>
            <w:noProof/>
          </w:rPr>
          <w:fldChar w:fldCharType="begin"/>
        </w:r>
        <w:r>
          <w:rPr>
            <w:noProof/>
          </w:rPr>
          <w:instrText xml:space="preserve"> PAGEREF _Toc119568462 \h </w:instrText>
        </w:r>
        <w:r>
          <w:rPr>
            <w:noProof/>
          </w:rPr>
        </w:r>
        <w:r>
          <w:rPr>
            <w:noProof/>
          </w:rPr>
          <w:fldChar w:fldCharType="separate"/>
        </w:r>
        <w:r w:rsidR="009511BD">
          <w:rPr>
            <w:noProof/>
          </w:rPr>
          <w:t>33</w:t>
        </w:r>
        <w:r>
          <w:rPr>
            <w:noProof/>
          </w:rPr>
          <w:fldChar w:fldCharType="end"/>
        </w:r>
      </w:hyperlink>
    </w:p>
    <w:p w14:paraId="04AC7939" w14:textId="3E2164E0" w:rsidR="00B67C49" w:rsidRDefault="00000000">
      <w:pPr>
        <w:pStyle w:val="TOC1"/>
        <w:rPr>
          <w:rFonts w:asciiTheme="minorHAnsi" w:eastAsiaTheme="minorEastAsia" w:hAnsiTheme="minorHAnsi" w:cstheme="minorBidi"/>
          <w:noProof/>
          <w:szCs w:val="22"/>
        </w:rPr>
      </w:pPr>
      <w:hyperlink w:anchor="_Toc119568463" w:history="1">
        <w:r>
          <w:rPr>
            <w:rStyle w:val="afc"/>
            <w:noProof/>
          </w:rPr>
          <w:t>第七部分</w:t>
        </w:r>
        <w:r>
          <w:rPr>
            <w:rStyle w:val="afc"/>
            <w:noProof/>
          </w:rPr>
          <w:t xml:space="preserve">  </w:t>
        </w:r>
        <w:r>
          <w:rPr>
            <w:rStyle w:val="afc"/>
            <w:noProof/>
          </w:rPr>
          <w:t>基金合同的生效</w:t>
        </w:r>
        <w:r>
          <w:rPr>
            <w:noProof/>
          </w:rPr>
          <w:tab/>
        </w:r>
        <w:r>
          <w:rPr>
            <w:noProof/>
          </w:rPr>
          <w:fldChar w:fldCharType="begin"/>
        </w:r>
        <w:r>
          <w:rPr>
            <w:noProof/>
          </w:rPr>
          <w:instrText xml:space="preserve"> PAGEREF _Toc119568463 \h </w:instrText>
        </w:r>
        <w:r>
          <w:rPr>
            <w:noProof/>
          </w:rPr>
        </w:r>
        <w:r>
          <w:rPr>
            <w:noProof/>
          </w:rPr>
          <w:fldChar w:fldCharType="separate"/>
        </w:r>
        <w:r w:rsidR="009511BD">
          <w:rPr>
            <w:noProof/>
          </w:rPr>
          <w:t>34</w:t>
        </w:r>
        <w:r>
          <w:rPr>
            <w:noProof/>
          </w:rPr>
          <w:fldChar w:fldCharType="end"/>
        </w:r>
      </w:hyperlink>
    </w:p>
    <w:p w14:paraId="67B320D3" w14:textId="25C0F6EC" w:rsidR="00B67C49" w:rsidRDefault="00000000">
      <w:pPr>
        <w:pStyle w:val="TOC1"/>
        <w:rPr>
          <w:rFonts w:asciiTheme="minorHAnsi" w:eastAsiaTheme="minorEastAsia" w:hAnsiTheme="minorHAnsi" w:cstheme="minorBidi"/>
          <w:noProof/>
          <w:szCs w:val="22"/>
        </w:rPr>
      </w:pPr>
      <w:hyperlink w:anchor="_Toc119568464" w:history="1">
        <w:r>
          <w:rPr>
            <w:rStyle w:val="afc"/>
            <w:noProof/>
          </w:rPr>
          <w:t>第八部分</w:t>
        </w:r>
        <w:r>
          <w:rPr>
            <w:rStyle w:val="afc"/>
            <w:noProof/>
          </w:rPr>
          <w:t xml:space="preserve">  </w:t>
        </w:r>
        <w:r>
          <w:rPr>
            <w:rStyle w:val="afc"/>
            <w:noProof/>
          </w:rPr>
          <w:t>基金份额的申购与赎回</w:t>
        </w:r>
        <w:r>
          <w:rPr>
            <w:noProof/>
          </w:rPr>
          <w:tab/>
        </w:r>
        <w:r>
          <w:rPr>
            <w:noProof/>
          </w:rPr>
          <w:fldChar w:fldCharType="begin"/>
        </w:r>
        <w:r>
          <w:rPr>
            <w:noProof/>
          </w:rPr>
          <w:instrText xml:space="preserve"> PAGEREF _Toc119568464 \h </w:instrText>
        </w:r>
        <w:r>
          <w:rPr>
            <w:noProof/>
          </w:rPr>
        </w:r>
        <w:r>
          <w:rPr>
            <w:noProof/>
          </w:rPr>
          <w:fldChar w:fldCharType="separate"/>
        </w:r>
        <w:r w:rsidR="009511BD">
          <w:rPr>
            <w:noProof/>
          </w:rPr>
          <w:t>35</w:t>
        </w:r>
        <w:r>
          <w:rPr>
            <w:noProof/>
          </w:rPr>
          <w:fldChar w:fldCharType="end"/>
        </w:r>
      </w:hyperlink>
    </w:p>
    <w:p w14:paraId="5DFF236E" w14:textId="6668F03E" w:rsidR="00B67C49" w:rsidRDefault="00000000">
      <w:pPr>
        <w:pStyle w:val="TOC1"/>
        <w:rPr>
          <w:rFonts w:asciiTheme="minorHAnsi" w:eastAsiaTheme="minorEastAsia" w:hAnsiTheme="minorHAnsi" w:cstheme="minorBidi"/>
          <w:noProof/>
          <w:szCs w:val="22"/>
        </w:rPr>
      </w:pPr>
      <w:hyperlink w:anchor="_Toc119568465" w:history="1">
        <w:r>
          <w:rPr>
            <w:rStyle w:val="afc"/>
            <w:noProof/>
          </w:rPr>
          <w:t>第九部分</w:t>
        </w:r>
        <w:r>
          <w:rPr>
            <w:rStyle w:val="afc"/>
            <w:noProof/>
          </w:rPr>
          <w:t xml:space="preserve">  </w:t>
        </w:r>
        <w:r>
          <w:rPr>
            <w:rStyle w:val="afc"/>
            <w:noProof/>
          </w:rPr>
          <w:t>基金的投资</w:t>
        </w:r>
        <w:r>
          <w:rPr>
            <w:noProof/>
          </w:rPr>
          <w:tab/>
        </w:r>
        <w:r>
          <w:rPr>
            <w:noProof/>
          </w:rPr>
          <w:fldChar w:fldCharType="begin"/>
        </w:r>
        <w:r>
          <w:rPr>
            <w:noProof/>
          </w:rPr>
          <w:instrText xml:space="preserve"> PAGEREF _Toc119568465 \h </w:instrText>
        </w:r>
        <w:r>
          <w:rPr>
            <w:noProof/>
          </w:rPr>
        </w:r>
        <w:r>
          <w:rPr>
            <w:noProof/>
          </w:rPr>
          <w:fldChar w:fldCharType="separate"/>
        </w:r>
        <w:r w:rsidR="009511BD">
          <w:rPr>
            <w:noProof/>
          </w:rPr>
          <w:t>46</w:t>
        </w:r>
        <w:r>
          <w:rPr>
            <w:noProof/>
          </w:rPr>
          <w:fldChar w:fldCharType="end"/>
        </w:r>
      </w:hyperlink>
    </w:p>
    <w:p w14:paraId="1FFF1891" w14:textId="23244570" w:rsidR="00B67C49" w:rsidRDefault="00000000">
      <w:pPr>
        <w:pStyle w:val="TOC1"/>
        <w:rPr>
          <w:rFonts w:asciiTheme="minorHAnsi" w:eastAsiaTheme="minorEastAsia" w:hAnsiTheme="minorHAnsi" w:cstheme="minorBidi"/>
          <w:noProof/>
          <w:szCs w:val="22"/>
        </w:rPr>
      </w:pPr>
      <w:hyperlink w:anchor="_Toc119568466" w:history="1">
        <w:r>
          <w:rPr>
            <w:rStyle w:val="afc"/>
            <w:noProof/>
          </w:rPr>
          <w:t>第十部分</w:t>
        </w:r>
        <w:r>
          <w:rPr>
            <w:rStyle w:val="afc"/>
            <w:noProof/>
          </w:rPr>
          <w:t xml:space="preserve">  </w:t>
        </w:r>
        <w:r>
          <w:rPr>
            <w:rStyle w:val="afc"/>
            <w:noProof/>
          </w:rPr>
          <w:t>基金的财产</w:t>
        </w:r>
        <w:r>
          <w:rPr>
            <w:noProof/>
          </w:rPr>
          <w:tab/>
        </w:r>
        <w:r>
          <w:rPr>
            <w:noProof/>
          </w:rPr>
          <w:fldChar w:fldCharType="begin"/>
        </w:r>
        <w:r>
          <w:rPr>
            <w:noProof/>
          </w:rPr>
          <w:instrText xml:space="preserve"> PAGEREF _Toc119568466 \h </w:instrText>
        </w:r>
        <w:r>
          <w:rPr>
            <w:noProof/>
          </w:rPr>
        </w:r>
        <w:r>
          <w:rPr>
            <w:noProof/>
          </w:rPr>
          <w:fldChar w:fldCharType="separate"/>
        </w:r>
        <w:r w:rsidR="009511BD">
          <w:rPr>
            <w:noProof/>
          </w:rPr>
          <w:t>60</w:t>
        </w:r>
        <w:r>
          <w:rPr>
            <w:noProof/>
          </w:rPr>
          <w:fldChar w:fldCharType="end"/>
        </w:r>
      </w:hyperlink>
    </w:p>
    <w:p w14:paraId="185E31D8" w14:textId="2818BD46" w:rsidR="00B67C49" w:rsidRDefault="00000000">
      <w:pPr>
        <w:pStyle w:val="TOC1"/>
        <w:rPr>
          <w:rFonts w:asciiTheme="minorHAnsi" w:eastAsiaTheme="minorEastAsia" w:hAnsiTheme="minorHAnsi" w:cstheme="minorBidi"/>
          <w:noProof/>
          <w:szCs w:val="22"/>
        </w:rPr>
      </w:pPr>
      <w:hyperlink w:anchor="_Toc119568467" w:history="1">
        <w:r>
          <w:rPr>
            <w:rStyle w:val="afc"/>
            <w:noProof/>
          </w:rPr>
          <w:t>第十一部分</w:t>
        </w:r>
        <w:r>
          <w:rPr>
            <w:rStyle w:val="afc"/>
            <w:noProof/>
          </w:rPr>
          <w:t xml:space="preserve">  </w:t>
        </w:r>
        <w:r>
          <w:rPr>
            <w:rStyle w:val="afc"/>
            <w:noProof/>
          </w:rPr>
          <w:t>基金资产的估值</w:t>
        </w:r>
        <w:r>
          <w:rPr>
            <w:noProof/>
          </w:rPr>
          <w:tab/>
        </w:r>
        <w:r>
          <w:rPr>
            <w:noProof/>
          </w:rPr>
          <w:fldChar w:fldCharType="begin"/>
        </w:r>
        <w:r>
          <w:rPr>
            <w:noProof/>
          </w:rPr>
          <w:instrText xml:space="preserve"> PAGEREF _Toc119568467 \h </w:instrText>
        </w:r>
        <w:r>
          <w:rPr>
            <w:noProof/>
          </w:rPr>
        </w:r>
        <w:r>
          <w:rPr>
            <w:noProof/>
          </w:rPr>
          <w:fldChar w:fldCharType="separate"/>
        </w:r>
        <w:r w:rsidR="009511BD">
          <w:rPr>
            <w:noProof/>
          </w:rPr>
          <w:t>62</w:t>
        </w:r>
        <w:r>
          <w:rPr>
            <w:noProof/>
          </w:rPr>
          <w:fldChar w:fldCharType="end"/>
        </w:r>
      </w:hyperlink>
    </w:p>
    <w:p w14:paraId="70AAE3AA" w14:textId="5F2721B4" w:rsidR="00B67C49" w:rsidRDefault="00000000">
      <w:pPr>
        <w:pStyle w:val="TOC1"/>
        <w:rPr>
          <w:rFonts w:asciiTheme="minorHAnsi" w:eastAsiaTheme="minorEastAsia" w:hAnsiTheme="minorHAnsi" w:cstheme="minorBidi"/>
          <w:noProof/>
          <w:szCs w:val="22"/>
        </w:rPr>
      </w:pPr>
      <w:hyperlink w:anchor="_Toc119568468" w:history="1">
        <w:r>
          <w:rPr>
            <w:rStyle w:val="afc"/>
            <w:noProof/>
          </w:rPr>
          <w:t>第十二部分</w:t>
        </w:r>
        <w:r>
          <w:rPr>
            <w:rStyle w:val="afc"/>
            <w:noProof/>
          </w:rPr>
          <w:t xml:space="preserve">  </w:t>
        </w:r>
        <w:r>
          <w:rPr>
            <w:rStyle w:val="afc"/>
            <w:noProof/>
          </w:rPr>
          <w:t>基金的收益分配</w:t>
        </w:r>
        <w:r>
          <w:rPr>
            <w:noProof/>
          </w:rPr>
          <w:tab/>
        </w:r>
        <w:r>
          <w:rPr>
            <w:noProof/>
          </w:rPr>
          <w:fldChar w:fldCharType="begin"/>
        </w:r>
        <w:r>
          <w:rPr>
            <w:noProof/>
          </w:rPr>
          <w:instrText xml:space="preserve"> PAGEREF _Toc119568468 \h </w:instrText>
        </w:r>
        <w:r>
          <w:rPr>
            <w:noProof/>
          </w:rPr>
        </w:r>
        <w:r>
          <w:rPr>
            <w:noProof/>
          </w:rPr>
          <w:fldChar w:fldCharType="separate"/>
        </w:r>
        <w:r w:rsidR="009511BD">
          <w:rPr>
            <w:noProof/>
          </w:rPr>
          <w:t>68</w:t>
        </w:r>
        <w:r>
          <w:rPr>
            <w:noProof/>
          </w:rPr>
          <w:fldChar w:fldCharType="end"/>
        </w:r>
      </w:hyperlink>
    </w:p>
    <w:p w14:paraId="66ECD370" w14:textId="115A6F0A" w:rsidR="00B67C49" w:rsidRDefault="00000000">
      <w:pPr>
        <w:pStyle w:val="TOC1"/>
        <w:rPr>
          <w:rFonts w:asciiTheme="minorHAnsi" w:eastAsiaTheme="minorEastAsia" w:hAnsiTheme="minorHAnsi" w:cstheme="minorBidi"/>
          <w:noProof/>
          <w:szCs w:val="22"/>
        </w:rPr>
      </w:pPr>
      <w:hyperlink w:anchor="_Toc119568469" w:history="1">
        <w:r>
          <w:rPr>
            <w:rStyle w:val="afc"/>
            <w:noProof/>
          </w:rPr>
          <w:t>第十三部分</w:t>
        </w:r>
        <w:r>
          <w:rPr>
            <w:rStyle w:val="afc"/>
            <w:noProof/>
          </w:rPr>
          <w:t xml:space="preserve">  </w:t>
        </w:r>
        <w:r>
          <w:rPr>
            <w:rStyle w:val="afc"/>
            <w:noProof/>
          </w:rPr>
          <w:t>基金费用与税收</w:t>
        </w:r>
        <w:r>
          <w:rPr>
            <w:noProof/>
          </w:rPr>
          <w:tab/>
        </w:r>
        <w:r>
          <w:rPr>
            <w:noProof/>
          </w:rPr>
          <w:fldChar w:fldCharType="begin"/>
        </w:r>
        <w:r>
          <w:rPr>
            <w:noProof/>
          </w:rPr>
          <w:instrText xml:space="preserve"> PAGEREF _Toc119568469 \h </w:instrText>
        </w:r>
        <w:r>
          <w:rPr>
            <w:noProof/>
          </w:rPr>
        </w:r>
        <w:r>
          <w:rPr>
            <w:noProof/>
          </w:rPr>
          <w:fldChar w:fldCharType="separate"/>
        </w:r>
        <w:r w:rsidR="009511BD">
          <w:rPr>
            <w:noProof/>
          </w:rPr>
          <w:t>70</w:t>
        </w:r>
        <w:r>
          <w:rPr>
            <w:noProof/>
          </w:rPr>
          <w:fldChar w:fldCharType="end"/>
        </w:r>
      </w:hyperlink>
    </w:p>
    <w:p w14:paraId="26785212" w14:textId="13531D10" w:rsidR="00B67C49" w:rsidRDefault="00000000">
      <w:pPr>
        <w:pStyle w:val="TOC1"/>
        <w:rPr>
          <w:rFonts w:asciiTheme="minorHAnsi" w:eastAsiaTheme="minorEastAsia" w:hAnsiTheme="minorHAnsi" w:cstheme="minorBidi"/>
          <w:noProof/>
          <w:szCs w:val="22"/>
        </w:rPr>
      </w:pPr>
      <w:hyperlink w:anchor="_Toc119568470" w:history="1">
        <w:r>
          <w:rPr>
            <w:rStyle w:val="afc"/>
            <w:noProof/>
          </w:rPr>
          <w:t>第十四部分</w:t>
        </w:r>
        <w:r>
          <w:rPr>
            <w:rStyle w:val="afc"/>
            <w:noProof/>
          </w:rPr>
          <w:t xml:space="preserve">  </w:t>
        </w:r>
        <w:r>
          <w:rPr>
            <w:rStyle w:val="afc"/>
            <w:noProof/>
          </w:rPr>
          <w:t>基金的会计与审计</w:t>
        </w:r>
        <w:r>
          <w:rPr>
            <w:noProof/>
          </w:rPr>
          <w:tab/>
        </w:r>
        <w:r>
          <w:rPr>
            <w:noProof/>
          </w:rPr>
          <w:fldChar w:fldCharType="begin"/>
        </w:r>
        <w:r>
          <w:rPr>
            <w:noProof/>
          </w:rPr>
          <w:instrText xml:space="preserve"> PAGEREF _Toc119568470 \h </w:instrText>
        </w:r>
        <w:r>
          <w:rPr>
            <w:noProof/>
          </w:rPr>
        </w:r>
        <w:r>
          <w:rPr>
            <w:noProof/>
          </w:rPr>
          <w:fldChar w:fldCharType="separate"/>
        </w:r>
        <w:r w:rsidR="009511BD">
          <w:rPr>
            <w:noProof/>
          </w:rPr>
          <w:t>73</w:t>
        </w:r>
        <w:r>
          <w:rPr>
            <w:noProof/>
          </w:rPr>
          <w:fldChar w:fldCharType="end"/>
        </w:r>
      </w:hyperlink>
    </w:p>
    <w:p w14:paraId="70F142F8" w14:textId="0E9CBA55" w:rsidR="00B67C49" w:rsidRDefault="00000000">
      <w:pPr>
        <w:pStyle w:val="TOC1"/>
        <w:rPr>
          <w:rFonts w:asciiTheme="minorHAnsi" w:eastAsiaTheme="minorEastAsia" w:hAnsiTheme="minorHAnsi" w:cstheme="minorBidi"/>
          <w:noProof/>
          <w:szCs w:val="22"/>
        </w:rPr>
      </w:pPr>
      <w:hyperlink w:anchor="_Toc119568471" w:history="1">
        <w:r>
          <w:rPr>
            <w:rStyle w:val="afc"/>
            <w:noProof/>
          </w:rPr>
          <w:t>第十五部分</w:t>
        </w:r>
        <w:r>
          <w:rPr>
            <w:rStyle w:val="afc"/>
            <w:noProof/>
          </w:rPr>
          <w:t xml:space="preserve">  </w:t>
        </w:r>
        <w:r>
          <w:rPr>
            <w:rStyle w:val="afc"/>
            <w:noProof/>
          </w:rPr>
          <w:t>基金的信息披露</w:t>
        </w:r>
        <w:r>
          <w:rPr>
            <w:noProof/>
          </w:rPr>
          <w:tab/>
        </w:r>
        <w:r>
          <w:rPr>
            <w:noProof/>
          </w:rPr>
          <w:fldChar w:fldCharType="begin"/>
        </w:r>
        <w:r>
          <w:rPr>
            <w:noProof/>
          </w:rPr>
          <w:instrText xml:space="preserve"> PAGEREF _Toc119568471 \h </w:instrText>
        </w:r>
        <w:r>
          <w:rPr>
            <w:noProof/>
          </w:rPr>
        </w:r>
        <w:r>
          <w:rPr>
            <w:noProof/>
          </w:rPr>
          <w:fldChar w:fldCharType="separate"/>
        </w:r>
        <w:r w:rsidR="009511BD">
          <w:rPr>
            <w:noProof/>
          </w:rPr>
          <w:t>74</w:t>
        </w:r>
        <w:r>
          <w:rPr>
            <w:noProof/>
          </w:rPr>
          <w:fldChar w:fldCharType="end"/>
        </w:r>
      </w:hyperlink>
    </w:p>
    <w:p w14:paraId="72A31A67" w14:textId="1B5FDC19" w:rsidR="00B67C49" w:rsidRDefault="00000000">
      <w:pPr>
        <w:pStyle w:val="TOC1"/>
        <w:rPr>
          <w:rFonts w:asciiTheme="minorHAnsi" w:eastAsiaTheme="minorEastAsia" w:hAnsiTheme="minorHAnsi" w:cstheme="minorBidi"/>
          <w:noProof/>
          <w:szCs w:val="22"/>
        </w:rPr>
      </w:pPr>
      <w:hyperlink w:anchor="_Toc119568472" w:history="1">
        <w:r>
          <w:rPr>
            <w:rStyle w:val="afc"/>
            <w:rFonts w:cs="Arial"/>
            <w:noProof/>
          </w:rPr>
          <w:t>第十六部分</w:t>
        </w:r>
        <w:r>
          <w:rPr>
            <w:rStyle w:val="afc"/>
            <w:rFonts w:cs="Arial"/>
            <w:noProof/>
          </w:rPr>
          <w:t xml:space="preserve"> </w:t>
        </w:r>
        <w:r>
          <w:rPr>
            <w:rStyle w:val="afc"/>
            <w:rFonts w:cs="Arial"/>
            <w:noProof/>
          </w:rPr>
          <w:t>侧袋机制</w:t>
        </w:r>
        <w:r>
          <w:rPr>
            <w:noProof/>
          </w:rPr>
          <w:tab/>
        </w:r>
        <w:r>
          <w:rPr>
            <w:noProof/>
          </w:rPr>
          <w:fldChar w:fldCharType="begin"/>
        </w:r>
        <w:r>
          <w:rPr>
            <w:noProof/>
          </w:rPr>
          <w:instrText xml:space="preserve"> PAGEREF _Toc119568472 \h </w:instrText>
        </w:r>
        <w:r>
          <w:rPr>
            <w:noProof/>
          </w:rPr>
        </w:r>
        <w:r>
          <w:rPr>
            <w:noProof/>
          </w:rPr>
          <w:fldChar w:fldCharType="separate"/>
        </w:r>
        <w:r w:rsidR="009511BD">
          <w:rPr>
            <w:noProof/>
          </w:rPr>
          <w:t>81</w:t>
        </w:r>
        <w:r>
          <w:rPr>
            <w:noProof/>
          </w:rPr>
          <w:fldChar w:fldCharType="end"/>
        </w:r>
      </w:hyperlink>
    </w:p>
    <w:p w14:paraId="7638DA6D" w14:textId="400BEB40" w:rsidR="00B67C49" w:rsidRDefault="00000000">
      <w:pPr>
        <w:pStyle w:val="TOC1"/>
        <w:rPr>
          <w:rFonts w:asciiTheme="minorHAnsi" w:eastAsiaTheme="minorEastAsia" w:hAnsiTheme="minorHAnsi" w:cstheme="minorBidi"/>
          <w:noProof/>
          <w:szCs w:val="22"/>
        </w:rPr>
      </w:pPr>
      <w:hyperlink w:anchor="_Toc119568473" w:history="1">
        <w:r>
          <w:rPr>
            <w:rStyle w:val="afc"/>
            <w:noProof/>
          </w:rPr>
          <w:t>第十七部分</w:t>
        </w:r>
        <w:r>
          <w:rPr>
            <w:rStyle w:val="afc"/>
            <w:noProof/>
          </w:rPr>
          <w:t xml:space="preserve">  </w:t>
        </w:r>
        <w:r>
          <w:rPr>
            <w:rStyle w:val="afc"/>
            <w:noProof/>
          </w:rPr>
          <w:t>风险揭示</w:t>
        </w:r>
        <w:r>
          <w:rPr>
            <w:noProof/>
          </w:rPr>
          <w:tab/>
        </w:r>
        <w:r>
          <w:rPr>
            <w:noProof/>
          </w:rPr>
          <w:fldChar w:fldCharType="begin"/>
        </w:r>
        <w:r>
          <w:rPr>
            <w:noProof/>
          </w:rPr>
          <w:instrText xml:space="preserve"> PAGEREF _Toc119568473 \h </w:instrText>
        </w:r>
        <w:r>
          <w:rPr>
            <w:noProof/>
          </w:rPr>
        </w:r>
        <w:r>
          <w:rPr>
            <w:noProof/>
          </w:rPr>
          <w:fldChar w:fldCharType="separate"/>
        </w:r>
        <w:r w:rsidR="009511BD">
          <w:rPr>
            <w:noProof/>
          </w:rPr>
          <w:t>84</w:t>
        </w:r>
        <w:r>
          <w:rPr>
            <w:noProof/>
          </w:rPr>
          <w:fldChar w:fldCharType="end"/>
        </w:r>
      </w:hyperlink>
    </w:p>
    <w:p w14:paraId="7E206EEC" w14:textId="4E08764C" w:rsidR="00B67C49" w:rsidRDefault="00000000">
      <w:pPr>
        <w:pStyle w:val="TOC1"/>
        <w:rPr>
          <w:rFonts w:asciiTheme="minorHAnsi" w:eastAsiaTheme="minorEastAsia" w:hAnsiTheme="minorHAnsi" w:cstheme="minorBidi"/>
          <w:noProof/>
          <w:szCs w:val="22"/>
        </w:rPr>
      </w:pPr>
      <w:hyperlink w:anchor="_Toc119568474" w:history="1">
        <w:r>
          <w:rPr>
            <w:rStyle w:val="afc"/>
            <w:noProof/>
          </w:rPr>
          <w:t>第十八部分</w:t>
        </w:r>
        <w:r>
          <w:rPr>
            <w:rStyle w:val="afc"/>
            <w:noProof/>
          </w:rPr>
          <w:t xml:space="preserve">  </w:t>
        </w:r>
        <w:r>
          <w:rPr>
            <w:rStyle w:val="afc"/>
            <w:noProof/>
          </w:rPr>
          <w:t>基金合同的变更、终止与基金财产的清算</w:t>
        </w:r>
        <w:r>
          <w:rPr>
            <w:noProof/>
          </w:rPr>
          <w:tab/>
        </w:r>
        <w:r>
          <w:rPr>
            <w:noProof/>
          </w:rPr>
          <w:fldChar w:fldCharType="begin"/>
        </w:r>
        <w:r>
          <w:rPr>
            <w:noProof/>
          </w:rPr>
          <w:instrText xml:space="preserve"> PAGEREF _Toc119568474 \h </w:instrText>
        </w:r>
        <w:r>
          <w:rPr>
            <w:noProof/>
          </w:rPr>
        </w:r>
        <w:r>
          <w:rPr>
            <w:noProof/>
          </w:rPr>
          <w:fldChar w:fldCharType="separate"/>
        </w:r>
        <w:r w:rsidR="009511BD">
          <w:rPr>
            <w:noProof/>
          </w:rPr>
          <w:t>89</w:t>
        </w:r>
        <w:r>
          <w:rPr>
            <w:noProof/>
          </w:rPr>
          <w:fldChar w:fldCharType="end"/>
        </w:r>
      </w:hyperlink>
    </w:p>
    <w:p w14:paraId="3D4C4028" w14:textId="26772360" w:rsidR="00B67C49" w:rsidRDefault="00000000">
      <w:pPr>
        <w:pStyle w:val="TOC1"/>
        <w:rPr>
          <w:rFonts w:asciiTheme="minorHAnsi" w:eastAsiaTheme="minorEastAsia" w:hAnsiTheme="minorHAnsi" w:cstheme="minorBidi"/>
          <w:noProof/>
          <w:szCs w:val="22"/>
        </w:rPr>
      </w:pPr>
      <w:hyperlink w:anchor="_Toc119568475" w:history="1">
        <w:r>
          <w:rPr>
            <w:rStyle w:val="afc"/>
            <w:noProof/>
          </w:rPr>
          <w:t>第十九部分</w:t>
        </w:r>
        <w:r>
          <w:rPr>
            <w:rStyle w:val="afc"/>
            <w:noProof/>
          </w:rPr>
          <w:t xml:space="preserve">  </w:t>
        </w:r>
        <w:r>
          <w:rPr>
            <w:rStyle w:val="afc"/>
            <w:noProof/>
          </w:rPr>
          <w:t>基金合同的内容摘要</w:t>
        </w:r>
        <w:r>
          <w:rPr>
            <w:noProof/>
          </w:rPr>
          <w:tab/>
        </w:r>
        <w:r>
          <w:rPr>
            <w:noProof/>
          </w:rPr>
          <w:fldChar w:fldCharType="begin"/>
        </w:r>
        <w:r>
          <w:rPr>
            <w:noProof/>
          </w:rPr>
          <w:instrText xml:space="preserve"> PAGEREF _Toc119568475 \h </w:instrText>
        </w:r>
        <w:r>
          <w:rPr>
            <w:noProof/>
          </w:rPr>
        </w:r>
        <w:r>
          <w:rPr>
            <w:noProof/>
          </w:rPr>
          <w:fldChar w:fldCharType="separate"/>
        </w:r>
        <w:r w:rsidR="009511BD">
          <w:rPr>
            <w:noProof/>
          </w:rPr>
          <w:t>91</w:t>
        </w:r>
        <w:r>
          <w:rPr>
            <w:noProof/>
          </w:rPr>
          <w:fldChar w:fldCharType="end"/>
        </w:r>
      </w:hyperlink>
    </w:p>
    <w:p w14:paraId="31461214" w14:textId="24E8423B" w:rsidR="00B67C49" w:rsidRDefault="00000000">
      <w:pPr>
        <w:pStyle w:val="TOC1"/>
        <w:rPr>
          <w:rFonts w:asciiTheme="minorHAnsi" w:eastAsiaTheme="minorEastAsia" w:hAnsiTheme="minorHAnsi" w:cstheme="minorBidi"/>
          <w:noProof/>
          <w:szCs w:val="22"/>
        </w:rPr>
      </w:pPr>
      <w:hyperlink w:anchor="_Toc119568476" w:history="1">
        <w:r>
          <w:rPr>
            <w:rStyle w:val="afc"/>
            <w:noProof/>
          </w:rPr>
          <w:t>第二十部分</w:t>
        </w:r>
        <w:r>
          <w:rPr>
            <w:rStyle w:val="afc"/>
            <w:noProof/>
          </w:rPr>
          <w:t xml:space="preserve">  </w:t>
        </w:r>
        <w:r>
          <w:rPr>
            <w:rStyle w:val="afc"/>
            <w:noProof/>
          </w:rPr>
          <w:t>基金托管协议的内容摘要</w:t>
        </w:r>
        <w:r>
          <w:rPr>
            <w:noProof/>
          </w:rPr>
          <w:tab/>
        </w:r>
        <w:r>
          <w:rPr>
            <w:noProof/>
          </w:rPr>
          <w:fldChar w:fldCharType="begin"/>
        </w:r>
        <w:r>
          <w:rPr>
            <w:noProof/>
          </w:rPr>
          <w:instrText xml:space="preserve"> PAGEREF _Toc119568476 \h </w:instrText>
        </w:r>
        <w:r>
          <w:rPr>
            <w:noProof/>
          </w:rPr>
        </w:r>
        <w:r>
          <w:rPr>
            <w:noProof/>
          </w:rPr>
          <w:fldChar w:fldCharType="separate"/>
        </w:r>
        <w:r w:rsidR="009511BD">
          <w:rPr>
            <w:noProof/>
          </w:rPr>
          <w:t>108</w:t>
        </w:r>
        <w:r>
          <w:rPr>
            <w:noProof/>
          </w:rPr>
          <w:fldChar w:fldCharType="end"/>
        </w:r>
      </w:hyperlink>
    </w:p>
    <w:p w14:paraId="6830510B" w14:textId="2A225E67" w:rsidR="00B67C49" w:rsidRDefault="00000000">
      <w:pPr>
        <w:pStyle w:val="TOC1"/>
        <w:rPr>
          <w:rFonts w:asciiTheme="minorHAnsi" w:eastAsiaTheme="minorEastAsia" w:hAnsiTheme="minorHAnsi" w:cstheme="minorBidi"/>
          <w:noProof/>
          <w:szCs w:val="22"/>
        </w:rPr>
      </w:pPr>
      <w:hyperlink w:anchor="_Toc119568477" w:history="1">
        <w:r>
          <w:rPr>
            <w:rStyle w:val="afc"/>
            <w:noProof/>
          </w:rPr>
          <w:t>第二十一部分</w:t>
        </w:r>
        <w:r>
          <w:rPr>
            <w:rStyle w:val="afc"/>
            <w:noProof/>
          </w:rPr>
          <w:t xml:space="preserve">  </w:t>
        </w:r>
        <w:r>
          <w:rPr>
            <w:rStyle w:val="afc"/>
            <w:noProof/>
          </w:rPr>
          <w:t>对基金份额持有人的服务</w:t>
        </w:r>
        <w:r>
          <w:rPr>
            <w:noProof/>
          </w:rPr>
          <w:tab/>
        </w:r>
        <w:r>
          <w:rPr>
            <w:noProof/>
          </w:rPr>
          <w:fldChar w:fldCharType="begin"/>
        </w:r>
        <w:r>
          <w:rPr>
            <w:noProof/>
          </w:rPr>
          <w:instrText xml:space="preserve"> PAGEREF _Toc119568477 \h </w:instrText>
        </w:r>
        <w:r>
          <w:rPr>
            <w:noProof/>
          </w:rPr>
        </w:r>
        <w:r>
          <w:rPr>
            <w:noProof/>
          </w:rPr>
          <w:fldChar w:fldCharType="separate"/>
        </w:r>
        <w:r w:rsidR="009511BD">
          <w:rPr>
            <w:noProof/>
          </w:rPr>
          <w:t>130</w:t>
        </w:r>
        <w:r>
          <w:rPr>
            <w:noProof/>
          </w:rPr>
          <w:fldChar w:fldCharType="end"/>
        </w:r>
      </w:hyperlink>
    </w:p>
    <w:p w14:paraId="20A213A6" w14:textId="5AB6101C" w:rsidR="00B67C49" w:rsidRDefault="00000000">
      <w:pPr>
        <w:pStyle w:val="TOC1"/>
        <w:rPr>
          <w:rFonts w:asciiTheme="minorHAnsi" w:eastAsiaTheme="minorEastAsia" w:hAnsiTheme="minorHAnsi" w:cstheme="minorBidi"/>
          <w:noProof/>
          <w:szCs w:val="22"/>
        </w:rPr>
      </w:pPr>
      <w:hyperlink w:anchor="_Toc119568478" w:history="1">
        <w:r>
          <w:rPr>
            <w:rStyle w:val="afc"/>
            <w:rFonts w:asciiTheme="minorEastAsia" w:hAnsiTheme="minorEastAsia"/>
            <w:noProof/>
          </w:rPr>
          <w:t>第二十二部分  其他应披露事项</w:t>
        </w:r>
        <w:r>
          <w:rPr>
            <w:noProof/>
          </w:rPr>
          <w:tab/>
        </w:r>
        <w:r>
          <w:rPr>
            <w:noProof/>
          </w:rPr>
          <w:fldChar w:fldCharType="begin"/>
        </w:r>
        <w:r>
          <w:rPr>
            <w:noProof/>
          </w:rPr>
          <w:instrText xml:space="preserve"> PAGEREF _Toc119568478 \h </w:instrText>
        </w:r>
        <w:r>
          <w:rPr>
            <w:noProof/>
          </w:rPr>
        </w:r>
        <w:r>
          <w:rPr>
            <w:noProof/>
          </w:rPr>
          <w:fldChar w:fldCharType="separate"/>
        </w:r>
        <w:r w:rsidR="009511BD">
          <w:rPr>
            <w:noProof/>
          </w:rPr>
          <w:t>132</w:t>
        </w:r>
        <w:r>
          <w:rPr>
            <w:noProof/>
          </w:rPr>
          <w:fldChar w:fldCharType="end"/>
        </w:r>
      </w:hyperlink>
    </w:p>
    <w:p w14:paraId="04D89C6D" w14:textId="621D8D0A" w:rsidR="00B67C49" w:rsidRDefault="00000000">
      <w:pPr>
        <w:pStyle w:val="TOC1"/>
        <w:rPr>
          <w:rFonts w:asciiTheme="minorHAnsi" w:eastAsiaTheme="minorEastAsia" w:hAnsiTheme="minorHAnsi" w:cstheme="minorBidi"/>
          <w:noProof/>
          <w:szCs w:val="22"/>
        </w:rPr>
      </w:pPr>
      <w:hyperlink w:anchor="_Toc119568479" w:history="1">
        <w:r>
          <w:rPr>
            <w:rStyle w:val="afc"/>
            <w:noProof/>
          </w:rPr>
          <w:t>第二十三部分</w:t>
        </w:r>
        <w:r>
          <w:rPr>
            <w:rStyle w:val="afc"/>
            <w:noProof/>
          </w:rPr>
          <w:t xml:space="preserve">  </w:t>
        </w:r>
        <w:r>
          <w:rPr>
            <w:rStyle w:val="afc"/>
            <w:noProof/>
          </w:rPr>
          <w:t>招募说明书存放及查阅方式</w:t>
        </w:r>
        <w:r>
          <w:rPr>
            <w:noProof/>
          </w:rPr>
          <w:tab/>
        </w:r>
        <w:r>
          <w:rPr>
            <w:noProof/>
          </w:rPr>
          <w:fldChar w:fldCharType="begin"/>
        </w:r>
        <w:r>
          <w:rPr>
            <w:noProof/>
          </w:rPr>
          <w:instrText xml:space="preserve"> PAGEREF _Toc119568479 \h </w:instrText>
        </w:r>
        <w:r>
          <w:rPr>
            <w:noProof/>
          </w:rPr>
        </w:r>
        <w:r>
          <w:rPr>
            <w:noProof/>
          </w:rPr>
          <w:fldChar w:fldCharType="separate"/>
        </w:r>
        <w:r w:rsidR="009511BD">
          <w:rPr>
            <w:noProof/>
          </w:rPr>
          <w:t>134</w:t>
        </w:r>
        <w:r>
          <w:rPr>
            <w:noProof/>
          </w:rPr>
          <w:fldChar w:fldCharType="end"/>
        </w:r>
      </w:hyperlink>
    </w:p>
    <w:p w14:paraId="04F5C244" w14:textId="6595BB93" w:rsidR="00B67C49" w:rsidRDefault="00000000">
      <w:pPr>
        <w:pStyle w:val="TOC1"/>
        <w:rPr>
          <w:rFonts w:asciiTheme="minorHAnsi" w:eastAsiaTheme="minorEastAsia" w:hAnsiTheme="minorHAnsi" w:cstheme="minorBidi"/>
          <w:noProof/>
          <w:szCs w:val="22"/>
        </w:rPr>
      </w:pPr>
      <w:hyperlink w:anchor="_Toc119568480" w:history="1">
        <w:r>
          <w:rPr>
            <w:rStyle w:val="afc"/>
            <w:noProof/>
          </w:rPr>
          <w:t>第二十四部分</w:t>
        </w:r>
        <w:r>
          <w:rPr>
            <w:rStyle w:val="afc"/>
            <w:noProof/>
          </w:rPr>
          <w:t xml:space="preserve">  </w:t>
        </w:r>
        <w:r>
          <w:rPr>
            <w:rStyle w:val="afc"/>
            <w:noProof/>
          </w:rPr>
          <w:t>备查文件</w:t>
        </w:r>
        <w:r>
          <w:rPr>
            <w:noProof/>
          </w:rPr>
          <w:tab/>
        </w:r>
        <w:r>
          <w:rPr>
            <w:noProof/>
          </w:rPr>
          <w:fldChar w:fldCharType="begin"/>
        </w:r>
        <w:r>
          <w:rPr>
            <w:noProof/>
          </w:rPr>
          <w:instrText xml:space="preserve"> PAGEREF _Toc119568480 \h </w:instrText>
        </w:r>
        <w:r>
          <w:rPr>
            <w:noProof/>
          </w:rPr>
        </w:r>
        <w:r>
          <w:rPr>
            <w:noProof/>
          </w:rPr>
          <w:fldChar w:fldCharType="separate"/>
        </w:r>
        <w:r w:rsidR="009511BD">
          <w:rPr>
            <w:noProof/>
          </w:rPr>
          <w:t>135</w:t>
        </w:r>
        <w:r>
          <w:rPr>
            <w:noProof/>
          </w:rPr>
          <w:fldChar w:fldCharType="end"/>
        </w:r>
      </w:hyperlink>
    </w:p>
    <w:p w14:paraId="76833B93" w14:textId="77777777" w:rsidR="00B67C49" w:rsidRDefault="00000000">
      <w:pPr>
        <w:sectPr w:rsidR="00B67C49" w:rsidSect="00D84CBD">
          <w:headerReference w:type="even" r:id="rId16"/>
          <w:headerReference w:type="default" r:id="rId17"/>
          <w:headerReference w:type="first" r:id="rId18"/>
          <w:pgSz w:w="11906" w:h="16838"/>
          <w:pgMar w:top="1440" w:right="1800" w:bottom="1440" w:left="1800" w:header="851" w:footer="992" w:gutter="0"/>
          <w:pgNumType w:chapStyle="1"/>
          <w:cols w:space="720"/>
          <w:docGrid w:type="lines" w:linePitch="312"/>
        </w:sectPr>
      </w:pPr>
      <w:r>
        <w:fldChar w:fldCharType="end"/>
      </w:r>
      <w:bookmarkStart w:id="32" w:name="_Toc263092309"/>
      <w:bookmarkStart w:id="33" w:name="_Toc416264537"/>
      <w:bookmarkStart w:id="34" w:name="_Toc13020"/>
      <w:bookmarkStart w:id="35" w:name="_Toc819"/>
      <w:bookmarkStart w:id="36" w:name="_Toc24860"/>
      <w:bookmarkStart w:id="37" w:name="_Toc31551"/>
      <w:bookmarkStart w:id="38" w:name="_Toc352229747"/>
      <w:bookmarkStart w:id="39" w:name="_Toc2465"/>
      <w:bookmarkStart w:id="40" w:name="_Toc258829399"/>
      <w:bookmarkStart w:id="41" w:name="_Toc6617"/>
      <w:bookmarkStart w:id="42" w:name="_Toc15067"/>
      <w:bookmarkStart w:id="43" w:name="_Toc3224"/>
      <w:bookmarkStart w:id="44" w:name="_Toc22864"/>
      <w:bookmarkStart w:id="45" w:name="_Toc19592"/>
      <w:bookmarkStart w:id="46" w:name="_Toc21301"/>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23917C00" w14:textId="77777777" w:rsidR="00B67C49" w:rsidRDefault="00000000">
      <w:pPr>
        <w:pStyle w:val="1"/>
        <w:jc w:val="center"/>
        <w:rPr>
          <w:sz w:val="30"/>
          <w:szCs w:val="30"/>
        </w:rPr>
      </w:pPr>
      <w:bookmarkStart w:id="47" w:name="_Toc68266288"/>
      <w:bookmarkStart w:id="48" w:name="_Toc119568457"/>
      <w:r>
        <w:rPr>
          <w:rFonts w:hint="eastAsia"/>
          <w:sz w:val="30"/>
          <w:szCs w:val="30"/>
        </w:rPr>
        <w:lastRenderedPageBreak/>
        <w:t>第一部分</w:t>
      </w:r>
      <w:r>
        <w:rPr>
          <w:sz w:val="30"/>
          <w:szCs w:val="30"/>
        </w:rPr>
        <w:t xml:space="preserve">  </w:t>
      </w:r>
      <w:r>
        <w:rPr>
          <w:rFonts w:hint="eastAsia"/>
          <w:sz w:val="30"/>
          <w:szCs w:val="30"/>
        </w:rPr>
        <w:t>绪言</w:t>
      </w:r>
      <w:bookmarkEnd w:id="32"/>
      <w:bookmarkEnd w:id="33"/>
      <w:bookmarkEnd w:id="47"/>
      <w:bookmarkEnd w:id="48"/>
    </w:p>
    <w:p w14:paraId="1F4EE0BF"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耀混合型证券投资基金招募说明书》（以下简称“招募说明书”或“本招募说明书”）依照《中华人民共和国证券投资基金法》（以下简称“《基金法》”）、《公开募集证券投资基金运作管理办法》（以下简称“《运作办法》”）、《公开募集证券投资基金销售机构监督管理办法》（以下简称“《销售办法》”）、《</w:t>
      </w:r>
      <w:r>
        <w:rPr>
          <w:rFonts w:hint="eastAsia"/>
          <w:bCs/>
          <w:kern w:val="0"/>
          <w:sz w:val="24"/>
        </w:rPr>
        <w:t>公开募集证券投资基金信息披露管理办法</w:t>
      </w:r>
      <w:r>
        <w:rPr>
          <w:rFonts w:asciiTheme="minorEastAsia" w:hAnsiTheme="minorEastAsia" w:cs="Arial" w:hint="eastAsia"/>
          <w:sz w:val="24"/>
          <w:szCs w:val="24"/>
        </w:rPr>
        <w:t>》（以下简称“《信息披露办法》”）、《公开募集开放式证券投资基金流动性风险管理规定》（以下简称“《管理规定》”）以及《富荣福耀混合型证券投资基金基金合同》（以下简称“基金合同”）编写。</w:t>
      </w:r>
    </w:p>
    <w:p w14:paraId="3010C393"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0E2B9D1F"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富荣福耀混合型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A376303" w14:textId="77777777" w:rsidR="00B67C49" w:rsidRDefault="00000000">
      <w:pPr>
        <w:autoSpaceDE w:val="0"/>
        <w:autoSpaceDN w:val="0"/>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Pr>
          <w:rFonts w:asciiTheme="minorEastAsia" w:hAnsiTheme="minorEastAsia" w:cs="Arial" w:hint="eastAsia"/>
          <w:sz w:val="24"/>
          <w:szCs w:val="24"/>
        </w:rPr>
        <w:t>投资人自依基金</w:t>
      </w:r>
      <w:proofErr w:type="gramEnd"/>
      <w:r>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BB33B31" w14:textId="77777777" w:rsidR="00B67C49" w:rsidRDefault="00B67C4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B67C49" w:rsidSect="00D84CBD">
          <w:headerReference w:type="even" r:id="rId19"/>
          <w:headerReference w:type="default" r:id="rId20"/>
          <w:footerReference w:type="default" r:id="rId21"/>
          <w:headerReference w:type="first" r:id="rId22"/>
          <w:pgSz w:w="11906" w:h="16838"/>
          <w:pgMar w:top="1440" w:right="1800" w:bottom="1440" w:left="1800" w:header="851" w:footer="992" w:gutter="0"/>
          <w:pgNumType w:chapStyle="1"/>
          <w:cols w:space="720"/>
          <w:docGrid w:type="lines" w:linePitch="312"/>
        </w:sectPr>
      </w:pPr>
      <w:bookmarkStart w:id="49" w:name="_Toc6149"/>
      <w:bookmarkStart w:id="50" w:name="_Toc13288"/>
      <w:bookmarkStart w:id="51" w:name="_Toc352229748"/>
      <w:bookmarkStart w:id="52" w:name="_Toc5246"/>
      <w:bookmarkStart w:id="53" w:name="_Toc24571"/>
      <w:bookmarkStart w:id="54" w:name="_Toc733"/>
      <w:bookmarkStart w:id="55" w:name="_Toc6683"/>
      <w:bookmarkStart w:id="56" w:name="_Toc20318"/>
      <w:bookmarkStart w:id="57" w:name="_Toc18631"/>
      <w:bookmarkStart w:id="58" w:name="_Toc20627"/>
      <w:bookmarkStart w:id="59" w:name="_Toc22708"/>
      <w:bookmarkStart w:id="60" w:name="_Toc545"/>
      <w:bookmarkStart w:id="61" w:name="_Toc258829400"/>
      <w:bookmarkStart w:id="62" w:name="_Toc233456272"/>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65F28BBC" w14:textId="77777777" w:rsidR="00B67C49" w:rsidRDefault="00000000">
      <w:pPr>
        <w:pStyle w:val="1"/>
        <w:jc w:val="center"/>
        <w:rPr>
          <w:sz w:val="30"/>
          <w:szCs w:val="30"/>
        </w:rPr>
      </w:pPr>
      <w:bookmarkStart w:id="63" w:name="_Toc68266289"/>
      <w:bookmarkStart w:id="64" w:name="_Toc119568458"/>
      <w:r>
        <w:rPr>
          <w:rFonts w:hint="eastAsia"/>
          <w:sz w:val="30"/>
          <w:szCs w:val="30"/>
        </w:rPr>
        <w:lastRenderedPageBreak/>
        <w:t>第二部分</w:t>
      </w:r>
      <w:r>
        <w:rPr>
          <w:sz w:val="30"/>
          <w:szCs w:val="30"/>
        </w:rPr>
        <w:t xml:space="preserve">  </w:t>
      </w:r>
      <w:r>
        <w:rPr>
          <w:rFonts w:hint="eastAsia"/>
          <w:sz w:val="30"/>
          <w:szCs w:val="30"/>
        </w:rPr>
        <w:t>释义</w:t>
      </w:r>
      <w:bookmarkEnd w:id="63"/>
      <w:bookmarkEnd w:id="64"/>
    </w:p>
    <w:p w14:paraId="24E7895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在本招募说明书中，除非文意另有所指，下列词语或简称具有如下含义：</w:t>
      </w:r>
    </w:p>
    <w:p w14:paraId="618C5A2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w:t>
      </w:r>
      <w:r>
        <w:rPr>
          <w:rFonts w:asciiTheme="minorEastAsia" w:hAnsiTheme="minorEastAsia" w:cs="Times New Roman" w:hint="eastAsia"/>
          <w:sz w:val="24"/>
          <w:szCs w:val="24"/>
        </w:rPr>
        <w:t>、基金或本基金：指富荣福耀混合型证券投资基金</w:t>
      </w:r>
    </w:p>
    <w:p w14:paraId="606B163B"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w:t>
      </w:r>
      <w:r>
        <w:rPr>
          <w:rFonts w:asciiTheme="minorEastAsia" w:hAnsiTheme="minorEastAsia" w:cs="Times New Roman" w:hint="eastAsia"/>
          <w:sz w:val="24"/>
          <w:szCs w:val="24"/>
        </w:rPr>
        <w:t>、基金管理人：指富荣基金管理有限公司</w:t>
      </w:r>
    </w:p>
    <w:p w14:paraId="0740B8A4"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、基金托管人：指国泰君安证券股份有限公司</w:t>
      </w:r>
    </w:p>
    <w:p w14:paraId="58F831EF"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w:t>
      </w:r>
      <w:r>
        <w:rPr>
          <w:rFonts w:asciiTheme="minorEastAsia" w:hAnsiTheme="minorEastAsia" w:cs="Times New Roman" w:hint="eastAsia"/>
          <w:sz w:val="24"/>
          <w:szCs w:val="24"/>
        </w:rPr>
        <w:t>、基金合同：指《富荣福耀混合型证券投资基金基金合同》及对基金合同的任何有效修订和补充</w:t>
      </w:r>
    </w:p>
    <w:p w14:paraId="44A08D2B"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5</w:t>
      </w:r>
      <w:r>
        <w:rPr>
          <w:rFonts w:asciiTheme="minorEastAsia" w:hAnsiTheme="minorEastAsia" w:cs="Times New Roman" w:hint="eastAsia"/>
          <w:sz w:val="24"/>
          <w:szCs w:val="24"/>
        </w:rPr>
        <w:t>、托管协议：指基金管理人与基金托管人就本基金签订之《富荣福耀混合型证券投资基金托管协议》及对该托管协议的任何有效修订和补充</w:t>
      </w:r>
    </w:p>
    <w:p w14:paraId="5E548150"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6</w:t>
      </w:r>
      <w:r>
        <w:rPr>
          <w:rFonts w:asciiTheme="minorEastAsia" w:hAnsiTheme="minorEastAsia" w:cs="Times New Roman" w:hint="eastAsia"/>
          <w:sz w:val="24"/>
          <w:szCs w:val="24"/>
        </w:rPr>
        <w:t>、招募说明书或本招募说明书：指《富荣福耀混合型证券投资基金招募说明书》及其更新</w:t>
      </w:r>
    </w:p>
    <w:p w14:paraId="6AF1B9F8"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7</w:t>
      </w:r>
      <w:r>
        <w:rPr>
          <w:rFonts w:asciiTheme="minorEastAsia" w:hAnsiTheme="minorEastAsia" w:cs="Times New Roman" w:hint="eastAsia"/>
          <w:sz w:val="24"/>
          <w:szCs w:val="24"/>
        </w:rPr>
        <w:t>、基金份额发售公告：指《富荣福耀混合型证券投资基金基金份额发售公告》</w:t>
      </w:r>
    </w:p>
    <w:p w14:paraId="56784C1D"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8</w:t>
      </w:r>
      <w:r>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600CD976"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9</w:t>
      </w:r>
      <w:r>
        <w:rPr>
          <w:rFonts w:asciiTheme="minorEastAsia" w:hAnsiTheme="minorEastAsia" w:cs="Times New Roman" w:hint="eastAsia"/>
          <w:sz w:val="24"/>
          <w:szCs w:val="24"/>
        </w:rPr>
        <w:t>、《基金法》：指2003年10月28日经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lt;中华人民共和国港口法&gt;等七部法律的决定》修正的《中华人民共和国证券投资基金法》及颁布机关对其不时做出的修订</w:t>
      </w:r>
    </w:p>
    <w:p w14:paraId="67FF7768"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10</w:t>
      </w:r>
      <w:r>
        <w:rPr>
          <w:rFonts w:asciiTheme="minorEastAsia" w:hAnsiTheme="minorEastAsia" w:cs="Times New Roman" w:hint="eastAsia"/>
          <w:sz w:val="24"/>
          <w:szCs w:val="24"/>
        </w:rPr>
        <w:t>、《销售办法》： 指中国证监会2020年8月28日颁布、同年10月1日实施的《公开募集证券投资基金销售机构监督管理办法》及颁布机关对其不时做出的修订</w:t>
      </w:r>
    </w:p>
    <w:p w14:paraId="4E94AE11"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11</w:t>
      </w:r>
      <w:r>
        <w:rPr>
          <w:rFonts w:asciiTheme="minorEastAsia" w:hAnsiTheme="minorEastAsia" w:cs="Times New Roman" w:hint="eastAsia"/>
          <w:sz w:val="24"/>
          <w:szCs w:val="24"/>
        </w:rPr>
        <w:t>、《信息披露办法》：</w:t>
      </w:r>
      <w:r>
        <w:rPr>
          <w:rFonts w:hint="eastAsia"/>
          <w:bCs/>
          <w:kern w:val="0"/>
          <w:sz w:val="24"/>
        </w:rPr>
        <w:t>指中国证监会</w:t>
      </w:r>
      <w:r>
        <w:rPr>
          <w:bCs/>
          <w:kern w:val="0"/>
          <w:sz w:val="24"/>
        </w:rPr>
        <w:t>2019</w:t>
      </w:r>
      <w:r>
        <w:rPr>
          <w:rFonts w:hint="eastAsia"/>
          <w:bCs/>
          <w:kern w:val="0"/>
          <w:sz w:val="24"/>
        </w:rPr>
        <w:t>年</w:t>
      </w:r>
      <w:r>
        <w:rPr>
          <w:bCs/>
          <w:kern w:val="0"/>
          <w:sz w:val="24"/>
        </w:rPr>
        <w:t>7</w:t>
      </w:r>
      <w:r>
        <w:rPr>
          <w:rFonts w:hint="eastAsia"/>
          <w:bCs/>
          <w:kern w:val="0"/>
          <w:sz w:val="24"/>
        </w:rPr>
        <w:t>月</w:t>
      </w:r>
      <w:r>
        <w:rPr>
          <w:bCs/>
          <w:kern w:val="0"/>
          <w:sz w:val="24"/>
        </w:rPr>
        <w:t>26</w:t>
      </w:r>
      <w:r>
        <w:rPr>
          <w:rFonts w:hint="eastAsia"/>
          <w:bCs/>
          <w:kern w:val="0"/>
          <w:sz w:val="24"/>
        </w:rPr>
        <w:t>日颁布、同年</w:t>
      </w:r>
      <w:r>
        <w:rPr>
          <w:bCs/>
          <w:kern w:val="0"/>
          <w:sz w:val="24"/>
        </w:rPr>
        <w:t>9</w:t>
      </w:r>
      <w:r>
        <w:rPr>
          <w:rFonts w:hint="eastAsia"/>
          <w:bCs/>
          <w:kern w:val="0"/>
          <w:sz w:val="24"/>
        </w:rPr>
        <w:t>月</w:t>
      </w:r>
      <w:r>
        <w:rPr>
          <w:bCs/>
          <w:kern w:val="0"/>
          <w:sz w:val="24"/>
        </w:rPr>
        <w:t>1</w:t>
      </w:r>
      <w:r>
        <w:rPr>
          <w:rFonts w:hint="eastAsia"/>
          <w:bCs/>
          <w:kern w:val="0"/>
          <w:sz w:val="24"/>
        </w:rPr>
        <w:t>日实施的</w:t>
      </w:r>
      <w:r>
        <w:rPr>
          <w:rFonts w:hint="eastAsia"/>
          <w:bCs/>
          <w:sz w:val="24"/>
        </w:rPr>
        <w:t>，并经</w:t>
      </w:r>
      <w:r>
        <w:rPr>
          <w:rFonts w:hint="eastAsia"/>
          <w:bCs/>
          <w:sz w:val="24"/>
        </w:rPr>
        <w:t>2020</w:t>
      </w:r>
      <w:r>
        <w:rPr>
          <w:rFonts w:hint="eastAsia"/>
          <w:bCs/>
          <w:sz w:val="24"/>
        </w:rPr>
        <w:t>年</w:t>
      </w:r>
      <w:r>
        <w:rPr>
          <w:rFonts w:hint="eastAsia"/>
          <w:bCs/>
          <w:sz w:val="24"/>
        </w:rPr>
        <w:t>3</w:t>
      </w:r>
      <w:r>
        <w:rPr>
          <w:rFonts w:hint="eastAsia"/>
          <w:bCs/>
          <w:sz w:val="24"/>
        </w:rPr>
        <w:t>月</w:t>
      </w:r>
      <w:r>
        <w:rPr>
          <w:rFonts w:hint="eastAsia"/>
          <w:bCs/>
          <w:sz w:val="24"/>
        </w:rPr>
        <w:t>20</w:t>
      </w:r>
      <w:r>
        <w:rPr>
          <w:rFonts w:hint="eastAsia"/>
          <w:bCs/>
          <w:sz w:val="24"/>
        </w:rPr>
        <w:t>日中国证监会《关于修改部分证券期货规章的决定》修正的</w:t>
      </w:r>
      <w:r>
        <w:rPr>
          <w:rFonts w:hint="eastAsia"/>
          <w:bCs/>
          <w:kern w:val="0"/>
          <w:sz w:val="24"/>
        </w:rPr>
        <w:t>《公开募集证券投资基金信息披露管理办法》</w:t>
      </w:r>
      <w:r>
        <w:rPr>
          <w:rFonts w:asciiTheme="minorEastAsia" w:hAnsiTheme="minorEastAsia" w:cs="Times New Roman" w:hint="eastAsia"/>
          <w:sz w:val="24"/>
          <w:szCs w:val="24"/>
        </w:rPr>
        <w:t>及颁布机关对其不时做出的修订</w:t>
      </w:r>
    </w:p>
    <w:p w14:paraId="38E6A17C"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12</w:t>
      </w:r>
      <w:r>
        <w:rPr>
          <w:rFonts w:asciiTheme="minorEastAsia" w:hAnsiTheme="minorEastAsia" w:cs="Times New Roman" w:hint="eastAsia"/>
          <w:sz w:val="24"/>
          <w:szCs w:val="24"/>
        </w:rPr>
        <w:t>、《运作办法》：指中国证监会</w:t>
      </w:r>
      <w:r>
        <w:rPr>
          <w:rFonts w:asciiTheme="minorEastAsia" w:hAnsiTheme="minorEastAsia" w:cs="Times New Roman"/>
          <w:sz w:val="24"/>
          <w:szCs w:val="24"/>
        </w:rPr>
        <w:t>2014</w:t>
      </w:r>
      <w:r>
        <w:rPr>
          <w:rFonts w:asciiTheme="minorEastAsia" w:hAnsiTheme="minorEastAsia" w:cs="Times New Roman" w:hint="eastAsia"/>
          <w:sz w:val="24"/>
          <w:szCs w:val="24"/>
        </w:rPr>
        <w:t>年</w:t>
      </w:r>
      <w:r>
        <w:rPr>
          <w:rFonts w:asciiTheme="minorEastAsia" w:hAnsiTheme="minorEastAsia" w:cs="Times New Roman"/>
          <w:sz w:val="24"/>
          <w:szCs w:val="24"/>
        </w:rPr>
        <w:t>7</w:t>
      </w:r>
      <w:r>
        <w:rPr>
          <w:rFonts w:asciiTheme="minorEastAsia" w:hAnsiTheme="minorEastAsia" w:cs="Times New Roman" w:hint="eastAsia"/>
          <w:sz w:val="24"/>
          <w:szCs w:val="24"/>
        </w:rPr>
        <w:t>月</w:t>
      </w:r>
      <w:r>
        <w:rPr>
          <w:rFonts w:asciiTheme="minorEastAsia" w:hAnsiTheme="minorEastAsia" w:cs="Times New Roman"/>
          <w:sz w:val="24"/>
          <w:szCs w:val="24"/>
        </w:rPr>
        <w:t>7</w:t>
      </w:r>
      <w:r>
        <w:rPr>
          <w:rFonts w:asciiTheme="minorEastAsia" w:hAnsiTheme="minorEastAsia" w:cs="Times New Roman" w:hint="eastAsia"/>
          <w:sz w:val="24"/>
          <w:szCs w:val="24"/>
        </w:rPr>
        <w:t>日颁布、同年</w:t>
      </w:r>
      <w:r>
        <w:rPr>
          <w:rFonts w:asciiTheme="minorEastAsia" w:hAnsiTheme="minorEastAsia" w:cs="Times New Roman"/>
          <w:sz w:val="24"/>
          <w:szCs w:val="24"/>
        </w:rPr>
        <w:t>8</w:t>
      </w:r>
      <w:r>
        <w:rPr>
          <w:rFonts w:asciiTheme="minorEastAsia" w:hAnsiTheme="minorEastAsia" w:cs="Times New Roman" w:hint="eastAsia"/>
          <w:sz w:val="24"/>
          <w:szCs w:val="24"/>
        </w:rPr>
        <w:t>月</w:t>
      </w:r>
      <w:r>
        <w:rPr>
          <w:rFonts w:asciiTheme="minorEastAsia" w:hAnsiTheme="minorEastAsia" w:cs="Times New Roman"/>
          <w:sz w:val="24"/>
          <w:szCs w:val="24"/>
        </w:rPr>
        <w:t>8</w:t>
      </w:r>
      <w:r>
        <w:rPr>
          <w:rFonts w:asciiTheme="minorEastAsia" w:hAnsiTheme="minorEastAsia" w:cs="Times New Roman" w:hint="eastAsia"/>
          <w:sz w:val="24"/>
          <w:szCs w:val="24"/>
        </w:rPr>
        <w:t>日实施</w:t>
      </w:r>
      <w:r>
        <w:rPr>
          <w:rFonts w:asciiTheme="minorEastAsia" w:hAnsiTheme="minorEastAsia" w:cs="Times New Roman" w:hint="eastAsia"/>
          <w:sz w:val="24"/>
          <w:szCs w:val="24"/>
        </w:rPr>
        <w:lastRenderedPageBreak/>
        <w:t>的《公开募集证券投资基金运作管理办法》及颁布机关对其不时做出的修订</w:t>
      </w:r>
    </w:p>
    <w:p w14:paraId="02CDEDB0"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13</w:t>
      </w:r>
      <w:r>
        <w:rPr>
          <w:rFonts w:asciiTheme="minorEastAsia" w:hAnsiTheme="minorEastAsia" w:cs="Times New Roman" w:hint="eastAsia"/>
          <w:sz w:val="24"/>
          <w:szCs w:val="24"/>
        </w:rPr>
        <w:t>、《流动性风险管理规定》：指中国证监会2017年8月31日颁布、同年10月1日实施的《公开募集开放式证券投资基金流动性风险管理规定》及颁布机关对其不时做出的修订</w:t>
      </w:r>
    </w:p>
    <w:p w14:paraId="31243209"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14</w:t>
      </w:r>
      <w:r>
        <w:rPr>
          <w:rFonts w:asciiTheme="minorEastAsia" w:hAnsiTheme="minorEastAsia" w:cs="Times New Roman" w:hint="eastAsia"/>
          <w:sz w:val="24"/>
          <w:szCs w:val="24"/>
        </w:rPr>
        <w:t>、中国证监会：指中国证券监督管理委员会</w:t>
      </w:r>
    </w:p>
    <w:p w14:paraId="54A0467B"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15</w:t>
      </w:r>
      <w:r>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23BCCAE8"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16</w:t>
      </w:r>
      <w:r>
        <w:rPr>
          <w:rFonts w:asciiTheme="minorEastAsia" w:hAnsiTheme="minorEastAsia" w:cs="Times New Roman" w:hint="eastAsia"/>
          <w:sz w:val="24"/>
          <w:szCs w:val="24"/>
        </w:rPr>
        <w:t>、个人投资者：指依据有关法律法规规定可投资于证券投资基金的自然人</w:t>
      </w:r>
    </w:p>
    <w:p w14:paraId="1CC0E12D"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17</w:t>
      </w:r>
      <w:r>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E8B4C59" w14:textId="77777777" w:rsidR="00B67C49" w:rsidRDefault="00000000">
      <w:pPr>
        <w:spacing w:line="360" w:lineRule="auto"/>
        <w:ind w:firstLineChars="200" w:firstLine="480"/>
        <w:rPr>
          <w:bCs/>
          <w:sz w:val="24"/>
        </w:rPr>
      </w:pPr>
      <w:r>
        <w:rPr>
          <w:rFonts w:asciiTheme="minorEastAsia" w:hAnsiTheme="minorEastAsia" w:cs="Times New Roman"/>
          <w:sz w:val="24"/>
          <w:szCs w:val="24"/>
        </w:rPr>
        <w:t>18</w:t>
      </w:r>
      <w:r>
        <w:rPr>
          <w:rFonts w:asciiTheme="minorEastAsia" w:hAnsiTheme="minorEastAsia" w:cs="Times New Roman" w:hint="eastAsia"/>
          <w:sz w:val="24"/>
          <w:szCs w:val="24"/>
        </w:rPr>
        <w:t>、</w:t>
      </w:r>
      <w:r>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Pr>
          <w:bCs/>
          <w:sz w:val="24"/>
        </w:rPr>
        <w:t xml:space="preserve"> </w:t>
      </w:r>
    </w:p>
    <w:p w14:paraId="30FCB35F"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19</w:t>
      </w:r>
      <w:r>
        <w:rPr>
          <w:rFonts w:asciiTheme="minorEastAsia" w:hAnsiTheme="minorEastAsia" w:cs="Times New Roman" w:hint="eastAsia"/>
          <w:sz w:val="24"/>
          <w:szCs w:val="24"/>
        </w:rPr>
        <w:t>、投资人、投资者：指个人投资者、机构投资者、合格境外投资者以及法律法规或中国证监会允许购买证券投资基金的其他投资人的合称</w:t>
      </w:r>
    </w:p>
    <w:p w14:paraId="697A1076"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20</w:t>
      </w:r>
      <w:r>
        <w:rPr>
          <w:rFonts w:asciiTheme="minorEastAsia" w:hAnsiTheme="minorEastAsia" w:cs="Times New Roman" w:hint="eastAsia"/>
          <w:sz w:val="24"/>
          <w:szCs w:val="24"/>
        </w:rPr>
        <w:t>、基金份额持有人：指依基金合同和招募说明书合法取得基金份额的投资人</w:t>
      </w:r>
    </w:p>
    <w:p w14:paraId="0AD66D9D"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21</w:t>
      </w:r>
      <w:r>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5F37E558"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22</w:t>
      </w:r>
      <w:r>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7E663B7B"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23</w:t>
      </w:r>
      <w:r>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Pr>
          <w:rFonts w:asciiTheme="minorEastAsia" w:hAnsiTheme="minorEastAsia" w:cs="Times New Roman" w:hint="eastAsia"/>
          <w:sz w:val="24"/>
          <w:szCs w:val="24"/>
        </w:rPr>
        <w:t>非交易</w:t>
      </w:r>
      <w:proofErr w:type="gramEnd"/>
      <w:r>
        <w:rPr>
          <w:rFonts w:asciiTheme="minorEastAsia" w:hAnsiTheme="minorEastAsia" w:cs="Times New Roman" w:hint="eastAsia"/>
          <w:sz w:val="24"/>
          <w:szCs w:val="24"/>
        </w:rPr>
        <w:t>过户等</w:t>
      </w:r>
    </w:p>
    <w:p w14:paraId="3304C7B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24</w:t>
      </w:r>
      <w:r>
        <w:rPr>
          <w:rFonts w:asciiTheme="minorEastAsia" w:hAnsiTheme="minorEastAsia" w:cs="Times New Roman" w:hint="eastAsia"/>
          <w:sz w:val="24"/>
          <w:szCs w:val="24"/>
        </w:rPr>
        <w:t>、登记机构：</w:t>
      </w:r>
      <w:proofErr w:type="gramStart"/>
      <w:r>
        <w:rPr>
          <w:rFonts w:asciiTheme="minorEastAsia" w:hAnsiTheme="minorEastAsia" w:cs="Times New Roman" w:hint="eastAsia"/>
          <w:sz w:val="24"/>
          <w:szCs w:val="24"/>
        </w:rPr>
        <w:t>指办理</w:t>
      </w:r>
      <w:proofErr w:type="gramEnd"/>
      <w:r>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596E457E"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25</w:t>
      </w:r>
      <w:r>
        <w:rPr>
          <w:rFonts w:asciiTheme="minorEastAsia" w:hAnsiTheme="minorEastAsia" w:cs="Times New Roman" w:hint="eastAsia"/>
          <w:sz w:val="24"/>
          <w:szCs w:val="24"/>
        </w:rPr>
        <w:t>、基金账户：指登记机构为投资人开立的、记录其持有的、基金管理人所</w:t>
      </w:r>
      <w:r>
        <w:rPr>
          <w:rFonts w:asciiTheme="minorEastAsia" w:hAnsiTheme="minorEastAsia" w:cs="Times New Roman" w:hint="eastAsia"/>
          <w:sz w:val="24"/>
          <w:szCs w:val="24"/>
        </w:rPr>
        <w:lastRenderedPageBreak/>
        <w:t>管理的基金份额余额及其变动情况的账户</w:t>
      </w:r>
    </w:p>
    <w:p w14:paraId="766CCB56"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26</w:t>
      </w:r>
      <w:r>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46C196E8"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27</w:t>
      </w:r>
      <w:r>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0BC7151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28</w:t>
      </w:r>
      <w:r>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6F806F16"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29</w:t>
      </w:r>
      <w:r>
        <w:rPr>
          <w:rFonts w:asciiTheme="minorEastAsia" w:hAnsiTheme="minorEastAsia" w:cs="Times New Roman" w:hint="eastAsia"/>
          <w:sz w:val="24"/>
          <w:szCs w:val="24"/>
        </w:rPr>
        <w:t>、基金募集期：指自基金份额发售之日起至发售结束之日止的期间，最长不得超过</w:t>
      </w:r>
      <w:r>
        <w:rPr>
          <w:rFonts w:asciiTheme="minorEastAsia" w:hAnsiTheme="minorEastAsia" w:cs="Times New Roman"/>
          <w:sz w:val="24"/>
          <w:szCs w:val="24"/>
        </w:rPr>
        <w:t>3</w:t>
      </w:r>
      <w:r>
        <w:rPr>
          <w:rFonts w:asciiTheme="minorEastAsia" w:hAnsiTheme="minorEastAsia" w:cs="Times New Roman" w:hint="eastAsia"/>
          <w:sz w:val="24"/>
          <w:szCs w:val="24"/>
        </w:rPr>
        <w:t>个月</w:t>
      </w:r>
    </w:p>
    <w:p w14:paraId="2D32A27E"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30</w:t>
      </w:r>
      <w:r>
        <w:rPr>
          <w:rFonts w:asciiTheme="minorEastAsia" w:hAnsiTheme="minorEastAsia" w:cs="Times New Roman" w:hint="eastAsia"/>
          <w:sz w:val="24"/>
          <w:szCs w:val="24"/>
        </w:rPr>
        <w:t>、存续期：指基金合同生效至终止之间的不定期期限</w:t>
      </w:r>
    </w:p>
    <w:p w14:paraId="0A908D39"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31</w:t>
      </w:r>
      <w:r>
        <w:rPr>
          <w:rFonts w:asciiTheme="minorEastAsia" w:hAnsiTheme="minorEastAsia" w:cs="Times New Roman" w:hint="eastAsia"/>
          <w:sz w:val="24"/>
          <w:szCs w:val="24"/>
        </w:rPr>
        <w:t>、工作日：指上海证券交易所、深圳证券交易所的正常交易日</w:t>
      </w:r>
    </w:p>
    <w:p w14:paraId="66868831"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32</w:t>
      </w:r>
      <w:r>
        <w:rPr>
          <w:rFonts w:asciiTheme="minorEastAsia" w:hAnsiTheme="minorEastAsia" w:cs="Times New Roman" w:hint="eastAsia"/>
          <w:sz w:val="24"/>
          <w:szCs w:val="24"/>
        </w:rPr>
        <w:t>、</w:t>
      </w:r>
      <w:r>
        <w:rPr>
          <w:rFonts w:asciiTheme="minorEastAsia" w:hAnsiTheme="minorEastAsia" w:cs="Times New Roman"/>
          <w:sz w:val="24"/>
          <w:szCs w:val="24"/>
        </w:rPr>
        <w:t>T</w:t>
      </w:r>
      <w:r>
        <w:rPr>
          <w:rFonts w:asciiTheme="minorEastAsia" w:hAnsiTheme="minorEastAsia" w:cs="Times New Roman" w:hint="eastAsia"/>
          <w:sz w:val="24"/>
          <w:szCs w:val="24"/>
        </w:rPr>
        <w:t>日：指销售机构在规定时间受理投资人申购、赎回或其他业务申请的开放日</w:t>
      </w:r>
    </w:p>
    <w:p w14:paraId="52239A63"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33</w:t>
      </w:r>
      <w:r>
        <w:rPr>
          <w:rFonts w:asciiTheme="minorEastAsia" w:hAnsiTheme="minorEastAsia" w:cs="Times New Roman" w:hint="eastAsia"/>
          <w:sz w:val="24"/>
          <w:szCs w:val="24"/>
        </w:rPr>
        <w:t>、</w:t>
      </w:r>
      <w:proofErr w:type="spellStart"/>
      <w:r>
        <w:rPr>
          <w:rFonts w:asciiTheme="minorEastAsia" w:hAnsiTheme="minorEastAsia" w:cs="Times New Roman"/>
          <w:sz w:val="24"/>
          <w:szCs w:val="24"/>
        </w:rPr>
        <w:t>T+n</w:t>
      </w:r>
      <w:proofErr w:type="spellEnd"/>
      <w:r>
        <w:rPr>
          <w:rFonts w:asciiTheme="minorEastAsia" w:hAnsiTheme="minorEastAsia" w:cs="Times New Roman" w:hint="eastAsia"/>
          <w:sz w:val="24"/>
          <w:szCs w:val="24"/>
        </w:rPr>
        <w:t>日：指自</w:t>
      </w:r>
      <w:r>
        <w:rPr>
          <w:rFonts w:asciiTheme="minorEastAsia" w:hAnsiTheme="minorEastAsia" w:cs="Times New Roman"/>
          <w:sz w:val="24"/>
          <w:szCs w:val="24"/>
        </w:rPr>
        <w:t>T</w:t>
      </w:r>
      <w:r>
        <w:rPr>
          <w:rFonts w:asciiTheme="minorEastAsia" w:hAnsiTheme="minorEastAsia" w:cs="Times New Roman" w:hint="eastAsia"/>
          <w:sz w:val="24"/>
          <w:szCs w:val="24"/>
        </w:rPr>
        <w:t>日起第</w:t>
      </w:r>
      <w:r>
        <w:rPr>
          <w:rFonts w:asciiTheme="minorEastAsia" w:hAnsiTheme="minorEastAsia" w:cs="Times New Roman"/>
          <w:sz w:val="24"/>
          <w:szCs w:val="24"/>
        </w:rPr>
        <w:t>n</w:t>
      </w:r>
      <w:proofErr w:type="gramStart"/>
      <w:r>
        <w:rPr>
          <w:rFonts w:asciiTheme="minorEastAsia" w:hAnsiTheme="minorEastAsia" w:cs="Times New Roman" w:hint="eastAsia"/>
          <w:sz w:val="24"/>
          <w:szCs w:val="24"/>
        </w:rPr>
        <w:t>个</w:t>
      </w:r>
      <w:proofErr w:type="gramEnd"/>
      <w:r>
        <w:rPr>
          <w:rFonts w:asciiTheme="minorEastAsia" w:hAnsiTheme="minorEastAsia" w:cs="Times New Roman" w:hint="eastAsia"/>
          <w:sz w:val="24"/>
          <w:szCs w:val="24"/>
        </w:rPr>
        <w:t>工作日（不包含</w:t>
      </w:r>
      <w:r>
        <w:rPr>
          <w:rFonts w:asciiTheme="minorEastAsia" w:hAnsiTheme="minorEastAsia" w:cs="Times New Roman"/>
          <w:sz w:val="24"/>
          <w:szCs w:val="24"/>
        </w:rPr>
        <w:t>T</w:t>
      </w:r>
      <w:r>
        <w:rPr>
          <w:rFonts w:asciiTheme="minorEastAsia" w:hAnsiTheme="minorEastAsia" w:cs="Times New Roman" w:hint="eastAsia"/>
          <w:sz w:val="24"/>
          <w:szCs w:val="24"/>
        </w:rPr>
        <w:t>日），n为自然数</w:t>
      </w:r>
    </w:p>
    <w:p w14:paraId="3AE6B8F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34</w:t>
      </w:r>
      <w:r>
        <w:rPr>
          <w:rFonts w:asciiTheme="minorEastAsia" w:hAnsiTheme="minorEastAsia" w:cs="Times New Roman" w:hint="eastAsia"/>
          <w:sz w:val="24"/>
          <w:szCs w:val="24"/>
        </w:rPr>
        <w:t>、开放日：指为投资人办理基金份额申购、赎回或其他业务的工作日</w:t>
      </w:r>
    </w:p>
    <w:p w14:paraId="4052658C"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35</w:t>
      </w:r>
      <w:r>
        <w:rPr>
          <w:rFonts w:asciiTheme="minorEastAsia" w:hAnsiTheme="minorEastAsia" w:cs="Times New Roman" w:hint="eastAsia"/>
          <w:sz w:val="24"/>
          <w:szCs w:val="24"/>
        </w:rPr>
        <w:t>、开放时间：指开放日基金接受申购、赎回或其他交易的时间段</w:t>
      </w:r>
    </w:p>
    <w:p w14:paraId="340E7DD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36</w:t>
      </w:r>
      <w:r>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2AFE2348"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37</w:t>
      </w:r>
      <w:r>
        <w:rPr>
          <w:rFonts w:asciiTheme="minorEastAsia" w:hAnsiTheme="minorEastAsia" w:cs="Times New Roman" w:hint="eastAsia"/>
          <w:sz w:val="24"/>
          <w:szCs w:val="24"/>
        </w:rPr>
        <w:t>、认购：指在基金募集期内，投资人根据基金合同和招募说明书的规定申请购买基金份额的行为</w:t>
      </w:r>
    </w:p>
    <w:p w14:paraId="729C3EE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38</w:t>
      </w:r>
      <w:r>
        <w:rPr>
          <w:rFonts w:asciiTheme="minorEastAsia" w:hAnsiTheme="minorEastAsia" w:cs="Times New Roman" w:hint="eastAsia"/>
          <w:sz w:val="24"/>
          <w:szCs w:val="24"/>
        </w:rPr>
        <w:t>、申购：指基金合同生效后，投资人根据基金合同和招募说明书的规定申请购买基金份额的行为</w:t>
      </w:r>
    </w:p>
    <w:p w14:paraId="6F25CACE"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39</w:t>
      </w:r>
      <w:r>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17E2252B"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40</w:t>
      </w:r>
      <w:r>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份额的行为</w:t>
      </w:r>
    </w:p>
    <w:p w14:paraId="59B89E7D"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lastRenderedPageBreak/>
        <w:t>41</w:t>
      </w:r>
      <w:r>
        <w:rPr>
          <w:rFonts w:asciiTheme="minorEastAsia" w:hAnsiTheme="minorEastAsia" w:cs="Times New Roman" w:hint="eastAsia"/>
          <w:sz w:val="24"/>
          <w:szCs w:val="24"/>
        </w:rPr>
        <w:t>、转托管：指基金份额持有人在本基金的不同销售机构之间实施的变更所持基金份额销售机构的操作</w:t>
      </w:r>
    </w:p>
    <w:p w14:paraId="1AA50046"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42</w:t>
      </w:r>
      <w:r>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47082F42"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43</w:t>
      </w:r>
      <w:r>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Pr>
          <w:rFonts w:asciiTheme="minorEastAsia" w:hAnsiTheme="minorEastAsia" w:cs="Times New Roman"/>
          <w:sz w:val="24"/>
          <w:szCs w:val="24"/>
        </w:rPr>
        <w:t>10%</w:t>
      </w:r>
    </w:p>
    <w:p w14:paraId="2009C8CD"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44</w:t>
      </w:r>
      <w:r>
        <w:rPr>
          <w:rFonts w:asciiTheme="minorEastAsia" w:hAnsiTheme="minorEastAsia" w:cs="Times New Roman" w:hint="eastAsia"/>
          <w:sz w:val="24"/>
          <w:szCs w:val="24"/>
        </w:rPr>
        <w:t>、元：指人民币元</w:t>
      </w:r>
    </w:p>
    <w:p w14:paraId="32692170"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45</w:t>
      </w:r>
      <w:r>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06348BAD"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46</w:t>
      </w:r>
      <w:r>
        <w:rPr>
          <w:rFonts w:asciiTheme="minorEastAsia" w:hAnsiTheme="minorEastAsia" w:cs="Times New Roman" w:hint="eastAsia"/>
          <w:sz w:val="24"/>
          <w:szCs w:val="24"/>
        </w:rPr>
        <w:t>、基金资产总值：指基金拥有的各类有价证券、银行存款本息、基金应收款项及其他资产的价值总和</w:t>
      </w:r>
    </w:p>
    <w:p w14:paraId="28DF11FD"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47</w:t>
      </w:r>
      <w:r>
        <w:rPr>
          <w:rFonts w:asciiTheme="minorEastAsia" w:hAnsiTheme="minorEastAsia" w:cs="Times New Roman" w:hint="eastAsia"/>
          <w:sz w:val="24"/>
          <w:szCs w:val="24"/>
        </w:rPr>
        <w:t>、基金资产净值：指基金资产总值减去基金负债后的价值</w:t>
      </w:r>
    </w:p>
    <w:p w14:paraId="10C1DBD9"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48</w:t>
      </w:r>
      <w:r>
        <w:rPr>
          <w:rFonts w:asciiTheme="minorEastAsia" w:hAnsiTheme="minorEastAsia" w:cs="Times New Roman" w:hint="eastAsia"/>
          <w:sz w:val="24"/>
          <w:szCs w:val="24"/>
        </w:rPr>
        <w:t>、基金份额净值：指计算日基金资产净值除以计算日基金份额总数</w:t>
      </w:r>
    </w:p>
    <w:p w14:paraId="781BCB80"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sz w:val="24"/>
          <w:szCs w:val="24"/>
        </w:rPr>
        <w:t>49</w:t>
      </w:r>
      <w:r>
        <w:rPr>
          <w:rFonts w:asciiTheme="minorEastAsia" w:hAnsiTheme="minorEastAsia" w:cs="Times New Roman" w:hint="eastAsia"/>
          <w:sz w:val="24"/>
          <w:szCs w:val="24"/>
        </w:rPr>
        <w:t>、基金资产估值：指计算评估基金资产和负债的价值，以确定基金资产净值和基金份额净值的过程</w:t>
      </w:r>
    </w:p>
    <w:p w14:paraId="5D5AEC21"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042186EF"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51、不可抗力：指基金合同当事人不能预见、不能避免且不能克服的客观事件</w:t>
      </w:r>
    </w:p>
    <w:p w14:paraId="1542233E"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52、流动性受限资产：指由于法律法规、监管、合同或操作障碍等原因无法以合理价格予以变现的资产，包括但不限于到期日在10个交易日以上的逆回购与银行定期存款（</w:t>
      </w:r>
      <w:proofErr w:type="gramStart"/>
      <w:r>
        <w:rPr>
          <w:rFonts w:asciiTheme="minorEastAsia" w:hAnsiTheme="minorEastAsia" w:cs="Times New Roman" w:hint="eastAsia"/>
          <w:sz w:val="24"/>
          <w:szCs w:val="24"/>
        </w:rPr>
        <w:t>含协议</w:t>
      </w:r>
      <w:proofErr w:type="gramEnd"/>
      <w:r>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254EBFA4"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53、摆动定价机制：指当开放式基金遭遇大额申购赎回时，通过调整基金份额净值的方式，将基金调整投资组合的市场冲击成本分配给实际申购、赎回的投</w:t>
      </w:r>
      <w:r>
        <w:rPr>
          <w:rFonts w:asciiTheme="minorEastAsia" w:hAnsiTheme="minorEastAsia" w:cs="Times New Roman" w:hint="eastAsia"/>
          <w:sz w:val="24"/>
          <w:szCs w:val="24"/>
        </w:rPr>
        <w:lastRenderedPageBreak/>
        <w:t>资者，从而减少对存量基金份额持有人利益的不利影响，确保投资者的合法权益不受损害并得到公平对待</w:t>
      </w:r>
    </w:p>
    <w:p w14:paraId="591AC04E"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54、基金份额类别：指根据认购/申购费用、赎回费用、销售服务费用收取方式的不同将本</w:t>
      </w:r>
      <w:proofErr w:type="gramStart"/>
      <w:r>
        <w:rPr>
          <w:rFonts w:asciiTheme="minorEastAsia" w:hAnsiTheme="minorEastAsia" w:cs="Times New Roman" w:hint="eastAsia"/>
          <w:sz w:val="24"/>
          <w:szCs w:val="24"/>
        </w:rPr>
        <w:t>基金基金</w:t>
      </w:r>
      <w:proofErr w:type="gramEnd"/>
      <w:r>
        <w:rPr>
          <w:rFonts w:asciiTheme="minorEastAsia" w:hAnsiTheme="minorEastAsia" w:cs="Times New Roman" w:hint="eastAsia"/>
          <w:sz w:val="24"/>
          <w:szCs w:val="24"/>
        </w:rPr>
        <w:t>份额分为不同的类别，各基金份额类别分别设置代码，并分别计算和公告基金份额净值</w:t>
      </w:r>
    </w:p>
    <w:p w14:paraId="72506658"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55、A类基金份额：指在投资人认购/申购时收取认购/申购费用但不从本类别基金资产中计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服务费、赎回时根据持有期限收取赎回费用的基金份额类别</w:t>
      </w:r>
    </w:p>
    <w:p w14:paraId="1173416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56、C类基金份额：指从本类别基金资产中计</w:t>
      </w:r>
      <w:proofErr w:type="gramStart"/>
      <w:r>
        <w:rPr>
          <w:rFonts w:asciiTheme="minorEastAsia" w:hAnsiTheme="minorEastAsia" w:cs="Times New Roman" w:hint="eastAsia"/>
          <w:sz w:val="24"/>
          <w:szCs w:val="24"/>
        </w:rPr>
        <w:t>提销售</w:t>
      </w:r>
      <w:proofErr w:type="gramEnd"/>
      <w:r>
        <w:rPr>
          <w:rFonts w:asciiTheme="minorEastAsia" w:hAnsiTheme="minorEastAsia" w:cs="Times New Roman" w:hint="eastAsia"/>
          <w:sz w:val="24"/>
          <w:szCs w:val="24"/>
        </w:rPr>
        <w:t>服务费而不收取认购/申购费用、赎回时根据持有期限收取赎回费用的基金份额类别</w:t>
      </w:r>
    </w:p>
    <w:p w14:paraId="0DA08A40"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57、销售服务费：指从基金资产中计提的，用于本基金市场推广、销售以及基金份额持有人服务的费用</w:t>
      </w:r>
    </w:p>
    <w:p w14:paraId="62E4627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58、基金产品资料概要：指《富荣福耀混合型证券投资基金基金产品资料概要》及其更新</w:t>
      </w:r>
    </w:p>
    <w:p w14:paraId="6EA21EF5"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59、</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Pr>
          <w:rFonts w:asciiTheme="minorEastAsia" w:hAnsiTheme="minorEastAsia" w:cs="Times New Roman" w:hint="eastAsia"/>
          <w:sz w:val="24"/>
          <w:szCs w:val="24"/>
        </w:rPr>
        <w:t>侧袋机制</w:t>
      </w:r>
      <w:proofErr w:type="gramEnd"/>
      <w:r>
        <w:rPr>
          <w:rFonts w:asciiTheme="minorEastAsia" w:hAnsiTheme="minorEastAsia" w:cs="Times New Roman" w:hint="eastAsia"/>
          <w:sz w:val="24"/>
          <w:szCs w:val="24"/>
        </w:rPr>
        <w:t>实施期间，原有账户称为主袋账户，专门账户</w:t>
      </w:r>
      <w:proofErr w:type="gramStart"/>
      <w:r>
        <w:rPr>
          <w:rFonts w:asciiTheme="minorEastAsia" w:hAnsiTheme="minorEastAsia" w:cs="Times New Roman" w:hint="eastAsia"/>
          <w:sz w:val="24"/>
          <w:szCs w:val="24"/>
        </w:rPr>
        <w:t>称为侧袋账户</w:t>
      </w:r>
      <w:proofErr w:type="gramEnd"/>
    </w:p>
    <w:p w14:paraId="5C8A91E4"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60、特定资产：包括：（一）无可参考的活跃市场价格且采用估值技术</w:t>
      </w:r>
      <w:proofErr w:type="gramStart"/>
      <w:r>
        <w:rPr>
          <w:rFonts w:asciiTheme="minorEastAsia" w:hAnsiTheme="minorEastAsia" w:cs="Times New Roman" w:hint="eastAsia"/>
          <w:sz w:val="24"/>
          <w:szCs w:val="24"/>
        </w:rPr>
        <w:t>仍导致</w:t>
      </w:r>
      <w:proofErr w:type="gramEnd"/>
      <w:r>
        <w:rPr>
          <w:rFonts w:asciiTheme="minorEastAsia" w:hAnsiTheme="minorEastAsia" w:cs="Times New Roman" w:hint="eastAsia"/>
          <w:sz w:val="24"/>
          <w:szCs w:val="24"/>
        </w:rPr>
        <w:t>公允价值存在重大不确定性的资产；（二）</w:t>
      </w:r>
      <w:proofErr w:type="gramStart"/>
      <w:r>
        <w:rPr>
          <w:rFonts w:asciiTheme="minorEastAsia" w:hAnsiTheme="minorEastAsia" w:cs="Times New Roman" w:hint="eastAsia"/>
          <w:sz w:val="24"/>
          <w:szCs w:val="24"/>
        </w:rPr>
        <w:t>按摊余成本</w:t>
      </w:r>
      <w:proofErr w:type="gramEnd"/>
      <w:r>
        <w:rPr>
          <w:rFonts w:asciiTheme="minorEastAsia" w:hAnsiTheme="minorEastAsia" w:cs="Times New Roman" w:hint="eastAsia"/>
          <w:sz w:val="24"/>
          <w:szCs w:val="24"/>
        </w:rPr>
        <w:t>计量且计提资产减值</w:t>
      </w:r>
      <w:proofErr w:type="gramStart"/>
      <w:r>
        <w:rPr>
          <w:rFonts w:asciiTheme="minorEastAsia" w:hAnsiTheme="minorEastAsia" w:cs="Times New Roman" w:hint="eastAsia"/>
          <w:sz w:val="24"/>
          <w:szCs w:val="24"/>
        </w:rPr>
        <w:t>准备仍导致</w:t>
      </w:r>
      <w:proofErr w:type="gramEnd"/>
      <w:r>
        <w:rPr>
          <w:rFonts w:asciiTheme="minorEastAsia" w:hAnsiTheme="minorEastAsia" w:cs="Times New Roman" w:hint="eastAsia"/>
          <w:sz w:val="24"/>
          <w:szCs w:val="24"/>
        </w:rPr>
        <w:t>资产价值存在重大不确定性的资产；（三）其他资产价值存在重大不确定性的资产</w:t>
      </w:r>
    </w:p>
    <w:p w14:paraId="7444F5A3" w14:textId="77777777" w:rsidR="00B67C49" w:rsidRDefault="00000000">
      <w:pPr>
        <w:spacing w:line="360" w:lineRule="auto"/>
        <w:ind w:firstLineChars="200" w:firstLine="480"/>
        <w:rPr>
          <w:b/>
          <w:bCs/>
        </w:rPr>
        <w:sectPr w:rsidR="00B67C49" w:rsidSect="00D84CBD">
          <w:headerReference w:type="even" r:id="rId23"/>
          <w:headerReference w:type="default" r:id="rId24"/>
          <w:footerReference w:type="default" r:id="rId25"/>
          <w:headerReference w:type="first" r:id="rId26"/>
          <w:pgSz w:w="11906" w:h="16838"/>
          <w:pgMar w:top="1440" w:right="1800" w:bottom="1440" w:left="1800" w:header="851" w:footer="992" w:gutter="0"/>
          <w:pgNumType w:start="5" w:chapStyle="1"/>
          <w:cols w:space="720"/>
          <w:docGrid w:type="lines" w:linePitch="312"/>
        </w:sectPr>
      </w:pPr>
      <w:r>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149074F0" w14:textId="77777777" w:rsidR="00B67C49" w:rsidRDefault="00000000">
      <w:pPr>
        <w:pStyle w:val="1"/>
        <w:jc w:val="center"/>
        <w:rPr>
          <w:sz w:val="30"/>
          <w:szCs w:val="30"/>
        </w:rPr>
      </w:pPr>
      <w:bookmarkStart w:id="65" w:name="_Toc263092311"/>
      <w:bookmarkStart w:id="66" w:name="_Toc416264539"/>
      <w:bookmarkStart w:id="67" w:name="_Toc68266290"/>
      <w:bookmarkStart w:id="68" w:name="_Toc119568459"/>
      <w:bookmarkStart w:id="69" w:name="_Toc24682"/>
      <w:bookmarkStart w:id="70" w:name="_Toc352229749"/>
      <w:bookmarkStart w:id="71" w:name="_Toc410197817"/>
      <w:bookmarkStart w:id="72" w:name="_Toc90742688"/>
      <w:bookmarkStart w:id="73" w:name="_Toc7151"/>
      <w:bookmarkStart w:id="74" w:name="_Toc27189"/>
      <w:bookmarkStart w:id="75" w:name="_Toc29948"/>
      <w:bookmarkStart w:id="76" w:name="_Toc22074"/>
      <w:bookmarkStart w:id="77" w:name="_Toc29784"/>
      <w:bookmarkStart w:id="78" w:name="_Toc6714"/>
      <w:bookmarkStart w:id="79" w:name="_Toc3266"/>
      <w:bookmarkStart w:id="80" w:name="_Toc16265"/>
      <w:bookmarkStart w:id="81" w:name="_Toc15203"/>
      <w:bookmarkStart w:id="82" w:name="_Toc27226"/>
      <w:bookmarkStart w:id="83" w:name="_Toc90742390"/>
      <w:bookmarkStart w:id="84" w:name="_Toc90742321"/>
      <w:bookmarkEnd w:id="49"/>
      <w:bookmarkEnd w:id="50"/>
      <w:bookmarkEnd w:id="51"/>
      <w:bookmarkEnd w:id="52"/>
      <w:bookmarkEnd w:id="53"/>
      <w:bookmarkEnd w:id="54"/>
      <w:bookmarkEnd w:id="55"/>
      <w:bookmarkEnd w:id="56"/>
      <w:bookmarkEnd w:id="57"/>
      <w:bookmarkEnd w:id="58"/>
      <w:bookmarkEnd w:id="59"/>
      <w:bookmarkEnd w:id="60"/>
      <w:r>
        <w:rPr>
          <w:rFonts w:hint="eastAsia"/>
          <w:sz w:val="30"/>
          <w:szCs w:val="30"/>
        </w:rPr>
        <w:lastRenderedPageBreak/>
        <w:t>第三部分</w:t>
      </w:r>
      <w:r>
        <w:rPr>
          <w:sz w:val="30"/>
          <w:szCs w:val="30"/>
        </w:rPr>
        <w:t xml:space="preserve">  </w:t>
      </w:r>
      <w:r>
        <w:rPr>
          <w:rFonts w:hint="eastAsia"/>
          <w:sz w:val="30"/>
          <w:szCs w:val="30"/>
        </w:rPr>
        <w:t>基金管理人</w:t>
      </w:r>
      <w:bookmarkEnd w:id="65"/>
      <w:bookmarkEnd w:id="66"/>
      <w:bookmarkEnd w:id="67"/>
      <w:bookmarkEnd w:id="68"/>
    </w:p>
    <w:p w14:paraId="0F88FA1E" w14:textId="77777777" w:rsidR="00B67C49"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一、基金管理人概况</w:t>
      </w:r>
    </w:p>
    <w:p w14:paraId="14F0111D"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名称：富荣基金管理有限公司</w:t>
      </w:r>
    </w:p>
    <w:p w14:paraId="58CD528F"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57E52DA9"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办公地址：深圳市福田区八卦四路</w:t>
      </w:r>
      <w:r>
        <w:rPr>
          <w:rFonts w:asciiTheme="minorEastAsia" w:hAnsiTheme="minorEastAsia" w:cs="Times New Roman"/>
          <w:kern w:val="0"/>
          <w:sz w:val="24"/>
          <w:szCs w:val="24"/>
        </w:rPr>
        <w:t>52</w:t>
      </w:r>
      <w:r>
        <w:rPr>
          <w:rFonts w:asciiTheme="minorEastAsia" w:hAnsiTheme="minorEastAsia" w:cs="Times New Roman" w:hint="eastAsia"/>
          <w:kern w:val="0"/>
          <w:sz w:val="24"/>
          <w:szCs w:val="24"/>
        </w:rPr>
        <w:t>号安吉尔大厦</w:t>
      </w:r>
      <w:r>
        <w:rPr>
          <w:rFonts w:asciiTheme="minorEastAsia" w:hAnsiTheme="minorEastAsia" w:cs="Times New Roman"/>
          <w:kern w:val="0"/>
          <w:sz w:val="24"/>
          <w:szCs w:val="24"/>
        </w:rPr>
        <w:t>24</w:t>
      </w:r>
      <w:r>
        <w:rPr>
          <w:rFonts w:asciiTheme="minorEastAsia" w:hAnsiTheme="minorEastAsia" w:cs="Times New Roman" w:hint="eastAsia"/>
          <w:kern w:val="0"/>
          <w:sz w:val="24"/>
          <w:szCs w:val="24"/>
        </w:rPr>
        <w:t>层</w:t>
      </w:r>
    </w:p>
    <w:p w14:paraId="0E1593F3"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法定代表人：</w:t>
      </w:r>
      <w:r>
        <w:rPr>
          <w:rFonts w:ascii="Arial Unicode MS" w:hAnsi="Arial Unicode MS" w:cs="Arial" w:hint="eastAsia"/>
          <w:kern w:val="0"/>
          <w:sz w:val="24"/>
        </w:rPr>
        <w:t>王亦伟</w:t>
      </w:r>
    </w:p>
    <w:p w14:paraId="6CD985CD"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成立时间：2016年1月25日</w:t>
      </w:r>
    </w:p>
    <w:p w14:paraId="6FEEEFF9"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注册资本：2亿元人民币</w:t>
      </w:r>
    </w:p>
    <w:p w14:paraId="3C790FE1"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存续期间：持续经营</w:t>
      </w:r>
    </w:p>
    <w:p w14:paraId="0B62FE49"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联系人：罗艳</w:t>
      </w:r>
    </w:p>
    <w:p w14:paraId="6FC1FE4C" w14:textId="77777777" w:rsidR="00B67C49" w:rsidRDefault="00000000">
      <w:pPr>
        <w:spacing w:line="360" w:lineRule="auto"/>
        <w:ind w:firstLineChars="200" w:firstLine="480"/>
        <w:rPr>
          <w:rFonts w:asciiTheme="minorEastAsia" w:hAnsiTheme="minorEastAsia" w:cs="Times New Roman"/>
          <w:kern w:val="0"/>
          <w:sz w:val="24"/>
          <w:szCs w:val="24"/>
        </w:rPr>
      </w:pPr>
      <w:r>
        <w:rPr>
          <w:rFonts w:asciiTheme="minorEastAsia" w:hAnsiTheme="minorEastAsia" w:cs="Times New Roman" w:hint="eastAsia"/>
          <w:kern w:val="0"/>
          <w:sz w:val="24"/>
          <w:szCs w:val="24"/>
        </w:rPr>
        <w:t>联系电话：（0755）</w:t>
      </w:r>
      <w:r>
        <w:rPr>
          <w:rFonts w:asciiTheme="minorEastAsia" w:hAnsiTheme="minorEastAsia" w:cs="Times New Roman"/>
          <w:kern w:val="0"/>
          <w:sz w:val="24"/>
          <w:szCs w:val="24"/>
        </w:rPr>
        <w:t>8435</w:t>
      </w:r>
      <w:r>
        <w:rPr>
          <w:rFonts w:asciiTheme="minorEastAsia" w:hAnsiTheme="minorEastAsia" w:cs="Times New Roman" w:hint="eastAsia"/>
          <w:kern w:val="0"/>
          <w:sz w:val="24"/>
          <w:szCs w:val="24"/>
        </w:rPr>
        <w:t xml:space="preserve"> </w:t>
      </w:r>
      <w:r>
        <w:rPr>
          <w:rFonts w:asciiTheme="minorEastAsia" w:hAnsiTheme="minorEastAsia" w:cs="Times New Roman"/>
          <w:kern w:val="0"/>
          <w:sz w:val="24"/>
          <w:szCs w:val="24"/>
        </w:rPr>
        <w:t>663</w:t>
      </w:r>
      <w:r>
        <w:rPr>
          <w:rFonts w:asciiTheme="minorEastAsia" w:hAnsiTheme="minorEastAsia" w:cs="Times New Roman" w:hint="eastAsia"/>
          <w:kern w:val="0"/>
          <w:sz w:val="24"/>
          <w:szCs w:val="24"/>
        </w:rPr>
        <w:t>7</w:t>
      </w:r>
    </w:p>
    <w:p w14:paraId="0045AA44" w14:textId="77777777" w:rsidR="00B67C49" w:rsidRDefault="00000000">
      <w:pPr>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B67C49" w14:paraId="7CB46625"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A1A189" w14:textId="77777777" w:rsidR="00B67C49"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52BECC67" w14:textId="77777777" w:rsidR="00B67C49"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出资比例</w:t>
            </w:r>
          </w:p>
        </w:tc>
      </w:tr>
      <w:tr w:rsidR="00B67C49" w14:paraId="700A5654"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BF8916" w14:textId="77777777" w:rsidR="00B67C49"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61FADD58" w14:textId="77777777" w:rsidR="00B67C49"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50%</w:t>
            </w:r>
          </w:p>
        </w:tc>
      </w:tr>
      <w:tr w:rsidR="00B67C49" w14:paraId="26B52B0C"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579EBACB" w14:textId="77777777" w:rsidR="00B67C49"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7F70D555" w14:textId="77777777" w:rsidR="00B67C49"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45.1%</w:t>
            </w:r>
          </w:p>
        </w:tc>
      </w:tr>
      <w:tr w:rsidR="00B67C49" w14:paraId="19186D1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F4126EE" w14:textId="77777777" w:rsidR="00B67C49" w:rsidRDefault="00000000">
            <w:pPr>
              <w:spacing w:line="360" w:lineRule="auto"/>
              <w:jc w:val="center"/>
              <w:rPr>
                <w:rFonts w:asciiTheme="minorEastAsia" w:hAnsiTheme="minorEastAsia" w:cs="Arial"/>
                <w:kern w:val="0"/>
                <w:sz w:val="24"/>
                <w:szCs w:val="24"/>
              </w:rPr>
            </w:pPr>
            <w:proofErr w:type="gramStart"/>
            <w:r>
              <w:rPr>
                <w:rFonts w:asciiTheme="minorEastAsia" w:hAnsiTheme="minorEastAsia" w:cs="Arial" w:hint="eastAsia"/>
                <w:kern w:val="0"/>
                <w:sz w:val="24"/>
                <w:szCs w:val="24"/>
              </w:rPr>
              <w:t>湖南省典勤投资</w:t>
            </w:r>
            <w:proofErr w:type="gramEnd"/>
            <w:r>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517F3B72" w14:textId="77777777" w:rsidR="00B67C49" w:rsidRDefault="00000000">
            <w:pPr>
              <w:spacing w:line="360"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4.9%</w:t>
            </w:r>
          </w:p>
        </w:tc>
      </w:tr>
    </w:tbl>
    <w:p w14:paraId="591DDBAD" w14:textId="77777777" w:rsidR="00B67C49" w:rsidRDefault="00B67C49">
      <w:pPr>
        <w:adjustRightInd w:val="0"/>
        <w:snapToGrid w:val="0"/>
        <w:spacing w:line="360" w:lineRule="auto"/>
        <w:ind w:firstLineChars="200" w:firstLine="480"/>
        <w:rPr>
          <w:rFonts w:asciiTheme="minorEastAsia" w:hAnsiTheme="minorEastAsia" w:cs="Arial"/>
          <w:kern w:val="0"/>
          <w:sz w:val="24"/>
          <w:szCs w:val="24"/>
        </w:rPr>
      </w:pPr>
    </w:p>
    <w:p w14:paraId="69817142" w14:textId="77777777" w:rsidR="00B67C49" w:rsidRDefault="00000000">
      <w:pPr>
        <w:spacing w:line="360" w:lineRule="auto"/>
        <w:ind w:firstLineChars="200" w:firstLine="482"/>
        <w:rPr>
          <w:rFonts w:asciiTheme="minorEastAsia" w:hAnsiTheme="minorEastAsia" w:cs="Times New Roman"/>
          <w:b/>
          <w:kern w:val="0"/>
          <w:sz w:val="24"/>
          <w:szCs w:val="24"/>
        </w:rPr>
      </w:pPr>
      <w:r>
        <w:rPr>
          <w:rFonts w:asciiTheme="minorEastAsia" w:hAnsiTheme="minorEastAsia" w:cs="Times New Roman" w:hint="eastAsia"/>
          <w:b/>
          <w:kern w:val="0"/>
          <w:sz w:val="24"/>
          <w:szCs w:val="24"/>
        </w:rPr>
        <w:t>二、主要成员情况</w:t>
      </w:r>
    </w:p>
    <w:p w14:paraId="25E2E305"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1、董事会成员</w:t>
      </w:r>
    </w:p>
    <w:p w14:paraId="0C2BFBD4" w14:textId="19681737" w:rsidR="00B67C49" w:rsidRDefault="00000000">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王亦伟先生，董事长，中山大学管理学院经济学学士。历任广州大学城投资经营管理有限公司财务部部长，平安信托有限责任公司财富管理事业部区域管理中心总监，广州市城市建设投资集团有限公司计划发展部部长、投资发展部部长，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投资有限公司总经理、党支部书记、董事、董事长，广州新中轴建设有限公司财务总监、董事长、法人代表。现任广州产业投资基金管理有限公司党委书记、董事长、法定代表人，</w:t>
      </w:r>
      <w:r>
        <w:rPr>
          <w:rFonts w:ascii="宋体" w:eastAsia="宋体" w:hAnsi="宋体" w:cs="Arial" w:hint="eastAsia"/>
          <w:sz w:val="24"/>
          <w:szCs w:val="24"/>
          <w:lang w:bidi="ar"/>
        </w:rPr>
        <w:t>广州城</w:t>
      </w:r>
      <w:proofErr w:type="gramStart"/>
      <w:r>
        <w:rPr>
          <w:rFonts w:ascii="宋体" w:eastAsia="宋体" w:hAnsi="宋体" w:cs="Arial" w:hint="eastAsia"/>
          <w:sz w:val="24"/>
          <w:szCs w:val="24"/>
          <w:lang w:bidi="ar"/>
        </w:rPr>
        <w:t>恒</w:t>
      </w:r>
      <w:proofErr w:type="gramEnd"/>
      <w:r>
        <w:rPr>
          <w:rFonts w:ascii="宋体" w:eastAsia="宋体" w:hAnsi="宋体" w:cs="Arial" w:hint="eastAsia"/>
          <w:sz w:val="24"/>
          <w:szCs w:val="24"/>
          <w:lang w:bidi="ar"/>
        </w:rPr>
        <w:t>城市更新投资有限公司董事长、法定代表人，</w:t>
      </w:r>
      <w:r>
        <w:rPr>
          <w:rFonts w:asciiTheme="minorEastAsia" w:hAnsiTheme="minorEastAsia" w:cs="Arial" w:hint="eastAsia"/>
          <w:kern w:val="0"/>
          <w:sz w:val="24"/>
        </w:rPr>
        <w:t>广州市城</w:t>
      </w:r>
      <w:proofErr w:type="gramStart"/>
      <w:r>
        <w:rPr>
          <w:rFonts w:asciiTheme="minorEastAsia" w:hAnsiTheme="minorEastAsia" w:cs="Arial" w:hint="eastAsia"/>
          <w:kern w:val="0"/>
          <w:sz w:val="24"/>
        </w:rPr>
        <w:t>投</w:t>
      </w:r>
      <w:proofErr w:type="gramEnd"/>
      <w:r>
        <w:rPr>
          <w:rFonts w:asciiTheme="minorEastAsia" w:hAnsiTheme="minorEastAsia" w:cs="Arial" w:hint="eastAsia"/>
          <w:kern w:val="0"/>
          <w:sz w:val="24"/>
        </w:rPr>
        <w:t>投资有限公司董事，富荣基金管理有限公司董事长、法定代表人。</w:t>
      </w:r>
    </w:p>
    <w:p w14:paraId="0E68B2A9" w14:textId="494F5D51"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杨小舟先生，董事，大连理工大学硕士研究生。历任交通银行沈阳分行国际部国际结算员、信贷科科长、中信银行沈阳皇姑支行副行长、广发银行南湖支行</w:t>
      </w:r>
      <w:r>
        <w:rPr>
          <w:rFonts w:asciiTheme="minorEastAsia" w:hAnsiTheme="minorEastAsia" w:cs="Arial" w:hint="eastAsia"/>
          <w:kern w:val="0"/>
          <w:sz w:val="24"/>
          <w:szCs w:val="24"/>
        </w:rPr>
        <w:lastRenderedPageBreak/>
        <w:t>行长、广发银行沈阳直属支行行长助理、副行长、行长兼党委书记、广发银行沈阳分行行长兼党委书记、广发银行深圳分行行长兼党委书记、富荣基金管理有限公司董事长</w:t>
      </w:r>
      <w:r w:rsidR="009617D2">
        <w:rPr>
          <w:rFonts w:ascii="宋体" w:eastAsia="宋体" w:hAnsi="宋体" w:cs="Arial" w:hint="eastAsia"/>
          <w:sz w:val="24"/>
          <w:szCs w:val="24"/>
          <w:lang w:bidi="ar"/>
        </w:rPr>
        <w:t>。</w:t>
      </w:r>
      <w:r>
        <w:rPr>
          <w:rFonts w:ascii="宋体" w:eastAsia="宋体" w:hAnsi="宋体" w:cs="Arial" w:hint="eastAsia"/>
          <w:sz w:val="24"/>
          <w:szCs w:val="24"/>
          <w:lang w:bidi="ar"/>
        </w:rPr>
        <w:t>现任富荣基金管理有限公司总经理</w:t>
      </w:r>
      <w:r>
        <w:rPr>
          <w:rFonts w:asciiTheme="minorEastAsia" w:hAnsiTheme="minorEastAsia" w:cs="Arial" w:hint="eastAsia"/>
          <w:kern w:val="0"/>
          <w:sz w:val="24"/>
          <w:szCs w:val="24"/>
        </w:rPr>
        <w:t>。</w:t>
      </w:r>
    </w:p>
    <w:p w14:paraId="05A5B684" w14:textId="1EF69F83" w:rsidR="00B67C49" w:rsidRDefault="00000000" w:rsidP="009127CF">
      <w:pPr>
        <w:adjustRightInd w:val="0"/>
        <w:snapToGrid w:val="0"/>
        <w:spacing w:line="360" w:lineRule="auto"/>
        <w:ind w:firstLine="420"/>
        <w:rPr>
          <w:rFonts w:asciiTheme="minorEastAsia" w:hAnsiTheme="minorEastAsia" w:cs="Arial"/>
          <w:kern w:val="0"/>
          <w:sz w:val="24"/>
        </w:rPr>
      </w:pPr>
      <w:r>
        <w:rPr>
          <w:rFonts w:asciiTheme="minorEastAsia" w:hAnsiTheme="minorEastAsia" w:cs="Arial" w:hint="eastAsia"/>
          <w:kern w:val="0"/>
          <w:sz w:val="24"/>
          <w:szCs w:val="24"/>
        </w:rPr>
        <w:t>赵宏伟先生，董事，对外经济贸易大学硕士研究生。曾任北京大成律师事务所律师、当代北方（北京）投资有限公司总裁、黑龙江北美工业大麻科技有限公司总裁</w:t>
      </w:r>
      <w:r>
        <w:rPr>
          <w:rFonts w:ascii="宋体" w:eastAsia="宋体" w:hAnsi="宋体" w:cs="Arial" w:hint="eastAsia"/>
          <w:sz w:val="24"/>
          <w:szCs w:val="24"/>
          <w:lang w:bidi="ar"/>
        </w:rPr>
        <w:t>，广州产业投资基金管理有限公司风险管理部总经理、法</w:t>
      </w:r>
      <w:proofErr w:type="gramStart"/>
      <w:r>
        <w:rPr>
          <w:rFonts w:ascii="宋体" w:eastAsia="宋体" w:hAnsi="宋体" w:cs="Arial" w:hint="eastAsia"/>
          <w:sz w:val="24"/>
          <w:szCs w:val="24"/>
          <w:lang w:bidi="ar"/>
        </w:rPr>
        <w:t>务风控部</w:t>
      </w:r>
      <w:proofErr w:type="gramEnd"/>
      <w:r>
        <w:rPr>
          <w:rFonts w:ascii="宋体" w:eastAsia="宋体" w:hAnsi="宋体" w:cs="Arial" w:hint="eastAsia"/>
          <w:sz w:val="24"/>
          <w:szCs w:val="24"/>
          <w:lang w:bidi="ar"/>
        </w:rPr>
        <w:t>总经理，现任广州产业投资基金管理有限公司投资管理部总经理</w:t>
      </w:r>
      <w:r>
        <w:rPr>
          <w:rFonts w:asciiTheme="minorEastAsia" w:hAnsiTheme="minorEastAsia" w:cs="Arial" w:hint="eastAsia"/>
          <w:kern w:val="0"/>
          <w:sz w:val="24"/>
          <w:szCs w:val="24"/>
        </w:rPr>
        <w:t>，</w:t>
      </w:r>
      <w:r>
        <w:rPr>
          <w:rFonts w:ascii="宋体" w:eastAsia="宋体" w:hAnsi="宋体" w:cs="Arial" w:hint="eastAsia"/>
          <w:sz w:val="24"/>
          <w:szCs w:val="24"/>
          <w:lang w:bidi="ar"/>
        </w:rPr>
        <w:t>广州基金国际股权投资基金管理有限公司党支部副书记、总经理，富荣基金管理有限公司董事。</w:t>
      </w:r>
    </w:p>
    <w:p w14:paraId="41579F46" w14:textId="46527745"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rPr>
        <w:t>郭涛先生，董事，</w:t>
      </w:r>
      <w:r>
        <w:rPr>
          <w:rFonts w:ascii="宋体" w:eastAsia="宋体" w:hAnsi="宋体" w:cs="Arial" w:hint="eastAsia"/>
          <w:sz w:val="24"/>
          <w:szCs w:val="24"/>
          <w:lang w:bidi="ar"/>
        </w:rPr>
        <w:t>上海交通大学高级管理人员工商管理专业硕士。现任</w:t>
      </w:r>
      <w:proofErr w:type="gramStart"/>
      <w:r>
        <w:rPr>
          <w:rFonts w:ascii="宋体" w:eastAsia="宋体" w:hAnsi="宋体" w:cs="Arial" w:hint="eastAsia"/>
          <w:sz w:val="24"/>
          <w:szCs w:val="24"/>
          <w:lang w:bidi="ar"/>
        </w:rPr>
        <w:t>深圳市亿尔德</w:t>
      </w:r>
      <w:proofErr w:type="gramEnd"/>
      <w:r>
        <w:rPr>
          <w:rFonts w:ascii="宋体" w:eastAsia="宋体" w:hAnsi="宋体" w:cs="Arial" w:hint="eastAsia"/>
          <w:sz w:val="24"/>
          <w:szCs w:val="24"/>
          <w:lang w:bidi="ar"/>
        </w:rPr>
        <w:t>投资有限公司总经理、执行董事，</w:t>
      </w:r>
      <w:proofErr w:type="gramStart"/>
      <w:r>
        <w:rPr>
          <w:rFonts w:ascii="宋体" w:eastAsia="宋体" w:hAnsi="宋体" w:cs="Arial" w:hint="eastAsia"/>
          <w:sz w:val="24"/>
          <w:szCs w:val="24"/>
          <w:lang w:bidi="ar"/>
        </w:rPr>
        <w:t>微愿数智</w:t>
      </w:r>
      <w:proofErr w:type="gramEnd"/>
      <w:r>
        <w:rPr>
          <w:rFonts w:ascii="宋体" w:eastAsia="宋体" w:hAnsi="宋体" w:cs="Arial" w:hint="eastAsia"/>
          <w:sz w:val="24"/>
          <w:szCs w:val="24"/>
          <w:lang w:bidi="ar"/>
        </w:rPr>
        <w:t>（深圳）健康科技有限公司总经理、执行董事，</w:t>
      </w:r>
      <w:proofErr w:type="gramStart"/>
      <w:r>
        <w:rPr>
          <w:rFonts w:ascii="宋体" w:eastAsia="宋体" w:hAnsi="宋体" w:cs="Arial" w:hint="eastAsia"/>
          <w:sz w:val="24"/>
          <w:szCs w:val="24"/>
          <w:lang w:bidi="ar"/>
        </w:rPr>
        <w:t>深圳市盈投荣达</w:t>
      </w:r>
      <w:proofErr w:type="gramEnd"/>
      <w:r>
        <w:rPr>
          <w:rFonts w:ascii="宋体" w:eastAsia="宋体" w:hAnsi="宋体" w:cs="Arial" w:hint="eastAsia"/>
          <w:sz w:val="24"/>
          <w:szCs w:val="24"/>
          <w:lang w:bidi="ar"/>
        </w:rPr>
        <w:t>科技有限公司董事长、总经理，深圳市嘉年印</w:t>
      </w:r>
      <w:proofErr w:type="gramStart"/>
      <w:r>
        <w:rPr>
          <w:rFonts w:ascii="宋体" w:eastAsia="宋体" w:hAnsi="宋体" w:cs="Arial" w:hint="eastAsia"/>
          <w:sz w:val="24"/>
          <w:szCs w:val="24"/>
          <w:lang w:bidi="ar"/>
        </w:rPr>
        <w:t>务</w:t>
      </w:r>
      <w:proofErr w:type="gramEnd"/>
      <w:r>
        <w:rPr>
          <w:rFonts w:ascii="宋体" w:eastAsia="宋体" w:hAnsi="宋体" w:cs="Arial" w:hint="eastAsia"/>
          <w:sz w:val="24"/>
          <w:szCs w:val="24"/>
          <w:lang w:bidi="ar"/>
        </w:rPr>
        <w:t>有限公司董事长，深圳市盈实发展有限公司董事长，深圳市</w:t>
      </w:r>
      <w:proofErr w:type="gramStart"/>
      <w:r>
        <w:rPr>
          <w:rFonts w:ascii="宋体" w:eastAsia="宋体" w:hAnsi="宋体" w:cs="Arial" w:hint="eastAsia"/>
          <w:sz w:val="24"/>
          <w:szCs w:val="24"/>
          <w:lang w:bidi="ar"/>
        </w:rPr>
        <w:t>盈致未来文创管理</w:t>
      </w:r>
      <w:proofErr w:type="gramEnd"/>
      <w:r>
        <w:rPr>
          <w:rFonts w:ascii="宋体" w:eastAsia="宋体" w:hAnsi="宋体" w:cs="Arial" w:hint="eastAsia"/>
          <w:sz w:val="24"/>
          <w:szCs w:val="24"/>
          <w:lang w:bidi="ar"/>
        </w:rPr>
        <w:t>有限公司董事长，深圳市益德置业有限公司总经理、董事，</w:t>
      </w:r>
      <w:proofErr w:type="gramStart"/>
      <w:r>
        <w:rPr>
          <w:rFonts w:ascii="宋体" w:eastAsia="宋体" w:hAnsi="宋体" w:cs="Arial" w:hint="eastAsia"/>
          <w:sz w:val="24"/>
          <w:szCs w:val="24"/>
          <w:lang w:bidi="ar"/>
        </w:rPr>
        <w:t>盈投控股</w:t>
      </w:r>
      <w:proofErr w:type="gramEnd"/>
      <w:r>
        <w:rPr>
          <w:rFonts w:ascii="宋体" w:eastAsia="宋体" w:hAnsi="宋体" w:cs="Arial" w:hint="eastAsia"/>
          <w:sz w:val="24"/>
          <w:szCs w:val="24"/>
          <w:lang w:bidi="ar"/>
        </w:rPr>
        <w:t>有限公司总经理、董事，深圳市铭嘉达信息咨询有限公司董事，深圳市理得文化发展有限公司董事，乐百氏（广东）饮用水有限公司董事，深圳安吉尔饮水产业集团有限公司董事，</w:t>
      </w:r>
      <w:proofErr w:type="gramStart"/>
      <w:r>
        <w:rPr>
          <w:rFonts w:ascii="宋体" w:eastAsia="宋体" w:hAnsi="宋体" w:cs="Arial" w:hint="eastAsia"/>
          <w:sz w:val="24"/>
          <w:szCs w:val="24"/>
          <w:lang w:bidi="ar"/>
        </w:rPr>
        <w:t>昊</w:t>
      </w:r>
      <w:proofErr w:type="gramEnd"/>
      <w:r>
        <w:rPr>
          <w:rFonts w:ascii="宋体" w:eastAsia="宋体" w:hAnsi="宋体" w:cs="Arial" w:hint="eastAsia"/>
          <w:sz w:val="24"/>
          <w:szCs w:val="24"/>
          <w:lang w:bidi="ar"/>
        </w:rPr>
        <w:t>华化工科技集团股份有限公司董事，深圳嘉年实业股份有限公司董事；深圳市</w:t>
      </w:r>
      <w:proofErr w:type="gramStart"/>
      <w:r>
        <w:rPr>
          <w:rFonts w:ascii="宋体" w:eastAsia="宋体" w:hAnsi="宋体" w:cs="Arial" w:hint="eastAsia"/>
          <w:sz w:val="24"/>
          <w:szCs w:val="24"/>
          <w:lang w:bidi="ar"/>
        </w:rPr>
        <w:t>盈投发展</w:t>
      </w:r>
      <w:proofErr w:type="gramEnd"/>
      <w:r>
        <w:rPr>
          <w:rFonts w:ascii="宋体" w:eastAsia="宋体" w:hAnsi="宋体" w:cs="Arial" w:hint="eastAsia"/>
          <w:sz w:val="24"/>
          <w:szCs w:val="24"/>
          <w:lang w:bidi="ar"/>
        </w:rPr>
        <w:t>有限公司董事，绍兴安吉尔环境科技有限公司董事，深圳市银珠塑料制品有限公司董事，深圳安吉尔服务营销有限公司董事，深圳市润丰不动产运营服务有限公司董事，乐百氏（深圳）饮用水有限公司董事，深圳市安吉尔饮水事业发展有限公司董事，绍兴安吉尔私募基金管理有限公司董事，深圳市益景德实业有限公司董事，乐百氏（成都）饮用水有限公司董事，乐百氏（广东）饮品有限公司董事，乐百氏（沈阳）饮品有限公司董事，津沪深生物医药科技有限公司董事，深圳上合高金投资管理有限公司监事</w:t>
      </w:r>
      <w:r w:rsidR="009617D2">
        <w:rPr>
          <w:rFonts w:ascii="宋体" w:eastAsia="宋体" w:hAnsi="宋体" w:cs="Arial" w:hint="eastAsia"/>
          <w:sz w:val="24"/>
          <w:szCs w:val="24"/>
          <w:lang w:bidi="ar"/>
        </w:rPr>
        <w:t>。</w:t>
      </w:r>
      <w:r>
        <w:rPr>
          <w:rFonts w:asciiTheme="minorEastAsia" w:hAnsiTheme="minorEastAsia" w:cs="Arial" w:hint="eastAsia"/>
          <w:kern w:val="0"/>
          <w:sz w:val="24"/>
        </w:rPr>
        <w:t>富荣基金管理有限公司董事。</w:t>
      </w:r>
    </w:p>
    <w:p w14:paraId="5986188B" w14:textId="46536993" w:rsidR="00B67C49" w:rsidRDefault="00000000">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余</w:t>
      </w:r>
      <w:proofErr w:type="gramStart"/>
      <w:r>
        <w:rPr>
          <w:rFonts w:asciiTheme="minorEastAsia" w:hAnsiTheme="minorEastAsia" w:cs="Arial" w:hint="eastAsia"/>
          <w:kern w:val="0"/>
          <w:sz w:val="24"/>
        </w:rPr>
        <w:t>关健</w:t>
      </w:r>
      <w:proofErr w:type="gramEnd"/>
      <w:r>
        <w:rPr>
          <w:rFonts w:asciiTheme="minorEastAsia" w:hAnsiTheme="minorEastAsia" w:cs="Arial" w:hint="eastAsia"/>
          <w:kern w:val="0"/>
          <w:sz w:val="24"/>
        </w:rPr>
        <w:t>先生，独立董事，西南财经大学工业经济硕士研究生。曾任中国银行深圳分行信贷处处长、中国银行深圳分行风险管理处处长、深圳赛格、深圳特发集团董事、</w:t>
      </w:r>
      <w:proofErr w:type="gramStart"/>
      <w:r>
        <w:rPr>
          <w:rFonts w:asciiTheme="minorEastAsia" w:hAnsiTheme="minorEastAsia" w:cs="Arial" w:hint="eastAsia"/>
          <w:kern w:val="0"/>
          <w:sz w:val="24"/>
        </w:rPr>
        <w:t>邦</w:t>
      </w:r>
      <w:proofErr w:type="gramEnd"/>
      <w:r>
        <w:rPr>
          <w:rFonts w:asciiTheme="minorEastAsia" w:hAnsiTheme="minorEastAsia" w:cs="Arial" w:hint="eastAsia"/>
          <w:kern w:val="0"/>
          <w:sz w:val="24"/>
        </w:rPr>
        <w:t>信资产管理公司董事总经理、对外贸易集团股份有限公司董事长、东方资产管理公司办事处总经理。现任</w:t>
      </w:r>
      <w:r>
        <w:rPr>
          <w:rFonts w:ascii="宋体" w:eastAsia="宋体" w:hAnsi="宋体" w:cs="Arial" w:hint="eastAsia"/>
          <w:sz w:val="24"/>
          <w:szCs w:val="24"/>
          <w:lang w:bidi="ar"/>
        </w:rPr>
        <w:t>东银实业（深圳）有限公司董事、深圳金田股份有限公司独立董事、</w:t>
      </w:r>
      <w:r>
        <w:rPr>
          <w:rFonts w:asciiTheme="minorEastAsia" w:hAnsiTheme="minorEastAsia" w:cs="Arial" w:hint="eastAsia"/>
          <w:kern w:val="0"/>
          <w:sz w:val="24"/>
        </w:rPr>
        <w:t>富荣基金管理有限公司独立董事。</w:t>
      </w:r>
    </w:p>
    <w:p w14:paraId="08687DB7" w14:textId="0905F46A" w:rsidR="00B67C49" w:rsidRDefault="00000000">
      <w:pPr>
        <w:adjustRightInd w:val="0"/>
        <w:snapToGrid w:val="0"/>
        <w:spacing w:line="360" w:lineRule="auto"/>
        <w:ind w:firstLineChars="200" w:firstLine="480"/>
        <w:rPr>
          <w:rFonts w:ascii="宋体" w:eastAsia="宋体" w:hAnsi="宋体" w:cs="Arial"/>
          <w:kern w:val="0"/>
          <w:sz w:val="24"/>
          <w:szCs w:val="24"/>
        </w:rPr>
      </w:pPr>
      <w:r>
        <w:rPr>
          <w:rFonts w:ascii="宋体" w:eastAsia="宋体" w:hAnsi="宋体" w:cs="Arial" w:hint="eastAsia"/>
          <w:kern w:val="0"/>
          <w:sz w:val="24"/>
          <w:szCs w:val="24"/>
          <w:lang w:bidi="ar"/>
        </w:rPr>
        <w:t>刘宝瑞先生，独立董事，历任中国人民银行宝坻支行会计、中国农业银行天津分行人力资源部副处长、中国农业银行天津分行国际业务部副总经理、总经理、</w:t>
      </w:r>
      <w:r>
        <w:rPr>
          <w:rFonts w:ascii="宋体" w:eastAsia="宋体" w:hAnsi="宋体" w:cs="Arial" w:hint="eastAsia"/>
          <w:kern w:val="0"/>
          <w:sz w:val="24"/>
          <w:szCs w:val="24"/>
          <w:lang w:bidi="ar"/>
        </w:rPr>
        <w:lastRenderedPageBreak/>
        <w:t>中国农业银行天津分行资金计划处处长、深圳发展银行总行行长助理、副行长、党委委员、中国金融国际投资有限公司执行董事</w:t>
      </w:r>
      <w:r w:rsidR="009617D2">
        <w:rPr>
          <w:rFonts w:ascii="宋体" w:eastAsia="宋体" w:hAnsi="宋体" w:cs="Arial" w:hint="eastAsia"/>
          <w:kern w:val="0"/>
          <w:sz w:val="24"/>
          <w:szCs w:val="24"/>
          <w:lang w:bidi="ar"/>
        </w:rPr>
        <w:t>。</w:t>
      </w:r>
      <w:r>
        <w:rPr>
          <w:rFonts w:ascii="宋体" w:eastAsia="宋体" w:hAnsi="宋体" w:cs="Arial" w:hint="eastAsia"/>
          <w:kern w:val="0"/>
          <w:sz w:val="24"/>
          <w:szCs w:val="24"/>
          <w:lang w:bidi="ar"/>
        </w:rPr>
        <w:t>现任深圳第一金融服务有限公司董事长、湖南银行独立董事、天津银行监事、富荣基金管理有限公司独立董事。</w:t>
      </w:r>
    </w:p>
    <w:p w14:paraId="2BAB9A91" w14:textId="77777777" w:rsidR="00B67C49" w:rsidRDefault="00000000">
      <w:pPr>
        <w:adjustRightInd w:val="0"/>
        <w:snapToGrid w:val="0"/>
        <w:spacing w:line="360" w:lineRule="auto"/>
        <w:ind w:firstLineChars="200" w:firstLine="480"/>
        <w:rPr>
          <w:rFonts w:asciiTheme="minorEastAsia" w:hAnsiTheme="minorEastAsia" w:cs="Arial"/>
          <w:kern w:val="0"/>
          <w:sz w:val="24"/>
        </w:rPr>
      </w:pPr>
      <w:r w:rsidRPr="009127CF">
        <w:rPr>
          <w:rFonts w:asciiTheme="minorEastAsia" w:hAnsiTheme="minorEastAsia" w:cs="Arial" w:hint="eastAsia"/>
          <w:kern w:val="0"/>
          <w:sz w:val="24"/>
          <w:lang w:bidi="ar"/>
        </w:rPr>
        <w:t>张刚先生，独立董事，内蒙古大学民</w:t>
      </w:r>
      <w:proofErr w:type="gramStart"/>
      <w:r w:rsidRPr="009127CF">
        <w:rPr>
          <w:rFonts w:asciiTheme="minorEastAsia" w:hAnsiTheme="minorEastAsia" w:cs="Arial" w:hint="eastAsia"/>
          <w:kern w:val="0"/>
          <w:sz w:val="24"/>
          <w:lang w:bidi="ar"/>
        </w:rPr>
        <w:t>商法学</w:t>
      </w:r>
      <w:proofErr w:type="gramEnd"/>
      <w:r w:rsidRPr="009127CF">
        <w:rPr>
          <w:rFonts w:asciiTheme="minorEastAsia" w:hAnsiTheme="minorEastAsia" w:cs="Arial" w:hint="eastAsia"/>
          <w:kern w:val="0"/>
          <w:sz w:val="24"/>
          <w:lang w:bidi="ar"/>
        </w:rPr>
        <w:t>硕士研究生。曾任内蒙古大学教师、北京王玉梅律师事务所律师、北京建元律师事务所合伙人、宁夏中银绒业股份有限公司独立董事。现任北京大成律师事务所高级合伙人、富荣基金管理有限公司独立董事。</w:t>
      </w:r>
    </w:p>
    <w:p w14:paraId="1882F00A"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2、监事会成员</w:t>
      </w:r>
    </w:p>
    <w:p w14:paraId="723F6581"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基金管理人不设监事会，设监事两名，其中一名为职工监事。</w:t>
      </w:r>
    </w:p>
    <w:p w14:paraId="0525F6B6"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冯晓霖女士，监事，硕士。曾任深圳市嘉</w:t>
      </w:r>
      <w:proofErr w:type="gramStart"/>
      <w:r>
        <w:rPr>
          <w:rFonts w:asciiTheme="minorEastAsia" w:hAnsiTheme="minorEastAsia" w:cs="Arial" w:hint="eastAsia"/>
          <w:kern w:val="0"/>
          <w:sz w:val="24"/>
          <w:szCs w:val="24"/>
        </w:rPr>
        <w:t>霖</w:t>
      </w:r>
      <w:proofErr w:type="gramEnd"/>
      <w:r>
        <w:rPr>
          <w:rFonts w:asciiTheme="minorEastAsia" w:hAnsiTheme="minorEastAsia" w:cs="Arial" w:hint="eastAsia"/>
          <w:kern w:val="0"/>
          <w:sz w:val="24"/>
          <w:szCs w:val="24"/>
        </w:rPr>
        <w:t>置业集团有限公司法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w:t>
      </w:r>
      <w:proofErr w:type="gramStart"/>
      <w:r>
        <w:rPr>
          <w:rFonts w:asciiTheme="minorEastAsia" w:hAnsiTheme="minorEastAsia" w:cs="Arial" w:hint="eastAsia"/>
          <w:kern w:val="0"/>
          <w:sz w:val="24"/>
          <w:szCs w:val="24"/>
        </w:rPr>
        <w:t>现任盈投控股</w:t>
      </w:r>
      <w:proofErr w:type="gramEnd"/>
      <w:r>
        <w:rPr>
          <w:rFonts w:asciiTheme="minorEastAsia" w:hAnsiTheme="minorEastAsia" w:cs="Arial" w:hint="eastAsia"/>
          <w:kern w:val="0"/>
          <w:sz w:val="24"/>
          <w:szCs w:val="24"/>
        </w:rPr>
        <w:t>有限公司法</w:t>
      </w:r>
      <w:proofErr w:type="gramStart"/>
      <w:r>
        <w:rPr>
          <w:rFonts w:asciiTheme="minorEastAsia" w:hAnsiTheme="minorEastAsia" w:cs="Arial" w:hint="eastAsia"/>
          <w:kern w:val="0"/>
          <w:sz w:val="24"/>
          <w:szCs w:val="24"/>
        </w:rPr>
        <w:t>务</w:t>
      </w:r>
      <w:proofErr w:type="gramEnd"/>
      <w:r>
        <w:rPr>
          <w:rFonts w:asciiTheme="minorEastAsia" w:hAnsiTheme="minorEastAsia" w:cs="Arial" w:hint="eastAsia"/>
          <w:kern w:val="0"/>
          <w:sz w:val="24"/>
          <w:szCs w:val="24"/>
        </w:rPr>
        <w:t>主管、富荣基金管理有限公司监事。</w:t>
      </w:r>
    </w:p>
    <w:p w14:paraId="1C764683"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魏丽红女士，职工监事，大专。现任富荣基金管理有限公司职工监事。</w:t>
      </w:r>
    </w:p>
    <w:p w14:paraId="007BD162"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3、高级管理人员</w:t>
      </w:r>
    </w:p>
    <w:p w14:paraId="3B3C4357"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杨小舟先生，总经理、兼任首席信息官，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富荣基金管理有限公司董事长。</w:t>
      </w:r>
      <w:r>
        <w:rPr>
          <w:rFonts w:ascii="宋体" w:eastAsia="宋体" w:hAnsi="宋体" w:cs="Arial" w:hint="eastAsia"/>
          <w:sz w:val="24"/>
          <w:szCs w:val="24"/>
          <w:lang w:bidi="ar"/>
        </w:rPr>
        <w:t>现任富荣基金管理有限公司总经理。</w:t>
      </w:r>
    </w:p>
    <w:p w14:paraId="11F0352A" w14:textId="77777777" w:rsidR="00B67C49" w:rsidRDefault="00000000">
      <w:pPr>
        <w:adjustRightInd w:val="0"/>
        <w:snapToGrid w:val="0"/>
        <w:spacing w:line="360" w:lineRule="auto"/>
        <w:ind w:firstLineChars="200" w:firstLine="480"/>
        <w:rPr>
          <w:rFonts w:asciiTheme="minorEastAsia" w:hAnsiTheme="minorEastAsia" w:cs="Arial"/>
          <w:kern w:val="0"/>
          <w:sz w:val="24"/>
        </w:rPr>
      </w:pPr>
      <w:r>
        <w:rPr>
          <w:rFonts w:asciiTheme="minorEastAsia" w:hAnsiTheme="minorEastAsia" w:cs="Arial" w:hint="eastAsia"/>
          <w:kern w:val="0"/>
          <w:sz w:val="24"/>
        </w:rPr>
        <w:t>史克新先生，副总经理，EMBA硕士。历任珠海会计师事务所注册会计师，君安证券有限公司审计师，北大方正投资有限公司副总经理，兴安证券东莞营业部总经理，深圳丽晶生物技术有限公司董事长，金元证券股份有限公司副监事长、审计部总经理，金元顺</w:t>
      </w:r>
      <w:proofErr w:type="gramStart"/>
      <w:r>
        <w:rPr>
          <w:rFonts w:asciiTheme="minorEastAsia" w:hAnsiTheme="minorEastAsia" w:cs="Arial" w:hint="eastAsia"/>
          <w:kern w:val="0"/>
          <w:sz w:val="24"/>
        </w:rPr>
        <w:t>安基金</w:t>
      </w:r>
      <w:proofErr w:type="gramEnd"/>
      <w:r>
        <w:rPr>
          <w:rFonts w:asciiTheme="minorEastAsia" w:hAnsiTheme="minorEastAsia" w:cs="Arial" w:hint="eastAsia"/>
          <w:kern w:val="0"/>
          <w:sz w:val="24"/>
        </w:rPr>
        <w:t>管理有限公司董事，金元证券股份有限公司经纪管理总部总经理，金元证券股份有限公司深圳分公司总经理，金元证券股份有限公司互联网创新专项办公室总经理等。现任富荣基金管理有限公司副总经理。</w:t>
      </w:r>
    </w:p>
    <w:p w14:paraId="4734523E"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3D43E107"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4、本</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w:t>
      </w:r>
    </w:p>
    <w:p w14:paraId="1292BC5C"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李黄海先生，美国南加州大学博士，CFA（特许金融分析师），深圳市地方</w:t>
      </w:r>
      <w:r>
        <w:rPr>
          <w:rFonts w:asciiTheme="minorEastAsia" w:hAnsiTheme="minorEastAsia" w:cs="Arial" w:hint="eastAsia"/>
          <w:kern w:val="0"/>
          <w:sz w:val="24"/>
          <w:szCs w:val="24"/>
        </w:rPr>
        <w:lastRenderedPageBreak/>
        <w:t>级领军人才。曾任摩根士丹利华</w:t>
      </w:r>
      <w:proofErr w:type="gramStart"/>
      <w:r>
        <w:rPr>
          <w:rFonts w:asciiTheme="minorEastAsia" w:hAnsiTheme="minorEastAsia" w:cs="Arial" w:hint="eastAsia"/>
          <w:kern w:val="0"/>
          <w:sz w:val="24"/>
          <w:szCs w:val="24"/>
        </w:rPr>
        <w:t>鑫</w:t>
      </w:r>
      <w:proofErr w:type="gramEnd"/>
      <w:r>
        <w:rPr>
          <w:rFonts w:asciiTheme="minorEastAsia" w:hAnsiTheme="minorEastAsia" w:cs="Arial" w:hint="eastAsia"/>
          <w:kern w:val="0"/>
          <w:sz w:val="24"/>
          <w:szCs w:val="24"/>
        </w:rPr>
        <w:t>基金数量化投资部投资经理、平安基金量化投资部总监、富荣基金管理有限公司专户部投资经理等职。现任富荣基金管理有限公司投资决策委员会委员、富荣医药健康混合型发起式证券投资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经理（自2022年06月28日起任职）、富荣价值精选灵活配置混合型发起式证券投资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经理（自2023年7月31日起任职）、</w:t>
      </w:r>
      <w:proofErr w:type="gramStart"/>
      <w:r>
        <w:rPr>
          <w:rFonts w:asciiTheme="minorEastAsia" w:hAnsiTheme="minorEastAsia" w:cs="Arial" w:hint="eastAsia"/>
          <w:kern w:val="0"/>
          <w:sz w:val="24"/>
          <w:szCs w:val="24"/>
        </w:rPr>
        <w:t>富荣富乾债券</w:t>
      </w:r>
      <w:proofErr w:type="gramEnd"/>
      <w:r>
        <w:rPr>
          <w:rFonts w:asciiTheme="minorEastAsia" w:hAnsiTheme="minorEastAsia" w:cs="Arial" w:hint="eastAsia"/>
          <w:kern w:val="0"/>
          <w:sz w:val="24"/>
          <w:szCs w:val="24"/>
        </w:rPr>
        <w:t>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经理（自2023年12月12日起任职）、富荣福耀混合型证券投资</w:t>
      </w:r>
      <w:proofErr w:type="gramStart"/>
      <w:r>
        <w:rPr>
          <w:rFonts w:asciiTheme="minorEastAsia" w:hAnsiTheme="minorEastAsia" w:cs="Arial" w:hint="eastAsia"/>
          <w:kern w:val="0"/>
          <w:sz w:val="24"/>
          <w:szCs w:val="24"/>
        </w:rPr>
        <w:t>基金基金</w:t>
      </w:r>
      <w:proofErr w:type="gramEnd"/>
      <w:r>
        <w:rPr>
          <w:rFonts w:asciiTheme="minorEastAsia" w:hAnsiTheme="minorEastAsia" w:cs="Arial" w:hint="eastAsia"/>
          <w:kern w:val="0"/>
          <w:sz w:val="24"/>
          <w:szCs w:val="24"/>
        </w:rPr>
        <w:t>经理（自2023年12月12日起任职）。</w:t>
      </w:r>
    </w:p>
    <w:p w14:paraId="2250C767"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历任基金经理：黄祥斌（自2021年12月29日至2023年7月31日）、邓宇翔（自2021年12月27日至2024年4月18日）</w:t>
      </w:r>
    </w:p>
    <w:p w14:paraId="2FADD1A6"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kern w:val="0"/>
          <w:sz w:val="24"/>
          <w:szCs w:val="24"/>
        </w:rPr>
        <w:t>5、投资决策委员会成员的姓名、</w:t>
      </w:r>
      <w:r>
        <w:rPr>
          <w:rFonts w:asciiTheme="minorEastAsia" w:hAnsiTheme="minorEastAsia" w:cs="Arial" w:hint="eastAsia"/>
          <w:kern w:val="0"/>
          <w:sz w:val="24"/>
          <w:szCs w:val="24"/>
        </w:rPr>
        <w:t>职务</w:t>
      </w:r>
    </w:p>
    <w:p w14:paraId="3A50940A" w14:textId="77777777" w:rsidR="00B67C49" w:rsidRDefault="00000000">
      <w:pPr>
        <w:spacing w:line="360" w:lineRule="auto"/>
        <w:ind w:firstLineChars="200" w:firstLine="480"/>
        <w:rPr>
          <w:rFonts w:asciiTheme="minorEastAsia" w:hAnsiTheme="minorEastAsia"/>
          <w:sz w:val="24"/>
        </w:rPr>
      </w:pPr>
      <w:r>
        <w:rPr>
          <w:rFonts w:asciiTheme="minorEastAsia" w:hAnsiTheme="minorEastAsia" w:hint="eastAsia"/>
          <w:sz w:val="24"/>
        </w:rPr>
        <w:t>杨小舟先生，投资决策委员会主任委员、公司总经理、兼任首席信息官。</w:t>
      </w:r>
    </w:p>
    <w:p w14:paraId="404C0917" w14:textId="77777777" w:rsidR="00B67C49" w:rsidRDefault="00000000">
      <w:pPr>
        <w:spacing w:line="360" w:lineRule="auto"/>
        <w:ind w:firstLineChars="200" w:firstLine="480"/>
        <w:rPr>
          <w:rFonts w:asciiTheme="minorEastAsia" w:hAnsiTheme="minorEastAsia"/>
          <w:sz w:val="24"/>
        </w:rPr>
      </w:pPr>
      <w:r>
        <w:rPr>
          <w:rFonts w:asciiTheme="minorEastAsia" w:hAnsiTheme="minorEastAsia" w:hint="eastAsia"/>
          <w:sz w:val="24"/>
        </w:rPr>
        <w:t>史克新先生，投资决策委员会委员、公司副总经理。</w:t>
      </w:r>
    </w:p>
    <w:p w14:paraId="40059FCE" w14:textId="77777777" w:rsidR="00B67C49" w:rsidRDefault="00000000">
      <w:pPr>
        <w:spacing w:line="360" w:lineRule="auto"/>
        <w:ind w:firstLineChars="200" w:firstLine="480"/>
        <w:rPr>
          <w:rFonts w:asciiTheme="minorEastAsia" w:hAnsiTheme="minorEastAsia"/>
          <w:sz w:val="24"/>
        </w:rPr>
      </w:pPr>
      <w:r>
        <w:rPr>
          <w:rFonts w:asciiTheme="minorEastAsia" w:hAnsiTheme="minorEastAsia" w:hint="eastAsia"/>
          <w:sz w:val="24"/>
        </w:rPr>
        <w:t>邓宇翔先生，投资决策委员会委员、权益投资部总经理、基金经理。</w:t>
      </w:r>
    </w:p>
    <w:p w14:paraId="32D0839E" w14:textId="77777777" w:rsidR="00B67C49"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郎骋成先生，投资决策委员会委员、研究部总经理、基金经理。</w:t>
      </w:r>
    </w:p>
    <w:p w14:paraId="04561FD1" w14:textId="77777777" w:rsidR="00B67C49"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宋芳女士，投资决策委员会委员、固定收益部总经理、基金经理。</w:t>
      </w:r>
    </w:p>
    <w:p w14:paraId="770F391D" w14:textId="77777777" w:rsidR="00B67C49"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孟飞先生，投资决策委员会委员、固定收益部副总经理、基金经理。</w:t>
      </w:r>
    </w:p>
    <w:p w14:paraId="1E0F037A" w14:textId="77777777" w:rsidR="00B67C49"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王丹女士，投资决策委员会委员、固定收益部总经理助理、基金经理。</w:t>
      </w:r>
    </w:p>
    <w:p w14:paraId="41050F33" w14:textId="77777777" w:rsidR="00B67C49"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李黄海先生，投资决策委员会委员、基金经理。</w:t>
      </w:r>
    </w:p>
    <w:p w14:paraId="7A24F3FC" w14:textId="77777777" w:rsidR="00B67C49" w:rsidRDefault="00000000">
      <w:pPr>
        <w:spacing w:line="360" w:lineRule="auto"/>
        <w:ind w:firstLineChars="200" w:firstLine="480"/>
        <w:rPr>
          <w:rFonts w:asciiTheme="minorEastAsia" w:hAnsiTheme="minorEastAsia"/>
          <w:color w:val="000000"/>
          <w:kern w:val="0"/>
          <w:sz w:val="24"/>
          <w:szCs w:val="24"/>
        </w:rPr>
      </w:pPr>
      <w:r>
        <w:rPr>
          <w:rFonts w:asciiTheme="minorEastAsia" w:hAnsiTheme="minorEastAsia" w:hint="eastAsia"/>
          <w:color w:val="000000"/>
          <w:kern w:val="0"/>
          <w:sz w:val="24"/>
          <w:szCs w:val="24"/>
        </w:rPr>
        <w:t>李延峥先生，投资决策委员会委员、投资决策委员会秘书、</w:t>
      </w:r>
      <w:r>
        <w:rPr>
          <w:rFonts w:ascii="宋体" w:eastAsia="宋体" w:hAnsi="宋体" w:cs="Arial" w:hint="eastAsia"/>
          <w:sz w:val="24"/>
          <w:szCs w:val="24"/>
          <w:lang w:bidi="ar"/>
        </w:rPr>
        <w:t>研究部总经理助理、</w:t>
      </w:r>
      <w:r>
        <w:rPr>
          <w:rFonts w:asciiTheme="minorEastAsia" w:hAnsiTheme="minorEastAsia" w:hint="eastAsia"/>
          <w:color w:val="000000"/>
          <w:kern w:val="0"/>
          <w:sz w:val="24"/>
          <w:szCs w:val="24"/>
        </w:rPr>
        <w:t>基金经理。</w:t>
      </w:r>
    </w:p>
    <w:p w14:paraId="76B1104A" w14:textId="77777777" w:rsidR="00B67C49" w:rsidRDefault="00000000">
      <w:pPr>
        <w:adjustRightInd w:val="0"/>
        <w:snapToGrid w:val="0"/>
        <w:spacing w:line="360" w:lineRule="auto"/>
        <w:ind w:firstLineChars="200" w:firstLine="480"/>
        <w:rPr>
          <w:rFonts w:asciiTheme="minorEastAsia" w:hAnsiTheme="minorEastAsia" w:cs="Arial"/>
          <w:color w:val="FF0000"/>
          <w:sz w:val="24"/>
          <w:szCs w:val="24"/>
        </w:rPr>
      </w:pPr>
      <w:r>
        <w:rPr>
          <w:rFonts w:asciiTheme="minorEastAsia" w:hAnsiTheme="minorEastAsia" w:cs="Arial"/>
          <w:kern w:val="0"/>
          <w:sz w:val="24"/>
          <w:szCs w:val="24"/>
        </w:rPr>
        <w:t>6、上述人员之间不存在近亲属关系。</w:t>
      </w:r>
    </w:p>
    <w:p w14:paraId="01CAEFEE" w14:textId="77777777" w:rsidR="00B67C49"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三、基金管理人的职责</w:t>
      </w:r>
    </w:p>
    <w:p w14:paraId="6163397A"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1、依法募集资金，办理或者委托经中国证监会认定的其他机构代为办理基金份额的发售、申购、赎回和登记事宜；</w:t>
      </w:r>
    </w:p>
    <w:p w14:paraId="36A0EA1F"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2、办理基金备案手续；</w:t>
      </w:r>
    </w:p>
    <w:p w14:paraId="564267D9"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3、自《基金合同》生效之日起，以诚实信用、谨慎勤勉的原则管理和运用基金财产；</w:t>
      </w:r>
    </w:p>
    <w:p w14:paraId="4C96DFB3"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4、配备足够的具有专业资格的人员进行基金投资分析、决策，以专业化的经营方式管理和运作基金财产；</w:t>
      </w:r>
    </w:p>
    <w:p w14:paraId="5310B722"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5、建立健全内部风险控制、监察与稽核、财务管理及人事管理等制度，保</w:t>
      </w:r>
      <w:r>
        <w:rPr>
          <w:rFonts w:asciiTheme="minorEastAsia" w:hAnsiTheme="minorEastAsia" w:cs="Times New Roman" w:hint="eastAsia"/>
          <w:sz w:val="24"/>
          <w:szCs w:val="24"/>
        </w:rPr>
        <w:lastRenderedPageBreak/>
        <w:t>证所管理的基金财产和基金管理人的财产相互独立，对所管理的不同基金分别管理，分别记账，进行证券投资；</w:t>
      </w:r>
    </w:p>
    <w:p w14:paraId="434E7CC7"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6、除依据《基金法》、《基金合同》及其他有关规定外，不得利用基金财产为自己及任何第三人谋取利益，不得委托第三人运作基金财产；</w:t>
      </w:r>
    </w:p>
    <w:p w14:paraId="3515A793"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7、依法接受基金托管人的监督；</w:t>
      </w:r>
    </w:p>
    <w:p w14:paraId="1ACA7E9B"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8、采取适当合理的措施使计算基金份额认购、申购、赎回和注销价格的方法符合《基金合同》等法律文件的规定，按有关规定计算并公告基金净值信息，确定基金份额申购、赎回的价格；</w:t>
      </w:r>
    </w:p>
    <w:p w14:paraId="6567CFBB"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9、进行基金会计核算并编制基金财务会计报告；</w:t>
      </w:r>
    </w:p>
    <w:p w14:paraId="5A992774"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10、编制季度报告、中期报告和年度报告；</w:t>
      </w:r>
    </w:p>
    <w:p w14:paraId="408B63E8"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11、严格按照《基金法》、《基金合同》及其他有关规定，履行信息披露及报告义务；</w:t>
      </w:r>
    </w:p>
    <w:p w14:paraId="3E84A229"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12、保守基金商业秘密，不泄露基金投资计划、投资意向等。除《基金法》、《基金合同》及其他有关规定另有规定外，在基金信息公开披露前应予保密，不向他人泄露，但依法向监管机构、司法机关及审计、法律等外部专业顾问提供的除外；</w:t>
      </w:r>
    </w:p>
    <w:p w14:paraId="014DC16F"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13、按《基金合同》的约定确定基金收益分配方案，及时向基金份额持有人分配基金收益；</w:t>
      </w:r>
    </w:p>
    <w:p w14:paraId="1F027E31"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14、按规定受理申购与赎回申请，及时、足额支付赎回款项；</w:t>
      </w:r>
    </w:p>
    <w:p w14:paraId="3DAFE07D"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15、依据《基金法》、《基金合同》及其他有关规定召集基金份额持有人大会或配合基金托管人、基金份额持有人依法召集基金份额持有人大会；</w:t>
      </w:r>
    </w:p>
    <w:p w14:paraId="1F43F3B7"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16、按规定保存基金财产管理业务活动的会计账册、报表、记录和其他相关资料，保存期限不低于法律法规规定的最低期限；</w:t>
      </w:r>
    </w:p>
    <w:p w14:paraId="0CE97C9D"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45E514C"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18、组织并参加基金财产清算小组，参与基金财产的保管、清理、估价、变现和分配；</w:t>
      </w:r>
    </w:p>
    <w:p w14:paraId="6161CEA3"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19、面临解散、依法被撤销或者被依法宣告破产时，及时报告中国证监会并</w:t>
      </w:r>
      <w:r>
        <w:rPr>
          <w:rFonts w:asciiTheme="minorEastAsia" w:hAnsiTheme="minorEastAsia" w:cs="Times New Roman" w:hint="eastAsia"/>
          <w:sz w:val="24"/>
          <w:szCs w:val="24"/>
        </w:rPr>
        <w:lastRenderedPageBreak/>
        <w:t>通知基金托管人；</w:t>
      </w:r>
    </w:p>
    <w:p w14:paraId="00413124"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20、因违反《基金合同》导致基金财产的损失或损害基金份额持有人合法权益时，应当承担赔偿责任，其赔偿责任不因其退任而免除；</w:t>
      </w:r>
    </w:p>
    <w:p w14:paraId="6006D119"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21、监督基金托管人按法律法规和《基金合同》规定履行自己的义务，基金托管人违反《基金合同》造成基金财产损失时，基金管理人应为基金份额持有人利益向基金托管人追偿；</w:t>
      </w:r>
    </w:p>
    <w:p w14:paraId="00908D92"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22、当基金管理人将其义务委托第三方处理时，应当对第三方处理有关基金事务的行为承担责任；</w:t>
      </w:r>
    </w:p>
    <w:p w14:paraId="4493C19A"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23、以基金管理人名义，代表基金份额持有人利益行使诉讼权利或实施其他法律行为；</w:t>
      </w:r>
    </w:p>
    <w:p w14:paraId="73770730"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385BA45D"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25、执行生效的基金份额持有人大会的决议；</w:t>
      </w:r>
    </w:p>
    <w:p w14:paraId="2EBD5B3A"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26、建立并保存基金份额持有人名册；</w:t>
      </w:r>
    </w:p>
    <w:p w14:paraId="316198F0"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27、法律法规及中国证监会规定的和《基金合同》约定的其他义务。</w:t>
      </w:r>
    </w:p>
    <w:p w14:paraId="0834F300" w14:textId="77777777" w:rsidR="00B67C49"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四、基金管理人的承诺</w:t>
      </w:r>
    </w:p>
    <w:p w14:paraId="725B093C"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1、基金管理人承诺不从事违反《中华人民共和国证券法》的行为，并承诺建立健全内部控制制度，采取有效措施，防止违反《中华人民共和国证券法》行为的发生； </w:t>
      </w:r>
    </w:p>
    <w:p w14:paraId="297E3284"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2、基金管理人承诺不从事违反《基金法》的行为，并承诺建立健全内部风险控制制度，采取有效措施，防止下列行为的发生：</w:t>
      </w:r>
    </w:p>
    <w:p w14:paraId="6964C532"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（1）将基金管理人固有财产或者他人财产混同于基金财产从事证券投资；</w:t>
      </w:r>
    </w:p>
    <w:p w14:paraId="59EE07CC"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（2）不公平地对待管理的不同基金财产；</w:t>
      </w:r>
    </w:p>
    <w:p w14:paraId="1BAE07E2"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（3）利用基金财产或者职务之便为基金份额持有人以外的第三人牟取利益；</w:t>
      </w:r>
    </w:p>
    <w:p w14:paraId="7E713CB8"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（4）向基金份额持有人违规承诺收益或者承担损失；</w:t>
      </w:r>
    </w:p>
    <w:p w14:paraId="593353F5"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（5）侵占、挪用基金财产；</w:t>
      </w:r>
    </w:p>
    <w:p w14:paraId="2128B440"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（6）泄露因职务便利获取的未公开信息、利用该信息从事或者明示、暗示他人从事相关的交易活动；</w:t>
      </w:r>
    </w:p>
    <w:p w14:paraId="3197B159"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lastRenderedPageBreak/>
        <w:t>（7）玩忽职守，不按照规定履行职责；</w:t>
      </w:r>
    </w:p>
    <w:p w14:paraId="237B82B8"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（8）法律、行政法规和中国证监会规定禁止的其他行为。 </w:t>
      </w:r>
    </w:p>
    <w:p w14:paraId="54528916"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3、基金管理人承诺严格遵守基金合同，并承诺建立健全内部控制制度，采取有效措施，防止违反基金合同行为的发生； </w:t>
      </w:r>
    </w:p>
    <w:p w14:paraId="7D61EC54"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4、基金管理人承诺加强人员管理，强化职业操守，督促和约束员工遵守国家有关法律法规及行业规范，诚实信用、勤勉尽责；</w:t>
      </w:r>
    </w:p>
    <w:p w14:paraId="30B43C77"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5、基金管理人承诺不从事其他法规规定禁止从事的行为。 </w:t>
      </w:r>
    </w:p>
    <w:p w14:paraId="0D807514" w14:textId="77777777" w:rsidR="00B67C49"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Pr>
          <w:rFonts w:asciiTheme="minorEastAsia" w:hAnsiTheme="minorEastAsia" w:cs="Arial" w:hint="eastAsia"/>
          <w:b/>
          <w:sz w:val="24"/>
          <w:szCs w:val="24"/>
        </w:rPr>
        <w:t>五、基金经理承诺</w:t>
      </w:r>
    </w:p>
    <w:p w14:paraId="14183D8F"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1、依照有关法律法规和基金合同的规定，本着谨慎的原则为基金份额持有人谋取最大利益；</w:t>
      </w:r>
    </w:p>
    <w:p w14:paraId="00FE60C2"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 xml:space="preserve">2、不利用职务之便为自己、受雇人或任何第三者牟取利益； </w:t>
      </w:r>
    </w:p>
    <w:p w14:paraId="39D2A2BB"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3、不泄露在任职期间知悉的有关证券、基金的商业秘密，尚未依法公开的基金投资内容、基金投资计划等信息，或利用该信息从事或者明示、暗示他人从事相关的交易活动；</w:t>
      </w:r>
    </w:p>
    <w:p w14:paraId="60B9B8DF" w14:textId="77777777" w:rsidR="00B67C49" w:rsidRDefault="00000000">
      <w:pPr>
        <w:autoSpaceDE w:val="0"/>
        <w:autoSpaceDN w:val="0"/>
        <w:adjustRightInd w:val="0"/>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4、不以任何形式为其他组织或个人进行证券交易。</w:t>
      </w:r>
    </w:p>
    <w:p w14:paraId="4FF63F9E" w14:textId="77777777" w:rsidR="00B67C49" w:rsidRDefault="00000000">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Pr>
          <w:rFonts w:asciiTheme="minorEastAsia" w:hAnsiTheme="minorEastAsia" w:cs="Arial" w:hint="eastAsia"/>
          <w:b/>
          <w:bCs/>
          <w:sz w:val="24"/>
          <w:szCs w:val="24"/>
        </w:rPr>
        <w:t>六、基金管理人的内部控制制度</w:t>
      </w:r>
    </w:p>
    <w:p w14:paraId="34F36CDC"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416264540"/>
      <w:bookmarkStart w:id="86" w:name="_Toc410197818"/>
      <w:bookmarkStart w:id="87" w:name="_Toc352229750"/>
      <w:bookmarkStart w:id="88" w:name="_Toc263092312"/>
      <w:bookmarkEnd w:id="69"/>
      <w:bookmarkEnd w:id="70"/>
      <w:bookmarkEnd w:id="71"/>
      <w:r>
        <w:rPr>
          <w:rFonts w:asciiTheme="minorEastAsia" w:hAnsiTheme="minorEastAsia" w:cs="Arial" w:hint="eastAsia"/>
          <w:sz w:val="24"/>
          <w:szCs w:val="24"/>
        </w:rPr>
        <w:t>1、风险控制目标</w:t>
      </w:r>
    </w:p>
    <w:p w14:paraId="79A4134D"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（1）在有效控制风险的前提下，实现基金份额持有人利益最大化；</w:t>
      </w:r>
    </w:p>
    <w:p w14:paraId="268579F2"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（2）确保国家有关法律法规、行业规章和公司各项规章制度的贯彻执行；</w:t>
      </w:r>
    </w:p>
    <w:p w14:paraId="69A3EDE3"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（3）建立符合现代企业制度要求的法人治理结构，形成科学合理的决策机制、执行机制和监督机制；</w:t>
      </w:r>
    </w:p>
    <w:p w14:paraId="50EA076A"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（4）将各种风险控制在合理的范围内，保障公司发展战略和经营目标的全面实施，维护基金份额持有人、公司及公司股东的合法权益；</w:t>
      </w:r>
    </w:p>
    <w:p w14:paraId="3D2B4134"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（5）建立行之有效的风险控制系统，保障业务稳健运行，减轻或规避各种风险对公司发展战略和经营目标的干扰。</w:t>
      </w:r>
    </w:p>
    <w:p w14:paraId="3F713D9C"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2、建立风险控制制度应遵循的原则</w:t>
      </w:r>
    </w:p>
    <w:p w14:paraId="76555BB7"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（1）全面性原则：风险控制制度应覆盖公司的各项业务、各个部门和各级人员，并渗透到决策、执行、监督、反馈等各个经营环节；</w:t>
      </w:r>
    </w:p>
    <w:p w14:paraId="43AC77B6"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（2）审慎性原则：内部风险控制的核心是有效防范各种风险，公司组织体系的构成、内部管理制度的建立都要以防范风险、审慎经营为出发点；</w:t>
      </w:r>
    </w:p>
    <w:p w14:paraId="4A796140"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lastRenderedPageBreak/>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2D94AFD0"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3C29970E"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 xml:space="preserve"> （5）适时性原则：内部风险控制应随着公司经营战略、经营方针、经营理念等内部环境的变化和国家法律、法规、政策制度等外部环境的改变及时进行相应的修改和完善；</w:t>
      </w:r>
    </w:p>
    <w:p w14:paraId="2294BB6B"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3、风险控制体系</w:t>
      </w:r>
    </w:p>
    <w:p w14:paraId="3EE6CEB7"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（1）风险控制制度体系</w:t>
      </w:r>
    </w:p>
    <w:p w14:paraId="379509F7"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6BAC0725"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（2）风险控制组织体系</w:t>
      </w:r>
    </w:p>
    <w:p w14:paraId="419AFC0B"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风险控制组织体系包括两个层次：</w:t>
      </w:r>
    </w:p>
    <w:p w14:paraId="71C41785"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C74E3E"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1B115CFE"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②督察</w:t>
      </w:r>
      <w:proofErr w:type="gramStart"/>
      <w:r>
        <w:rPr>
          <w:rFonts w:asciiTheme="minorEastAsia" w:hAnsiTheme="minorEastAsia" w:cs="Arial" w:hint="eastAsia"/>
          <w:sz w:val="24"/>
          <w:szCs w:val="24"/>
        </w:rPr>
        <w:t>长履行</w:t>
      </w:r>
      <w:proofErr w:type="gramEnd"/>
      <w:r>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04294628"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第二层次：公司经营管理层包括风险控制委员会、监察稽核部及各职能部门对经营风险的预防和控制。</w:t>
      </w:r>
    </w:p>
    <w:p w14:paraId="3E7523C1" w14:textId="77777777" w:rsidR="00B67C49" w:rsidRDefault="00000000">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w:t>
      </w:r>
      <w:r>
        <w:rPr>
          <w:rFonts w:asciiTheme="minorEastAsia" w:hAnsiTheme="minorEastAsia" w:cs="Arial" w:hint="eastAsia"/>
          <w:sz w:val="24"/>
          <w:szCs w:val="24"/>
        </w:rPr>
        <w:lastRenderedPageBreak/>
        <w:t>中存在的风险及风险隐患，向公司相关部门提出整改要求；决定公司重大风险事件的处理方案；总结、安排风险管理和控制工作，研究、评估新出现的风险因素；评估新产品、新业务的合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2EE977EF"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咨询、合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培训、离任审查等工作。</w:t>
      </w:r>
    </w:p>
    <w:p w14:paraId="4DAAD6FA"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2E0615C7"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4、关于授权、研究、投资、交易等方面的控制点</w:t>
      </w:r>
    </w:p>
    <w:p w14:paraId="3A7E4EC8"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（1）授权制度</w:t>
      </w:r>
    </w:p>
    <w:p w14:paraId="1AA1202E"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325C502A"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（2）研究业务</w:t>
      </w:r>
    </w:p>
    <w:p w14:paraId="1A7C31BA"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98C7793"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（3）基金投资业务</w:t>
      </w:r>
    </w:p>
    <w:p w14:paraId="0CD4156D"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基金投资应确立科学的投资理念，根据决策的风险防范原则和效率性原则制</w:t>
      </w:r>
      <w:r>
        <w:rPr>
          <w:rFonts w:asciiTheme="minorEastAsia" w:hAnsiTheme="minorEastAsia" w:cs="Arial" w:hint="eastAsia"/>
          <w:sz w:val="24"/>
          <w:szCs w:val="24"/>
        </w:rPr>
        <w:lastRenderedPageBreak/>
        <w:t>定合理的决策程序；在进行投资时应有明确的投资授权制度，并应建立与所授权</w:t>
      </w:r>
      <w:proofErr w:type="gramStart"/>
      <w:r>
        <w:rPr>
          <w:rFonts w:asciiTheme="minorEastAsia" w:hAnsiTheme="minorEastAsia" w:cs="Arial" w:hint="eastAsia"/>
          <w:sz w:val="24"/>
          <w:szCs w:val="24"/>
        </w:rPr>
        <w:t>限相应</w:t>
      </w:r>
      <w:proofErr w:type="gramEnd"/>
      <w:r>
        <w:rPr>
          <w:rFonts w:asciiTheme="minorEastAsia" w:hAnsiTheme="minorEastAsia" w:cs="Arial" w:hint="eastAsia"/>
          <w:sz w:val="24"/>
          <w:szCs w:val="24"/>
        </w:rPr>
        <w:t>的约束制度和考核制度；建立严格的投资禁止和投资限制制度，保证基金投资的合法合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3F46B3F7"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（4）交易业务</w:t>
      </w:r>
    </w:p>
    <w:p w14:paraId="1672DB82"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4F5BB65C"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（5）基金会计核算</w:t>
      </w:r>
    </w:p>
    <w:p w14:paraId="0C6FC0BD"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3641D9EB"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（6）信息披露</w:t>
      </w:r>
    </w:p>
    <w:p w14:paraId="1751DC3F"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3A7B287D"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（7）监察稽核</w:t>
      </w:r>
    </w:p>
    <w:p w14:paraId="21CD27D1"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Pr>
          <w:rFonts w:asciiTheme="minorEastAsia" w:hAnsiTheme="minorEastAsia" w:cs="Arial" w:hint="eastAsia"/>
          <w:sz w:val="24"/>
          <w:szCs w:val="24"/>
        </w:rPr>
        <w:t>长依据</w:t>
      </w:r>
      <w:proofErr w:type="gramEnd"/>
      <w:r>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567D3FB0"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w:t>
      </w:r>
      <w:r>
        <w:rPr>
          <w:rFonts w:asciiTheme="minorEastAsia" w:hAnsiTheme="minorEastAsia" w:cs="Arial" w:hint="eastAsia"/>
          <w:sz w:val="24"/>
          <w:szCs w:val="24"/>
        </w:rPr>
        <w:lastRenderedPageBreak/>
        <w:t>作，对违反法律、法规和公司内部控制制度的，追究相关部门和人员的责任。</w:t>
      </w:r>
    </w:p>
    <w:p w14:paraId="1E0116B6"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5、风险管理和内部控制的措施</w:t>
      </w:r>
    </w:p>
    <w:p w14:paraId="2AD0FA71"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（1）建立内控结构，完善内控制度：公司建立、健全了内控结构，高管人员具有明确的内控分工，确保各项业务活动有恰当的组织和授权，确保监察活动的独立进行，并得到高管人员的支持。</w:t>
      </w:r>
    </w:p>
    <w:p w14:paraId="2E248EFA"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4B8DE310"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（3）建立、健全岗位责任制：建立、健全了岗位责任制，使每个员工都明确自己的任务、职责，并及时将各自工作领域中的风险隐患上报，以防范和减少风险。</w:t>
      </w:r>
    </w:p>
    <w:p w14:paraId="1D4CB947"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236C91D1"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（5）建立有效的内部监控系统：建立了足够、有效的内部监控系统，如计算机预警系统、投资监控系统，能对可能出现的各种风险进行全面和实时的监控。</w:t>
      </w:r>
    </w:p>
    <w:p w14:paraId="1722BB2C"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733BF6" w14:textId="77777777" w:rsidR="00B67C49" w:rsidRDefault="00000000">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Pr>
          <w:rFonts w:asciiTheme="minorEastAsia" w:hAnsiTheme="minorEastAsia" w:cs="Arial" w:hint="eastAsia"/>
          <w:sz w:val="24"/>
          <w:szCs w:val="24"/>
        </w:rPr>
        <w:t>（7）提供足够的培训：制定了完整的培训计划，为所有员工提供足够和适当的培训，使员工明确其职责所在，控制风险。</w:t>
      </w:r>
    </w:p>
    <w:p w14:paraId="21D00FF4" w14:textId="77777777" w:rsidR="00B67C49" w:rsidRDefault="00000000">
      <w:pPr>
        <w:widowControl/>
        <w:adjustRightInd w:val="0"/>
        <w:snapToGrid w:val="0"/>
        <w:spacing w:line="360" w:lineRule="auto"/>
        <w:ind w:firstLineChars="200" w:firstLine="480"/>
        <w:rPr>
          <w:rFonts w:asciiTheme="minorEastAsia" w:hAnsiTheme="minorEastAsia" w:cs="Arial"/>
          <w:b/>
          <w:bCs/>
          <w:sz w:val="24"/>
          <w:szCs w:val="24"/>
        </w:rPr>
      </w:pPr>
      <w:r>
        <w:rPr>
          <w:rFonts w:asciiTheme="minorEastAsia" w:hAnsiTheme="minorEastAsia" w:cs="Arial" w:hint="eastAsia"/>
          <w:sz w:val="24"/>
          <w:szCs w:val="24"/>
        </w:rPr>
        <w:t>6、基金管理人承诺上述关于内部控制的披露真实、准确，并承诺将根据市场环境的变化及公司的发展不断完善合</w:t>
      </w:r>
      <w:proofErr w:type="gramStart"/>
      <w:r>
        <w:rPr>
          <w:rFonts w:asciiTheme="minorEastAsia" w:hAnsiTheme="minorEastAsia" w:cs="Arial" w:hint="eastAsia"/>
          <w:sz w:val="24"/>
          <w:szCs w:val="24"/>
        </w:rPr>
        <w:t>规</w:t>
      </w:r>
      <w:proofErr w:type="gramEnd"/>
      <w:r>
        <w:rPr>
          <w:rFonts w:asciiTheme="minorEastAsia" w:hAnsiTheme="minorEastAsia" w:cs="Arial" w:hint="eastAsia"/>
          <w:sz w:val="24"/>
          <w:szCs w:val="24"/>
        </w:rPr>
        <w:t>控制。</w:t>
      </w:r>
      <w:bookmarkStart w:id="89" w:name="_Toc238013745"/>
      <w:bookmarkStart w:id="90" w:name="_Toc238027832"/>
      <w:bookmarkEnd w:id="89"/>
      <w:bookmarkEnd w:id="90"/>
    </w:p>
    <w:p w14:paraId="3DA2BF5C" w14:textId="77777777" w:rsidR="00B67C49" w:rsidRDefault="00B67C49">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B67C49" w:rsidSect="00D84CBD">
          <w:headerReference w:type="even" r:id="rId27"/>
          <w:headerReference w:type="default" r:id="rId28"/>
          <w:footerReference w:type="default" r:id="rId29"/>
          <w:headerReference w:type="first" r:id="rId30"/>
          <w:pgSz w:w="11906" w:h="16838"/>
          <w:pgMar w:top="1440" w:right="1800" w:bottom="1440" w:left="1800" w:header="851" w:footer="992" w:gutter="0"/>
          <w:pgNumType w:chapStyle="1"/>
          <w:cols w:space="720"/>
          <w:docGrid w:type="lines" w:linePitch="312"/>
        </w:sectPr>
      </w:pPr>
    </w:p>
    <w:p w14:paraId="279409A3" w14:textId="77777777" w:rsidR="00B67C49" w:rsidRDefault="00000000">
      <w:pPr>
        <w:pStyle w:val="1"/>
        <w:jc w:val="center"/>
        <w:rPr>
          <w:sz w:val="30"/>
          <w:szCs w:val="30"/>
        </w:rPr>
      </w:pPr>
      <w:bookmarkStart w:id="91" w:name="_Toc119568460"/>
      <w:bookmarkStart w:id="92" w:name="_Toc68266291"/>
      <w:r>
        <w:rPr>
          <w:rFonts w:hint="eastAsia"/>
          <w:sz w:val="30"/>
          <w:szCs w:val="30"/>
        </w:rPr>
        <w:lastRenderedPageBreak/>
        <w:t>第四部分</w:t>
      </w:r>
      <w:r>
        <w:rPr>
          <w:sz w:val="30"/>
          <w:szCs w:val="30"/>
        </w:rPr>
        <w:t xml:space="preserve">  </w:t>
      </w:r>
      <w:r>
        <w:rPr>
          <w:rFonts w:hint="eastAsia"/>
          <w:sz w:val="30"/>
          <w:szCs w:val="30"/>
        </w:rPr>
        <w:t>基金托管人</w:t>
      </w:r>
      <w:bookmarkEnd w:id="91"/>
      <w:bookmarkEnd w:id="92"/>
    </w:p>
    <w:p w14:paraId="75426FA7" w14:textId="77777777" w:rsidR="00B67C49" w:rsidRDefault="00000000">
      <w:pPr>
        <w:spacing w:line="360" w:lineRule="auto"/>
        <w:ind w:firstLineChars="200" w:firstLine="480"/>
        <w:rPr>
          <w:sz w:val="24"/>
          <w:szCs w:val="24"/>
        </w:rPr>
      </w:pPr>
      <w:r>
        <w:rPr>
          <w:rFonts w:hint="eastAsia"/>
          <w:sz w:val="24"/>
          <w:szCs w:val="24"/>
        </w:rPr>
        <w:t>（一）基金托管人情况</w:t>
      </w:r>
    </w:p>
    <w:p w14:paraId="10C257C7" w14:textId="77777777" w:rsidR="00B67C49" w:rsidRDefault="00000000">
      <w:pPr>
        <w:spacing w:line="360" w:lineRule="auto"/>
        <w:ind w:firstLineChars="200" w:firstLine="480"/>
        <w:rPr>
          <w:sz w:val="24"/>
          <w:szCs w:val="24"/>
        </w:rPr>
      </w:pPr>
      <w:r>
        <w:rPr>
          <w:rFonts w:hint="eastAsia"/>
          <w:sz w:val="24"/>
          <w:szCs w:val="24"/>
        </w:rPr>
        <w:t>1</w:t>
      </w:r>
      <w:r>
        <w:rPr>
          <w:rFonts w:hint="eastAsia"/>
          <w:sz w:val="24"/>
          <w:szCs w:val="24"/>
        </w:rPr>
        <w:t>、基本情况</w:t>
      </w:r>
    </w:p>
    <w:p w14:paraId="0AAE1562" w14:textId="77777777" w:rsidR="00B67C49" w:rsidRDefault="00000000">
      <w:pPr>
        <w:spacing w:line="360" w:lineRule="auto"/>
        <w:ind w:firstLineChars="200" w:firstLine="480"/>
        <w:rPr>
          <w:sz w:val="24"/>
          <w:szCs w:val="24"/>
        </w:rPr>
      </w:pPr>
      <w:r>
        <w:rPr>
          <w:rFonts w:hint="eastAsia"/>
          <w:sz w:val="24"/>
          <w:szCs w:val="24"/>
        </w:rPr>
        <w:t>名称：国泰君安证券股份有限公司</w:t>
      </w:r>
    </w:p>
    <w:p w14:paraId="53770AE5" w14:textId="77777777" w:rsidR="00B67C49" w:rsidRDefault="00000000">
      <w:pPr>
        <w:spacing w:line="360" w:lineRule="auto"/>
        <w:ind w:firstLineChars="200" w:firstLine="480"/>
        <w:rPr>
          <w:sz w:val="24"/>
          <w:szCs w:val="24"/>
        </w:rPr>
      </w:pPr>
      <w:r>
        <w:rPr>
          <w:rFonts w:hint="eastAsia"/>
          <w:sz w:val="24"/>
          <w:szCs w:val="24"/>
        </w:rPr>
        <w:t>住所：</w:t>
      </w:r>
      <w:r>
        <w:rPr>
          <w:rFonts w:hint="eastAsia"/>
          <w:sz w:val="24"/>
          <w:szCs w:val="24"/>
        </w:rPr>
        <w:t xml:space="preserve"> </w:t>
      </w:r>
      <w:r>
        <w:rPr>
          <w:rFonts w:hint="eastAsia"/>
          <w:bCs/>
          <w:sz w:val="24"/>
          <w:szCs w:val="24"/>
        </w:rPr>
        <w:t>中国（上海）自由贸易试验区商城路</w:t>
      </w:r>
      <w:r>
        <w:rPr>
          <w:bCs/>
          <w:sz w:val="24"/>
          <w:szCs w:val="24"/>
        </w:rPr>
        <w:t>618</w:t>
      </w:r>
      <w:r>
        <w:rPr>
          <w:rFonts w:hint="eastAsia"/>
          <w:bCs/>
          <w:sz w:val="24"/>
          <w:szCs w:val="24"/>
        </w:rPr>
        <w:t>号</w:t>
      </w:r>
    </w:p>
    <w:p w14:paraId="18E9D92C" w14:textId="77777777" w:rsidR="00B67C49" w:rsidRDefault="00000000">
      <w:pPr>
        <w:spacing w:line="360" w:lineRule="auto"/>
        <w:ind w:firstLineChars="200" w:firstLine="480"/>
        <w:rPr>
          <w:sz w:val="24"/>
          <w:szCs w:val="24"/>
        </w:rPr>
      </w:pPr>
      <w:r>
        <w:rPr>
          <w:rFonts w:hint="eastAsia"/>
          <w:sz w:val="24"/>
          <w:szCs w:val="24"/>
        </w:rPr>
        <w:t>办公地址：上海市静安区新闸路</w:t>
      </w:r>
      <w:r>
        <w:rPr>
          <w:rFonts w:hint="eastAsia"/>
          <w:sz w:val="24"/>
          <w:szCs w:val="24"/>
        </w:rPr>
        <w:t>669</w:t>
      </w:r>
      <w:r>
        <w:rPr>
          <w:rFonts w:hint="eastAsia"/>
          <w:sz w:val="24"/>
          <w:szCs w:val="24"/>
        </w:rPr>
        <w:t>号博华广场</w:t>
      </w:r>
      <w:r>
        <w:rPr>
          <w:rFonts w:hint="eastAsia"/>
          <w:sz w:val="24"/>
          <w:szCs w:val="24"/>
        </w:rPr>
        <w:t>19</w:t>
      </w:r>
      <w:r>
        <w:rPr>
          <w:rFonts w:hint="eastAsia"/>
          <w:sz w:val="24"/>
          <w:szCs w:val="24"/>
        </w:rPr>
        <w:t>楼</w:t>
      </w:r>
    </w:p>
    <w:p w14:paraId="5E3D28A0" w14:textId="77777777" w:rsidR="00B67C49" w:rsidRDefault="00000000">
      <w:pPr>
        <w:spacing w:line="360" w:lineRule="auto"/>
        <w:ind w:firstLineChars="200" w:firstLine="480"/>
        <w:rPr>
          <w:sz w:val="24"/>
          <w:szCs w:val="24"/>
        </w:rPr>
      </w:pPr>
      <w:r>
        <w:rPr>
          <w:rFonts w:hint="eastAsia"/>
          <w:sz w:val="24"/>
          <w:szCs w:val="24"/>
        </w:rPr>
        <w:t>法定代表人：贺青</w:t>
      </w:r>
    </w:p>
    <w:p w14:paraId="6B4C7271" w14:textId="77777777" w:rsidR="00B67C49" w:rsidRDefault="00000000">
      <w:pPr>
        <w:spacing w:line="360" w:lineRule="auto"/>
        <w:ind w:firstLineChars="200" w:firstLine="480"/>
        <w:rPr>
          <w:sz w:val="24"/>
          <w:szCs w:val="24"/>
        </w:rPr>
      </w:pPr>
      <w:r>
        <w:rPr>
          <w:rFonts w:hint="eastAsia"/>
          <w:sz w:val="24"/>
          <w:szCs w:val="24"/>
        </w:rPr>
        <w:t>成立时间：</w:t>
      </w:r>
      <w:r>
        <w:rPr>
          <w:rFonts w:hint="eastAsia"/>
          <w:sz w:val="24"/>
          <w:szCs w:val="24"/>
        </w:rPr>
        <w:t xml:space="preserve"> 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w:t>
      </w:r>
    </w:p>
    <w:p w14:paraId="6ECF3D9A" w14:textId="77777777" w:rsidR="00B67C49" w:rsidRDefault="00000000">
      <w:pPr>
        <w:spacing w:line="360" w:lineRule="auto"/>
        <w:ind w:firstLineChars="200" w:firstLine="480"/>
        <w:rPr>
          <w:sz w:val="24"/>
          <w:szCs w:val="24"/>
        </w:rPr>
      </w:pPr>
      <w:r>
        <w:rPr>
          <w:rFonts w:hint="eastAsia"/>
          <w:sz w:val="24"/>
          <w:szCs w:val="24"/>
        </w:rPr>
        <w:t>组织形式：其他股份有限公司（上市）</w:t>
      </w:r>
    </w:p>
    <w:p w14:paraId="1F7B3429" w14:textId="77777777" w:rsidR="00B67C49" w:rsidRDefault="00000000">
      <w:pPr>
        <w:pStyle w:val="aff2"/>
        <w:ind w:firstLine="480"/>
        <w:rPr>
          <w:szCs w:val="24"/>
        </w:rPr>
      </w:pPr>
      <w:r>
        <w:rPr>
          <w:szCs w:val="24"/>
        </w:rPr>
        <w:t>批准设立机关及批准设立文号：</w:t>
      </w:r>
      <w:r>
        <w:rPr>
          <w:rFonts w:hint="eastAsia"/>
          <w:szCs w:val="24"/>
        </w:rPr>
        <w:t>证监机构字</w:t>
      </w:r>
      <w:r>
        <w:rPr>
          <w:rFonts w:hint="eastAsia"/>
          <w:szCs w:val="24"/>
        </w:rPr>
        <w:t>[1999]77</w:t>
      </w:r>
      <w:r>
        <w:rPr>
          <w:rFonts w:hint="eastAsia"/>
          <w:szCs w:val="24"/>
        </w:rPr>
        <w:t>号</w:t>
      </w:r>
    </w:p>
    <w:p w14:paraId="548CBC12" w14:textId="77777777" w:rsidR="00B67C49" w:rsidRDefault="00000000">
      <w:pPr>
        <w:spacing w:line="360" w:lineRule="auto"/>
        <w:ind w:firstLineChars="200" w:firstLine="480"/>
        <w:rPr>
          <w:sz w:val="24"/>
          <w:szCs w:val="24"/>
        </w:rPr>
      </w:pPr>
      <w:r>
        <w:rPr>
          <w:rFonts w:hint="eastAsia"/>
          <w:sz w:val="24"/>
          <w:szCs w:val="24"/>
        </w:rPr>
        <w:t>注册资本：</w:t>
      </w:r>
      <w:proofErr w:type="gramStart"/>
      <w:r>
        <w:rPr>
          <w:rFonts w:hint="eastAsia"/>
          <w:sz w:val="24"/>
          <w:szCs w:val="24"/>
        </w:rPr>
        <w:t>捌拾玖亿陆佰陆拾柒万壹仟陆佰叁拾壹</w:t>
      </w:r>
      <w:proofErr w:type="gramEnd"/>
      <w:r>
        <w:rPr>
          <w:rFonts w:hint="eastAsia"/>
          <w:sz w:val="24"/>
          <w:szCs w:val="24"/>
        </w:rPr>
        <w:t>元人民币</w:t>
      </w:r>
    </w:p>
    <w:p w14:paraId="3617DAB4" w14:textId="77777777" w:rsidR="00B67C49" w:rsidRDefault="00000000">
      <w:pPr>
        <w:spacing w:line="360" w:lineRule="auto"/>
        <w:ind w:firstLineChars="200" w:firstLine="480"/>
        <w:rPr>
          <w:sz w:val="24"/>
          <w:szCs w:val="24"/>
        </w:rPr>
      </w:pPr>
      <w:r>
        <w:rPr>
          <w:rFonts w:hint="eastAsia"/>
          <w:sz w:val="24"/>
          <w:szCs w:val="24"/>
        </w:rPr>
        <w:t>存续期间：持续经营</w:t>
      </w:r>
    </w:p>
    <w:p w14:paraId="4C2DEEE7" w14:textId="77777777" w:rsidR="00B67C49" w:rsidRDefault="00000000">
      <w:pPr>
        <w:spacing w:line="360" w:lineRule="auto"/>
        <w:ind w:firstLineChars="200" w:firstLine="480"/>
        <w:rPr>
          <w:sz w:val="24"/>
          <w:szCs w:val="24"/>
        </w:rPr>
      </w:pPr>
      <w:r>
        <w:rPr>
          <w:rFonts w:hint="eastAsia"/>
          <w:sz w:val="24"/>
          <w:szCs w:val="24"/>
        </w:rPr>
        <w:t>基金托管业务批准文号：证监许可</w:t>
      </w:r>
      <w:r>
        <w:rPr>
          <w:rFonts w:hint="eastAsia"/>
          <w:sz w:val="24"/>
          <w:szCs w:val="24"/>
        </w:rPr>
        <w:t>[2014]511</w:t>
      </w:r>
      <w:r>
        <w:rPr>
          <w:rFonts w:hint="eastAsia"/>
          <w:sz w:val="24"/>
          <w:szCs w:val="24"/>
        </w:rPr>
        <w:t>号</w:t>
      </w:r>
    </w:p>
    <w:p w14:paraId="1932E0A6" w14:textId="77777777" w:rsidR="00B67C49" w:rsidRDefault="00000000">
      <w:pPr>
        <w:spacing w:line="360" w:lineRule="auto"/>
        <w:ind w:firstLineChars="200" w:firstLine="480"/>
        <w:rPr>
          <w:sz w:val="24"/>
          <w:szCs w:val="24"/>
        </w:rPr>
      </w:pPr>
      <w:r>
        <w:rPr>
          <w:rFonts w:hint="eastAsia"/>
          <w:sz w:val="24"/>
          <w:szCs w:val="24"/>
        </w:rPr>
        <w:t>联系人：帅芳</w:t>
      </w:r>
      <w:r>
        <w:rPr>
          <w:rFonts w:hint="eastAsia"/>
          <w:sz w:val="24"/>
          <w:szCs w:val="24"/>
        </w:rPr>
        <w:t xml:space="preserve"> </w:t>
      </w:r>
    </w:p>
    <w:p w14:paraId="4FE0F3C8" w14:textId="77777777" w:rsidR="00B67C49" w:rsidRDefault="00000000">
      <w:pPr>
        <w:spacing w:line="360" w:lineRule="auto"/>
        <w:ind w:firstLineChars="200" w:firstLine="480"/>
        <w:rPr>
          <w:sz w:val="24"/>
          <w:szCs w:val="24"/>
        </w:rPr>
      </w:pPr>
      <w:r>
        <w:rPr>
          <w:rFonts w:hint="eastAsia"/>
          <w:sz w:val="24"/>
          <w:szCs w:val="24"/>
        </w:rPr>
        <w:t>联系电话：</w:t>
      </w:r>
      <w:r>
        <w:rPr>
          <w:rFonts w:hint="eastAsia"/>
          <w:sz w:val="24"/>
          <w:szCs w:val="24"/>
        </w:rPr>
        <w:t>021-38917599-5</w:t>
      </w:r>
    </w:p>
    <w:p w14:paraId="03F51155" w14:textId="77777777" w:rsidR="00B67C49" w:rsidRDefault="00000000">
      <w:pPr>
        <w:spacing w:line="360" w:lineRule="auto"/>
        <w:ind w:firstLineChars="200" w:firstLine="480"/>
        <w:rPr>
          <w:sz w:val="24"/>
          <w:szCs w:val="24"/>
        </w:rPr>
      </w:pPr>
      <w:r>
        <w:rPr>
          <w:rFonts w:hint="eastAsia"/>
          <w:sz w:val="24"/>
          <w:szCs w:val="24"/>
        </w:rPr>
        <w:t>国泰君安证券股份有限公司前身为国泰证券和</w:t>
      </w:r>
      <w:proofErr w:type="gramStart"/>
      <w:r>
        <w:rPr>
          <w:rFonts w:hint="eastAsia"/>
          <w:sz w:val="24"/>
          <w:szCs w:val="24"/>
        </w:rPr>
        <w:t>君安</w:t>
      </w:r>
      <w:proofErr w:type="gramEnd"/>
      <w:r>
        <w:rPr>
          <w:rFonts w:hint="eastAsia"/>
          <w:sz w:val="24"/>
          <w:szCs w:val="24"/>
        </w:rPr>
        <w:t>证券，</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日两公司合并新设为国泰君安证券股份有限公司。</w:t>
      </w:r>
      <w:r>
        <w:rPr>
          <w:sz w:val="24"/>
          <w:szCs w:val="24"/>
        </w:rPr>
        <w:t>2015</w:t>
      </w:r>
      <w:r>
        <w:rPr>
          <w:sz w:val="24"/>
          <w:szCs w:val="24"/>
        </w:rPr>
        <w:t>年</w:t>
      </w:r>
      <w:r>
        <w:rPr>
          <w:sz w:val="24"/>
          <w:szCs w:val="24"/>
        </w:rPr>
        <w:t>6</w:t>
      </w:r>
      <w:r>
        <w:rPr>
          <w:sz w:val="24"/>
          <w:szCs w:val="24"/>
        </w:rPr>
        <w:t>月</w:t>
      </w:r>
      <w:r>
        <w:rPr>
          <w:sz w:val="24"/>
          <w:szCs w:val="24"/>
        </w:rPr>
        <w:t>26</w:t>
      </w:r>
      <w:r>
        <w:rPr>
          <w:sz w:val="24"/>
          <w:szCs w:val="24"/>
        </w:rPr>
        <w:t>日</w:t>
      </w:r>
      <w:r>
        <w:rPr>
          <w:rFonts w:hint="eastAsia"/>
          <w:sz w:val="24"/>
          <w:szCs w:val="24"/>
        </w:rPr>
        <w:t>国泰君安证券股份有限公司</w:t>
      </w:r>
      <w:r>
        <w:rPr>
          <w:sz w:val="24"/>
          <w:szCs w:val="24"/>
        </w:rPr>
        <w:t>在上交所上市交易</w:t>
      </w:r>
      <w:r>
        <w:rPr>
          <w:rFonts w:hint="eastAsia"/>
          <w:sz w:val="24"/>
          <w:szCs w:val="24"/>
        </w:rPr>
        <w:t>，</w:t>
      </w:r>
      <w:r>
        <w:rPr>
          <w:sz w:val="24"/>
          <w:szCs w:val="24"/>
        </w:rPr>
        <w:t>证券简称为</w:t>
      </w:r>
      <w:r>
        <w:rPr>
          <w:sz w:val="24"/>
          <w:szCs w:val="24"/>
        </w:rPr>
        <w:t>“</w:t>
      </w:r>
      <w:r>
        <w:rPr>
          <w:sz w:val="24"/>
          <w:szCs w:val="24"/>
        </w:rPr>
        <w:t>国泰君安</w:t>
      </w:r>
      <w:r>
        <w:rPr>
          <w:sz w:val="24"/>
          <w:szCs w:val="24"/>
        </w:rPr>
        <w:t>”</w:t>
      </w:r>
      <w:r>
        <w:rPr>
          <w:rFonts w:hint="eastAsia"/>
          <w:sz w:val="24"/>
          <w:szCs w:val="24"/>
        </w:rPr>
        <w:t>，</w:t>
      </w:r>
      <w:r>
        <w:rPr>
          <w:sz w:val="24"/>
          <w:szCs w:val="24"/>
        </w:rPr>
        <w:t>证券代码为</w:t>
      </w:r>
      <w:r>
        <w:rPr>
          <w:sz w:val="24"/>
          <w:szCs w:val="24"/>
        </w:rPr>
        <w:t>“601211”</w:t>
      </w:r>
      <w:r>
        <w:rPr>
          <w:sz w:val="24"/>
          <w:szCs w:val="24"/>
        </w:rPr>
        <w:t>。</w:t>
      </w:r>
      <w:r>
        <w:rPr>
          <w:rFonts w:hint="eastAsia"/>
          <w:sz w:val="24"/>
          <w:szCs w:val="24"/>
        </w:rPr>
        <w:t>2017</w:t>
      </w:r>
      <w:r>
        <w:rPr>
          <w:rFonts w:hint="eastAsia"/>
          <w:sz w:val="24"/>
          <w:szCs w:val="24"/>
        </w:rPr>
        <w:t>年</w:t>
      </w:r>
      <w:r>
        <w:rPr>
          <w:rFonts w:hint="eastAsia"/>
          <w:sz w:val="24"/>
          <w:szCs w:val="24"/>
        </w:rPr>
        <w:t>4</w:t>
      </w:r>
      <w:r>
        <w:rPr>
          <w:rFonts w:hint="eastAsia"/>
          <w:sz w:val="24"/>
          <w:szCs w:val="24"/>
        </w:rPr>
        <w:t>月</w:t>
      </w:r>
      <w:r>
        <w:rPr>
          <w:rFonts w:hint="eastAsia"/>
          <w:sz w:val="24"/>
          <w:szCs w:val="24"/>
        </w:rPr>
        <w:t>11</w:t>
      </w:r>
      <w:r>
        <w:rPr>
          <w:rFonts w:hint="eastAsia"/>
          <w:sz w:val="24"/>
          <w:szCs w:val="24"/>
        </w:rPr>
        <w:t>日国泰君安证券股份有限公司在香港联交所主板挂牌并上市交易，</w:t>
      </w:r>
      <w:r>
        <w:rPr>
          <w:rFonts w:hint="eastAsia"/>
          <w:sz w:val="24"/>
          <w:szCs w:val="24"/>
        </w:rPr>
        <w:t>H</w:t>
      </w:r>
      <w:r>
        <w:rPr>
          <w:rFonts w:hint="eastAsia"/>
          <w:sz w:val="24"/>
          <w:szCs w:val="24"/>
        </w:rPr>
        <w:t>股股票中文简称“</w:t>
      </w:r>
      <w:proofErr w:type="gramStart"/>
      <w:r>
        <w:rPr>
          <w:rFonts w:hint="eastAsia"/>
          <w:sz w:val="24"/>
          <w:szCs w:val="24"/>
        </w:rPr>
        <w:t>國</w:t>
      </w:r>
      <w:proofErr w:type="gramEnd"/>
      <w:r>
        <w:rPr>
          <w:rFonts w:hint="eastAsia"/>
          <w:sz w:val="24"/>
          <w:szCs w:val="24"/>
        </w:rPr>
        <w:t>泰君安”，英文简称为“</w:t>
      </w:r>
      <w:r>
        <w:rPr>
          <w:rFonts w:hint="eastAsia"/>
          <w:sz w:val="24"/>
          <w:szCs w:val="24"/>
        </w:rPr>
        <w:t>GTJA</w:t>
      </w:r>
      <w:r>
        <w:rPr>
          <w:rFonts w:hint="eastAsia"/>
          <w:sz w:val="24"/>
          <w:szCs w:val="24"/>
        </w:rPr>
        <w:t>”，股票代码为“</w:t>
      </w:r>
      <w:r>
        <w:rPr>
          <w:rFonts w:hint="eastAsia"/>
          <w:sz w:val="24"/>
          <w:szCs w:val="24"/>
        </w:rPr>
        <w:t>02611</w:t>
      </w:r>
      <w:r>
        <w:rPr>
          <w:rFonts w:hint="eastAsia"/>
          <w:sz w:val="24"/>
          <w:szCs w:val="24"/>
        </w:rPr>
        <w:t>”。截至</w:t>
      </w:r>
      <w:r>
        <w:rPr>
          <w:rFonts w:hint="eastAsia"/>
          <w:sz w:val="24"/>
          <w:szCs w:val="24"/>
        </w:rPr>
        <w:t>2022</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日，国泰君安证券股份有限公司注册资本为</w:t>
      </w:r>
      <w:r>
        <w:rPr>
          <w:rFonts w:hint="eastAsia"/>
          <w:sz w:val="24"/>
          <w:szCs w:val="24"/>
        </w:rPr>
        <w:t>89.06671631</w:t>
      </w:r>
      <w:r>
        <w:rPr>
          <w:rFonts w:hint="eastAsia"/>
          <w:sz w:val="24"/>
          <w:szCs w:val="24"/>
        </w:rPr>
        <w:t>亿元人民币，</w:t>
      </w:r>
      <w:r>
        <w:rPr>
          <w:rFonts w:hint="eastAsia"/>
          <w:bCs/>
          <w:sz w:val="24"/>
          <w:szCs w:val="24"/>
        </w:rPr>
        <w:t>直接设有</w:t>
      </w:r>
      <w:r>
        <w:rPr>
          <w:rFonts w:hint="eastAsia"/>
          <w:bCs/>
          <w:sz w:val="24"/>
          <w:szCs w:val="24"/>
        </w:rPr>
        <w:t>6</w:t>
      </w:r>
      <w:r>
        <w:rPr>
          <w:rFonts w:hint="eastAsia"/>
          <w:bCs/>
          <w:sz w:val="24"/>
          <w:szCs w:val="24"/>
        </w:rPr>
        <w:t>家境内子公司和</w:t>
      </w:r>
      <w:r>
        <w:rPr>
          <w:bCs/>
          <w:sz w:val="24"/>
          <w:szCs w:val="24"/>
        </w:rPr>
        <w:t>1</w:t>
      </w:r>
      <w:r>
        <w:rPr>
          <w:rFonts w:hint="eastAsia"/>
          <w:bCs/>
          <w:sz w:val="24"/>
          <w:szCs w:val="24"/>
        </w:rPr>
        <w:t>家境外子公司，并在全国设有</w:t>
      </w:r>
      <w:r>
        <w:rPr>
          <w:bCs/>
          <w:sz w:val="24"/>
          <w:szCs w:val="24"/>
        </w:rPr>
        <w:t>3</w:t>
      </w:r>
      <w:r>
        <w:rPr>
          <w:rFonts w:hint="eastAsia"/>
          <w:bCs/>
          <w:sz w:val="24"/>
          <w:szCs w:val="24"/>
        </w:rPr>
        <w:t>3</w:t>
      </w:r>
      <w:r>
        <w:rPr>
          <w:rFonts w:hint="eastAsia"/>
          <w:bCs/>
          <w:sz w:val="24"/>
          <w:szCs w:val="24"/>
        </w:rPr>
        <w:t>家证券分公司、</w:t>
      </w:r>
      <w:r>
        <w:rPr>
          <w:rFonts w:hint="eastAsia"/>
          <w:bCs/>
          <w:sz w:val="24"/>
          <w:szCs w:val="24"/>
        </w:rPr>
        <w:t>16</w:t>
      </w:r>
      <w:r>
        <w:rPr>
          <w:rFonts w:hint="eastAsia"/>
          <w:bCs/>
          <w:sz w:val="24"/>
          <w:szCs w:val="24"/>
        </w:rPr>
        <w:t>家期货分公司、</w:t>
      </w:r>
      <w:r>
        <w:rPr>
          <w:rFonts w:hint="eastAsia"/>
          <w:bCs/>
          <w:sz w:val="24"/>
          <w:szCs w:val="24"/>
        </w:rPr>
        <w:t>339</w:t>
      </w:r>
      <w:r>
        <w:rPr>
          <w:rFonts w:hint="eastAsia"/>
          <w:bCs/>
          <w:sz w:val="24"/>
          <w:szCs w:val="24"/>
        </w:rPr>
        <w:t>家证券营业部和</w:t>
      </w:r>
      <w:r>
        <w:rPr>
          <w:rFonts w:hint="eastAsia"/>
          <w:bCs/>
          <w:sz w:val="24"/>
          <w:szCs w:val="24"/>
        </w:rPr>
        <w:t>9</w:t>
      </w:r>
      <w:r>
        <w:rPr>
          <w:rFonts w:hint="eastAsia"/>
          <w:bCs/>
          <w:sz w:val="24"/>
          <w:szCs w:val="24"/>
        </w:rPr>
        <w:t>家期货营业部，是国内最早开展各</w:t>
      </w:r>
      <w:proofErr w:type="gramStart"/>
      <w:r>
        <w:rPr>
          <w:rFonts w:hint="eastAsia"/>
          <w:bCs/>
          <w:sz w:val="24"/>
          <w:szCs w:val="24"/>
        </w:rPr>
        <w:t>类创新</w:t>
      </w:r>
      <w:proofErr w:type="gramEnd"/>
      <w:r>
        <w:rPr>
          <w:rFonts w:hint="eastAsia"/>
          <w:bCs/>
          <w:sz w:val="24"/>
          <w:szCs w:val="24"/>
        </w:rPr>
        <w:t>业务的券商之一。</w:t>
      </w:r>
      <w:r>
        <w:rPr>
          <w:bCs/>
          <w:sz w:val="24"/>
          <w:szCs w:val="24"/>
        </w:rPr>
        <w:t>2008-20</w:t>
      </w:r>
      <w:r>
        <w:rPr>
          <w:rFonts w:hint="eastAsia"/>
          <w:bCs/>
          <w:sz w:val="24"/>
          <w:szCs w:val="24"/>
        </w:rPr>
        <w:t>22</w:t>
      </w:r>
      <w:r>
        <w:rPr>
          <w:rFonts w:hint="eastAsia"/>
          <w:bCs/>
          <w:sz w:val="24"/>
          <w:szCs w:val="24"/>
        </w:rPr>
        <w:t>年，公司连续十六年在中国证监会证券公司分类评价中被评为</w:t>
      </w:r>
      <w:r>
        <w:rPr>
          <w:bCs/>
          <w:sz w:val="24"/>
          <w:szCs w:val="24"/>
        </w:rPr>
        <w:t>A</w:t>
      </w:r>
      <w:r>
        <w:rPr>
          <w:rFonts w:hint="eastAsia"/>
          <w:bCs/>
          <w:sz w:val="24"/>
          <w:szCs w:val="24"/>
        </w:rPr>
        <w:t>类</w:t>
      </w:r>
      <w:r>
        <w:rPr>
          <w:bCs/>
          <w:sz w:val="24"/>
          <w:szCs w:val="24"/>
        </w:rPr>
        <w:t>AA</w:t>
      </w:r>
      <w:r>
        <w:rPr>
          <w:rFonts w:hint="eastAsia"/>
          <w:bCs/>
          <w:sz w:val="24"/>
          <w:szCs w:val="24"/>
        </w:rPr>
        <w:t>级，为目前证券公司获得的最高评级。</w:t>
      </w:r>
    </w:p>
    <w:p w14:paraId="6BA69CE7" w14:textId="77777777" w:rsidR="00B67C49" w:rsidRDefault="00000000">
      <w:pPr>
        <w:spacing w:line="360" w:lineRule="auto"/>
        <w:ind w:firstLineChars="200" w:firstLine="480"/>
        <w:rPr>
          <w:sz w:val="24"/>
          <w:szCs w:val="24"/>
        </w:rPr>
      </w:pPr>
      <w:r>
        <w:rPr>
          <w:rFonts w:hint="eastAsia"/>
          <w:sz w:val="24"/>
          <w:szCs w:val="24"/>
        </w:rPr>
        <w:t>2</w:t>
      </w:r>
      <w:r>
        <w:rPr>
          <w:rFonts w:hint="eastAsia"/>
          <w:sz w:val="24"/>
          <w:szCs w:val="24"/>
        </w:rPr>
        <w:t>、主要人员情况</w:t>
      </w:r>
    </w:p>
    <w:p w14:paraId="71DE3E81" w14:textId="77777777" w:rsidR="00B67C49" w:rsidRDefault="00000000">
      <w:pPr>
        <w:spacing w:line="360" w:lineRule="auto"/>
        <w:ind w:firstLineChars="200" w:firstLine="480"/>
        <w:rPr>
          <w:sz w:val="24"/>
          <w:szCs w:val="24"/>
        </w:rPr>
      </w:pPr>
      <w:r>
        <w:rPr>
          <w:rFonts w:hint="eastAsia"/>
          <w:sz w:val="24"/>
          <w:szCs w:val="24"/>
        </w:rPr>
        <w:t>陈忠义先生，中国国籍，无境外居留权，</w:t>
      </w:r>
      <w:r>
        <w:rPr>
          <w:rFonts w:hint="eastAsia"/>
          <w:sz w:val="24"/>
          <w:szCs w:val="24"/>
        </w:rPr>
        <w:t>1970</w:t>
      </w:r>
      <w:r>
        <w:rPr>
          <w:rFonts w:hint="eastAsia"/>
          <w:sz w:val="24"/>
          <w:szCs w:val="24"/>
        </w:rPr>
        <w:t>年</w:t>
      </w:r>
      <w:r>
        <w:rPr>
          <w:rFonts w:hint="eastAsia"/>
          <w:sz w:val="24"/>
          <w:szCs w:val="24"/>
        </w:rPr>
        <w:t>10</w:t>
      </w:r>
      <w:r>
        <w:rPr>
          <w:rFonts w:hint="eastAsia"/>
          <w:sz w:val="24"/>
          <w:szCs w:val="24"/>
        </w:rPr>
        <w:t>月出生，经济学学士，中级经济师，现任国泰君安证券资产托管部总经理。</w:t>
      </w:r>
      <w:r>
        <w:rPr>
          <w:rFonts w:hint="eastAsia"/>
          <w:sz w:val="24"/>
          <w:szCs w:val="24"/>
        </w:rPr>
        <w:t>1993</w:t>
      </w:r>
      <w:r>
        <w:rPr>
          <w:rFonts w:hint="eastAsia"/>
          <w:sz w:val="24"/>
          <w:szCs w:val="24"/>
        </w:rPr>
        <w:t>年参加工作，曾任职于君安证券清算部总经理助理、国泰君安证券营运中心副总经理、光大证券营运</w:t>
      </w:r>
      <w:r>
        <w:rPr>
          <w:rFonts w:hint="eastAsia"/>
          <w:sz w:val="24"/>
          <w:szCs w:val="24"/>
        </w:rPr>
        <w:lastRenderedPageBreak/>
        <w:t>管理总部总经理等职。“全国金融五一劳动奖章”、“金融服务能手”称号获得者，中国证券业协会托管结算专业委员会副主任委员，带领团队设计的“直通式证券清算质量管理国际化标准平台”，被评为上海市</w:t>
      </w:r>
      <w:r>
        <w:rPr>
          <w:rFonts w:hint="eastAsia"/>
          <w:sz w:val="24"/>
          <w:szCs w:val="24"/>
        </w:rPr>
        <w:t>2011</w:t>
      </w:r>
      <w:r>
        <w:rPr>
          <w:rFonts w:hint="eastAsia"/>
          <w:sz w:val="24"/>
          <w:szCs w:val="24"/>
        </w:rPr>
        <w:t>年度金融创新奖二等奖。</w:t>
      </w:r>
      <w:r>
        <w:rPr>
          <w:rFonts w:hint="eastAsia"/>
          <w:sz w:val="24"/>
          <w:szCs w:val="24"/>
        </w:rPr>
        <w:t>2014</w:t>
      </w:r>
      <w:r>
        <w:rPr>
          <w:rFonts w:hint="eastAsia"/>
          <w:sz w:val="24"/>
          <w:szCs w:val="24"/>
        </w:rPr>
        <w:t>年</w:t>
      </w:r>
      <w:r>
        <w:rPr>
          <w:rFonts w:hint="eastAsia"/>
          <w:sz w:val="24"/>
          <w:szCs w:val="24"/>
        </w:rPr>
        <w:t>2</w:t>
      </w:r>
      <w:r>
        <w:rPr>
          <w:rFonts w:hint="eastAsia"/>
          <w:sz w:val="24"/>
          <w:szCs w:val="24"/>
        </w:rPr>
        <w:t>月起任国泰君安证券资产托管部总经理。</w:t>
      </w:r>
    </w:p>
    <w:p w14:paraId="7610CCFA" w14:textId="77777777" w:rsidR="00B67C49" w:rsidRDefault="00000000">
      <w:pPr>
        <w:spacing w:line="360" w:lineRule="auto"/>
        <w:ind w:firstLineChars="200" w:firstLine="480"/>
        <w:rPr>
          <w:sz w:val="24"/>
          <w:szCs w:val="24"/>
        </w:rPr>
      </w:pPr>
      <w:r>
        <w:rPr>
          <w:rFonts w:hint="eastAsia"/>
          <w:sz w:val="24"/>
          <w:szCs w:val="24"/>
        </w:rPr>
        <w:t>国泰君安证券总部</w:t>
      </w:r>
      <w:proofErr w:type="gramStart"/>
      <w:r>
        <w:rPr>
          <w:rFonts w:hint="eastAsia"/>
          <w:sz w:val="24"/>
          <w:szCs w:val="24"/>
        </w:rPr>
        <w:t>设资产</w:t>
      </w:r>
      <w:proofErr w:type="gramEnd"/>
      <w:r>
        <w:rPr>
          <w:rFonts w:hint="eastAsia"/>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7D94853B" w14:textId="77777777" w:rsidR="00B67C49" w:rsidRDefault="00000000">
      <w:pPr>
        <w:spacing w:line="360" w:lineRule="auto"/>
        <w:ind w:firstLineChars="200" w:firstLine="480"/>
        <w:rPr>
          <w:sz w:val="24"/>
          <w:szCs w:val="24"/>
        </w:rPr>
      </w:pPr>
      <w:r>
        <w:rPr>
          <w:rFonts w:hint="eastAsia"/>
          <w:sz w:val="24"/>
          <w:szCs w:val="24"/>
        </w:rPr>
        <w:t>3</w:t>
      </w:r>
      <w:r>
        <w:rPr>
          <w:rFonts w:hint="eastAsia"/>
          <w:sz w:val="24"/>
          <w:szCs w:val="24"/>
        </w:rPr>
        <w:t>、基金托管业务经营情况</w:t>
      </w:r>
    </w:p>
    <w:p w14:paraId="45C836B9" w14:textId="77777777" w:rsidR="00B67C49" w:rsidRDefault="00000000">
      <w:pPr>
        <w:spacing w:line="360" w:lineRule="auto"/>
        <w:ind w:firstLineChars="200" w:firstLine="480"/>
        <w:rPr>
          <w:sz w:val="24"/>
          <w:szCs w:val="24"/>
        </w:rPr>
      </w:pPr>
      <w:r>
        <w:rPr>
          <w:rFonts w:hint="eastAsia"/>
          <w:sz w:val="24"/>
          <w:szCs w:val="24"/>
        </w:rPr>
        <w:t>国泰君安证券于</w:t>
      </w:r>
      <w:r>
        <w:rPr>
          <w:rFonts w:hint="eastAsia"/>
          <w:sz w:val="24"/>
          <w:szCs w:val="24"/>
        </w:rPr>
        <w:t>2013</w:t>
      </w:r>
      <w:r>
        <w:rPr>
          <w:rFonts w:hint="eastAsia"/>
          <w:sz w:val="24"/>
          <w:szCs w:val="24"/>
        </w:rPr>
        <w:t>年</w:t>
      </w:r>
      <w:r>
        <w:rPr>
          <w:rFonts w:hint="eastAsia"/>
          <w:sz w:val="24"/>
          <w:szCs w:val="24"/>
        </w:rPr>
        <w:t>4</w:t>
      </w:r>
      <w:r>
        <w:rPr>
          <w:rFonts w:hint="eastAsia"/>
          <w:sz w:val="24"/>
          <w:szCs w:val="24"/>
        </w:rPr>
        <w:t>月</w:t>
      </w:r>
      <w:r>
        <w:rPr>
          <w:rFonts w:hint="eastAsia"/>
          <w:sz w:val="24"/>
          <w:szCs w:val="24"/>
        </w:rPr>
        <w:t>3</w:t>
      </w:r>
      <w:r>
        <w:rPr>
          <w:rFonts w:hint="eastAsia"/>
          <w:sz w:val="24"/>
          <w:szCs w:val="24"/>
        </w:rPr>
        <w:t>日取得私募基金综合托管业务资格，于</w:t>
      </w:r>
      <w:r>
        <w:rPr>
          <w:rFonts w:hint="eastAsia"/>
          <w:sz w:val="24"/>
          <w:szCs w:val="24"/>
        </w:rPr>
        <w:t>2014</w:t>
      </w:r>
      <w:r>
        <w:rPr>
          <w:rFonts w:hint="eastAsia"/>
          <w:sz w:val="24"/>
          <w:szCs w:val="24"/>
        </w:rPr>
        <w:t>年</w:t>
      </w:r>
      <w:r>
        <w:rPr>
          <w:rFonts w:hint="eastAsia"/>
          <w:sz w:val="24"/>
          <w:szCs w:val="24"/>
        </w:rPr>
        <w:t>5</w:t>
      </w:r>
      <w:r>
        <w:rPr>
          <w:rFonts w:hint="eastAsia"/>
          <w:sz w:val="24"/>
          <w:szCs w:val="24"/>
        </w:rPr>
        <w:t>月</w:t>
      </w:r>
      <w:r>
        <w:rPr>
          <w:rFonts w:hint="eastAsia"/>
          <w:sz w:val="24"/>
          <w:szCs w:val="24"/>
        </w:rPr>
        <w:t>20</w:t>
      </w:r>
      <w:r>
        <w:rPr>
          <w:rFonts w:hint="eastAsia"/>
          <w:sz w:val="24"/>
          <w:szCs w:val="24"/>
        </w:rPr>
        <w:t>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Pr>
          <w:rFonts w:hint="eastAsia"/>
          <w:sz w:val="24"/>
          <w:szCs w:val="24"/>
        </w:rPr>
        <w:t>券商资管计划</w:t>
      </w:r>
      <w:proofErr w:type="gramEnd"/>
      <w:r>
        <w:rPr>
          <w:rFonts w:hint="eastAsia"/>
          <w:sz w:val="24"/>
          <w:szCs w:val="24"/>
        </w:rPr>
        <w:t>、私募基金等基金托管业务，与建信、平安、天弘、易方达、富国、长信等多家基金公司及其子公司建立了托管合作关系，截止</w:t>
      </w:r>
      <w:r>
        <w:rPr>
          <w:rFonts w:hint="eastAsia"/>
          <w:sz w:val="24"/>
          <w:szCs w:val="24"/>
        </w:rPr>
        <w:t>2023</w:t>
      </w:r>
      <w:r>
        <w:rPr>
          <w:rFonts w:hint="eastAsia"/>
          <w:sz w:val="24"/>
          <w:szCs w:val="24"/>
        </w:rPr>
        <w:t>年</w:t>
      </w:r>
      <w:r>
        <w:rPr>
          <w:rFonts w:hint="eastAsia"/>
          <w:sz w:val="24"/>
          <w:szCs w:val="24"/>
        </w:rPr>
        <w:t>10</w:t>
      </w:r>
      <w:r>
        <w:rPr>
          <w:rFonts w:hint="eastAsia"/>
          <w:sz w:val="24"/>
          <w:szCs w:val="24"/>
        </w:rPr>
        <w:t>月</w:t>
      </w:r>
      <w:r>
        <w:rPr>
          <w:rFonts w:hint="eastAsia"/>
          <w:sz w:val="24"/>
          <w:szCs w:val="24"/>
        </w:rPr>
        <w:t>9</w:t>
      </w:r>
      <w:r>
        <w:rPr>
          <w:rFonts w:hint="eastAsia"/>
          <w:sz w:val="24"/>
          <w:szCs w:val="24"/>
        </w:rPr>
        <w:t>日托管公</w:t>
      </w:r>
      <w:proofErr w:type="gramStart"/>
      <w:r>
        <w:rPr>
          <w:rFonts w:hint="eastAsia"/>
          <w:sz w:val="24"/>
          <w:szCs w:val="24"/>
        </w:rPr>
        <w:t>募基金</w:t>
      </w:r>
      <w:proofErr w:type="gramEnd"/>
      <w:r>
        <w:rPr>
          <w:rFonts w:hint="eastAsia"/>
          <w:sz w:val="24"/>
          <w:szCs w:val="24"/>
        </w:rPr>
        <w:t>62</w:t>
      </w:r>
      <w:r>
        <w:rPr>
          <w:rFonts w:hint="eastAsia"/>
          <w:sz w:val="24"/>
          <w:szCs w:val="24"/>
        </w:rPr>
        <w:t>只，专业的服务和可靠的运营获得了管理人的一致认可。</w:t>
      </w:r>
    </w:p>
    <w:p w14:paraId="2CE82EA6" w14:textId="77777777" w:rsidR="00B67C49" w:rsidRDefault="00000000">
      <w:pPr>
        <w:spacing w:line="360" w:lineRule="auto"/>
        <w:ind w:firstLineChars="200" w:firstLine="480"/>
        <w:rPr>
          <w:sz w:val="24"/>
          <w:szCs w:val="24"/>
        </w:rPr>
      </w:pPr>
      <w:r>
        <w:rPr>
          <w:rFonts w:hint="eastAsia"/>
          <w:sz w:val="24"/>
          <w:szCs w:val="24"/>
        </w:rPr>
        <w:t>（二）基金托管人的内部控制制度</w:t>
      </w:r>
    </w:p>
    <w:p w14:paraId="62526F2B" w14:textId="77777777" w:rsidR="00B67C49" w:rsidRDefault="00000000">
      <w:pPr>
        <w:spacing w:line="360" w:lineRule="auto"/>
        <w:ind w:firstLineChars="200" w:firstLine="480"/>
        <w:rPr>
          <w:sz w:val="24"/>
          <w:szCs w:val="24"/>
        </w:rPr>
      </w:pPr>
      <w:r>
        <w:rPr>
          <w:rFonts w:hint="eastAsia"/>
          <w:sz w:val="24"/>
          <w:szCs w:val="24"/>
        </w:rPr>
        <w:t>1</w:t>
      </w:r>
      <w:r>
        <w:rPr>
          <w:rFonts w:hint="eastAsia"/>
          <w:sz w:val="24"/>
          <w:szCs w:val="24"/>
        </w:rPr>
        <w:t>、内部控制目标</w:t>
      </w:r>
    </w:p>
    <w:p w14:paraId="0F7FAECC" w14:textId="77777777" w:rsidR="00B67C49" w:rsidRDefault="00000000">
      <w:pPr>
        <w:spacing w:line="360" w:lineRule="auto"/>
        <w:ind w:firstLineChars="200" w:firstLine="480"/>
        <w:rPr>
          <w:sz w:val="24"/>
          <w:szCs w:val="24"/>
        </w:rPr>
      </w:pPr>
      <w:r>
        <w:rPr>
          <w:rFonts w:hint="eastAsia"/>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Pr>
          <w:rFonts w:hint="eastAsia"/>
          <w:sz w:val="24"/>
          <w:szCs w:val="24"/>
        </w:rPr>
        <w:t xml:space="preserve"> </w:t>
      </w:r>
    </w:p>
    <w:p w14:paraId="30618A59" w14:textId="77777777" w:rsidR="00B67C49" w:rsidRDefault="00000000">
      <w:pPr>
        <w:spacing w:line="360" w:lineRule="auto"/>
        <w:ind w:firstLineChars="200" w:firstLine="480"/>
        <w:rPr>
          <w:sz w:val="24"/>
          <w:szCs w:val="24"/>
        </w:rPr>
      </w:pPr>
      <w:r>
        <w:rPr>
          <w:rFonts w:hint="eastAsia"/>
          <w:sz w:val="24"/>
          <w:szCs w:val="24"/>
        </w:rPr>
        <w:t>2</w:t>
      </w:r>
      <w:r>
        <w:rPr>
          <w:rFonts w:hint="eastAsia"/>
          <w:sz w:val="24"/>
          <w:szCs w:val="24"/>
        </w:rPr>
        <w:t>、内部控制组织结构</w:t>
      </w:r>
    </w:p>
    <w:p w14:paraId="290541B0" w14:textId="77777777" w:rsidR="00B67C49" w:rsidRDefault="00000000">
      <w:pPr>
        <w:spacing w:line="360" w:lineRule="auto"/>
        <w:ind w:firstLineChars="200" w:firstLine="480"/>
        <w:rPr>
          <w:sz w:val="24"/>
          <w:szCs w:val="24"/>
        </w:rPr>
      </w:pPr>
      <w:r>
        <w:rPr>
          <w:rFonts w:hint="eastAsia"/>
          <w:sz w:val="24"/>
          <w:szCs w:val="24"/>
        </w:rPr>
        <w:t>国泰君安证券在董事会中内设风险控制委员会，是公司风险管理的最高决策机构；公司在经营管理层面设置风险管理委员会，对公司经营风险实行统筹管理，</w:t>
      </w:r>
      <w:r>
        <w:rPr>
          <w:rFonts w:hint="eastAsia"/>
          <w:sz w:val="24"/>
          <w:szCs w:val="24"/>
        </w:rPr>
        <w:lastRenderedPageBreak/>
        <w:t>对风险管理重大事项进行审议与决策；风险管理部门包括专职履行风险管理职责的风险管理部、合</w:t>
      </w:r>
      <w:proofErr w:type="gramStart"/>
      <w:r>
        <w:rPr>
          <w:rFonts w:hint="eastAsia"/>
          <w:sz w:val="24"/>
          <w:szCs w:val="24"/>
        </w:rPr>
        <w:t>规</w:t>
      </w:r>
      <w:proofErr w:type="gramEnd"/>
      <w:r>
        <w:rPr>
          <w:rFonts w:hint="eastAsia"/>
          <w:sz w:val="24"/>
          <w:szCs w:val="24"/>
        </w:rPr>
        <w:t>部、法律部、稽核审计部，以及计划财务部、信息技术部、营运中心等履行其他风险管理职责的部门。</w:t>
      </w:r>
    </w:p>
    <w:p w14:paraId="49B5D01C" w14:textId="77777777" w:rsidR="00B67C49" w:rsidRDefault="00000000">
      <w:pPr>
        <w:spacing w:line="360" w:lineRule="auto"/>
        <w:ind w:firstLineChars="200" w:firstLine="480"/>
        <w:rPr>
          <w:sz w:val="24"/>
          <w:szCs w:val="24"/>
        </w:rPr>
      </w:pPr>
      <w:r>
        <w:rPr>
          <w:rFonts w:hint="eastAsia"/>
          <w:sz w:val="24"/>
          <w:szCs w:val="24"/>
        </w:rPr>
        <w:t>资产托管部设置</w:t>
      </w:r>
      <w:proofErr w:type="gramStart"/>
      <w:r>
        <w:rPr>
          <w:rFonts w:hint="eastAsia"/>
          <w:sz w:val="24"/>
          <w:szCs w:val="24"/>
        </w:rPr>
        <w:t>风控合规</w:t>
      </w:r>
      <w:proofErr w:type="gramEnd"/>
      <w:r>
        <w:rPr>
          <w:rFonts w:hint="eastAsia"/>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Pr>
          <w:rFonts w:hint="eastAsia"/>
          <w:sz w:val="24"/>
          <w:szCs w:val="24"/>
        </w:rPr>
        <w:t xml:space="preserve"> </w:t>
      </w:r>
    </w:p>
    <w:p w14:paraId="5EFD8D79" w14:textId="77777777" w:rsidR="00B67C49" w:rsidRDefault="00000000">
      <w:pPr>
        <w:spacing w:line="360" w:lineRule="auto"/>
        <w:ind w:firstLineChars="200" w:firstLine="480"/>
        <w:rPr>
          <w:sz w:val="24"/>
          <w:szCs w:val="24"/>
        </w:rPr>
      </w:pPr>
      <w:r>
        <w:rPr>
          <w:rFonts w:hint="eastAsia"/>
          <w:sz w:val="24"/>
          <w:szCs w:val="24"/>
        </w:rPr>
        <w:t>3</w:t>
      </w:r>
      <w:r>
        <w:rPr>
          <w:rFonts w:hint="eastAsia"/>
          <w:sz w:val="24"/>
          <w:szCs w:val="24"/>
        </w:rPr>
        <w:t>、内部控制制度及措施</w:t>
      </w:r>
    </w:p>
    <w:p w14:paraId="402949DA" w14:textId="77777777" w:rsidR="00B67C49" w:rsidRDefault="00000000">
      <w:pPr>
        <w:spacing w:line="360" w:lineRule="auto"/>
        <w:ind w:firstLineChars="200" w:firstLine="480"/>
        <w:rPr>
          <w:sz w:val="24"/>
          <w:szCs w:val="24"/>
        </w:rPr>
      </w:pPr>
      <w:r>
        <w:rPr>
          <w:rFonts w:hint="eastAsia"/>
          <w:sz w:val="24"/>
          <w:szCs w:val="24"/>
        </w:rPr>
        <w:t>根据《基金法》、《运作办法》、《证券投资基金托管业务管理办法》等法律法规，基金托管</w:t>
      </w:r>
      <w:proofErr w:type="gramStart"/>
      <w:r>
        <w:rPr>
          <w:rFonts w:hint="eastAsia"/>
          <w:sz w:val="24"/>
          <w:szCs w:val="24"/>
        </w:rPr>
        <w:t>人制</w:t>
      </w:r>
      <w:proofErr w:type="gramEnd"/>
      <w:r>
        <w:rPr>
          <w:rFonts w:hint="eastAsia"/>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0B030372" w14:textId="77777777" w:rsidR="00B67C49" w:rsidRDefault="00000000">
      <w:pPr>
        <w:spacing w:line="360" w:lineRule="auto"/>
        <w:ind w:firstLineChars="200" w:firstLine="480"/>
        <w:rPr>
          <w:sz w:val="24"/>
          <w:szCs w:val="24"/>
        </w:rPr>
      </w:pPr>
      <w:r>
        <w:rPr>
          <w:rFonts w:hint="eastAsia"/>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0DA7D853" w14:textId="77777777" w:rsidR="00B67C49" w:rsidRDefault="00000000">
      <w:pPr>
        <w:spacing w:line="360" w:lineRule="auto"/>
        <w:ind w:firstLineChars="200" w:firstLine="480"/>
        <w:rPr>
          <w:sz w:val="24"/>
          <w:szCs w:val="24"/>
        </w:rPr>
      </w:pPr>
      <w:r>
        <w:rPr>
          <w:rFonts w:hint="eastAsia"/>
          <w:sz w:val="24"/>
          <w:szCs w:val="24"/>
        </w:rPr>
        <w:t>（三）基金托管人对基金管理人运作基金进行监督的方法和程序</w:t>
      </w:r>
    </w:p>
    <w:p w14:paraId="7B22AC8F" w14:textId="77777777" w:rsidR="00B67C49" w:rsidRDefault="00000000">
      <w:pPr>
        <w:spacing w:line="360" w:lineRule="auto"/>
        <w:ind w:firstLineChars="200" w:firstLine="480"/>
        <w:rPr>
          <w:sz w:val="24"/>
          <w:szCs w:val="24"/>
        </w:rPr>
      </w:pPr>
      <w:r>
        <w:rPr>
          <w:rFonts w:hint="eastAsia"/>
          <w:sz w:val="24"/>
          <w:szCs w:val="24"/>
        </w:rPr>
        <w:t>1</w:t>
      </w:r>
      <w:r>
        <w:rPr>
          <w:rFonts w:hint="eastAsia"/>
          <w:sz w:val="24"/>
          <w:szCs w:val="24"/>
        </w:rPr>
        <w:t>、监督方法</w:t>
      </w:r>
    </w:p>
    <w:p w14:paraId="7C42E3EE" w14:textId="77777777" w:rsidR="00B67C49" w:rsidRDefault="00000000">
      <w:pPr>
        <w:spacing w:line="360" w:lineRule="auto"/>
        <w:ind w:firstLineChars="200" w:firstLine="480"/>
        <w:rPr>
          <w:sz w:val="24"/>
          <w:szCs w:val="24"/>
        </w:rPr>
      </w:pPr>
      <w:r>
        <w:rPr>
          <w:rFonts w:hint="eastAsia"/>
          <w:sz w:val="24"/>
          <w:szCs w:val="24"/>
        </w:rPr>
        <w:lastRenderedPageBreak/>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基金的申购资金的到账与赎回资金的划付、基金收益分配等行为的合法性、合</w:t>
      </w:r>
      <w:proofErr w:type="gramStart"/>
      <w:r>
        <w:rPr>
          <w:rFonts w:hint="eastAsia"/>
          <w:sz w:val="24"/>
          <w:szCs w:val="24"/>
        </w:rPr>
        <w:t>规</w:t>
      </w:r>
      <w:proofErr w:type="gramEnd"/>
      <w:r>
        <w:rPr>
          <w:rFonts w:hint="eastAsia"/>
          <w:sz w:val="24"/>
          <w:szCs w:val="24"/>
        </w:rPr>
        <w:t>性进行监督和核查。</w:t>
      </w:r>
    </w:p>
    <w:p w14:paraId="2D2F1693" w14:textId="77777777" w:rsidR="00B67C49" w:rsidRDefault="00000000">
      <w:pPr>
        <w:spacing w:line="360" w:lineRule="auto"/>
        <w:ind w:firstLineChars="200" w:firstLine="480"/>
        <w:rPr>
          <w:sz w:val="24"/>
          <w:szCs w:val="24"/>
        </w:rPr>
      </w:pPr>
      <w:r>
        <w:rPr>
          <w:rFonts w:hint="eastAsia"/>
          <w:sz w:val="24"/>
          <w:szCs w:val="24"/>
        </w:rPr>
        <w:t>2</w:t>
      </w:r>
      <w:r>
        <w:rPr>
          <w:rFonts w:hint="eastAsia"/>
          <w:sz w:val="24"/>
          <w:szCs w:val="24"/>
        </w:rPr>
        <w:t>、监督程序</w:t>
      </w:r>
      <w:r>
        <w:rPr>
          <w:rFonts w:hint="eastAsia"/>
          <w:sz w:val="24"/>
          <w:szCs w:val="24"/>
        </w:rPr>
        <w:t xml:space="preserve"> </w:t>
      </w:r>
    </w:p>
    <w:p w14:paraId="0281DBA6" w14:textId="77777777" w:rsidR="00B67C49" w:rsidRDefault="00000000">
      <w:pPr>
        <w:spacing w:line="360" w:lineRule="auto"/>
        <w:ind w:firstLineChars="200" w:firstLine="480"/>
        <w:rPr>
          <w:sz w:val="24"/>
          <w:szCs w:val="24"/>
        </w:rPr>
      </w:pPr>
      <w:r>
        <w:rPr>
          <w:rFonts w:hint="eastAsia"/>
          <w:sz w:val="24"/>
          <w:szCs w:val="24"/>
        </w:rPr>
        <w:t>基金托管人发现基金管理人有违反《基金法》、《运作办法》等有关法律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4AD42567" w14:textId="77777777" w:rsidR="00B67C49" w:rsidRDefault="00B67C49">
      <w:pPr>
        <w:spacing w:line="360" w:lineRule="auto"/>
        <w:ind w:firstLineChars="200" w:firstLine="480"/>
        <w:rPr>
          <w:sz w:val="24"/>
          <w:szCs w:val="24"/>
        </w:rPr>
      </w:pPr>
    </w:p>
    <w:p w14:paraId="47ABBFCE" w14:textId="77777777" w:rsidR="00B67C49" w:rsidRDefault="00B67C49">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22EA1515" w14:textId="77777777" w:rsidR="00B67C49" w:rsidRDefault="00B67C49">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093798E7" w14:textId="77777777" w:rsidR="00B67C49" w:rsidRDefault="00B67C49">
      <w:pPr>
        <w:tabs>
          <w:tab w:val="left" w:pos="1110"/>
        </w:tabs>
        <w:adjustRightInd w:val="0"/>
        <w:snapToGrid w:val="0"/>
        <w:spacing w:line="360" w:lineRule="auto"/>
        <w:ind w:firstLineChars="200" w:firstLine="480"/>
        <w:rPr>
          <w:rFonts w:asciiTheme="minorEastAsia" w:hAnsiTheme="minorEastAsia" w:cs="Arial"/>
          <w:bCs/>
          <w:sz w:val="24"/>
          <w:szCs w:val="24"/>
        </w:rPr>
      </w:pPr>
    </w:p>
    <w:p w14:paraId="34F19A54" w14:textId="77777777" w:rsidR="00B67C49" w:rsidRDefault="00000000">
      <w:pPr>
        <w:widowControl/>
        <w:jc w:val="left"/>
        <w:rPr>
          <w:rFonts w:asciiTheme="minorEastAsia" w:hAnsiTheme="minorEastAsia" w:cs="Arial"/>
          <w:bCs/>
          <w:sz w:val="24"/>
          <w:szCs w:val="24"/>
        </w:rPr>
      </w:pPr>
      <w:r>
        <w:rPr>
          <w:rFonts w:asciiTheme="minorEastAsia" w:hAnsiTheme="minorEastAsia" w:cs="Arial"/>
          <w:bCs/>
          <w:sz w:val="24"/>
          <w:szCs w:val="24"/>
        </w:rPr>
        <w:br w:type="page"/>
      </w:r>
    </w:p>
    <w:p w14:paraId="33BA5C23" w14:textId="77777777" w:rsidR="00B67C49" w:rsidRDefault="00000000">
      <w:pPr>
        <w:pStyle w:val="1"/>
        <w:jc w:val="center"/>
        <w:rPr>
          <w:sz w:val="30"/>
          <w:szCs w:val="30"/>
        </w:rPr>
      </w:pPr>
      <w:bookmarkStart w:id="93" w:name="_Toc214873594"/>
      <w:bookmarkStart w:id="94" w:name="_Toc119568461"/>
      <w:bookmarkStart w:id="95" w:name="_Toc263092313"/>
      <w:bookmarkStart w:id="96" w:name="_Toc68266292"/>
      <w:bookmarkStart w:id="97" w:name="_Toc416264541"/>
      <w:bookmarkStart w:id="98" w:name="_Toc20733"/>
      <w:bookmarkStart w:id="99" w:name="_Toc139991736"/>
      <w:bookmarkStart w:id="100" w:name="_Toc1270"/>
      <w:bookmarkStart w:id="101" w:name="_Toc11081"/>
      <w:bookmarkStart w:id="102" w:name="_Toc4003"/>
      <w:bookmarkStart w:id="103" w:name="_Toc10463"/>
      <w:bookmarkStart w:id="104" w:name="_Toc123051452"/>
      <w:bookmarkStart w:id="105" w:name="_Toc141703886"/>
      <w:bookmarkStart w:id="106" w:name="_Toc123112234"/>
      <w:bookmarkStart w:id="107" w:name="_Toc48649707"/>
      <w:bookmarkStart w:id="108" w:name="_Toc123102453"/>
      <w:bookmarkStart w:id="109" w:name="_Toc23822"/>
      <w:bookmarkStart w:id="110" w:name="_Toc79392606"/>
      <w:bookmarkStart w:id="111" w:name="_Toc352229752"/>
      <w:bookmarkStart w:id="112" w:name="_Toc17244"/>
      <w:bookmarkStart w:id="113" w:name="_Toc98560352"/>
      <w:bookmarkStart w:id="114" w:name="_Toc23261"/>
      <w:bookmarkStart w:id="115" w:name="_Toc1427"/>
      <w:bookmarkStart w:id="116" w:name="_Toc610"/>
      <w:bookmarkStart w:id="117" w:name="_Toc7920"/>
      <w:bookmarkStart w:id="118" w:name="_Toc35222975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Pr>
          <w:rFonts w:hint="eastAsia"/>
          <w:sz w:val="30"/>
          <w:szCs w:val="30"/>
        </w:rPr>
        <w:lastRenderedPageBreak/>
        <w:t>第五部分</w:t>
      </w:r>
      <w:r>
        <w:rPr>
          <w:sz w:val="30"/>
          <w:szCs w:val="30"/>
        </w:rPr>
        <w:t xml:space="preserve">  </w:t>
      </w:r>
      <w:r>
        <w:rPr>
          <w:rFonts w:hint="eastAsia"/>
          <w:sz w:val="30"/>
          <w:szCs w:val="30"/>
        </w:rPr>
        <w:t>相关服务机构</w:t>
      </w:r>
      <w:bookmarkEnd w:id="93"/>
      <w:bookmarkEnd w:id="94"/>
      <w:bookmarkEnd w:id="95"/>
      <w:bookmarkEnd w:id="96"/>
      <w:bookmarkEnd w:id="97"/>
    </w:p>
    <w:p w14:paraId="0F6D7978" w14:textId="77777777" w:rsidR="00B67C49"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一、基金份额发售机构</w:t>
      </w:r>
    </w:p>
    <w:p w14:paraId="75D9A065"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1、直销机构：富荣基金管理有限公司直销中心</w:t>
      </w:r>
    </w:p>
    <w:p w14:paraId="38EB3E8C"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注册地址：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33CB6471"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办公地址：</w:t>
      </w:r>
      <w:r>
        <w:rPr>
          <w:rFonts w:asciiTheme="minorEastAsia" w:hAnsiTheme="minorEastAsia" w:cs="Times New Roman" w:hint="eastAsia"/>
          <w:kern w:val="0"/>
          <w:sz w:val="24"/>
          <w:szCs w:val="24"/>
        </w:rPr>
        <w:t>深圳市福田区八卦四路52号安吉尔大厦24层</w:t>
      </w:r>
    </w:p>
    <w:p w14:paraId="1CD905E4"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法定代表人：王亦伟</w:t>
      </w:r>
    </w:p>
    <w:p w14:paraId="4CC3B034"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电话：0755-84356629</w:t>
      </w:r>
    </w:p>
    <w:p w14:paraId="0A4B9376"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传真：0755-</w:t>
      </w:r>
      <w:r>
        <w:rPr>
          <w:rFonts w:asciiTheme="minorEastAsia" w:hAnsiTheme="minorEastAsia" w:cs="Arial" w:hint="eastAsia"/>
          <w:kern w:val="0"/>
          <w:sz w:val="24"/>
          <w:szCs w:val="24"/>
        </w:rPr>
        <w:t>83230902</w:t>
      </w:r>
    </w:p>
    <w:p w14:paraId="1064BDCF"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客服电话：4006855600</w:t>
      </w:r>
    </w:p>
    <w:p w14:paraId="03D25A90"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网址：www.furamc.com.cn</w:t>
      </w:r>
    </w:p>
    <w:p w14:paraId="37E8E7CE" w14:textId="77777777" w:rsidR="00B67C49" w:rsidRDefault="00000000">
      <w:pPr>
        <w:tabs>
          <w:tab w:val="left" w:pos="54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2、其他销售机构：</w:t>
      </w:r>
    </w:p>
    <w:tbl>
      <w:tblPr>
        <w:tblStyle w:val="afa"/>
        <w:tblW w:w="8505" w:type="dxa"/>
        <w:tblInd w:w="250" w:type="dxa"/>
        <w:tblLook w:val="04A0" w:firstRow="1" w:lastRow="0" w:firstColumn="1" w:lastColumn="0" w:noHBand="0" w:noVBand="1"/>
      </w:tblPr>
      <w:tblGrid>
        <w:gridCol w:w="709"/>
        <w:gridCol w:w="2693"/>
        <w:gridCol w:w="5103"/>
      </w:tblGrid>
      <w:tr w:rsidR="00B67C49" w14:paraId="598179EC" w14:textId="77777777">
        <w:trPr>
          <w:trHeight w:val="14"/>
        </w:trPr>
        <w:tc>
          <w:tcPr>
            <w:tcW w:w="709" w:type="dxa"/>
          </w:tcPr>
          <w:p w14:paraId="7D11AB17" w14:textId="77777777" w:rsidR="00B67C49" w:rsidRDefault="00000000">
            <w:pPr>
              <w:snapToGrid w:val="0"/>
              <w:spacing w:line="360" w:lineRule="auto"/>
              <w:jc w:val="center"/>
              <w:rPr>
                <w:rFonts w:asciiTheme="minorEastAsia" w:hAnsiTheme="minorEastAsia" w:cs="Arial"/>
                <w:sz w:val="24"/>
                <w:szCs w:val="24"/>
              </w:rPr>
            </w:pPr>
            <w:r>
              <w:rPr>
                <w:rFonts w:asciiTheme="minorEastAsia" w:hAnsiTheme="minorEastAsia" w:cs="Arial" w:hint="eastAsia"/>
                <w:sz w:val="24"/>
                <w:szCs w:val="24"/>
              </w:rPr>
              <w:t>序号</w:t>
            </w:r>
          </w:p>
        </w:tc>
        <w:tc>
          <w:tcPr>
            <w:tcW w:w="2693" w:type="dxa"/>
          </w:tcPr>
          <w:p w14:paraId="29DD88B8" w14:textId="77777777" w:rsidR="00B67C49"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Pr>
          <w:p w14:paraId="32D2BBF5" w14:textId="77777777" w:rsidR="00B67C49"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代销机构信息</w:t>
            </w:r>
          </w:p>
        </w:tc>
      </w:tr>
      <w:tr w:rsidR="00B67C49" w14:paraId="3128B823" w14:textId="77777777">
        <w:trPr>
          <w:trHeight w:val="14"/>
        </w:trPr>
        <w:tc>
          <w:tcPr>
            <w:tcW w:w="709" w:type="dxa"/>
          </w:tcPr>
          <w:p w14:paraId="572F3D5B"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w:t>
            </w:r>
          </w:p>
        </w:tc>
        <w:tc>
          <w:tcPr>
            <w:tcW w:w="2693" w:type="dxa"/>
          </w:tcPr>
          <w:p w14:paraId="4A51B81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东方财富证券股份有限公司</w:t>
            </w:r>
          </w:p>
        </w:tc>
        <w:tc>
          <w:tcPr>
            <w:tcW w:w="5103" w:type="dxa"/>
          </w:tcPr>
          <w:p w14:paraId="3C10BAC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(办公)地址：西藏自治区拉萨市柳梧新区国际总部城10栋楼 </w:t>
            </w:r>
          </w:p>
          <w:p w14:paraId="68DB1FE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95357</w:t>
            </w:r>
          </w:p>
          <w:p w14:paraId="39634A5E"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xml:space="preserve"> www.18.cn</w:t>
            </w:r>
          </w:p>
        </w:tc>
      </w:tr>
      <w:tr w:rsidR="00B67C49" w14:paraId="4AFA9DF0" w14:textId="77777777">
        <w:trPr>
          <w:trHeight w:val="14"/>
        </w:trPr>
        <w:tc>
          <w:tcPr>
            <w:tcW w:w="709" w:type="dxa"/>
          </w:tcPr>
          <w:p w14:paraId="022CF534"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w:t>
            </w:r>
          </w:p>
        </w:tc>
        <w:tc>
          <w:tcPr>
            <w:tcW w:w="2693" w:type="dxa"/>
          </w:tcPr>
          <w:p w14:paraId="11C7813E"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上海基</w:t>
            </w:r>
            <w:proofErr w:type="gramStart"/>
            <w:r>
              <w:rPr>
                <w:rFonts w:asciiTheme="minorEastAsia" w:hAnsiTheme="minorEastAsia" w:cs="Arial" w:hint="eastAsia"/>
                <w:szCs w:val="21"/>
              </w:rPr>
              <w:t>煜</w:t>
            </w:r>
            <w:proofErr w:type="gramEnd"/>
            <w:r>
              <w:rPr>
                <w:rFonts w:asciiTheme="minorEastAsia" w:hAnsiTheme="minorEastAsia" w:cs="Arial" w:hint="eastAsia"/>
                <w:szCs w:val="21"/>
              </w:rPr>
              <w:t>基金销售有限公司</w:t>
            </w:r>
          </w:p>
        </w:tc>
        <w:tc>
          <w:tcPr>
            <w:tcW w:w="5103" w:type="dxa"/>
          </w:tcPr>
          <w:p w14:paraId="2DB5E79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办公（办公）地址：上海市浦东</w:t>
            </w:r>
            <w:proofErr w:type="gramStart"/>
            <w:r>
              <w:rPr>
                <w:rFonts w:asciiTheme="minorEastAsia" w:hAnsiTheme="minorEastAsia" w:cs="Arial" w:hint="eastAsia"/>
                <w:szCs w:val="21"/>
              </w:rPr>
              <w:t>新区银</w:t>
            </w:r>
            <w:proofErr w:type="gramEnd"/>
            <w:r>
              <w:rPr>
                <w:rFonts w:asciiTheme="minorEastAsia" w:hAnsiTheme="minorEastAsia" w:cs="Arial" w:hint="eastAsia"/>
                <w:szCs w:val="21"/>
              </w:rPr>
              <w:t>城中路488号</w:t>
            </w:r>
          </w:p>
          <w:p w14:paraId="368261F3"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太平金融大厦1503室</w:t>
            </w:r>
          </w:p>
          <w:p w14:paraId="42F475C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4008205369</w:t>
            </w:r>
          </w:p>
          <w:p w14:paraId="3758211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www.jiyufund.com.cn</w:t>
            </w:r>
          </w:p>
        </w:tc>
      </w:tr>
      <w:tr w:rsidR="00B67C49" w14:paraId="7D63BCD1" w14:textId="77777777">
        <w:trPr>
          <w:trHeight w:val="14"/>
        </w:trPr>
        <w:tc>
          <w:tcPr>
            <w:tcW w:w="709" w:type="dxa"/>
          </w:tcPr>
          <w:p w14:paraId="0B89E292"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w:t>
            </w:r>
          </w:p>
        </w:tc>
        <w:tc>
          <w:tcPr>
            <w:tcW w:w="2693" w:type="dxa"/>
          </w:tcPr>
          <w:p w14:paraId="43C5C17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奕丰金融销售有限公司</w:t>
            </w:r>
          </w:p>
        </w:tc>
        <w:tc>
          <w:tcPr>
            <w:tcW w:w="5103" w:type="dxa"/>
          </w:tcPr>
          <w:p w14:paraId="149C0EE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 xml:space="preserve">地址: </w:t>
            </w:r>
            <w:r>
              <w:rPr>
                <w:rFonts w:asciiTheme="minorEastAsia" w:hAnsiTheme="minorEastAsia" w:cs="Arial" w:hint="eastAsia"/>
                <w:szCs w:val="21"/>
              </w:rPr>
              <w:t>深圳市南山区海德三道航天科技广场A座17楼1704室</w:t>
            </w:r>
          </w:p>
          <w:p w14:paraId="41F4ACDA"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400-684-0500</w:t>
            </w:r>
          </w:p>
          <w:p w14:paraId="6298077A"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www.ifastps.com.cn</w:t>
            </w:r>
          </w:p>
        </w:tc>
      </w:tr>
      <w:tr w:rsidR="00B67C49" w14:paraId="4DBAB9A7" w14:textId="77777777">
        <w:trPr>
          <w:trHeight w:val="14"/>
        </w:trPr>
        <w:tc>
          <w:tcPr>
            <w:tcW w:w="709" w:type="dxa"/>
          </w:tcPr>
          <w:p w14:paraId="764F9489"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w:t>
            </w:r>
          </w:p>
        </w:tc>
        <w:tc>
          <w:tcPr>
            <w:tcW w:w="2693" w:type="dxa"/>
          </w:tcPr>
          <w:p w14:paraId="66023A4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上海好买基金销售有限公司</w:t>
            </w:r>
          </w:p>
        </w:tc>
        <w:tc>
          <w:tcPr>
            <w:tcW w:w="5103" w:type="dxa"/>
          </w:tcPr>
          <w:p w14:paraId="7E82FFB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办公（办公）地址：上海市浦东新区张杨路500号华</w:t>
            </w:r>
            <w:proofErr w:type="gramStart"/>
            <w:r>
              <w:rPr>
                <w:rFonts w:asciiTheme="minorEastAsia" w:hAnsiTheme="minorEastAsia" w:cs="Arial" w:hint="eastAsia"/>
                <w:szCs w:val="21"/>
              </w:rPr>
              <w:t>润时代</w:t>
            </w:r>
            <w:proofErr w:type="gramEnd"/>
            <w:r>
              <w:rPr>
                <w:rFonts w:asciiTheme="minorEastAsia" w:hAnsiTheme="minorEastAsia" w:cs="Arial" w:hint="eastAsia"/>
                <w:szCs w:val="21"/>
              </w:rPr>
              <w:t>广场10、11、12、14层客服电话：</w:t>
            </w:r>
            <w:r>
              <w:rPr>
                <w:rFonts w:asciiTheme="minorEastAsia" w:hAnsiTheme="minorEastAsia" w:cs="Arial"/>
                <w:szCs w:val="21"/>
              </w:rPr>
              <w:t>400-700-9665</w:t>
            </w:r>
          </w:p>
          <w:p w14:paraId="02994A0E"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公司网址：</w:t>
            </w:r>
            <w:r>
              <w:rPr>
                <w:rFonts w:asciiTheme="minorEastAsia" w:hAnsiTheme="minorEastAsia" w:cs="Arial"/>
                <w:szCs w:val="21"/>
              </w:rPr>
              <w:t>www.ehowbuy.com</w:t>
            </w:r>
          </w:p>
        </w:tc>
      </w:tr>
      <w:tr w:rsidR="00B67C49" w14:paraId="6ADADB56" w14:textId="77777777">
        <w:trPr>
          <w:trHeight w:val="14"/>
        </w:trPr>
        <w:tc>
          <w:tcPr>
            <w:tcW w:w="709" w:type="dxa"/>
          </w:tcPr>
          <w:p w14:paraId="0F7108DA"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5</w:t>
            </w:r>
          </w:p>
        </w:tc>
        <w:tc>
          <w:tcPr>
            <w:tcW w:w="2693" w:type="dxa"/>
          </w:tcPr>
          <w:p w14:paraId="7E6D3AC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京东肯特瑞基金销售有限公司</w:t>
            </w:r>
          </w:p>
        </w:tc>
        <w:tc>
          <w:tcPr>
            <w:tcW w:w="5103" w:type="dxa"/>
          </w:tcPr>
          <w:p w14:paraId="3F73FAB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注册(办公)地址：北京市海淀区知春路76号(写字楼)1号楼4层1-7-2</w:t>
            </w:r>
          </w:p>
          <w:p w14:paraId="5F66416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客服电话：400 098 8511</w:t>
            </w:r>
          </w:p>
          <w:p w14:paraId="70E70C96"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公司网址：https://kenterui.jd.com/</w:t>
            </w:r>
          </w:p>
        </w:tc>
      </w:tr>
      <w:tr w:rsidR="00B67C49" w14:paraId="6A2D2359" w14:textId="77777777">
        <w:trPr>
          <w:trHeight w:val="14"/>
        </w:trPr>
        <w:tc>
          <w:tcPr>
            <w:tcW w:w="709" w:type="dxa"/>
          </w:tcPr>
          <w:p w14:paraId="691D7464"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6</w:t>
            </w:r>
          </w:p>
        </w:tc>
        <w:tc>
          <w:tcPr>
            <w:tcW w:w="2693" w:type="dxa"/>
          </w:tcPr>
          <w:p w14:paraId="2A070DC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北京虹点基金销售有限公司</w:t>
            </w:r>
          </w:p>
        </w:tc>
        <w:tc>
          <w:tcPr>
            <w:tcW w:w="5103" w:type="dxa"/>
          </w:tcPr>
          <w:p w14:paraId="6BA9336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注册（办公）地址：北京市朝阳区工人体育场北路甲</w:t>
            </w:r>
            <w:r>
              <w:rPr>
                <w:rFonts w:asciiTheme="minorEastAsia" w:hAnsiTheme="minorEastAsia" w:cs="Arial"/>
                <w:szCs w:val="21"/>
              </w:rPr>
              <w:t>2号裙房2层222单元</w:t>
            </w:r>
          </w:p>
          <w:p w14:paraId="552616F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400-618-0707</w:t>
            </w:r>
          </w:p>
          <w:p w14:paraId="314CCBA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http://www.hongdianfund.com/</w:t>
            </w:r>
          </w:p>
        </w:tc>
      </w:tr>
      <w:tr w:rsidR="00B67C49" w14:paraId="691B7C01" w14:textId="77777777">
        <w:trPr>
          <w:trHeight w:val="14"/>
        </w:trPr>
        <w:tc>
          <w:tcPr>
            <w:tcW w:w="709" w:type="dxa"/>
          </w:tcPr>
          <w:p w14:paraId="60B20631"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7</w:t>
            </w:r>
          </w:p>
        </w:tc>
        <w:tc>
          <w:tcPr>
            <w:tcW w:w="2693" w:type="dxa"/>
          </w:tcPr>
          <w:p w14:paraId="28A45F1E"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上海陆金</w:t>
            </w:r>
            <w:proofErr w:type="gramStart"/>
            <w:r>
              <w:rPr>
                <w:rFonts w:asciiTheme="minorEastAsia" w:hAnsiTheme="minorEastAsia" w:cs="Arial" w:hint="eastAsia"/>
                <w:szCs w:val="21"/>
              </w:rPr>
              <w:t>所基金</w:t>
            </w:r>
            <w:proofErr w:type="gramEnd"/>
            <w:r>
              <w:rPr>
                <w:rFonts w:asciiTheme="minorEastAsia" w:hAnsiTheme="minorEastAsia" w:cs="Arial" w:hint="eastAsia"/>
                <w:szCs w:val="21"/>
              </w:rPr>
              <w:t>销售有限公司</w:t>
            </w:r>
          </w:p>
        </w:tc>
        <w:tc>
          <w:tcPr>
            <w:tcW w:w="5103" w:type="dxa"/>
          </w:tcPr>
          <w:p w14:paraId="44E1C92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办公（办公）地址：中国（上海）自由贸易试验区源深路1088号7层</w:t>
            </w:r>
          </w:p>
          <w:p w14:paraId="24EED36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4008219031</w:t>
            </w:r>
          </w:p>
          <w:p w14:paraId="7931086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公司网址：</w:t>
            </w:r>
            <w:r>
              <w:rPr>
                <w:rFonts w:asciiTheme="minorEastAsia" w:hAnsiTheme="minorEastAsia" w:cs="Arial"/>
                <w:szCs w:val="21"/>
              </w:rPr>
              <w:t>www.lufunds.com</w:t>
            </w:r>
          </w:p>
        </w:tc>
      </w:tr>
      <w:tr w:rsidR="00B67C49" w14:paraId="01CFC210" w14:textId="77777777">
        <w:trPr>
          <w:trHeight w:val="14"/>
        </w:trPr>
        <w:tc>
          <w:tcPr>
            <w:tcW w:w="709" w:type="dxa"/>
          </w:tcPr>
          <w:p w14:paraId="5E711B7C"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8</w:t>
            </w:r>
          </w:p>
        </w:tc>
        <w:tc>
          <w:tcPr>
            <w:tcW w:w="2693" w:type="dxa"/>
          </w:tcPr>
          <w:p w14:paraId="34385E2E"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上海联泰资产管理有限公司</w:t>
            </w:r>
          </w:p>
        </w:tc>
        <w:tc>
          <w:tcPr>
            <w:tcW w:w="5103" w:type="dxa"/>
          </w:tcPr>
          <w:p w14:paraId="7181E765"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注册(办公)地址：上海市虹口区北外滩</w:t>
            </w:r>
            <w:proofErr w:type="gramStart"/>
            <w:r>
              <w:rPr>
                <w:rFonts w:asciiTheme="minorEastAsia" w:hAnsiTheme="minorEastAsia" w:cs="Arial" w:hint="eastAsia"/>
                <w:szCs w:val="21"/>
              </w:rPr>
              <w:t>临潼路</w:t>
            </w:r>
            <w:proofErr w:type="gramEnd"/>
            <w:r>
              <w:rPr>
                <w:rFonts w:asciiTheme="minorEastAsia" w:hAnsiTheme="minorEastAsia" w:cs="Arial" w:hint="eastAsia"/>
                <w:szCs w:val="21"/>
              </w:rPr>
              <w:t>188号</w:t>
            </w:r>
          </w:p>
          <w:p w14:paraId="1F9701F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客服电话：400-118-1188</w:t>
            </w:r>
          </w:p>
          <w:p w14:paraId="7F33D06C"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lastRenderedPageBreak/>
              <w:t>公司网址： https://www.66liantai.com/</w:t>
            </w:r>
          </w:p>
        </w:tc>
      </w:tr>
      <w:tr w:rsidR="00B67C49" w14:paraId="5B144096" w14:textId="77777777">
        <w:trPr>
          <w:trHeight w:val="14"/>
        </w:trPr>
        <w:tc>
          <w:tcPr>
            <w:tcW w:w="709" w:type="dxa"/>
          </w:tcPr>
          <w:p w14:paraId="1A5498FC"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lastRenderedPageBreak/>
              <w:t>9</w:t>
            </w:r>
          </w:p>
        </w:tc>
        <w:tc>
          <w:tcPr>
            <w:tcW w:w="2693" w:type="dxa"/>
          </w:tcPr>
          <w:p w14:paraId="3A7DC5B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深圳金斧子投资咨询有限公司</w:t>
            </w:r>
          </w:p>
        </w:tc>
        <w:tc>
          <w:tcPr>
            <w:tcW w:w="5103" w:type="dxa"/>
          </w:tcPr>
          <w:p w14:paraId="06175AAC"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注册(办公)地址：深圳市南山区粤海街道科技园社区科苑路15号科兴科学园B栋B3-1801</w:t>
            </w:r>
          </w:p>
          <w:p w14:paraId="48FE33C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客服电话：400-8224-888公司网址：</w:t>
            </w:r>
            <w:r>
              <w:rPr>
                <w:rFonts w:asciiTheme="minorEastAsia" w:hAnsiTheme="minorEastAsia" w:cs="Arial"/>
                <w:szCs w:val="21"/>
              </w:rPr>
              <w:t>www.jfzinv.com</w:t>
            </w:r>
          </w:p>
        </w:tc>
      </w:tr>
      <w:tr w:rsidR="00B67C49" w14:paraId="13FF5C7B" w14:textId="77777777">
        <w:trPr>
          <w:trHeight w:val="14"/>
        </w:trPr>
        <w:tc>
          <w:tcPr>
            <w:tcW w:w="709" w:type="dxa"/>
          </w:tcPr>
          <w:p w14:paraId="32FEB3A7"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10</w:t>
            </w:r>
          </w:p>
        </w:tc>
        <w:tc>
          <w:tcPr>
            <w:tcW w:w="2693" w:type="dxa"/>
          </w:tcPr>
          <w:p w14:paraId="703EDC7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上海天天基金销售有限公司</w:t>
            </w:r>
          </w:p>
        </w:tc>
        <w:tc>
          <w:tcPr>
            <w:tcW w:w="5103" w:type="dxa"/>
          </w:tcPr>
          <w:p w14:paraId="369DAAE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注册(办公)地址：上海市徐汇区宛平南路88号东方财富大厦</w:t>
            </w:r>
          </w:p>
          <w:p w14:paraId="59B27E1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客服电话：95021</w:t>
            </w:r>
          </w:p>
          <w:p w14:paraId="2F9C233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公司网址： fund.eastmoney.com</w:t>
            </w:r>
          </w:p>
        </w:tc>
      </w:tr>
      <w:tr w:rsidR="00B67C49" w14:paraId="103F91EF" w14:textId="77777777">
        <w:trPr>
          <w:trHeight w:val="14"/>
        </w:trPr>
        <w:tc>
          <w:tcPr>
            <w:tcW w:w="709" w:type="dxa"/>
          </w:tcPr>
          <w:p w14:paraId="468BA550"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11</w:t>
            </w:r>
          </w:p>
        </w:tc>
        <w:tc>
          <w:tcPr>
            <w:tcW w:w="2693" w:type="dxa"/>
          </w:tcPr>
          <w:p w14:paraId="7651C49A"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珠海盈米财富管理有限公司</w:t>
            </w:r>
          </w:p>
        </w:tc>
        <w:tc>
          <w:tcPr>
            <w:tcW w:w="5103" w:type="dxa"/>
          </w:tcPr>
          <w:p w14:paraId="39F0404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办公（办公）地址：广州市海</w:t>
            </w:r>
            <w:proofErr w:type="gramStart"/>
            <w:r>
              <w:rPr>
                <w:rFonts w:asciiTheme="minorEastAsia" w:hAnsiTheme="minorEastAsia" w:cs="Arial" w:hint="eastAsia"/>
                <w:szCs w:val="21"/>
              </w:rPr>
              <w:t>珠区阅江</w:t>
            </w:r>
            <w:proofErr w:type="gramEnd"/>
            <w:r>
              <w:rPr>
                <w:rFonts w:asciiTheme="minorEastAsia" w:hAnsiTheme="minorEastAsia" w:cs="Arial" w:hint="eastAsia"/>
                <w:szCs w:val="21"/>
              </w:rPr>
              <w:t>中路688号保利国际广场北塔33楼、8楼客户服务电话：</w:t>
            </w:r>
            <w:r>
              <w:rPr>
                <w:rFonts w:asciiTheme="minorEastAsia" w:hAnsiTheme="minorEastAsia" w:cs="Arial"/>
                <w:szCs w:val="21"/>
              </w:rPr>
              <w:t>020-89629066</w:t>
            </w:r>
          </w:p>
          <w:p w14:paraId="50DED93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hyperlink r:id="rId31" w:history="1">
              <w:r>
                <w:rPr>
                  <w:rFonts w:asciiTheme="minorEastAsia" w:hAnsiTheme="minorEastAsia" w:cs="Arial"/>
                  <w:szCs w:val="21"/>
                </w:rPr>
                <w:t>www.yingmi.cn</w:t>
              </w:r>
            </w:hyperlink>
          </w:p>
        </w:tc>
      </w:tr>
      <w:tr w:rsidR="00B67C49" w14:paraId="624358DC" w14:textId="77777777">
        <w:trPr>
          <w:trHeight w:val="14"/>
        </w:trPr>
        <w:tc>
          <w:tcPr>
            <w:tcW w:w="709" w:type="dxa"/>
          </w:tcPr>
          <w:p w14:paraId="71CE42D5"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12</w:t>
            </w:r>
          </w:p>
        </w:tc>
        <w:tc>
          <w:tcPr>
            <w:tcW w:w="2693" w:type="dxa"/>
          </w:tcPr>
          <w:p w14:paraId="10E6CA63"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上海长</w:t>
            </w:r>
            <w:proofErr w:type="gramStart"/>
            <w:r>
              <w:rPr>
                <w:rFonts w:asciiTheme="minorEastAsia" w:hAnsiTheme="minorEastAsia" w:cs="Arial" w:hint="eastAsia"/>
                <w:szCs w:val="21"/>
              </w:rPr>
              <w:t>量基金</w:t>
            </w:r>
            <w:proofErr w:type="gramEnd"/>
            <w:r>
              <w:rPr>
                <w:rFonts w:asciiTheme="minorEastAsia" w:hAnsiTheme="minorEastAsia" w:cs="Arial" w:hint="eastAsia"/>
                <w:szCs w:val="21"/>
              </w:rPr>
              <w:t>销售投资顾问有限公司</w:t>
            </w:r>
          </w:p>
        </w:tc>
        <w:tc>
          <w:tcPr>
            <w:tcW w:w="5103" w:type="dxa"/>
          </w:tcPr>
          <w:p w14:paraId="00EEE5C0"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办公地址：上海市浦东新区东方路1267号陆家嘴金融服务广场二期11层</w:t>
            </w:r>
          </w:p>
          <w:p w14:paraId="67F0A98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400-820-2899</w:t>
            </w:r>
          </w:p>
          <w:p w14:paraId="16A565E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 xml:space="preserve"> www.erichfund.com</w:t>
            </w:r>
          </w:p>
        </w:tc>
      </w:tr>
      <w:tr w:rsidR="00B67C49" w14:paraId="4453865A" w14:textId="77777777">
        <w:trPr>
          <w:trHeight w:val="14"/>
        </w:trPr>
        <w:tc>
          <w:tcPr>
            <w:tcW w:w="709" w:type="dxa"/>
          </w:tcPr>
          <w:p w14:paraId="4CB4D91F"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13</w:t>
            </w:r>
          </w:p>
        </w:tc>
        <w:tc>
          <w:tcPr>
            <w:tcW w:w="2693" w:type="dxa"/>
          </w:tcPr>
          <w:p w14:paraId="50FA5500"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北京汇成基金销售有限公司</w:t>
            </w:r>
          </w:p>
        </w:tc>
        <w:tc>
          <w:tcPr>
            <w:tcW w:w="5103" w:type="dxa"/>
          </w:tcPr>
          <w:p w14:paraId="2E9BB99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w:t>
            </w:r>
            <w:r>
              <w:rPr>
                <w:rFonts w:asciiTheme="minorEastAsia" w:hAnsiTheme="minorEastAsia" w:cs="Arial" w:hint="eastAsia"/>
                <w:szCs w:val="21"/>
              </w:rPr>
              <w:t>北京市西城区宣武门外大街甲</w:t>
            </w:r>
            <w:r>
              <w:rPr>
                <w:rFonts w:asciiTheme="minorEastAsia" w:hAnsiTheme="minorEastAsia" w:cs="Arial"/>
                <w:szCs w:val="21"/>
              </w:rPr>
              <w:t>1号</w:t>
            </w:r>
            <w:proofErr w:type="gramStart"/>
            <w:r>
              <w:rPr>
                <w:rFonts w:asciiTheme="minorEastAsia" w:hAnsiTheme="minorEastAsia" w:cs="Arial" w:hint="eastAsia"/>
                <w:szCs w:val="21"/>
              </w:rPr>
              <w:t>环球财讯中心</w:t>
            </w:r>
            <w:proofErr w:type="gramEnd"/>
            <w:r>
              <w:rPr>
                <w:rFonts w:asciiTheme="minorEastAsia" w:hAnsiTheme="minorEastAsia" w:cs="Arial"/>
                <w:szCs w:val="21"/>
              </w:rPr>
              <w:t>D座401</w:t>
            </w:r>
          </w:p>
          <w:p w14:paraId="272ABDFA"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400-055-5728</w:t>
            </w:r>
          </w:p>
          <w:p w14:paraId="2DC6F28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www.hcjijin.com</w:t>
            </w:r>
          </w:p>
        </w:tc>
      </w:tr>
      <w:tr w:rsidR="00B67C49" w14:paraId="0CFF8373" w14:textId="77777777">
        <w:trPr>
          <w:trHeight w:val="14"/>
        </w:trPr>
        <w:tc>
          <w:tcPr>
            <w:tcW w:w="709" w:type="dxa"/>
          </w:tcPr>
          <w:p w14:paraId="53560BF4"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14</w:t>
            </w:r>
          </w:p>
        </w:tc>
        <w:tc>
          <w:tcPr>
            <w:tcW w:w="2693" w:type="dxa"/>
          </w:tcPr>
          <w:p w14:paraId="271560A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深圳市新兰德证券投资咨询有限公司</w:t>
            </w:r>
          </w:p>
        </w:tc>
        <w:tc>
          <w:tcPr>
            <w:tcW w:w="5103" w:type="dxa"/>
          </w:tcPr>
          <w:p w14:paraId="7A29349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注册(办公)地址：深圳市福田区梅林</w:t>
            </w:r>
            <w:proofErr w:type="gramStart"/>
            <w:r>
              <w:rPr>
                <w:rFonts w:asciiTheme="minorEastAsia" w:hAnsiTheme="minorEastAsia" w:cs="Arial" w:hint="eastAsia"/>
                <w:szCs w:val="21"/>
              </w:rPr>
              <w:t>街道梅都社区</w:t>
            </w:r>
            <w:proofErr w:type="gramEnd"/>
            <w:r>
              <w:rPr>
                <w:rFonts w:asciiTheme="minorEastAsia" w:hAnsiTheme="minorEastAsia" w:cs="Arial" w:hint="eastAsia"/>
                <w:szCs w:val="21"/>
              </w:rPr>
              <w:t>中康路136号深圳新一代产业园2栋3401</w:t>
            </w:r>
          </w:p>
          <w:p w14:paraId="19D45E5A"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客服电话：010-83275199</w:t>
            </w:r>
            <w:r>
              <w:rPr>
                <w:rFonts w:asciiTheme="minorEastAsia" w:hAnsiTheme="minorEastAsia" w:cs="Arial" w:hint="eastAsia"/>
                <w:szCs w:val="21"/>
              </w:rPr>
              <w:tab/>
            </w:r>
          </w:p>
          <w:p w14:paraId="03346B2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公司网址：http://www.new-rand.cn/</w:t>
            </w:r>
          </w:p>
        </w:tc>
      </w:tr>
      <w:tr w:rsidR="00B67C49" w14:paraId="7C56568C" w14:textId="77777777">
        <w:trPr>
          <w:trHeight w:val="14"/>
        </w:trPr>
        <w:tc>
          <w:tcPr>
            <w:tcW w:w="709" w:type="dxa"/>
          </w:tcPr>
          <w:p w14:paraId="416282CF"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15</w:t>
            </w:r>
          </w:p>
        </w:tc>
        <w:tc>
          <w:tcPr>
            <w:tcW w:w="2693" w:type="dxa"/>
          </w:tcPr>
          <w:p w14:paraId="7B411A3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济安财富（北京）基金销售有限公司</w:t>
            </w:r>
          </w:p>
        </w:tc>
        <w:tc>
          <w:tcPr>
            <w:tcW w:w="5103" w:type="dxa"/>
          </w:tcPr>
          <w:p w14:paraId="0B98083A"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注册(办公)地址：北京市朝阳区太阳宫中路16号院1号</w:t>
            </w:r>
            <w:proofErr w:type="gramStart"/>
            <w:r>
              <w:rPr>
                <w:rFonts w:asciiTheme="minorEastAsia" w:hAnsiTheme="minorEastAsia" w:cs="Arial" w:hint="eastAsia"/>
                <w:szCs w:val="21"/>
              </w:rPr>
              <w:t>楼冠捷大厦</w:t>
            </w:r>
            <w:proofErr w:type="gramEnd"/>
            <w:r>
              <w:rPr>
                <w:rFonts w:asciiTheme="minorEastAsia" w:hAnsiTheme="minorEastAsia" w:cs="Arial" w:hint="eastAsia"/>
                <w:szCs w:val="21"/>
              </w:rPr>
              <w:t>3层307单元</w:t>
            </w:r>
          </w:p>
          <w:p w14:paraId="628054F0"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客户服务电话：400-673-7010</w:t>
            </w:r>
          </w:p>
          <w:p w14:paraId="70475A0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网址：http://www.jianfortune.com/</w:t>
            </w:r>
          </w:p>
        </w:tc>
      </w:tr>
      <w:tr w:rsidR="00B67C49" w14:paraId="29AB8BFA" w14:textId="77777777">
        <w:trPr>
          <w:trHeight w:val="14"/>
        </w:trPr>
        <w:tc>
          <w:tcPr>
            <w:tcW w:w="709" w:type="dxa"/>
          </w:tcPr>
          <w:p w14:paraId="1743311F"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16</w:t>
            </w:r>
          </w:p>
        </w:tc>
        <w:tc>
          <w:tcPr>
            <w:tcW w:w="2693" w:type="dxa"/>
          </w:tcPr>
          <w:p w14:paraId="07C03A46"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民</w:t>
            </w:r>
            <w:proofErr w:type="gramStart"/>
            <w:r>
              <w:rPr>
                <w:rFonts w:asciiTheme="minorEastAsia" w:hAnsiTheme="minorEastAsia" w:cs="Arial" w:hint="eastAsia"/>
                <w:szCs w:val="21"/>
              </w:rPr>
              <w:t>商基金</w:t>
            </w:r>
            <w:proofErr w:type="gramEnd"/>
            <w:r>
              <w:rPr>
                <w:rFonts w:asciiTheme="minorEastAsia" w:hAnsiTheme="minorEastAsia" w:cs="Arial" w:hint="eastAsia"/>
                <w:szCs w:val="21"/>
              </w:rPr>
              <w:t>销售（上海）有限公司</w:t>
            </w:r>
          </w:p>
        </w:tc>
        <w:tc>
          <w:tcPr>
            <w:tcW w:w="5103" w:type="dxa"/>
          </w:tcPr>
          <w:p w14:paraId="748831E5"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注册(办公)地址：上海市浦东新区张扬路707号生命人寿大厦32楼</w:t>
            </w:r>
          </w:p>
          <w:p w14:paraId="27EF0D50"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客户服务电话：021-50206003</w:t>
            </w:r>
          </w:p>
          <w:p w14:paraId="18DE77E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 www.msftec.com/</w:t>
            </w:r>
          </w:p>
        </w:tc>
      </w:tr>
      <w:tr w:rsidR="00B67C49" w14:paraId="34F49543" w14:textId="77777777">
        <w:trPr>
          <w:trHeight w:val="14"/>
        </w:trPr>
        <w:tc>
          <w:tcPr>
            <w:tcW w:w="709" w:type="dxa"/>
          </w:tcPr>
          <w:p w14:paraId="3525B73C"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17</w:t>
            </w:r>
          </w:p>
        </w:tc>
        <w:tc>
          <w:tcPr>
            <w:tcW w:w="2693" w:type="dxa"/>
          </w:tcPr>
          <w:p w14:paraId="02F3423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大连</w:t>
            </w:r>
            <w:proofErr w:type="gramStart"/>
            <w:r>
              <w:rPr>
                <w:rFonts w:asciiTheme="minorEastAsia" w:hAnsiTheme="minorEastAsia" w:cs="Arial" w:hint="eastAsia"/>
                <w:szCs w:val="21"/>
              </w:rPr>
              <w:t>网金基金</w:t>
            </w:r>
            <w:proofErr w:type="gramEnd"/>
            <w:r>
              <w:rPr>
                <w:rFonts w:asciiTheme="minorEastAsia" w:hAnsiTheme="minorEastAsia" w:cs="Arial" w:hint="eastAsia"/>
                <w:szCs w:val="21"/>
              </w:rPr>
              <w:t>销售有限公司</w:t>
            </w:r>
          </w:p>
        </w:tc>
        <w:tc>
          <w:tcPr>
            <w:tcW w:w="5103" w:type="dxa"/>
          </w:tcPr>
          <w:p w14:paraId="49408535"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w:t>
            </w:r>
            <w:r>
              <w:rPr>
                <w:rFonts w:asciiTheme="minorEastAsia" w:hAnsiTheme="minorEastAsia" w:cs="Arial" w:hint="eastAsia"/>
                <w:szCs w:val="21"/>
              </w:rPr>
              <w:t>办公</w:t>
            </w:r>
            <w:r>
              <w:rPr>
                <w:rFonts w:asciiTheme="minorEastAsia" w:hAnsiTheme="minorEastAsia" w:cs="Arial"/>
                <w:szCs w:val="21"/>
              </w:rPr>
              <w:t>)</w:t>
            </w:r>
            <w:r>
              <w:rPr>
                <w:rFonts w:asciiTheme="minorEastAsia" w:hAnsiTheme="minorEastAsia" w:cs="Arial" w:hint="eastAsia"/>
                <w:szCs w:val="21"/>
              </w:rPr>
              <w:t>地址：辽宁省大连市沙河口区体坛路22号诺德大厦2层202室</w:t>
            </w:r>
          </w:p>
          <w:p w14:paraId="4B432FCD"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4000-899-100</w:t>
            </w:r>
          </w:p>
          <w:p w14:paraId="6B8DAB6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xml:space="preserve"> http://www.yibaijin.com/</w:t>
            </w:r>
          </w:p>
        </w:tc>
      </w:tr>
      <w:tr w:rsidR="00B67C49" w14:paraId="62EE66A5" w14:textId="77777777">
        <w:trPr>
          <w:trHeight w:val="14"/>
        </w:trPr>
        <w:tc>
          <w:tcPr>
            <w:tcW w:w="709" w:type="dxa"/>
          </w:tcPr>
          <w:p w14:paraId="260EE9E8"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18</w:t>
            </w:r>
          </w:p>
        </w:tc>
        <w:tc>
          <w:tcPr>
            <w:tcW w:w="2693" w:type="dxa"/>
          </w:tcPr>
          <w:p w14:paraId="25303676"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深圳</w:t>
            </w:r>
            <w:proofErr w:type="gramStart"/>
            <w:r>
              <w:rPr>
                <w:rFonts w:asciiTheme="minorEastAsia" w:hAnsiTheme="minorEastAsia" w:cs="Arial" w:hint="eastAsia"/>
                <w:szCs w:val="21"/>
              </w:rPr>
              <w:t>众禄基金</w:t>
            </w:r>
            <w:proofErr w:type="gramEnd"/>
            <w:r>
              <w:rPr>
                <w:rFonts w:asciiTheme="minorEastAsia" w:hAnsiTheme="minorEastAsia" w:cs="Arial" w:hint="eastAsia"/>
                <w:szCs w:val="21"/>
              </w:rPr>
              <w:t>销售股份有限公司</w:t>
            </w:r>
          </w:p>
        </w:tc>
        <w:tc>
          <w:tcPr>
            <w:tcW w:w="5103" w:type="dxa"/>
          </w:tcPr>
          <w:p w14:paraId="45A603CA"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注册（办公）地址：深圳市罗湖区梨园路Halo广场4楼客户服务电话：</w:t>
            </w:r>
            <w:r>
              <w:rPr>
                <w:rFonts w:asciiTheme="minorEastAsia" w:hAnsiTheme="minorEastAsia" w:cs="Arial"/>
                <w:szCs w:val="21"/>
              </w:rPr>
              <w:t>4006-788-887</w:t>
            </w:r>
          </w:p>
          <w:p w14:paraId="0CEC3BB2"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网址：</w:t>
            </w:r>
            <w:proofErr w:type="gramStart"/>
            <w:r>
              <w:rPr>
                <w:rFonts w:asciiTheme="minorEastAsia" w:hAnsiTheme="minorEastAsia" w:cs="Arial" w:hint="eastAsia"/>
                <w:szCs w:val="21"/>
              </w:rPr>
              <w:t>众禄基金</w:t>
            </w:r>
            <w:proofErr w:type="gramEnd"/>
            <w:r>
              <w:rPr>
                <w:rFonts w:asciiTheme="minorEastAsia" w:hAnsiTheme="minorEastAsia" w:cs="Arial" w:hint="eastAsia"/>
                <w:szCs w:val="21"/>
              </w:rPr>
              <w:t>网</w:t>
            </w:r>
            <w:r>
              <w:rPr>
                <w:rFonts w:asciiTheme="minorEastAsia" w:hAnsiTheme="minorEastAsia" w:cs="Arial"/>
                <w:szCs w:val="21"/>
              </w:rPr>
              <w:t xml:space="preserve"> </w:t>
            </w:r>
            <w:hyperlink r:id="rId32" w:history="1">
              <w:r>
                <w:rPr>
                  <w:rFonts w:asciiTheme="minorEastAsia" w:hAnsiTheme="minorEastAsia" w:cs="Arial"/>
                  <w:szCs w:val="21"/>
                </w:rPr>
                <w:t>www.zlfund.cn</w:t>
              </w:r>
            </w:hyperlink>
          </w:p>
          <w:p w14:paraId="5DBAD0F0"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基金</w:t>
            </w:r>
            <w:proofErr w:type="gramStart"/>
            <w:r>
              <w:rPr>
                <w:rFonts w:asciiTheme="minorEastAsia" w:hAnsiTheme="minorEastAsia" w:cs="Arial" w:hint="eastAsia"/>
                <w:szCs w:val="21"/>
              </w:rPr>
              <w:t>买卖网</w:t>
            </w:r>
            <w:proofErr w:type="gramEnd"/>
            <w:r>
              <w:rPr>
                <w:rFonts w:asciiTheme="minorEastAsia" w:hAnsiTheme="minorEastAsia" w:cs="Arial"/>
                <w:szCs w:val="21"/>
              </w:rPr>
              <w:t xml:space="preserve"> </w:t>
            </w:r>
            <w:hyperlink r:id="rId33" w:history="1">
              <w:r>
                <w:rPr>
                  <w:rFonts w:asciiTheme="minorEastAsia" w:hAnsiTheme="minorEastAsia" w:cs="Arial"/>
                  <w:szCs w:val="21"/>
                </w:rPr>
                <w:t>www.jjmmw.com</w:t>
              </w:r>
            </w:hyperlink>
          </w:p>
        </w:tc>
      </w:tr>
      <w:tr w:rsidR="00B67C49" w14:paraId="2786F537" w14:textId="77777777">
        <w:trPr>
          <w:trHeight w:val="14"/>
        </w:trPr>
        <w:tc>
          <w:tcPr>
            <w:tcW w:w="709" w:type="dxa"/>
          </w:tcPr>
          <w:p w14:paraId="6EE4B183"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19</w:t>
            </w:r>
          </w:p>
        </w:tc>
        <w:tc>
          <w:tcPr>
            <w:tcW w:w="2693" w:type="dxa"/>
          </w:tcPr>
          <w:p w14:paraId="567AEC2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北京雪球基金销售有限公司</w:t>
            </w:r>
          </w:p>
          <w:p w14:paraId="44C317F2" w14:textId="77777777" w:rsidR="00B67C49" w:rsidRDefault="00B67C49">
            <w:pPr>
              <w:snapToGrid w:val="0"/>
              <w:ind w:firstLineChars="200" w:firstLine="420"/>
              <w:rPr>
                <w:rFonts w:asciiTheme="minorEastAsia" w:hAnsiTheme="minorEastAsia" w:cs="Arial"/>
                <w:szCs w:val="21"/>
              </w:rPr>
            </w:pPr>
          </w:p>
        </w:tc>
        <w:tc>
          <w:tcPr>
            <w:tcW w:w="5103" w:type="dxa"/>
          </w:tcPr>
          <w:p w14:paraId="0B7A6F1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注册（办公）地址：北京市朝阳区创远路34号院6号楼15层1501室</w:t>
            </w:r>
          </w:p>
          <w:p w14:paraId="7304867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客户服务电话：400-159-9288</w:t>
            </w:r>
          </w:p>
          <w:p w14:paraId="0FA77D8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hyperlink r:id="rId34" w:history="1">
              <w:r>
                <w:rPr>
                  <w:rFonts w:asciiTheme="minorEastAsia" w:hAnsiTheme="minorEastAsia" w:cs="Arial"/>
                  <w:szCs w:val="21"/>
                </w:rPr>
                <w:t>http://danjuanapp.com/</w:t>
              </w:r>
            </w:hyperlink>
          </w:p>
        </w:tc>
      </w:tr>
      <w:tr w:rsidR="00B67C49" w14:paraId="2C3329CA" w14:textId="77777777">
        <w:trPr>
          <w:trHeight w:val="14"/>
        </w:trPr>
        <w:tc>
          <w:tcPr>
            <w:tcW w:w="709" w:type="dxa"/>
          </w:tcPr>
          <w:p w14:paraId="7F7A04A9"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20</w:t>
            </w:r>
          </w:p>
        </w:tc>
        <w:tc>
          <w:tcPr>
            <w:tcW w:w="2693" w:type="dxa"/>
          </w:tcPr>
          <w:p w14:paraId="0711C4C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w:t>
            </w:r>
            <w:r>
              <w:rPr>
                <w:rFonts w:asciiTheme="minorEastAsia" w:hAnsiTheme="minorEastAsia" w:cs="Arial"/>
                <w:szCs w:val="21"/>
              </w:rPr>
              <w:t>挖财基金销售有限公司</w:t>
            </w:r>
          </w:p>
        </w:tc>
        <w:tc>
          <w:tcPr>
            <w:tcW w:w="5103" w:type="dxa"/>
          </w:tcPr>
          <w:p w14:paraId="4FB5CF3E"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高南路759号2号楼18层03单元</w:t>
            </w:r>
          </w:p>
          <w:p w14:paraId="0CDC610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客户服务电话：021-50810673</w:t>
            </w:r>
          </w:p>
          <w:p w14:paraId="7D832BC5"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 </w:t>
            </w:r>
            <w:hyperlink r:id="rId35" w:history="1">
              <w:r>
                <w:rPr>
                  <w:rFonts w:asciiTheme="minorEastAsia" w:hAnsiTheme="minorEastAsia" w:cs="Arial"/>
                  <w:szCs w:val="21"/>
                </w:rPr>
                <w:t>www.wacaijijin.com</w:t>
              </w:r>
            </w:hyperlink>
          </w:p>
        </w:tc>
      </w:tr>
      <w:tr w:rsidR="00B67C49" w14:paraId="568EC97B" w14:textId="77777777">
        <w:trPr>
          <w:trHeight w:val="14"/>
        </w:trPr>
        <w:tc>
          <w:tcPr>
            <w:tcW w:w="709" w:type="dxa"/>
          </w:tcPr>
          <w:p w14:paraId="41D702B9"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21</w:t>
            </w:r>
          </w:p>
        </w:tc>
        <w:tc>
          <w:tcPr>
            <w:tcW w:w="2693" w:type="dxa"/>
          </w:tcPr>
          <w:p w14:paraId="709052F6"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诺亚正</w:t>
            </w:r>
            <w:proofErr w:type="gramStart"/>
            <w:r>
              <w:rPr>
                <w:rFonts w:asciiTheme="minorEastAsia" w:hAnsiTheme="minorEastAsia" w:cs="Arial" w:hint="eastAsia"/>
                <w:szCs w:val="21"/>
              </w:rPr>
              <w:t>行基金</w:t>
            </w:r>
            <w:proofErr w:type="gramEnd"/>
            <w:r>
              <w:rPr>
                <w:rFonts w:asciiTheme="minorEastAsia" w:hAnsiTheme="minorEastAsia" w:cs="Arial" w:hint="eastAsia"/>
                <w:szCs w:val="21"/>
              </w:rPr>
              <w:t>销售有限公司</w:t>
            </w:r>
          </w:p>
        </w:tc>
        <w:tc>
          <w:tcPr>
            <w:tcW w:w="5103" w:type="dxa"/>
          </w:tcPr>
          <w:p w14:paraId="6BCBACD0"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注册(办公)地址：上海市</w:t>
            </w:r>
            <w:proofErr w:type="gramStart"/>
            <w:r>
              <w:rPr>
                <w:rFonts w:asciiTheme="minorEastAsia" w:hAnsiTheme="minorEastAsia" w:cs="Arial" w:hint="eastAsia"/>
                <w:szCs w:val="21"/>
              </w:rPr>
              <w:t>闵行区申滨南路</w:t>
            </w:r>
            <w:proofErr w:type="gramEnd"/>
            <w:r>
              <w:rPr>
                <w:rFonts w:asciiTheme="minorEastAsia" w:hAnsiTheme="minorEastAsia" w:cs="Arial" w:hint="eastAsia"/>
                <w:szCs w:val="21"/>
              </w:rPr>
              <w:t>1226号诺亚财富中心</w:t>
            </w:r>
          </w:p>
          <w:p w14:paraId="7FB194B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lastRenderedPageBreak/>
              <w:t>客户服务电话：400-821-5399</w:t>
            </w:r>
          </w:p>
          <w:p w14:paraId="5AA3BCCC"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www.noah-fund.com</w:t>
            </w:r>
          </w:p>
        </w:tc>
      </w:tr>
      <w:tr w:rsidR="00B67C49" w14:paraId="363B9CD2" w14:textId="77777777">
        <w:trPr>
          <w:trHeight w:val="14"/>
        </w:trPr>
        <w:tc>
          <w:tcPr>
            <w:tcW w:w="709" w:type="dxa"/>
          </w:tcPr>
          <w:p w14:paraId="3ED458B0"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lastRenderedPageBreak/>
              <w:t>22</w:t>
            </w:r>
          </w:p>
        </w:tc>
        <w:tc>
          <w:tcPr>
            <w:tcW w:w="2693" w:type="dxa"/>
          </w:tcPr>
          <w:p w14:paraId="735B2C1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w:t>
            </w:r>
            <w:proofErr w:type="gramStart"/>
            <w:r>
              <w:rPr>
                <w:rFonts w:asciiTheme="minorEastAsia" w:hAnsiTheme="minorEastAsia" w:cs="Arial" w:hint="eastAsia"/>
                <w:szCs w:val="21"/>
              </w:rPr>
              <w:t>凯</w:t>
            </w:r>
            <w:proofErr w:type="gramEnd"/>
            <w:r>
              <w:rPr>
                <w:rFonts w:asciiTheme="minorEastAsia" w:hAnsiTheme="minorEastAsia" w:cs="Arial" w:hint="eastAsia"/>
                <w:szCs w:val="21"/>
              </w:rPr>
              <w:t>石财富基金销售有限公司</w:t>
            </w:r>
          </w:p>
        </w:tc>
        <w:tc>
          <w:tcPr>
            <w:tcW w:w="5103" w:type="dxa"/>
          </w:tcPr>
          <w:p w14:paraId="0BB6FACC"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w:t>
            </w:r>
            <w:r>
              <w:rPr>
                <w:rFonts w:asciiTheme="minorEastAsia" w:hAnsiTheme="minorEastAsia" w:cs="Arial" w:hint="eastAsia"/>
                <w:szCs w:val="21"/>
              </w:rPr>
              <w:t>上海市黄浦区延安东路1号</w:t>
            </w:r>
            <w:proofErr w:type="gramStart"/>
            <w:r>
              <w:rPr>
                <w:rFonts w:asciiTheme="minorEastAsia" w:hAnsiTheme="minorEastAsia" w:cs="Arial" w:hint="eastAsia"/>
                <w:szCs w:val="21"/>
              </w:rPr>
              <w:t>凯石大厦</w:t>
            </w:r>
            <w:proofErr w:type="gramEnd"/>
            <w:r>
              <w:rPr>
                <w:rFonts w:asciiTheme="minorEastAsia" w:hAnsiTheme="minorEastAsia" w:cs="Arial" w:hint="eastAsia"/>
                <w:szCs w:val="21"/>
              </w:rPr>
              <w:t>客户服务电话：</w:t>
            </w:r>
            <w:r>
              <w:rPr>
                <w:rFonts w:asciiTheme="minorEastAsia" w:hAnsiTheme="minorEastAsia" w:cs="Arial"/>
                <w:szCs w:val="21"/>
              </w:rPr>
              <w:t>400-643-3389</w:t>
            </w:r>
          </w:p>
          <w:p w14:paraId="05C01D95"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www.vstonewealth.com</w:t>
            </w:r>
          </w:p>
        </w:tc>
      </w:tr>
      <w:tr w:rsidR="00B67C49" w14:paraId="5FE53060" w14:textId="77777777">
        <w:trPr>
          <w:trHeight w:val="14"/>
        </w:trPr>
        <w:tc>
          <w:tcPr>
            <w:tcW w:w="709" w:type="dxa"/>
          </w:tcPr>
          <w:p w14:paraId="27FBE6E7"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23</w:t>
            </w:r>
          </w:p>
        </w:tc>
        <w:tc>
          <w:tcPr>
            <w:tcW w:w="2693" w:type="dxa"/>
          </w:tcPr>
          <w:p w14:paraId="05D5F1C1" w14:textId="77777777" w:rsidR="00B67C49" w:rsidRDefault="00000000">
            <w:pPr>
              <w:snapToGrid w:val="0"/>
              <w:rPr>
                <w:rFonts w:asciiTheme="minorEastAsia" w:hAnsiTheme="minorEastAsia" w:cs="Arial"/>
                <w:szCs w:val="21"/>
              </w:rPr>
            </w:pPr>
            <w:proofErr w:type="gramStart"/>
            <w:r>
              <w:rPr>
                <w:rFonts w:asciiTheme="minorEastAsia" w:hAnsiTheme="minorEastAsia" w:cs="Arial" w:hint="eastAsia"/>
                <w:szCs w:val="21"/>
              </w:rPr>
              <w:t>泰信财富</w:t>
            </w:r>
            <w:proofErr w:type="gramEnd"/>
            <w:r>
              <w:rPr>
                <w:rFonts w:asciiTheme="minorEastAsia" w:hAnsiTheme="minorEastAsia" w:cs="Arial" w:hint="eastAsia"/>
                <w:szCs w:val="21"/>
              </w:rPr>
              <w:t>基金销售有限公司</w:t>
            </w:r>
          </w:p>
        </w:tc>
        <w:tc>
          <w:tcPr>
            <w:tcW w:w="5103" w:type="dxa"/>
          </w:tcPr>
          <w:p w14:paraId="7BA837AD" w14:textId="77777777" w:rsidR="00B67C49" w:rsidRDefault="00000000">
            <w:pPr>
              <w:snapToGrid w:val="0"/>
              <w:rPr>
                <w:rFonts w:asciiTheme="minorEastAsia" w:hAnsiTheme="minorEastAsia" w:cs="Arial"/>
                <w:szCs w:val="21"/>
              </w:rPr>
            </w:pPr>
            <w:r>
              <w:rPr>
                <w:rFonts w:asciiTheme="minorEastAsia" w:hAnsiTheme="minorEastAsia" w:cs="Arial" w:hint="eastAsia"/>
                <w:color w:val="000000"/>
                <w:szCs w:val="21"/>
              </w:rPr>
              <w:t>注册（办公）地址：北京市朝阳区建国</w:t>
            </w:r>
            <w:proofErr w:type="gramStart"/>
            <w:r>
              <w:rPr>
                <w:rFonts w:asciiTheme="minorEastAsia" w:hAnsiTheme="minorEastAsia" w:cs="Arial" w:hint="eastAsia"/>
                <w:szCs w:val="21"/>
              </w:rPr>
              <w:t>路乙</w:t>
            </w:r>
            <w:r>
              <w:rPr>
                <w:rFonts w:asciiTheme="minorEastAsia" w:hAnsiTheme="minorEastAsia" w:cs="Arial"/>
                <w:szCs w:val="21"/>
              </w:rPr>
              <w:t>118</w:t>
            </w:r>
            <w:r>
              <w:rPr>
                <w:rFonts w:asciiTheme="minorEastAsia" w:hAnsiTheme="minorEastAsia" w:cs="Arial" w:hint="eastAsia"/>
                <w:szCs w:val="21"/>
              </w:rPr>
              <w:t>号京汇</w:t>
            </w:r>
            <w:proofErr w:type="gramEnd"/>
            <w:r>
              <w:rPr>
                <w:rFonts w:asciiTheme="minorEastAsia" w:hAnsiTheme="minorEastAsia" w:cs="Arial" w:hint="eastAsia"/>
                <w:szCs w:val="21"/>
              </w:rPr>
              <w:t>大厦</w:t>
            </w:r>
            <w:r>
              <w:rPr>
                <w:rFonts w:asciiTheme="minorEastAsia" w:hAnsiTheme="minorEastAsia" w:cs="Arial"/>
                <w:szCs w:val="21"/>
              </w:rPr>
              <w:t>1206</w:t>
            </w:r>
          </w:p>
          <w:p w14:paraId="7F6CDB62"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 xml:space="preserve">400-004-8821 </w:t>
            </w:r>
          </w:p>
          <w:p w14:paraId="0E29426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hyperlink r:id="rId36" w:history="1">
              <w:r>
                <w:rPr>
                  <w:rFonts w:asciiTheme="minorEastAsia" w:hAnsiTheme="minorEastAsia" w:cs="Arial"/>
                  <w:szCs w:val="21"/>
                </w:rPr>
                <w:t>www.taixincf.com</w:t>
              </w:r>
            </w:hyperlink>
          </w:p>
        </w:tc>
      </w:tr>
      <w:tr w:rsidR="00B67C49" w14:paraId="340562F9" w14:textId="77777777">
        <w:trPr>
          <w:trHeight w:val="14"/>
        </w:trPr>
        <w:tc>
          <w:tcPr>
            <w:tcW w:w="709" w:type="dxa"/>
          </w:tcPr>
          <w:p w14:paraId="767DAD3C"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24</w:t>
            </w:r>
          </w:p>
        </w:tc>
        <w:tc>
          <w:tcPr>
            <w:tcW w:w="2693" w:type="dxa"/>
          </w:tcPr>
          <w:p w14:paraId="4E6BD93F"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上海利得基金销售有限公司</w:t>
            </w:r>
          </w:p>
        </w:tc>
        <w:tc>
          <w:tcPr>
            <w:tcW w:w="5103" w:type="dxa"/>
          </w:tcPr>
          <w:p w14:paraId="1A7A28DF"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注册（办公）地址：上海市虹口区东大名路1098号浦江国际金融广场53楼</w:t>
            </w:r>
          </w:p>
          <w:p w14:paraId="5B7EA47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客户服务电话：400-032-5885</w:t>
            </w:r>
          </w:p>
          <w:p w14:paraId="24783E93"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www.leadfund.com.cn</w:t>
            </w:r>
          </w:p>
        </w:tc>
      </w:tr>
      <w:tr w:rsidR="00B67C49" w14:paraId="47D3B47F" w14:textId="77777777">
        <w:trPr>
          <w:trHeight w:val="14"/>
        </w:trPr>
        <w:tc>
          <w:tcPr>
            <w:tcW w:w="709" w:type="dxa"/>
          </w:tcPr>
          <w:p w14:paraId="4DB2AE91"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25</w:t>
            </w:r>
          </w:p>
        </w:tc>
        <w:tc>
          <w:tcPr>
            <w:tcW w:w="2693" w:type="dxa"/>
          </w:tcPr>
          <w:p w14:paraId="5ADFCEC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南京苏宁基金销售有限公司</w:t>
            </w:r>
          </w:p>
        </w:tc>
        <w:tc>
          <w:tcPr>
            <w:tcW w:w="5103" w:type="dxa"/>
          </w:tcPr>
          <w:p w14:paraId="570CD44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(办公)地址 :南京市玄武区苏宁大道</w:t>
            </w:r>
            <w:r>
              <w:rPr>
                <w:rFonts w:asciiTheme="minorEastAsia" w:hAnsiTheme="minorEastAsia" w:cs="Arial" w:hint="eastAsia"/>
                <w:szCs w:val="21"/>
              </w:rPr>
              <w:t>1-5号</w:t>
            </w:r>
          </w:p>
          <w:p w14:paraId="2237964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95177</w:t>
            </w:r>
          </w:p>
          <w:p w14:paraId="498D2BBC"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www.snjijin.com</w:t>
            </w:r>
          </w:p>
        </w:tc>
      </w:tr>
      <w:tr w:rsidR="00B67C49" w14:paraId="64777853" w14:textId="77777777">
        <w:trPr>
          <w:trHeight w:val="14"/>
        </w:trPr>
        <w:tc>
          <w:tcPr>
            <w:tcW w:w="709" w:type="dxa"/>
          </w:tcPr>
          <w:p w14:paraId="1FC046E1"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26</w:t>
            </w:r>
          </w:p>
        </w:tc>
        <w:tc>
          <w:tcPr>
            <w:tcW w:w="2693" w:type="dxa"/>
          </w:tcPr>
          <w:p w14:paraId="2E6BD7F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中证金牛（北京）投资咨询有限公司</w:t>
            </w:r>
          </w:p>
        </w:tc>
        <w:tc>
          <w:tcPr>
            <w:tcW w:w="5103" w:type="dxa"/>
          </w:tcPr>
          <w:p w14:paraId="7A4806D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w:t>
            </w:r>
            <w:r>
              <w:rPr>
                <w:rFonts w:asciiTheme="minorEastAsia" w:hAnsiTheme="minorEastAsia" w:cs="Arial"/>
                <w:szCs w:val="21"/>
              </w:rPr>
              <w:t>:</w:t>
            </w:r>
            <w:r>
              <w:rPr>
                <w:rFonts w:hint="eastAsia"/>
              </w:rPr>
              <w:t xml:space="preserve"> </w:t>
            </w:r>
            <w:r>
              <w:rPr>
                <w:rFonts w:asciiTheme="minorEastAsia" w:hAnsiTheme="minorEastAsia" w:cs="Arial" w:hint="eastAsia"/>
                <w:szCs w:val="21"/>
              </w:rPr>
              <w:t>北京市宣武门外大街甲1号</w:t>
            </w:r>
            <w:proofErr w:type="gramStart"/>
            <w:r>
              <w:rPr>
                <w:rFonts w:asciiTheme="minorEastAsia" w:hAnsiTheme="minorEastAsia" w:cs="Arial" w:hint="eastAsia"/>
                <w:szCs w:val="21"/>
              </w:rPr>
              <w:t>环球财讯中心</w:t>
            </w:r>
            <w:proofErr w:type="gramEnd"/>
            <w:r>
              <w:rPr>
                <w:rFonts w:asciiTheme="minorEastAsia" w:hAnsiTheme="minorEastAsia" w:cs="Arial" w:hint="eastAsia"/>
                <w:szCs w:val="21"/>
              </w:rPr>
              <w:t>A座4层</w:t>
            </w:r>
          </w:p>
          <w:p w14:paraId="383BABE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4008-909-998</w:t>
            </w:r>
          </w:p>
          <w:p w14:paraId="643F1E3A"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www.jnlc.com</w:t>
            </w:r>
          </w:p>
        </w:tc>
      </w:tr>
      <w:tr w:rsidR="00B67C49" w14:paraId="754DAE4A" w14:textId="77777777">
        <w:trPr>
          <w:trHeight w:val="14"/>
        </w:trPr>
        <w:tc>
          <w:tcPr>
            <w:tcW w:w="709" w:type="dxa"/>
          </w:tcPr>
          <w:p w14:paraId="564FFF83"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27</w:t>
            </w:r>
          </w:p>
        </w:tc>
        <w:tc>
          <w:tcPr>
            <w:tcW w:w="2693" w:type="dxa"/>
          </w:tcPr>
          <w:p w14:paraId="560A2BF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江苏汇林保大基金销售有限公司</w:t>
            </w:r>
          </w:p>
        </w:tc>
        <w:tc>
          <w:tcPr>
            <w:tcW w:w="5103" w:type="dxa"/>
          </w:tcPr>
          <w:p w14:paraId="5F467C3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地址:</w:t>
            </w:r>
            <w:r>
              <w:rPr>
                <w:rFonts w:asciiTheme="minorEastAsia" w:hAnsiTheme="minorEastAsia" w:cs="Arial" w:hint="eastAsia"/>
                <w:szCs w:val="21"/>
              </w:rPr>
              <w:t>南京市高淳区经济开发区古檀大道</w:t>
            </w:r>
            <w:r>
              <w:rPr>
                <w:rFonts w:asciiTheme="minorEastAsia" w:hAnsiTheme="minorEastAsia" w:cs="Arial"/>
                <w:szCs w:val="21"/>
              </w:rPr>
              <w:t>47号</w:t>
            </w:r>
          </w:p>
          <w:p w14:paraId="2E18857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025-66046166</w:t>
            </w:r>
          </w:p>
          <w:p w14:paraId="7DC47872"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www.huilinbd.com</w:t>
            </w:r>
          </w:p>
        </w:tc>
      </w:tr>
      <w:tr w:rsidR="00B67C49" w14:paraId="32EDD54E" w14:textId="77777777">
        <w:trPr>
          <w:trHeight w:val="14"/>
        </w:trPr>
        <w:tc>
          <w:tcPr>
            <w:tcW w:w="709" w:type="dxa"/>
          </w:tcPr>
          <w:p w14:paraId="402436E8"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28</w:t>
            </w:r>
          </w:p>
        </w:tc>
        <w:tc>
          <w:tcPr>
            <w:tcW w:w="2693" w:type="dxa"/>
          </w:tcPr>
          <w:p w14:paraId="485B3D05" w14:textId="77777777" w:rsidR="00B67C49" w:rsidRDefault="00000000">
            <w:pPr>
              <w:snapToGrid w:val="0"/>
              <w:rPr>
                <w:rFonts w:asciiTheme="minorEastAsia" w:hAnsiTheme="minorEastAsia" w:cs="Arial"/>
                <w:szCs w:val="21"/>
              </w:rPr>
            </w:pPr>
            <w:proofErr w:type="gramStart"/>
            <w:r>
              <w:rPr>
                <w:rFonts w:asciiTheme="minorEastAsia" w:hAnsiTheme="minorEastAsia" w:cs="Arial" w:hint="eastAsia"/>
                <w:szCs w:val="21"/>
              </w:rPr>
              <w:t>玄元保险</w:t>
            </w:r>
            <w:proofErr w:type="gramEnd"/>
            <w:r>
              <w:rPr>
                <w:rFonts w:asciiTheme="minorEastAsia" w:hAnsiTheme="minorEastAsia" w:cs="Arial" w:hint="eastAsia"/>
                <w:szCs w:val="21"/>
              </w:rPr>
              <w:t>代理有限公司</w:t>
            </w:r>
          </w:p>
        </w:tc>
        <w:tc>
          <w:tcPr>
            <w:tcW w:w="5103" w:type="dxa"/>
          </w:tcPr>
          <w:p w14:paraId="6F40C16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 xml:space="preserve">地址: </w:t>
            </w:r>
            <w:r>
              <w:rPr>
                <w:rFonts w:asciiTheme="minorEastAsia" w:hAnsiTheme="minorEastAsia" w:cs="Arial" w:hint="eastAsia"/>
                <w:szCs w:val="21"/>
              </w:rPr>
              <w:t>中国（上海）自由贸易试验区张杨路</w:t>
            </w:r>
            <w:r>
              <w:rPr>
                <w:rFonts w:asciiTheme="minorEastAsia" w:hAnsiTheme="minorEastAsia" w:cs="Arial"/>
                <w:szCs w:val="21"/>
              </w:rPr>
              <w:t>707</w:t>
            </w:r>
            <w:r>
              <w:rPr>
                <w:rFonts w:asciiTheme="minorEastAsia" w:hAnsiTheme="minorEastAsia" w:cs="Arial" w:hint="eastAsia"/>
                <w:szCs w:val="21"/>
              </w:rPr>
              <w:t>号</w:t>
            </w:r>
            <w:r>
              <w:rPr>
                <w:rFonts w:asciiTheme="minorEastAsia" w:hAnsiTheme="minorEastAsia" w:cs="Arial"/>
                <w:szCs w:val="21"/>
              </w:rPr>
              <w:t>1105</w:t>
            </w:r>
            <w:r>
              <w:rPr>
                <w:rFonts w:asciiTheme="minorEastAsia" w:hAnsiTheme="minorEastAsia" w:cs="Arial" w:hint="eastAsia"/>
                <w:szCs w:val="21"/>
              </w:rPr>
              <w:t>室</w:t>
            </w:r>
          </w:p>
          <w:p w14:paraId="22479AE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4000808208</w:t>
            </w:r>
          </w:p>
          <w:p w14:paraId="300E62B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www.licaimofang.cn</w:t>
            </w:r>
          </w:p>
        </w:tc>
      </w:tr>
      <w:tr w:rsidR="00B67C49" w14:paraId="2100508E" w14:textId="77777777">
        <w:trPr>
          <w:trHeight w:val="14"/>
        </w:trPr>
        <w:tc>
          <w:tcPr>
            <w:tcW w:w="709" w:type="dxa"/>
          </w:tcPr>
          <w:p w14:paraId="691CEE78"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29</w:t>
            </w:r>
          </w:p>
        </w:tc>
        <w:tc>
          <w:tcPr>
            <w:tcW w:w="2693" w:type="dxa"/>
          </w:tcPr>
          <w:p w14:paraId="15F56955" w14:textId="77777777" w:rsidR="00B67C49" w:rsidRDefault="00000000">
            <w:pPr>
              <w:snapToGrid w:val="0"/>
              <w:rPr>
                <w:rFonts w:asciiTheme="minorEastAsia" w:hAnsiTheme="minorEastAsia" w:cs="Arial"/>
                <w:szCs w:val="21"/>
              </w:rPr>
            </w:pPr>
            <w:proofErr w:type="gramStart"/>
            <w:r>
              <w:rPr>
                <w:rFonts w:asciiTheme="minorEastAsia" w:hAnsiTheme="minorEastAsia" w:cs="Arial" w:hint="eastAsia"/>
                <w:szCs w:val="21"/>
              </w:rPr>
              <w:t>宜信普</w:t>
            </w:r>
            <w:proofErr w:type="gramEnd"/>
            <w:r>
              <w:rPr>
                <w:rFonts w:asciiTheme="minorEastAsia" w:hAnsiTheme="minorEastAsia" w:cs="Arial" w:hint="eastAsia"/>
                <w:szCs w:val="21"/>
              </w:rPr>
              <w:t>泽（北京）基金销售有限公司</w:t>
            </w:r>
          </w:p>
        </w:tc>
        <w:tc>
          <w:tcPr>
            <w:tcW w:w="5103" w:type="dxa"/>
          </w:tcPr>
          <w:p w14:paraId="02D69F66"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 xml:space="preserve">地址: </w:t>
            </w:r>
            <w:r>
              <w:rPr>
                <w:rFonts w:asciiTheme="minorEastAsia" w:hAnsiTheme="minorEastAsia" w:cs="Arial" w:hint="eastAsia"/>
                <w:szCs w:val="21"/>
              </w:rPr>
              <w:t>北京市</w:t>
            </w:r>
            <w:r>
              <w:rPr>
                <w:rFonts w:asciiTheme="minorEastAsia" w:hAnsiTheme="minorEastAsia" w:cs="Arial"/>
                <w:szCs w:val="21"/>
              </w:rPr>
              <w:t>朝阳区建国路88号9号楼15层1809</w:t>
            </w:r>
          </w:p>
          <w:p w14:paraId="7EADC466"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4006099200</w:t>
            </w:r>
          </w:p>
          <w:p w14:paraId="6B546DAC"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http://www.yixinfund.com/</w:t>
            </w:r>
          </w:p>
        </w:tc>
      </w:tr>
      <w:tr w:rsidR="00B67C49" w14:paraId="53120423" w14:textId="77777777">
        <w:trPr>
          <w:trHeight w:val="14"/>
        </w:trPr>
        <w:tc>
          <w:tcPr>
            <w:tcW w:w="709" w:type="dxa"/>
          </w:tcPr>
          <w:p w14:paraId="241F0ECF"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30</w:t>
            </w:r>
          </w:p>
        </w:tc>
        <w:tc>
          <w:tcPr>
            <w:tcW w:w="2693" w:type="dxa"/>
          </w:tcPr>
          <w:p w14:paraId="5687F00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喜鹊财富基金销售有限公司</w:t>
            </w:r>
          </w:p>
        </w:tc>
        <w:tc>
          <w:tcPr>
            <w:tcW w:w="5103" w:type="dxa"/>
          </w:tcPr>
          <w:p w14:paraId="380FBAF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w:t>
            </w:r>
            <w:r>
              <w:rPr>
                <w:rFonts w:asciiTheme="minorEastAsia" w:hAnsiTheme="minorEastAsia" w:cs="Arial"/>
                <w:szCs w:val="21"/>
              </w:rPr>
              <w:t xml:space="preserve">地址: </w:t>
            </w:r>
            <w:r>
              <w:rPr>
                <w:rFonts w:asciiTheme="minorEastAsia" w:hAnsiTheme="minorEastAsia" w:cs="Arial" w:hint="eastAsia"/>
                <w:szCs w:val="21"/>
              </w:rPr>
              <w:t>西藏拉萨市柳梧新区柳梧大厦</w:t>
            </w:r>
            <w:r>
              <w:rPr>
                <w:rFonts w:asciiTheme="minorEastAsia" w:hAnsiTheme="minorEastAsia" w:cs="Arial"/>
                <w:szCs w:val="21"/>
              </w:rPr>
              <w:t>1513室</w:t>
            </w:r>
          </w:p>
          <w:p w14:paraId="4E849D0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400-699-7719</w:t>
            </w:r>
          </w:p>
          <w:p w14:paraId="5089D736"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www.xiquefund.com</w:t>
            </w:r>
          </w:p>
        </w:tc>
      </w:tr>
      <w:tr w:rsidR="00B67C49" w14:paraId="50179EEE" w14:textId="77777777">
        <w:trPr>
          <w:trHeight w:val="14"/>
        </w:trPr>
        <w:tc>
          <w:tcPr>
            <w:tcW w:w="709" w:type="dxa"/>
          </w:tcPr>
          <w:p w14:paraId="7535A487"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31</w:t>
            </w:r>
          </w:p>
        </w:tc>
        <w:tc>
          <w:tcPr>
            <w:tcW w:w="2693" w:type="dxa"/>
          </w:tcPr>
          <w:p w14:paraId="25F5CBE0" w14:textId="77777777" w:rsidR="00B67C49" w:rsidRDefault="00000000">
            <w:pPr>
              <w:snapToGrid w:val="0"/>
              <w:rPr>
                <w:rFonts w:asciiTheme="minorEastAsia" w:hAnsiTheme="minorEastAsia" w:cs="Arial"/>
                <w:szCs w:val="21"/>
              </w:rPr>
            </w:pPr>
            <w:proofErr w:type="gramStart"/>
            <w:r>
              <w:rPr>
                <w:rFonts w:asciiTheme="minorEastAsia" w:hAnsiTheme="minorEastAsia" w:cs="Arial" w:hint="eastAsia"/>
                <w:szCs w:val="21"/>
              </w:rPr>
              <w:t>和耕传承</w:t>
            </w:r>
            <w:proofErr w:type="gramEnd"/>
            <w:r>
              <w:rPr>
                <w:rFonts w:asciiTheme="minorEastAsia" w:hAnsiTheme="minorEastAsia" w:cs="Arial" w:hint="eastAsia"/>
                <w:szCs w:val="21"/>
              </w:rPr>
              <w:t>基金销售有限公司</w:t>
            </w:r>
          </w:p>
        </w:tc>
        <w:tc>
          <w:tcPr>
            <w:tcW w:w="5103" w:type="dxa"/>
          </w:tcPr>
          <w:p w14:paraId="619B1B87" w14:textId="77777777" w:rsidR="00B67C49" w:rsidRDefault="00000000">
            <w:pPr>
              <w:rPr>
                <w:rFonts w:asciiTheme="minorEastAsia" w:hAnsiTheme="minorEastAsia" w:cs="Arial"/>
                <w:szCs w:val="21"/>
              </w:rPr>
            </w:pPr>
            <w:r>
              <w:rPr>
                <w:rFonts w:asciiTheme="minorEastAsia" w:hAnsiTheme="minorEastAsia" w:cs="Arial" w:hint="eastAsia"/>
                <w:szCs w:val="21"/>
              </w:rPr>
              <w:t>注册（办公）地址：河南自贸试验区郑州片区（郑东）东风南路东康宁街北</w:t>
            </w:r>
            <w:r>
              <w:rPr>
                <w:rFonts w:asciiTheme="minorEastAsia" w:hAnsiTheme="minorEastAsia" w:cs="Arial"/>
                <w:szCs w:val="21"/>
              </w:rPr>
              <w:t>6号楼5楼503</w:t>
            </w:r>
          </w:p>
          <w:p w14:paraId="167BEB01" w14:textId="77777777" w:rsidR="00B67C49" w:rsidRDefault="00000000">
            <w:pPr>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4000-555-671</w:t>
            </w:r>
          </w:p>
          <w:p w14:paraId="2AF33A7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 hgccpb.com</w:t>
            </w:r>
          </w:p>
        </w:tc>
      </w:tr>
      <w:tr w:rsidR="00B67C49" w14:paraId="3C470C5A" w14:textId="77777777">
        <w:trPr>
          <w:trHeight w:val="14"/>
        </w:trPr>
        <w:tc>
          <w:tcPr>
            <w:tcW w:w="709" w:type="dxa"/>
          </w:tcPr>
          <w:p w14:paraId="35390247"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32</w:t>
            </w:r>
          </w:p>
        </w:tc>
        <w:tc>
          <w:tcPr>
            <w:tcW w:w="2693" w:type="dxa"/>
          </w:tcPr>
          <w:p w14:paraId="67193442"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北京新</w:t>
            </w:r>
            <w:proofErr w:type="gramStart"/>
            <w:r>
              <w:rPr>
                <w:rFonts w:asciiTheme="minorEastAsia" w:hAnsiTheme="minorEastAsia" w:cs="Arial" w:hint="eastAsia"/>
                <w:szCs w:val="21"/>
              </w:rPr>
              <w:t>浪仓石基金</w:t>
            </w:r>
            <w:proofErr w:type="gramEnd"/>
            <w:r>
              <w:rPr>
                <w:rFonts w:asciiTheme="minorEastAsia" w:hAnsiTheme="minorEastAsia" w:cs="Arial" w:hint="eastAsia"/>
                <w:szCs w:val="21"/>
              </w:rPr>
              <w:t>销售有限公司</w:t>
            </w:r>
          </w:p>
        </w:tc>
        <w:tc>
          <w:tcPr>
            <w:tcW w:w="5103" w:type="dxa"/>
          </w:tcPr>
          <w:p w14:paraId="4CF6B958" w14:textId="77777777" w:rsidR="00B67C49" w:rsidRDefault="00000000">
            <w:pPr>
              <w:rPr>
                <w:rFonts w:asciiTheme="minorEastAsia" w:hAnsiTheme="minorEastAsia" w:cs="Arial"/>
                <w:szCs w:val="21"/>
              </w:rPr>
            </w:pPr>
            <w:r>
              <w:rPr>
                <w:rFonts w:asciiTheme="minorEastAsia" w:hAnsiTheme="minorEastAsia" w:cs="Arial" w:hint="eastAsia"/>
                <w:szCs w:val="21"/>
              </w:rPr>
              <w:t>注册（办公）地址：北京市海淀区西北旺东路10号院西区8号楼新浪总部大厦</w:t>
            </w:r>
          </w:p>
          <w:p w14:paraId="303137FE" w14:textId="77777777" w:rsidR="00B67C49" w:rsidRDefault="00000000">
            <w:pPr>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010-62675369</w:t>
            </w:r>
          </w:p>
          <w:p w14:paraId="6B3DC8A3" w14:textId="77777777" w:rsidR="00B67C49"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www.xincai.com</w:t>
            </w:r>
          </w:p>
        </w:tc>
      </w:tr>
      <w:tr w:rsidR="00B67C49" w14:paraId="18BFC2D2" w14:textId="77777777">
        <w:trPr>
          <w:trHeight w:val="14"/>
        </w:trPr>
        <w:tc>
          <w:tcPr>
            <w:tcW w:w="709" w:type="dxa"/>
          </w:tcPr>
          <w:p w14:paraId="0CB1AB58"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33</w:t>
            </w:r>
          </w:p>
        </w:tc>
        <w:tc>
          <w:tcPr>
            <w:tcW w:w="2693" w:type="dxa"/>
          </w:tcPr>
          <w:p w14:paraId="17070FDC"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财</w:t>
            </w:r>
            <w:proofErr w:type="gramStart"/>
            <w:r>
              <w:rPr>
                <w:rFonts w:asciiTheme="minorEastAsia" w:hAnsiTheme="minorEastAsia" w:cs="Arial" w:hint="eastAsia"/>
                <w:szCs w:val="21"/>
              </w:rPr>
              <w:t>咨</w:t>
            </w:r>
            <w:proofErr w:type="gramEnd"/>
            <w:r>
              <w:rPr>
                <w:rFonts w:asciiTheme="minorEastAsia" w:hAnsiTheme="minorEastAsia" w:cs="Arial" w:hint="eastAsia"/>
                <w:szCs w:val="21"/>
              </w:rPr>
              <w:t>道信息技术有限公司</w:t>
            </w:r>
          </w:p>
        </w:tc>
        <w:tc>
          <w:tcPr>
            <w:tcW w:w="5103" w:type="dxa"/>
          </w:tcPr>
          <w:p w14:paraId="04F829F1" w14:textId="77777777" w:rsidR="00B67C49" w:rsidRDefault="00000000">
            <w:pPr>
              <w:widowControl/>
              <w:jc w:val="left"/>
              <w:rPr>
                <w:rFonts w:asciiTheme="minorEastAsia" w:hAnsiTheme="minorEastAsia" w:cs="Arial"/>
                <w:szCs w:val="21"/>
              </w:rPr>
            </w:pPr>
            <w:r>
              <w:rPr>
                <w:rFonts w:asciiTheme="minorEastAsia" w:hAnsiTheme="minorEastAsia" w:cs="Arial" w:hint="eastAsia"/>
                <w:szCs w:val="21"/>
              </w:rPr>
              <w:t>注册（办公）地址：</w:t>
            </w:r>
            <w:r>
              <w:rPr>
                <w:rFonts w:asciiTheme="minorEastAsia" w:hAnsiTheme="minorEastAsia" w:cs="Arial"/>
                <w:szCs w:val="21"/>
              </w:rPr>
              <w:t>辽宁省沈阳市</w:t>
            </w:r>
            <w:proofErr w:type="gramStart"/>
            <w:r>
              <w:rPr>
                <w:rFonts w:asciiTheme="minorEastAsia" w:hAnsiTheme="minorEastAsia" w:cs="Arial"/>
                <w:szCs w:val="21"/>
              </w:rPr>
              <w:t>浑</w:t>
            </w:r>
            <w:proofErr w:type="gramEnd"/>
            <w:r>
              <w:rPr>
                <w:rFonts w:asciiTheme="minorEastAsia" w:hAnsiTheme="minorEastAsia" w:cs="Arial"/>
                <w:szCs w:val="21"/>
              </w:rPr>
              <w:t>南区白塔二南街18-2号B座601</w:t>
            </w:r>
          </w:p>
          <w:p w14:paraId="3F6DACD0" w14:textId="77777777" w:rsidR="00B67C49" w:rsidRDefault="00000000">
            <w:pPr>
              <w:widowControl/>
              <w:jc w:val="left"/>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400-003-5811</w:t>
            </w:r>
          </w:p>
          <w:p w14:paraId="6D8B6C1F" w14:textId="77777777" w:rsidR="00B67C49"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www.win-stock.com.cn</w:t>
            </w:r>
          </w:p>
        </w:tc>
      </w:tr>
      <w:tr w:rsidR="00B67C49" w14:paraId="61394381" w14:textId="77777777">
        <w:trPr>
          <w:trHeight w:val="14"/>
        </w:trPr>
        <w:tc>
          <w:tcPr>
            <w:tcW w:w="709" w:type="dxa"/>
          </w:tcPr>
          <w:p w14:paraId="0FA1B8F3"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lastRenderedPageBreak/>
              <w:t>34</w:t>
            </w:r>
          </w:p>
        </w:tc>
        <w:tc>
          <w:tcPr>
            <w:tcW w:w="2693" w:type="dxa"/>
          </w:tcPr>
          <w:p w14:paraId="4A4100C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北京度小满基金销售有限公司</w:t>
            </w:r>
          </w:p>
        </w:tc>
        <w:tc>
          <w:tcPr>
            <w:tcW w:w="5103" w:type="dxa"/>
          </w:tcPr>
          <w:p w14:paraId="3AC74BC6" w14:textId="77777777" w:rsidR="00B67C49" w:rsidRDefault="00000000">
            <w:pPr>
              <w:rPr>
                <w:rFonts w:asciiTheme="minorEastAsia" w:hAnsiTheme="minorEastAsia" w:cs="Arial"/>
                <w:szCs w:val="21"/>
              </w:rPr>
            </w:pPr>
            <w:r>
              <w:rPr>
                <w:rFonts w:asciiTheme="minorEastAsia" w:hAnsiTheme="minorEastAsia" w:cs="Arial"/>
                <w:szCs w:val="21"/>
              </w:rPr>
              <w:t>注册</w:t>
            </w:r>
            <w:r>
              <w:rPr>
                <w:rFonts w:asciiTheme="minorEastAsia" w:hAnsiTheme="minorEastAsia" w:cs="Arial" w:hint="eastAsia"/>
                <w:szCs w:val="21"/>
              </w:rPr>
              <w:t>（办公）</w:t>
            </w:r>
            <w:r>
              <w:rPr>
                <w:rFonts w:asciiTheme="minorEastAsia" w:hAnsiTheme="minorEastAsia" w:cs="Arial"/>
                <w:szCs w:val="21"/>
              </w:rPr>
              <w:t xml:space="preserve">地址: </w:t>
            </w:r>
            <w:r>
              <w:rPr>
                <w:rFonts w:asciiTheme="minorEastAsia" w:hAnsiTheme="minorEastAsia" w:cs="Arial" w:hint="eastAsia"/>
                <w:szCs w:val="21"/>
              </w:rPr>
              <w:t>北京市海淀区西北旺东路</w:t>
            </w:r>
            <w:r>
              <w:rPr>
                <w:rFonts w:asciiTheme="minorEastAsia" w:hAnsiTheme="minorEastAsia" w:cs="Arial"/>
                <w:szCs w:val="21"/>
              </w:rPr>
              <w:t>10号院西区4号楼1层103室</w:t>
            </w:r>
          </w:p>
          <w:p w14:paraId="0AB2CC57" w14:textId="77777777" w:rsidR="00B67C49" w:rsidRDefault="00000000">
            <w:pPr>
              <w:widowControl/>
              <w:jc w:val="left"/>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95055</w:t>
            </w:r>
          </w:p>
          <w:p w14:paraId="0855DE2E" w14:textId="77777777" w:rsidR="00B67C49" w:rsidRDefault="00000000">
            <w:pPr>
              <w:rPr>
                <w:rFonts w:asciiTheme="minorEastAsia" w:hAnsiTheme="minorEastAsia" w:cs="Arial"/>
                <w:szCs w:val="21"/>
              </w:rPr>
            </w:pPr>
            <w:r>
              <w:rPr>
                <w:rFonts w:asciiTheme="minorEastAsia" w:hAnsiTheme="minorEastAsia" w:cs="Arial" w:hint="eastAsia"/>
                <w:szCs w:val="21"/>
              </w:rPr>
              <w:t>网站：</w:t>
            </w:r>
            <w:r>
              <w:rPr>
                <w:rFonts w:asciiTheme="minorEastAsia" w:hAnsiTheme="minorEastAsia" w:cs="Arial"/>
                <w:szCs w:val="21"/>
              </w:rPr>
              <w:t>www.duxiaoman.com</w:t>
            </w:r>
          </w:p>
        </w:tc>
      </w:tr>
      <w:tr w:rsidR="00B67C49" w14:paraId="720255CC" w14:textId="77777777">
        <w:trPr>
          <w:trHeight w:val="14"/>
        </w:trPr>
        <w:tc>
          <w:tcPr>
            <w:tcW w:w="709" w:type="dxa"/>
          </w:tcPr>
          <w:p w14:paraId="6CDF9FED"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35</w:t>
            </w:r>
          </w:p>
        </w:tc>
        <w:tc>
          <w:tcPr>
            <w:tcW w:w="2693" w:type="dxa"/>
          </w:tcPr>
          <w:p w14:paraId="5A072ECC"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通华财富（上海）基金销售有限公司</w:t>
            </w:r>
          </w:p>
        </w:tc>
        <w:tc>
          <w:tcPr>
            <w:tcW w:w="5103" w:type="dxa"/>
          </w:tcPr>
          <w:p w14:paraId="609B30EF" w14:textId="77777777" w:rsidR="00B67C49" w:rsidRDefault="00000000">
            <w:pPr>
              <w:rPr>
                <w:rFonts w:asciiTheme="minorEastAsia" w:hAnsiTheme="minorEastAsia" w:cs="Arial"/>
                <w:szCs w:val="21"/>
              </w:rPr>
            </w:pPr>
            <w:r>
              <w:rPr>
                <w:rFonts w:asciiTheme="minorEastAsia" w:hAnsiTheme="minorEastAsia" w:cs="Arial" w:hint="eastAsia"/>
                <w:szCs w:val="21"/>
              </w:rPr>
              <w:t>注册（办公）地址：上海市浦东新区</w:t>
            </w:r>
            <w:proofErr w:type="gramStart"/>
            <w:r>
              <w:rPr>
                <w:rFonts w:asciiTheme="minorEastAsia" w:hAnsiTheme="minorEastAsia" w:cs="Arial" w:hint="eastAsia"/>
                <w:szCs w:val="21"/>
              </w:rPr>
              <w:t>金沪路55号</w:t>
            </w:r>
            <w:proofErr w:type="gramEnd"/>
            <w:r>
              <w:rPr>
                <w:rFonts w:asciiTheme="minorEastAsia" w:hAnsiTheme="minorEastAsia" w:cs="Arial" w:hint="eastAsia"/>
                <w:szCs w:val="21"/>
              </w:rPr>
              <w:t>通华科技大厦10层客户服务电话：</w:t>
            </w:r>
            <w:r>
              <w:rPr>
                <w:rFonts w:asciiTheme="minorEastAsia" w:hAnsiTheme="minorEastAsia" w:cs="Arial"/>
                <w:szCs w:val="21"/>
              </w:rPr>
              <w:t>400-101-9301</w:t>
            </w:r>
          </w:p>
          <w:p w14:paraId="3CB11F16" w14:textId="77777777" w:rsidR="00B67C49"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www.tonghuafund.com</w:t>
            </w:r>
          </w:p>
        </w:tc>
      </w:tr>
      <w:tr w:rsidR="00B67C49" w14:paraId="006EEF6A" w14:textId="77777777">
        <w:trPr>
          <w:trHeight w:val="14"/>
        </w:trPr>
        <w:tc>
          <w:tcPr>
            <w:tcW w:w="709" w:type="dxa"/>
          </w:tcPr>
          <w:p w14:paraId="5EA265E6"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36</w:t>
            </w:r>
          </w:p>
        </w:tc>
        <w:tc>
          <w:tcPr>
            <w:tcW w:w="2693" w:type="dxa"/>
          </w:tcPr>
          <w:p w14:paraId="172C0CE3" w14:textId="77777777" w:rsidR="00B67C49" w:rsidRDefault="00000000">
            <w:pPr>
              <w:pStyle w:val="a6"/>
              <w:rPr>
                <w:rFonts w:asciiTheme="minorEastAsia" w:eastAsiaTheme="minorEastAsia" w:hAnsiTheme="minorEastAsia" w:cs="Arial"/>
                <w:szCs w:val="21"/>
              </w:rPr>
            </w:pPr>
            <w:proofErr w:type="gramStart"/>
            <w:r>
              <w:rPr>
                <w:rFonts w:asciiTheme="minorEastAsia" w:eastAsiaTheme="minorEastAsia" w:hAnsiTheme="minorEastAsia" w:cs="Arial" w:hint="eastAsia"/>
                <w:szCs w:val="21"/>
              </w:rPr>
              <w:t>腾安基金</w:t>
            </w:r>
            <w:proofErr w:type="gramEnd"/>
            <w:r>
              <w:rPr>
                <w:rFonts w:asciiTheme="minorEastAsia" w:eastAsiaTheme="minorEastAsia" w:hAnsiTheme="minorEastAsia" w:cs="Arial" w:hint="eastAsia"/>
                <w:szCs w:val="21"/>
              </w:rPr>
              <w:t>销售（深圳）有限公司</w:t>
            </w:r>
          </w:p>
          <w:p w14:paraId="0FF71C43" w14:textId="77777777" w:rsidR="00B67C49" w:rsidRDefault="00B67C49">
            <w:pPr>
              <w:snapToGrid w:val="0"/>
              <w:ind w:firstLineChars="200" w:firstLine="420"/>
              <w:rPr>
                <w:rFonts w:asciiTheme="minorEastAsia" w:hAnsiTheme="minorEastAsia" w:cs="Arial"/>
                <w:szCs w:val="21"/>
              </w:rPr>
            </w:pPr>
          </w:p>
        </w:tc>
        <w:tc>
          <w:tcPr>
            <w:tcW w:w="5103" w:type="dxa"/>
          </w:tcPr>
          <w:p w14:paraId="1603E7DF" w14:textId="77777777" w:rsidR="00B67C49"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注册（办公）地址：深圳市南山区海天二路</w:t>
            </w:r>
            <w:proofErr w:type="gramStart"/>
            <w:r>
              <w:rPr>
                <w:rFonts w:asciiTheme="minorEastAsia" w:eastAsiaTheme="minorEastAsia" w:hAnsiTheme="minorEastAsia" w:cs="Arial"/>
                <w:szCs w:val="21"/>
              </w:rPr>
              <w:t>33</w:t>
            </w:r>
            <w:r>
              <w:rPr>
                <w:rFonts w:asciiTheme="minorEastAsia" w:eastAsiaTheme="minorEastAsia" w:hAnsiTheme="minorEastAsia" w:cs="Arial" w:hint="eastAsia"/>
                <w:szCs w:val="21"/>
              </w:rPr>
              <w:t>号腾讯滨海</w:t>
            </w:r>
            <w:proofErr w:type="gramEnd"/>
            <w:r>
              <w:rPr>
                <w:rFonts w:asciiTheme="minorEastAsia" w:eastAsiaTheme="minorEastAsia" w:hAnsiTheme="minorEastAsia" w:cs="Arial" w:hint="eastAsia"/>
                <w:szCs w:val="21"/>
              </w:rPr>
              <w:t>大厦</w:t>
            </w:r>
            <w:r>
              <w:rPr>
                <w:rFonts w:asciiTheme="minorEastAsia" w:eastAsiaTheme="minorEastAsia" w:hAnsiTheme="minorEastAsia" w:cs="Arial"/>
                <w:szCs w:val="21"/>
              </w:rPr>
              <w:t>15</w:t>
            </w:r>
            <w:r>
              <w:rPr>
                <w:rFonts w:asciiTheme="minorEastAsia" w:eastAsiaTheme="minorEastAsia" w:hAnsiTheme="minorEastAsia" w:cs="Arial" w:hint="eastAsia"/>
                <w:szCs w:val="21"/>
              </w:rPr>
              <w:t>楼</w:t>
            </w:r>
          </w:p>
          <w:p w14:paraId="2EE30BF6" w14:textId="77777777" w:rsidR="00B67C49"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szCs w:val="21"/>
              </w:rPr>
              <w:t xml:space="preserve">4000-890-555 </w:t>
            </w:r>
          </w:p>
          <w:p w14:paraId="574EADD0" w14:textId="77777777" w:rsidR="00B67C49" w:rsidRDefault="00000000">
            <w:pPr>
              <w:rPr>
                <w:rFonts w:asciiTheme="minorEastAsia" w:hAnsiTheme="minorEastAsia" w:cs="Arial"/>
                <w:szCs w:val="21"/>
              </w:rPr>
            </w:pPr>
            <w:r>
              <w:rPr>
                <w:rFonts w:asciiTheme="minorEastAsia" w:hAnsiTheme="minorEastAsia" w:cs="Arial" w:hint="eastAsia"/>
                <w:szCs w:val="21"/>
              </w:rPr>
              <w:t>公司网站：</w:t>
            </w:r>
            <w:hyperlink r:id="rId37" w:history="1">
              <w:r>
                <w:rPr>
                  <w:rFonts w:asciiTheme="minorEastAsia" w:hAnsiTheme="minorEastAsia" w:cs="Arial"/>
                  <w:szCs w:val="21"/>
                </w:rPr>
                <w:t>www.txfund.com</w:t>
              </w:r>
            </w:hyperlink>
          </w:p>
        </w:tc>
      </w:tr>
      <w:tr w:rsidR="00B67C49" w14:paraId="513141DB" w14:textId="77777777">
        <w:trPr>
          <w:trHeight w:val="14"/>
        </w:trPr>
        <w:tc>
          <w:tcPr>
            <w:tcW w:w="709" w:type="dxa"/>
          </w:tcPr>
          <w:p w14:paraId="3AE369BC"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37</w:t>
            </w:r>
          </w:p>
        </w:tc>
        <w:tc>
          <w:tcPr>
            <w:tcW w:w="2693" w:type="dxa"/>
          </w:tcPr>
          <w:p w14:paraId="415C1BED" w14:textId="77777777" w:rsidR="00B67C49" w:rsidRDefault="00000000">
            <w:pPr>
              <w:pStyle w:val="aff1"/>
              <w:widowControl/>
              <w:ind w:firstLineChars="0" w:firstLine="0"/>
              <w:rPr>
                <w:rFonts w:asciiTheme="minorEastAsia" w:hAnsiTheme="minorEastAsia" w:cs="Arial"/>
                <w:szCs w:val="21"/>
              </w:rPr>
            </w:pPr>
            <w:r>
              <w:rPr>
                <w:rFonts w:asciiTheme="minorEastAsia" w:hAnsiTheme="minorEastAsia" w:cs="Arial" w:hint="eastAsia"/>
                <w:szCs w:val="21"/>
              </w:rPr>
              <w:t>泛华</w:t>
            </w:r>
            <w:proofErr w:type="gramStart"/>
            <w:r>
              <w:rPr>
                <w:rFonts w:asciiTheme="minorEastAsia" w:hAnsiTheme="minorEastAsia" w:cs="Arial" w:hint="eastAsia"/>
                <w:szCs w:val="21"/>
              </w:rPr>
              <w:t>普益基金</w:t>
            </w:r>
            <w:proofErr w:type="gramEnd"/>
            <w:r>
              <w:rPr>
                <w:rFonts w:asciiTheme="minorEastAsia" w:hAnsiTheme="minorEastAsia" w:cs="Arial" w:hint="eastAsia"/>
                <w:szCs w:val="21"/>
              </w:rPr>
              <w:t>销售有限公司</w:t>
            </w:r>
            <w:r>
              <w:rPr>
                <w:rFonts w:asciiTheme="minorEastAsia" w:hAnsiTheme="minorEastAsia" w:cs="Arial"/>
                <w:szCs w:val="21"/>
              </w:rPr>
              <w:t xml:space="preserve"> </w:t>
            </w:r>
          </w:p>
          <w:p w14:paraId="05A8351C" w14:textId="77777777" w:rsidR="00B67C49" w:rsidRDefault="00B67C49">
            <w:pPr>
              <w:snapToGrid w:val="0"/>
              <w:ind w:firstLineChars="200" w:firstLine="420"/>
              <w:rPr>
                <w:rFonts w:asciiTheme="minorEastAsia" w:hAnsiTheme="minorEastAsia" w:cs="Arial"/>
                <w:szCs w:val="21"/>
              </w:rPr>
            </w:pPr>
          </w:p>
        </w:tc>
        <w:tc>
          <w:tcPr>
            <w:tcW w:w="5103" w:type="dxa"/>
          </w:tcPr>
          <w:p w14:paraId="210A16C4" w14:textId="77777777" w:rsidR="00B67C49" w:rsidRDefault="00000000">
            <w:pPr>
              <w:pStyle w:val="aff1"/>
              <w:widowControl/>
              <w:ind w:firstLineChars="0" w:firstLine="0"/>
              <w:rPr>
                <w:rFonts w:asciiTheme="minorEastAsia" w:hAnsiTheme="minorEastAsia" w:cs="Arial"/>
                <w:szCs w:val="21"/>
              </w:rPr>
            </w:pPr>
            <w:r>
              <w:rPr>
                <w:rFonts w:asciiTheme="minorEastAsia" w:hAnsiTheme="minorEastAsia" w:cs="Arial" w:hint="eastAsia"/>
                <w:szCs w:val="21"/>
              </w:rPr>
              <w:t>注册（办公）地址：成都市成华区建设路</w:t>
            </w:r>
            <w:r>
              <w:rPr>
                <w:rFonts w:asciiTheme="minorEastAsia" w:hAnsiTheme="minorEastAsia" w:cs="Arial"/>
                <w:szCs w:val="21"/>
              </w:rPr>
              <w:t>9</w:t>
            </w:r>
            <w:r>
              <w:rPr>
                <w:rFonts w:asciiTheme="minorEastAsia" w:hAnsiTheme="minorEastAsia" w:cs="Arial" w:hint="eastAsia"/>
                <w:szCs w:val="21"/>
              </w:rPr>
              <w:t>号高地中心</w:t>
            </w:r>
            <w:r>
              <w:rPr>
                <w:rFonts w:asciiTheme="minorEastAsia" w:hAnsiTheme="minorEastAsia" w:cs="Arial"/>
                <w:szCs w:val="21"/>
              </w:rPr>
              <w:t xml:space="preserve">1101 </w:t>
            </w:r>
            <w:r>
              <w:rPr>
                <w:rFonts w:asciiTheme="minorEastAsia" w:hAnsiTheme="minorEastAsia" w:cs="Arial" w:hint="eastAsia"/>
                <w:szCs w:val="21"/>
              </w:rPr>
              <w:t>室</w:t>
            </w:r>
          </w:p>
          <w:p w14:paraId="1B181B65" w14:textId="77777777" w:rsidR="00B67C49" w:rsidRDefault="00000000">
            <w:pPr>
              <w:pStyle w:val="aff1"/>
              <w:widowControl/>
              <w:ind w:firstLineChars="0" w:firstLine="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 xml:space="preserve">400-080-3388 </w:t>
            </w:r>
          </w:p>
          <w:p w14:paraId="06DFC265" w14:textId="77777777" w:rsidR="00B67C49" w:rsidRDefault="00000000">
            <w:pPr>
              <w:rPr>
                <w:rFonts w:asciiTheme="minorEastAsia" w:hAnsiTheme="minorEastAsia" w:cs="Arial"/>
                <w:szCs w:val="21"/>
              </w:rPr>
            </w:pPr>
            <w:r>
              <w:rPr>
                <w:rFonts w:asciiTheme="minorEastAsia" w:hAnsiTheme="minorEastAsia" w:cs="Arial" w:hint="eastAsia"/>
                <w:szCs w:val="21"/>
              </w:rPr>
              <w:t>网址：</w:t>
            </w:r>
            <w:hyperlink r:id="rId38" w:history="1">
              <w:r>
                <w:rPr>
                  <w:rFonts w:asciiTheme="minorEastAsia" w:hAnsiTheme="minorEastAsia" w:cs="Arial"/>
                  <w:szCs w:val="21"/>
                </w:rPr>
                <w:t>www.puyifund.com</w:t>
              </w:r>
            </w:hyperlink>
          </w:p>
        </w:tc>
      </w:tr>
      <w:tr w:rsidR="00B67C49" w14:paraId="40A26F05" w14:textId="77777777">
        <w:trPr>
          <w:trHeight w:val="14"/>
        </w:trPr>
        <w:tc>
          <w:tcPr>
            <w:tcW w:w="709" w:type="dxa"/>
          </w:tcPr>
          <w:p w14:paraId="69B84BFE"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38</w:t>
            </w:r>
          </w:p>
        </w:tc>
        <w:tc>
          <w:tcPr>
            <w:tcW w:w="2693" w:type="dxa"/>
          </w:tcPr>
          <w:p w14:paraId="5E483C8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上海大智慧基金销售有限公司</w:t>
            </w:r>
          </w:p>
        </w:tc>
        <w:tc>
          <w:tcPr>
            <w:tcW w:w="5103" w:type="dxa"/>
          </w:tcPr>
          <w:p w14:paraId="14468DB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新区杨</w:t>
            </w:r>
            <w:proofErr w:type="gramEnd"/>
            <w:r>
              <w:rPr>
                <w:rFonts w:asciiTheme="minorEastAsia" w:hAnsiTheme="minorEastAsia" w:cs="Arial" w:hint="eastAsia"/>
                <w:szCs w:val="21"/>
              </w:rPr>
              <w:t>高南路428弄由</w:t>
            </w:r>
            <w:proofErr w:type="gramStart"/>
            <w:r>
              <w:rPr>
                <w:rFonts w:asciiTheme="minorEastAsia" w:hAnsiTheme="minorEastAsia" w:cs="Arial" w:hint="eastAsia"/>
                <w:szCs w:val="21"/>
              </w:rPr>
              <w:t>由</w:t>
            </w:r>
            <w:proofErr w:type="gramEnd"/>
            <w:r>
              <w:rPr>
                <w:rFonts w:asciiTheme="minorEastAsia" w:hAnsiTheme="minorEastAsia" w:cs="Arial" w:hint="eastAsia"/>
                <w:szCs w:val="21"/>
              </w:rPr>
              <w:t>世纪广场1号楼</w:t>
            </w:r>
          </w:p>
          <w:p w14:paraId="71B75F53"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021-20219988</w:t>
            </w:r>
          </w:p>
          <w:p w14:paraId="22D0D5AF" w14:textId="77777777" w:rsidR="00B67C49" w:rsidRDefault="00000000">
            <w:pPr>
              <w:rPr>
                <w:rFonts w:asciiTheme="minorEastAsia" w:hAnsiTheme="minorEastAsia" w:cs="Arial"/>
                <w:szCs w:val="21"/>
              </w:rPr>
            </w:pPr>
            <w:r>
              <w:rPr>
                <w:rFonts w:asciiTheme="minorEastAsia" w:hAnsiTheme="minorEastAsia" w:cs="Arial" w:hint="eastAsia"/>
                <w:szCs w:val="21"/>
              </w:rPr>
              <w:t>公司网站：</w:t>
            </w:r>
            <w:hyperlink r:id="rId39" w:history="1">
              <w:r>
                <w:rPr>
                  <w:rStyle w:val="afc"/>
                  <w:rFonts w:asciiTheme="minorEastAsia" w:hAnsiTheme="minorEastAsia" w:cs="Arial"/>
                  <w:szCs w:val="21"/>
                </w:rPr>
                <w:t>https://www.gw.com.cn/</w:t>
              </w:r>
            </w:hyperlink>
          </w:p>
        </w:tc>
      </w:tr>
      <w:tr w:rsidR="00B67C49" w14:paraId="5F3A45EF" w14:textId="77777777">
        <w:trPr>
          <w:trHeight w:val="14"/>
        </w:trPr>
        <w:tc>
          <w:tcPr>
            <w:tcW w:w="709" w:type="dxa"/>
          </w:tcPr>
          <w:p w14:paraId="3289E17E"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39</w:t>
            </w:r>
          </w:p>
        </w:tc>
        <w:tc>
          <w:tcPr>
            <w:tcW w:w="2693" w:type="dxa"/>
          </w:tcPr>
          <w:p w14:paraId="6E9C6DF8" w14:textId="77777777" w:rsidR="00B67C49"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北京中</w:t>
            </w:r>
            <w:proofErr w:type="gramStart"/>
            <w:r>
              <w:rPr>
                <w:rFonts w:asciiTheme="minorEastAsia" w:eastAsiaTheme="minorEastAsia" w:hAnsiTheme="minorEastAsia" w:cs="Arial" w:hint="eastAsia"/>
                <w:szCs w:val="21"/>
              </w:rPr>
              <w:t>植基金</w:t>
            </w:r>
            <w:proofErr w:type="gramEnd"/>
            <w:r>
              <w:rPr>
                <w:rFonts w:asciiTheme="minorEastAsia" w:eastAsiaTheme="minorEastAsia" w:hAnsiTheme="minorEastAsia" w:cs="Arial" w:hint="eastAsia"/>
                <w:szCs w:val="21"/>
              </w:rPr>
              <w:t>销售有限公司</w:t>
            </w:r>
          </w:p>
          <w:p w14:paraId="0233C313" w14:textId="77777777" w:rsidR="00B67C49" w:rsidRDefault="00B67C49">
            <w:pPr>
              <w:snapToGrid w:val="0"/>
              <w:ind w:firstLineChars="200" w:firstLine="420"/>
              <w:rPr>
                <w:rFonts w:asciiTheme="minorEastAsia" w:hAnsiTheme="minorEastAsia" w:cs="Arial"/>
                <w:szCs w:val="21"/>
              </w:rPr>
            </w:pPr>
          </w:p>
        </w:tc>
        <w:tc>
          <w:tcPr>
            <w:tcW w:w="5103" w:type="dxa"/>
          </w:tcPr>
          <w:p w14:paraId="16CF6CAC"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注册（办公）地址：北京市朝阳区建国路91号金地中心B座21、29层</w:t>
            </w:r>
          </w:p>
          <w:p w14:paraId="2E88C1E1"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客户服务电话：400-8180-888</w:t>
            </w:r>
          </w:p>
          <w:p w14:paraId="4F82927B" w14:textId="77777777" w:rsidR="00B67C49" w:rsidRDefault="00000000">
            <w:pPr>
              <w:widowControl/>
              <w:snapToGrid w:val="0"/>
              <w:rPr>
                <w:rFonts w:asciiTheme="minorEastAsia" w:hAnsiTheme="minorEastAsia" w:cs="Arial"/>
                <w:szCs w:val="21"/>
              </w:rPr>
            </w:pPr>
            <w:r>
              <w:rPr>
                <w:rFonts w:asciiTheme="minorEastAsia" w:hAnsiTheme="minorEastAsia" w:cs="Arial" w:hint="eastAsia"/>
                <w:szCs w:val="21"/>
              </w:rPr>
              <w:t>公司网站：</w:t>
            </w:r>
            <w:hyperlink r:id="rId40" w:history="1">
              <w:r>
                <w:rPr>
                  <w:rFonts w:asciiTheme="minorEastAsia" w:hAnsiTheme="minorEastAsia" w:cs="Arial"/>
                  <w:szCs w:val="21"/>
                </w:rPr>
                <w:t>https://www.zzfund.com</w:t>
              </w:r>
            </w:hyperlink>
          </w:p>
        </w:tc>
      </w:tr>
      <w:tr w:rsidR="00B67C49" w14:paraId="3D91DD62" w14:textId="77777777">
        <w:trPr>
          <w:trHeight w:val="14"/>
        </w:trPr>
        <w:tc>
          <w:tcPr>
            <w:tcW w:w="709" w:type="dxa"/>
          </w:tcPr>
          <w:p w14:paraId="5999C614"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40</w:t>
            </w:r>
          </w:p>
        </w:tc>
        <w:tc>
          <w:tcPr>
            <w:tcW w:w="2693" w:type="dxa"/>
          </w:tcPr>
          <w:p w14:paraId="7B50C873"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北京</w:t>
            </w:r>
            <w:proofErr w:type="gramStart"/>
            <w:r>
              <w:rPr>
                <w:rFonts w:asciiTheme="minorEastAsia" w:hAnsiTheme="minorEastAsia" w:cs="Arial" w:hint="eastAsia"/>
                <w:szCs w:val="21"/>
              </w:rPr>
              <w:t>创金启富基金</w:t>
            </w:r>
            <w:proofErr w:type="gramEnd"/>
            <w:r>
              <w:rPr>
                <w:rFonts w:asciiTheme="minorEastAsia" w:hAnsiTheme="minorEastAsia" w:cs="Arial" w:hint="eastAsia"/>
                <w:szCs w:val="21"/>
              </w:rPr>
              <w:t>销售有限公司</w:t>
            </w:r>
          </w:p>
        </w:tc>
        <w:tc>
          <w:tcPr>
            <w:tcW w:w="5103" w:type="dxa"/>
          </w:tcPr>
          <w:p w14:paraId="6526E627" w14:textId="77777777" w:rsidR="00B67C49"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注册（办公）地址：北京市西城区白纸坊东街</w:t>
            </w:r>
            <w:r>
              <w:rPr>
                <w:rFonts w:asciiTheme="minorEastAsia" w:eastAsiaTheme="minorEastAsia" w:hAnsiTheme="minorEastAsia" w:cs="Arial"/>
                <w:szCs w:val="21"/>
              </w:rPr>
              <w:t>2</w:t>
            </w:r>
            <w:r>
              <w:rPr>
                <w:rFonts w:asciiTheme="minorEastAsia" w:eastAsiaTheme="minorEastAsia" w:hAnsiTheme="minorEastAsia" w:cs="Arial" w:hint="eastAsia"/>
                <w:szCs w:val="21"/>
              </w:rPr>
              <w:t>号经济日报社</w:t>
            </w:r>
            <w:r>
              <w:rPr>
                <w:rFonts w:asciiTheme="minorEastAsia" w:eastAsiaTheme="minorEastAsia" w:hAnsiTheme="minorEastAsia" w:cs="Arial"/>
                <w:szCs w:val="21"/>
              </w:rPr>
              <w:t>A</w:t>
            </w:r>
            <w:proofErr w:type="gramStart"/>
            <w:r>
              <w:rPr>
                <w:rFonts w:asciiTheme="minorEastAsia" w:eastAsiaTheme="minorEastAsia" w:hAnsiTheme="minorEastAsia" w:cs="Arial" w:hint="eastAsia"/>
                <w:szCs w:val="21"/>
              </w:rPr>
              <w:t>座综合</w:t>
            </w:r>
            <w:proofErr w:type="gramEnd"/>
            <w:r>
              <w:rPr>
                <w:rFonts w:asciiTheme="minorEastAsia" w:eastAsiaTheme="minorEastAsia" w:hAnsiTheme="minorEastAsia" w:cs="Arial" w:hint="eastAsia"/>
                <w:szCs w:val="21"/>
              </w:rPr>
              <w:t>楼</w:t>
            </w:r>
            <w:r>
              <w:rPr>
                <w:rFonts w:asciiTheme="minorEastAsia" w:eastAsiaTheme="minorEastAsia" w:hAnsiTheme="minorEastAsia" w:cs="Arial"/>
                <w:szCs w:val="21"/>
              </w:rPr>
              <w:t>712</w:t>
            </w:r>
            <w:r>
              <w:rPr>
                <w:rFonts w:asciiTheme="minorEastAsia" w:eastAsiaTheme="minorEastAsia" w:hAnsiTheme="minorEastAsia" w:cs="Arial" w:hint="eastAsia"/>
                <w:szCs w:val="21"/>
              </w:rPr>
              <w:t>室</w:t>
            </w:r>
          </w:p>
          <w:p w14:paraId="2058421B" w14:textId="77777777" w:rsidR="00B67C49"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szCs w:val="21"/>
              </w:rPr>
              <w:t xml:space="preserve">010-66154828 </w:t>
            </w:r>
          </w:p>
          <w:p w14:paraId="74ECDAC6" w14:textId="77777777" w:rsidR="00B67C49"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https://www.5irich.com/</w:t>
            </w:r>
          </w:p>
        </w:tc>
      </w:tr>
      <w:tr w:rsidR="00B67C49" w14:paraId="6B7E9D36" w14:textId="77777777">
        <w:trPr>
          <w:trHeight w:val="14"/>
        </w:trPr>
        <w:tc>
          <w:tcPr>
            <w:tcW w:w="709" w:type="dxa"/>
          </w:tcPr>
          <w:p w14:paraId="1FE6D165"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41</w:t>
            </w:r>
          </w:p>
        </w:tc>
        <w:tc>
          <w:tcPr>
            <w:tcW w:w="2693" w:type="dxa"/>
          </w:tcPr>
          <w:p w14:paraId="74FBCC88" w14:textId="77777777" w:rsidR="00B67C49"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和讯信息科技有限公司</w:t>
            </w:r>
          </w:p>
          <w:p w14:paraId="7AE26A20" w14:textId="77777777" w:rsidR="00B67C49" w:rsidRDefault="00B67C49">
            <w:pPr>
              <w:snapToGrid w:val="0"/>
              <w:ind w:firstLineChars="200" w:firstLine="420"/>
              <w:rPr>
                <w:rFonts w:asciiTheme="minorEastAsia" w:hAnsiTheme="minorEastAsia" w:cs="Arial"/>
                <w:szCs w:val="21"/>
              </w:rPr>
            </w:pPr>
          </w:p>
        </w:tc>
        <w:tc>
          <w:tcPr>
            <w:tcW w:w="5103" w:type="dxa"/>
          </w:tcPr>
          <w:p w14:paraId="5B0E3D0B" w14:textId="77777777" w:rsidR="00B67C49"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注册（办公）地址：北京市朝外大街</w:t>
            </w:r>
            <w:r>
              <w:rPr>
                <w:rFonts w:asciiTheme="minorEastAsia" w:eastAsiaTheme="minorEastAsia" w:hAnsiTheme="minorEastAsia" w:cs="Arial"/>
                <w:szCs w:val="21"/>
              </w:rPr>
              <w:t>22</w:t>
            </w:r>
            <w:r>
              <w:rPr>
                <w:rFonts w:asciiTheme="minorEastAsia" w:eastAsiaTheme="minorEastAsia" w:hAnsiTheme="minorEastAsia" w:cs="Arial" w:hint="eastAsia"/>
                <w:szCs w:val="21"/>
              </w:rPr>
              <w:t>号</w:t>
            </w:r>
            <w:r>
              <w:rPr>
                <w:rFonts w:asciiTheme="minorEastAsia" w:eastAsiaTheme="minorEastAsia" w:hAnsiTheme="minorEastAsia" w:cs="Arial"/>
                <w:szCs w:val="21"/>
              </w:rPr>
              <w:t xml:space="preserve"> </w:t>
            </w:r>
            <w:proofErr w:type="gramStart"/>
            <w:r>
              <w:rPr>
                <w:rFonts w:asciiTheme="minorEastAsia" w:eastAsiaTheme="minorEastAsia" w:hAnsiTheme="minorEastAsia" w:cs="Arial" w:hint="eastAsia"/>
                <w:szCs w:val="21"/>
              </w:rPr>
              <w:t>泛利大厦</w:t>
            </w:r>
            <w:proofErr w:type="gramEnd"/>
            <w:r>
              <w:rPr>
                <w:rFonts w:asciiTheme="minorEastAsia" w:eastAsiaTheme="minorEastAsia" w:hAnsiTheme="minorEastAsia" w:cs="Arial"/>
                <w:szCs w:val="21"/>
              </w:rPr>
              <w:t>10</w:t>
            </w:r>
            <w:r>
              <w:rPr>
                <w:rFonts w:asciiTheme="minorEastAsia" w:eastAsiaTheme="minorEastAsia" w:hAnsiTheme="minorEastAsia" w:cs="Arial" w:hint="eastAsia"/>
                <w:szCs w:val="21"/>
              </w:rPr>
              <w:t>层</w:t>
            </w:r>
          </w:p>
          <w:p w14:paraId="4C48ACBB" w14:textId="77777777" w:rsidR="00B67C49" w:rsidRDefault="00000000">
            <w:pPr>
              <w:pStyle w:val="a6"/>
              <w:rPr>
                <w:rFonts w:asciiTheme="minorEastAsia" w:eastAsiaTheme="minorEastAsia" w:hAnsiTheme="minorEastAsia" w:cs="Arial"/>
                <w:szCs w:val="21"/>
              </w:rPr>
            </w:pPr>
            <w:r>
              <w:rPr>
                <w:rFonts w:asciiTheme="minorEastAsia" w:eastAsiaTheme="minorEastAsia" w:hAnsiTheme="minorEastAsia" w:cs="Arial" w:hint="eastAsia"/>
                <w:szCs w:val="21"/>
              </w:rPr>
              <w:t>客服电话：</w:t>
            </w:r>
            <w:r>
              <w:rPr>
                <w:rFonts w:asciiTheme="minorEastAsia" w:eastAsiaTheme="minorEastAsia" w:hAnsiTheme="minorEastAsia" w:cs="Arial"/>
                <w:szCs w:val="21"/>
              </w:rPr>
              <w:t>400-920-0022</w:t>
            </w:r>
          </w:p>
          <w:p w14:paraId="1B1764B1" w14:textId="77777777" w:rsidR="00B67C49" w:rsidRDefault="00000000">
            <w:pPr>
              <w:rPr>
                <w:rFonts w:asciiTheme="minorEastAsia" w:hAnsiTheme="minorEastAsia" w:cs="Arial"/>
                <w:szCs w:val="21"/>
              </w:rPr>
            </w:pPr>
            <w:r>
              <w:rPr>
                <w:rFonts w:asciiTheme="minorEastAsia" w:hAnsiTheme="minorEastAsia" w:cs="Arial" w:hint="eastAsia"/>
                <w:szCs w:val="21"/>
              </w:rPr>
              <w:t>公司网站：</w:t>
            </w:r>
            <w:hyperlink r:id="rId41" w:history="1">
              <w:r>
                <w:rPr>
                  <w:rFonts w:asciiTheme="minorEastAsia" w:hAnsiTheme="minorEastAsia" w:cs="Arial"/>
                  <w:szCs w:val="21"/>
                </w:rPr>
                <w:t>www.licaike.com</w:t>
              </w:r>
            </w:hyperlink>
          </w:p>
        </w:tc>
      </w:tr>
      <w:tr w:rsidR="00B67C49" w14:paraId="48C280B3" w14:textId="77777777">
        <w:trPr>
          <w:trHeight w:val="14"/>
        </w:trPr>
        <w:tc>
          <w:tcPr>
            <w:tcW w:w="709" w:type="dxa"/>
          </w:tcPr>
          <w:p w14:paraId="73620252"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42</w:t>
            </w:r>
          </w:p>
        </w:tc>
        <w:tc>
          <w:tcPr>
            <w:tcW w:w="2693" w:type="dxa"/>
          </w:tcPr>
          <w:p w14:paraId="11FFFE9A"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w:t>
            </w:r>
            <w:proofErr w:type="gramStart"/>
            <w:r>
              <w:rPr>
                <w:rFonts w:asciiTheme="minorEastAsia" w:hAnsiTheme="minorEastAsia" w:cs="Arial" w:hint="eastAsia"/>
                <w:szCs w:val="21"/>
              </w:rPr>
              <w:t>陆享基金</w:t>
            </w:r>
            <w:proofErr w:type="gramEnd"/>
            <w:r>
              <w:rPr>
                <w:rFonts w:asciiTheme="minorEastAsia" w:hAnsiTheme="minorEastAsia" w:cs="Arial" w:hint="eastAsia"/>
                <w:szCs w:val="21"/>
              </w:rPr>
              <w:t>销售有限公司</w:t>
            </w:r>
          </w:p>
        </w:tc>
        <w:tc>
          <w:tcPr>
            <w:tcW w:w="5103" w:type="dxa"/>
          </w:tcPr>
          <w:p w14:paraId="24D70255"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注册（办公）地址：中国（上海）自由贸易试验区世纪大道1196号世纪汇广场二座16层</w:t>
            </w:r>
          </w:p>
          <w:p w14:paraId="67814D0B"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客服电话：400-168-1235</w:t>
            </w:r>
          </w:p>
          <w:p w14:paraId="66759ADA" w14:textId="77777777" w:rsidR="00B67C49" w:rsidRDefault="00000000">
            <w:pPr>
              <w:rPr>
                <w:rFonts w:asciiTheme="minorEastAsia" w:hAnsiTheme="minorEastAsia" w:cs="Arial"/>
                <w:szCs w:val="21"/>
              </w:rPr>
            </w:pPr>
            <w:r>
              <w:rPr>
                <w:rFonts w:asciiTheme="minorEastAsia" w:hAnsiTheme="minorEastAsia" w:cs="Arial" w:hint="eastAsia"/>
                <w:szCs w:val="21"/>
              </w:rPr>
              <w:t>公司网站：www.luxxfund.com</w:t>
            </w:r>
          </w:p>
        </w:tc>
      </w:tr>
      <w:tr w:rsidR="00B67C49" w14:paraId="50A9CC0C" w14:textId="77777777">
        <w:trPr>
          <w:trHeight w:val="14"/>
        </w:trPr>
        <w:tc>
          <w:tcPr>
            <w:tcW w:w="709" w:type="dxa"/>
          </w:tcPr>
          <w:p w14:paraId="68D03542"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43</w:t>
            </w:r>
          </w:p>
        </w:tc>
        <w:tc>
          <w:tcPr>
            <w:tcW w:w="2693" w:type="dxa"/>
          </w:tcPr>
          <w:p w14:paraId="169803D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阳光人寿保险股份有限公司</w:t>
            </w:r>
          </w:p>
        </w:tc>
        <w:tc>
          <w:tcPr>
            <w:tcW w:w="5103" w:type="dxa"/>
          </w:tcPr>
          <w:p w14:paraId="60D800EE" w14:textId="77777777" w:rsidR="00B67C49" w:rsidRDefault="00000000">
            <w:pPr>
              <w:rPr>
                <w:rFonts w:asciiTheme="minorEastAsia" w:hAnsiTheme="minorEastAsia" w:cs="Arial"/>
                <w:szCs w:val="21"/>
              </w:rPr>
            </w:pPr>
            <w:r>
              <w:rPr>
                <w:rFonts w:asciiTheme="minorEastAsia" w:hAnsiTheme="minorEastAsia" w:cs="Arial" w:hint="eastAsia"/>
                <w:szCs w:val="21"/>
              </w:rPr>
              <w:t>注册</w:t>
            </w:r>
            <w:r>
              <w:rPr>
                <w:rFonts w:asciiTheme="minorEastAsia" w:hAnsiTheme="minorEastAsia" w:cs="Arial"/>
                <w:szCs w:val="21"/>
              </w:rPr>
              <w:t xml:space="preserve">地址: </w:t>
            </w:r>
            <w:r>
              <w:rPr>
                <w:rFonts w:asciiTheme="minorEastAsia" w:hAnsiTheme="minorEastAsia" w:cs="Arial" w:hint="eastAsia"/>
                <w:szCs w:val="21"/>
              </w:rPr>
              <w:t>海南省三亚市迎宾路</w:t>
            </w:r>
            <w:r>
              <w:rPr>
                <w:rFonts w:asciiTheme="minorEastAsia" w:hAnsiTheme="minorEastAsia" w:cs="Arial"/>
                <w:szCs w:val="21"/>
              </w:rPr>
              <w:t>360-1号三亚阳光金融广场16层</w:t>
            </w:r>
          </w:p>
          <w:p w14:paraId="59A8A2A5" w14:textId="77777777" w:rsidR="00B67C49" w:rsidRDefault="00000000">
            <w:pPr>
              <w:widowControl/>
              <w:jc w:val="left"/>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95510</w:t>
            </w:r>
          </w:p>
          <w:p w14:paraId="35747B45" w14:textId="77777777" w:rsidR="00B67C49"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fund.sinosig.com</w:t>
            </w:r>
          </w:p>
        </w:tc>
      </w:tr>
      <w:tr w:rsidR="00B67C49" w14:paraId="70E35C94" w14:textId="77777777">
        <w:trPr>
          <w:trHeight w:val="14"/>
        </w:trPr>
        <w:tc>
          <w:tcPr>
            <w:tcW w:w="709" w:type="dxa"/>
          </w:tcPr>
          <w:p w14:paraId="1D05DB3A"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44</w:t>
            </w:r>
          </w:p>
        </w:tc>
        <w:tc>
          <w:tcPr>
            <w:tcW w:w="2693" w:type="dxa"/>
          </w:tcPr>
          <w:p w14:paraId="04B80502"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深圳市前海排</w:t>
            </w:r>
            <w:proofErr w:type="gramStart"/>
            <w:r>
              <w:rPr>
                <w:rFonts w:asciiTheme="minorEastAsia" w:hAnsiTheme="minorEastAsia" w:cs="Arial" w:hint="eastAsia"/>
                <w:szCs w:val="21"/>
              </w:rPr>
              <w:t>排</w:t>
            </w:r>
            <w:proofErr w:type="gramEnd"/>
            <w:r>
              <w:rPr>
                <w:rFonts w:asciiTheme="minorEastAsia" w:hAnsiTheme="minorEastAsia" w:cs="Arial" w:hint="eastAsia"/>
                <w:szCs w:val="21"/>
              </w:rPr>
              <w:t>网基金销售有限责任公司</w:t>
            </w:r>
          </w:p>
        </w:tc>
        <w:tc>
          <w:tcPr>
            <w:tcW w:w="5103" w:type="dxa"/>
          </w:tcPr>
          <w:p w14:paraId="22A4D567" w14:textId="77777777" w:rsidR="00B67C49" w:rsidRDefault="00000000">
            <w:pPr>
              <w:rPr>
                <w:rFonts w:asciiTheme="minorEastAsia" w:hAnsiTheme="minorEastAsia" w:cs="Arial"/>
                <w:szCs w:val="21"/>
              </w:rPr>
            </w:pPr>
            <w:r>
              <w:rPr>
                <w:rFonts w:asciiTheme="minorEastAsia" w:hAnsiTheme="minorEastAsia" w:cs="Arial" w:hint="eastAsia"/>
                <w:szCs w:val="21"/>
              </w:rPr>
              <w:t>注册（办公）地址：深圳市前海深港合作区前湾一路1号A栋201室（入驻深圳市前海商务秘书有限公司）客服电话：</w:t>
            </w:r>
            <w:r>
              <w:rPr>
                <w:rFonts w:asciiTheme="minorEastAsia" w:hAnsiTheme="minorEastAsia" w:cs="Arial"/>
                <w:szCs w:val="21"/>
              </w:rPr>
              <w:t xml:space="preserve">400-666-7388 </w:t>
            </w:r>
          </w:p>
          <w:p w14:paraId="289B8252" w14:textId="77777777" w:rsidR="00B67C49"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www.ppwfund.com</w:t>
            </w:r>
          </w:p>
        </w:tc>
      </w:tr>
      <w:tr w:rsidR="00B67C49" w14:paraId="239C7ACF" w14:textId="77777777">
        <w:trPr>
          <w:trHeight w:val="14"/>
        </w:trPr>
        <w:tc>
          <w:tcPr>
            <w:tcW w:w="709" w:type="dxa"/>
          </w:tcPr>
          <w:p w14:paraId="5D637CF8"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45</w:t>
            </w:r>
          </w:p>
        </w:tc>
        <w:tc>
          <w:tcPr>
            <w:tcW w:w="2693" w:type="dxa"/>
          </w:tcPr>
          <w:p w14:paraId="4CBE22D0"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上海爱建基金销售有限公司</w:t>
            </w:r>
          </w:p>
        </w:tc>
        <w:tc>
          <w:tcPr>
            <w:tcW w:w="5103" w:type="dxa"/>
          </w:tcPr>
          <w:p w14:paraId="354A74E8"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注册(办公)地址 : 上海市黄浦区西藏中路336号1806-13室</w:t>
            </w:r>
          </w:p>
          <w:p w14:paraId="0473BEFA"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lastRenderedPageBreak/>
              <w:t>客户服务电话：400-803-2733</w:t>
            </w:r>
          </w:p>
          <w:p w14:paraId="6772365D" w14:textId="77777777" w:rsidR="00B67C49" w:rsidRDefault="00000000">
            <w:pPr>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www.ajwm.com.cn</w:t>
            </w:r>
          </w:p>
        </w:tc>
      </w:tr>
      <w:tr w:rsidR="00B67C49" w14:paraId="252E2E49" w14:textId="77777777">
        <w:trPr>
          <w:trHeight w:val="14"/>
        </w:trPr>
        <w:tc>
          <w:tcPr>
            <w:tcW w:w="709" w:type="dxa"/>
          </w:tcPr>
          <w:p w14:paraId="452015B0"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lastRenderedPageBreak/>
              <w:t>46</w:t>
            </w:r>
          </w:p>
        </w:tc>
        <w:tc>
          <w:tcPr>
            <w:tcW w:w="2693" w:type="dxa"/>
          </w:tcPr>
          <w:p w14:paraId="7AECED81"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上海</w:t>
            </w:r>
            <w:proofErr w:type="gramStart"/>
            <w:r>
              <w:rPr>
                <w:rFonts w:asciiTheme="minorEastAsia" w:hAnsiTheme="minorEastAsia" w:cs="Arial" w:hint="eastAsia"/>
                <w:szCs w:val="21"/>
              </w:rPr>
              <w:t>攀赢基金</w:t>
            </w:r>
            <w:proofErr w:type="gramEnd"/>
            <w:r>
              <w:rPr>
                <w:rFonts w:asciiTheme="minorEastAsia" w:hAnsiTheme="minorEastAsia" w:cs="Arial" w:hint="eastAsia"/>
                <w:szCs w:val="21"/>
              </w:rPr>
              <w:t>销售有限公司</w:t>
            </w:r>
          </w:p>
        </w:tc>
        <w:tc>
          <w:tcPr>
            <w:tcW w:w="5103" w:type="dxa"/>
          </w:tcPr>
          <w:p w14:paraId="6E6075A1" w14:textId="77777777" w:rsidR="00B67C49" w:rsidRDefault="00000000">
            <w:pPr>
              <w:snapToGrid w:val="0"/>
              <w:jc w:val="left"/>
              <w:rPr>
                <w:rFonts w:asciiTheme="minorEastAsia" w:hAnsiTheme="minorEastAsia" w:cs="Arial"/>
                <w:szCs w:val="21"/>
              </w:rPr>
            </w:pPr>
            <w:r>
              <w:rPr>
                <w:rFonts w:asciiTheme="minorEastAsia" w:hAnsiTheme="minorEastAsia" w:cs="Arial" w:hint="eastAsia"/>
                <w:szCs w:val="21"/>
              </w:rPr>
              <w:t>注册（办公）地址：上海市浦东</w:t>
            </w:r>
            <w:proofErr w:type="gramStart"/>
            <w:r>
              <w:rPr>
                <w:rFonts w:asciiTheme="minorEastAsia" w:hAnsiTheme="minorEastAsia" w:cs="Arial" w:hint="eastAsia"/>
                <w:szCs w:val="21"/>
              </w:rPr>
              <w:t>新区银</w:t>
            </w:r>
            <w:proofErr w:type="gramEnd"/>
            <w:r>
              <w:rPr>
                <w:rFonts w:asciiTheme="minorEastAsia" w:hAnsiTheme="minorEastAsia" w:cs="Arial" w:hint="eastAsia"/>
                <w:szCs w:val="21"/>
              </w:rPr>
              <w:t>城路116号大华银行大厦7楼</w:t>
            </w:r>
          </w:p>
          <w:p w14:paraId="058DA6CA" w14:textId="77777777" w:rsidR="00B67C49" w:rsidRDefault="00000000">
            <w:pPr>
              <w:snapToGrid w:val="0"/>
              <w:jc w:val="left"/>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021-68889082</w:t>
            </w:r>
          </w:p>
          <w:p w14:paraId="26444C41" w14:textId="77777777" w:rsidR="00B67C49"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www.pytz.cn</w:t>
            </w:r>
          </w:p>
        </w:tc>
      </w:tr>
      <w:tr w:rsidR="00B67C49" w14:paraId="55D083EA" w14:textId="77777777">
        <w:trPr>
          <w:trHeight w:val="14"/>
        </w:trPr>
        <w:tc>
          <w:tcPr>
            <w:tcW w:w="709" w:type="dxa"/>
          </w:tcPr>
          <w:p w14:paraId="77B263BC"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47</w:t>
            </w:r>
          </w:p>
        </w:tc>
        <w:tc>
          <w:tcPr>
            <w:tcW w:w="2693" w:type="dxa"/>
          </w:tcPr>
          <w:p w14:paraId="11A90C80"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嘉实财富管理有限公司</w:t>
            </w:r>
          </w:p>
        </w:tc>
        <w:tc>
          <w:tcPr>
            <w:tcW w:w="5103" w:type="dxa"/>
          </w:tcPr>
          <w:p w14:paraId="1D513EE1" w14:textId="77777777" w:rsidR="00B67C49" w:rsidRDefault="00000000">
            <w:pPr>
              <w:rPr>
                <w:rFonts w:asciiTheme="minorEastAsia" w:hAnsiTheme="minorEastAsia" w:cs="Arial"/>
                <w:szCs w:val="21"/>
              </w:rPr>
            </w:pPr>
            <w:r>
              <w:rPr>
                <w:rFonts w:asciiTheme="minorEastAsia" w:hAnsiTheme="minorEastAsia" w:cs="Arial" w:hint="eastAsia"/>
                <w:szCs w:val="21"/>
              </w:rPr>
              <w:t>注册（办公）地址：海南省三亚市天涯区凤凰岛</w:t>
            </w:r>
            <w:r>
              <w:rPr>
                <w:rFonts w:asciiTheme="minorEastAsia" w:hAnsiTheme="minorEastAsia" w:cs="Arial"/>
                <w:szCs w:val="21"/>
              </w:rPr>
              <w:t>1</w:t>
            </w:r>
            <w:r>
              <w:rPr>
                <w:rFonts w:asciiTheme="minorEastAsia" w:hAnsiTheme="minorEastAsia" w:cs="Arial" w:hint="eastAsia"/>
                <w:szCs w:val="21"/>
              </w:rPr>
              <w:t>号楼</w:t>
            </w:r>
            <w:r>
              <w:rPr>
                <w:rFonts w:asciiTheme="minorEastAsia" w:hAnsiTheme="minorEastAsia" w:cs="Arial"/>
                <w:szCs w:val="21"/>
              </w:rPr>
              <w:t>7</w:t>
            </w:r>
            <w:r>
              <w:rPr>
                <w:rFonts w:asciiTheme="minorEastAsia" w:hAnsiTheme="minorEastAsia" w:cs="Arial" w:hint="eastAsia"/>
                <w:szCs w:val="21"/>
              </w:rPr>
              <w:t>层</w:t>
            </w:r>
            <w:r>
              <w:rPr>
                <w:rFonts w:asciiTheme="minorEastAsia" w:hAnsiTheme="minorEastAsia" w:cs="Arial"/>
                <w:szCs w:val="21"/>
              </w:rPr>
              <w:t>710</w:t>
            </w:r>
            <w:r>
              <w:rPr>
                <w:rFonts w:asciiTheme="minorEastAsia" w:hAnsiTheme="minorEastAsia" w:cs="Arial" w:hint="eastAsia"/>
                <w:szCs w:val="21"/>
              </w:rPr>
              <w:t>号</w:t>
            </w:r>
          </w:p>
          <w:p w14:paraId="50E5EFF1" w14:textId="77777777" w:rsidR="00B67C49" w:rsidRDefault="00000000">
            <w:pPr>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400-021-8850</w:t>
            </w:r>
          </w:p>
          <w:p w14:paraId="2032BEDA" w14:textId="77777777" w:rsidR="00B67C49" w:rsidRDefault="00000000">
            <w:pPr>
              <w:rPr>
                <w:rFonts w:asciiTheme="minorEastAsia" w:hAnsiTheme="minorEastAsia" w:cs="Arial"/>
                <w:szCs w:val="21"/>
              </w:rPr>
            </w:pPr>
            <w:r>
              <w:rPr>
                <w:rFonts w:asciiTheme="minorEastAsia" w:hAnsiTheme="minorEastAsia" w:cs="Arial" w:hint="eastAsia"/>
                <w:szCs w:val="21"/>
              </w:rPr>
              <w:t>公司网站：</w:t>
            </w:r>
            <w:r>
              <w:rPr>
                <w:rFonts w:asciiTheme="minorEastAsia" w:hAnsiTheme="minorEastAsia" w:cs="Arial"/>
                <w:szCs w:val="21"/>
              </w:rPr>
              <w:t>www.harvestwm.cn</w:t>
            </w:r>
          </w:p>
        </w:tc>
      </w:tr>
      <w:tr w:rsidR="00B67C49" w14:paraId="39219D74" w14:textId="77777777">
        <w:trPr>
          <w:trHeight w:val="14"/>
        </w:trPr>
        <w:tc>
          <w:tcPr>
            <w:tcW w:w="709" w:type="dxa"/>
          </w:tcPr>
          <w:p w14:paraId="3B61963A" w14:textId="77777777" w:rsidR="00B67C49" w:rsidRDefault="00000000">
            <w:pPr>
              <w:snapToGrid w:val="0"/>
              <w:jc w:val="center"/>
              <w:rPr>
                <w:rFonts w:asciiTheme="minorEastAsia" w:hAnsiTheme="minorEastAsia" w:cs="Arial"/>
                <w:szCs w:val="21"/>
              </w:rPr>
            </w:pPr>
            <w:r>
              <w:rPr>
                <w:rFonts w:asciiTheme="minorEastAsia" w:hAnsiTheme="minorEastAsia" w:cs="Arial"/>
                <w:szCs w:val="21"/>
              </w:rPr>
              <w:t>48</w:t>
            </w:r>
          </w:p>
        </w:tc>
        <w:tc>
          <w:tcPr>
            <w:tcW w:w="2693" w:type="dxa"/>
          </w:tcPr>
          <w:p w14:paraId="29CD105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渤海证券股份有限公司</w:t>
            </w:r>
          </w:p>
        </w:tc>
        <w:tc>
          <w:tcPr>
            <w:tcW w:w="5103" w:type="dxa"/>
          </w:tcPr>
          <w:p w14:paraId="3AF83784"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注册地址：天津市经济技术开发区第二大街</w:t>
            </w:r>
            <w:r>
              <w:rPr>
                <w:rFonts w:asciiTheme="minorEastAsia" w:hAnsiTheme="minorEastAsia" w:cs="Arial"/>
                <w:szCs w:val="21"/>
              </w:rPr>
              <w:t>42</w:t>
            </w:r>
            <w:r>
              <w:rPr>
                <w:rFonts w:asciiTheme="minorEastAsia" w:hAnsiTheme="minorEastAsia" w:cs="Arial" w:hint="eastAsia"/>
                <w:szCs w:val="21"/>
              </w:rPr>
              <w:t>号写字楼</w:t>
            </w:r>
            <w:r>
              <w:rPr>
                <w:rFonts w:asciiTheme="minorEastAsia" w:hAnsiTheme="minorEastAsia" w:cs="Arial"/>
                <w:szCs w:val="21"/>
              </w:rPr>
              <w:t>101</w:t>
            </w:r>
            <w:r>
              <w:rPr>
                <w:rFonts w:asciiTheme="minorEastAsia" w:hAnsiTheme="minorEastAsia" w:cs="Arial" w:hint="eastAsia"/>
                <w:szCs w:val="21"/>
              </w:rPr>
              <w:t>室</w:t>
            </w:r>
          </w:p>
          <w:p w14:paraId="5F7683FD"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客户服务电话：</w:t>
            </w:r>
            <w:r>
              <w:rPr>
                <w:rFonts w:asciiTheme="minorEastAsia" w:hAnsiTheme="minorEastAsia" w:cs="Arial"/>
                <w:szCs w:val="21"/>
              </w:rPr>
              <w:t>956066</w:t>
            </w:r>
          </w:p>
          <w:p w14:paraId="60B27439"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网址：</w:t>
            </w:r>
            <w:r>
              <w:rPr>
                <w:rFonts w:asciiTheme="minorEastAsia" w:hAnsiTheme="minorEastAsia" w:cs="Arial"/>
                <w:szCs w:val="21"/>
              </w:rPr>
              <w:t>www.ewww.com.cn</w:t>
            </w:r>
          </w:p>
        </w:tc>
      </w:tr>
      <w:tr w:rsidR="00B67C49" w14:paraId="23648917" w14:textId="77777777">
        <w:trPr>
          <w:trHeight w:val="14"/>
        </w:trPr>
        <w:tc>
          <w:tcPr>
            <w:tcW w:w="709" w:type="dxa"/>
          </w:tcPr>
          <w:p w14:paraId="59A23073"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49</w:t>
            </w:r>
          </w:p>
        </w:tc>
        <w:tc>
          <w:tcPr>
            <w:tcW w:w="2693" w:type="dxa"/>
          </w:tcPr>
          <w:p w14:paraId="3E29864B"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国泰君安证券股份有限公司</w:t>
            </w:r>
          </w:p>
        </w:tc>
        <w:tc>
          <w:tcPr>
            <w:tcW w:w="5103" w:type="dxa"/>
          </w:tcPr>
          <w:p w14:paraId="5A11AEE8"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注册地址：中国（上海）自由贸易试验区商城路618号</w:t>
            </w:r>
          </w:p>
          <w:p w14:paraId="736FD4F1"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客户服务电话：95521</w:t>
            </w:r>
          </w:p>
          <w:p w14:paraId="2449198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www.gtja.com</w:t>
            </w:r>
          </w:p>
        </w:tc>
      </w:tr>
      <w:tr w:rsidR="00B67C49" w14:paraId="6932F3D9" w14:textId="77777777">
        <w:trPr>
          <w:trHeight w:val="14"/>
        </w:trPr>
        <w:tc>
          <w:tcPr>
            <w:tcW w:w="709" w:type="dxa"/>
          </w:tcPr>
          <w:p w14:paraId="62EBEA4E"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50</w:t>
            </w:r>
          </w:p>
        </w:tc>
        <w:tc>
          <w:tcPr>
            <w:tcW w:w="2693" w:type="dxa"/>
          </w:tcPr>
          <w:p w14:paraId="0F889FF6"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宁波银行股份有限公司</w:t>
            </w:r>
          </w:p>
        </w:tc>
        <w:tc>
          <w:tcPr>
            <w:tcW w:w="5103" w:type="dxa"/>
          </w:tcPr>
          <w:p w14:paraId="076D49E2"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注册地址：浙江省宁波市</w:t>
            </w:r>
            <w:proofErr w:type="gramStart"/>
            <w:r>
              <w:rPr>
                <w:rFonts w:asciiTheme="minorEastAsia" w:hAnsiTheme="minorEastAsia" w:cs="Arial" w:hint="eastAsia"/>
                <w:sz w:val="22"/>
              </w:rPr>
              <w:t>鄞</w:t>
            </w:r>
            <w:proofErr w:type="gramEnd"/>
            <w:r>
              <w:rPr>
                <w:rFonts w:asciiTheme="minorEastAsia" w:hAnsiTheme="minorEastAsia" w:cs="Arial" w:hint="eastAsia"/>
                <w:sz w:val="22"/>
              </w:rPr>
              <w:t>州区宁东路</w:t>
            </w:r>
            <w:r>
              <w:rPr>
                <w:rFonts w:asciiTheme="minorEastAsia" w:hAnsiTheme="minorEastAsia" w:cs="Arial"/>
                <w:sz w:val="22"/>
              </w:rPr>
              <w:t>345</w:t>
            </w:r>
            <w:r>
              <w:rPr>
                <w:rFonts w:asciiTheme="minorEastAsia" w:hAnsiTheme="minorEastAsia" w:cs="Arial" w:hint="eastAsia"/>
                <w:sz w:val="22"/>
              </w:rPr>
              <w:t>号</w:t>
            </w:r>
          </w:p>
          <w:p w14:paraId="06B80858"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95574</w:t>
            </w:r>
          </w:p>
          <w:p w14:paraId="5D24D602"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www.nbcb.com.cn</w:t>
            </w:r>
          </w:p>
        </w:tc>
      </w:tr>
      <w:tr w:rsidR="00B67C49" w14:paraId="2B6229CA" w14:textId="77777777">
        <w:trPr>
          <w:trHeight w:val="14"/>
        </w:trPr>
        <w:tc>
          <w:tcPr>
            <w:tcW w:w="709" w:type="dxa"/>
          </w:tcPr>
          <w:p w14:paraId="62C1C5F7"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51</w:t>
            </w:r>
          </w:p>
        </w:tc>
        <w:tc>
          <w:tcPr>
            <w:tcW w:w="2693" w:type="dxa"/>
          </w:tcPr>
          <w:p w14:paraId="3ED4716B" w14:textId="77777777" w:rsidR="00B67C49" w:rsidRDefault="00000000">
            <w:pPr>
              <w:snapToGrid w:val="0"/>
              <w:rPr>
                <w:rFonts w:asciiTheme="minorEastAsia" w:hAnsiTheme="minorEastAsia" w:cs="Arial"/>
                <w:sz w:val="22"/>
              </w:rPr>
            </w:pPr>
            <w:proofErr w:type="gramStart"/>
            <w:r>
              <w:rPr>
                <w:rFonts w:asciiTheme="minorEastAsia" w:hAnsiTheme="minorEastAsia" w:cs="Arial" w:hint="eastAsia"/>
                <w:sz w:val="22"/>
              </w:rPr>
              <w:t>万联证券</w:t>
            </w:r>
            <w:proofErr w:type="gramEnd"/>
            <w:r>
              <w:rPr>
                <w:rFonts w:asciiTheme="minorEastAsia" w:hAnsiTheme="minorEastAsia" w:cs="Arial" w:hint="eastAsia"/>
                <w:sz w:val="22"/>
              </w:rPr>
              <w:t>股份有限公司</w:t>
            </w:r>
          </w:p>
        </w:tc>
        <w:tc>
          <w:tcPr>
            <w:tcW w:w="5103" w:type="dxa"/>
          </w:tcPr>
          <w:p w14:paraId="770FE3CB"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注册地址：广东省广州市天河区珠江东路</w:t>
            </w:r>
            <w:r>
              <w:rPr>
                <w:rFonts w:asciiTheme="minorEastAsia" w:hAnsiTheme="minorEastAsia" w:cs="Arial"/>
                <w:sz w:val="22"/>
              </w:rPr>
              <w:t>11</w:t>
            </w:r>
            <w:r>
              <w:rPr>
                <w:rFonts w:asciiTheme="minorEastAsia" w:hAnsiTheme="minorEastAsia" w:cs="Arial" w:hint="eastAsia"/>
                <w:sz w:val="22"/>
              </w:rPr>
              <w:t>号</w:t>
            </w:r>
            <w:r>
              <w:rPr>
                <w:rFonts w:asciiTheme="minorEastAsia" w:hAnsiTheme="minorEastAsia" w:cs="Arial"/>
                <w:sz w:val="22"/>
              </w:rPr>
              <w:t>18,19</w:t>
            </w:r>
            <w:r>
              <w:rPr>
                <w:rFonts w:asciiTheme="minorEastAsia" w:hAnsiTheme="minorEastAsia" w:cs="Arial" w:hint="eastAsia"/>
                <w:sz w:val="22"/>
              </w:rPr>
              <w:t>楼全层</w:t>
            </w:r>
          </w:p>
          <w:p w14:paraId="37A2DF5A"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95322</w:t>
            </w:r>
          </w:p>
          <w:p w14:paraId="7E5F5C3A"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www.wlzq.cn</w:t>
            </w:r>
          </w:p>
        </w:tc>
      </w:tr>
      <w:tr w:rsidR="00B67C49" w14:paraId="6DC3ADFC" w14:textId="77777777">
        <w:trPr>
          <w:trHeight w:val="14"/>
        </w:trPr>
        <w:tc>
          <w:tcPr>
            <w:tcW w:w="709" w:type="dxa"/>
          </w:tcPr>
          <w:p w14:paraId="6FE9E2A7"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52</w:t>
            </w:r>
          </w:p>
        </w:tc>
        <w:tc>
          <w:tcPr>
            <w:tcW w:w="2693" w:type="dxa"/>
          </w:tcPr>
          <w:p w14:paraId="7AA90A50" w14:textId="77777777" w:rsidR="00B67C49" w:rsidRDefault="00000000">
            <w:pPr>
              <w:snapToGrid w:val="0"/>
              <w:rPr>
                <w:rFonts w:asciiTheme="minorEastAsia" w:hAnsiTheme="minorEastAsia" w:cs="Arial"/>
                <w:sz w:val="22"/>
              </w:rPr>
            </w:pPr>
            <w:r>
              <w:rPr>
                <w:rFonts w:asciiTheme="minorEastAsia" w:hAnsiTheme="minorEastAsia" w:cs="Arial" w:hint="eastAsia"/>
                <w:sz w:val="22"/>
              </w:rPr>
              <w:t>五</w:t>
            </w:r>
            <w:proofErr w:type="gramStart"/>
            <w:r>
              <w:rPr>
                <w:rFonts w:asciiTheme="minorEastAsia" w:hAnsiTheme="minorEastAsia" w:cs="Arial" w:hint="eastAsia"/>
                <w:sz w:val="22"/>
              </w:rPr>
              <w:t>矿证券</w:t>
            </w:r>
            <w:proofErr w:type="gramEnd"/>
            <w:r>
              <w:rPr>
                <w:rFonts w:asciiTheme="minorEastAsia" w:hAnsiTheme="minorEastAsia" w:cs="Arial" w:hint="eastAsia"/>
                <w:sz w:val="22"/>
              </w:rPr>
              <w:t>有限公司</w:t>
            </w:r>
          </w:p>
        </w:tc>
        <w:tc>
          <w:tcPr>
            <w:tcW w:w="5103" w:type="dxa"/>
          </w:tcPr>
          <w:p w14:paraId="41FDA3C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注册地址：广东省深圳市南山区粤海</w:t>
            </w:r>
            <w:proofErr w:type="gramStart"/>
            <w:r>
              <w:rPr>
                <w:rFonts w:asciiTheme="minorEastAsia" w:hAnsiTheme="minorEastAsia" w:cs="Arial" w:hint="eastAsia"/>
                <w:sz w:val="22"/>
              </w:rPr>
              <w:t>街道海</w:t>
            </w:r>
            <w:proofErr w:type="gramEnd"/>
            <w:r>
              <w:rPr>
                <w:rFonts w:asciiTheme="minorEastAsia" w:hAnsiTheme="minorEastAsia" w:cs="Arial" w:hint="eastAsia"/>
                <w:sz w:val="22"/>
              </w:rPr>
              <w:t>珠社区滨海大道</w:t>
            </w:r>
            <w:r>
              <w:rPr>
                <w:rFonts w:asciiTheme="minorEastAsia" w:hAnsiTheme="minorEastAsia" w:cs="Arial"/>
                <w:sz w:val="22"/>
              </w:rPr>
              <w:t>3165</w:t>
            </w:r>
            <w:r>
              <w:rPr>
                <w:rFonts w:asciiTheme="minorEastAsia" w:hAnsiTheme="minorEastAsia" w:cs="Arial" w:hint="eastAsia"/>
                <w:sz w:val="22"/>
              </w:rPr>
              <w:t>号五</w:t>
            </w:r>
            <w:proofErr w:type="gramStart"/>
            <w:r>
              <w:rPr>
                <w:rFonts w:asciiTheme="minorEastAsia" w:hAnsiTheme="minorEastAsia" w:cs="Arial" w:hint="eastAsia"/>
                <w:sz w:val="22"/>
              </w:rPr>
              <w:t>矿金融</w:t>
            </w:r>
            <w:proofErr w:type="gramEnd"/>
            <w:r>
              <w:rPr>
                <w:rFonts w:asciiTheme="minorEastAsia" w:hAnsiTheme="minorEastAsia" w:cs="Arial" w:hint="eastAsia"/>
                <w:sz w:val="22"/>
              </w:rPr>
              <w:t>大厦</w:t>
            </w:r>
            <w:r>
              <w:rPr>
                <w:rFonts w:asciiTheme="minorEastAsia" w:hAnsiTheme="minorEastAsia" w:cs="Arial"/>
                <w:sz w:val="22"/>
              </w:rPr>
              <w:t>2401</w:t>
            </w:r>
          </w:p>
          <w:p w14:paraId="3A803DB1"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4001840028</w:t>
            </w:r>
          </w:p>
          <w:p w14:paraId="64CB7E9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www.wkzq.com.cn</w:t>
            </w:r>
          </w:p>
        </w:tc>
      </w:tr>
      <w:tr w:rsidR="00B67C49" w14:paraId="6C524B33" w14:textId="77777777">
        <w:trPr>
          <w:trHeight w:val="14"/>
        </w:trPr>
        <w:tc>
          <w:tcPr>
            <w:tcW w:w="709" w:type="dxa"/>
          </w:tcPr>
          <w:p w14:paraId="06F67B8F"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53</w:t>
            </w:r>
          </w:p>
        </w:tc>
        <w:tc>
          <w:tcPr>
            <w:tcW w:w="2693" w:type="dxa"/>
          </w:tcPr>
          <w:p w14:paraId="38EEDCB7" w14:textId="77777777" w:rsidR="00B67C49" w:rsidRDefault="00000000">
            <w:pPr>
              <w:snapToGrid w:val="0"/>
              <w:rPr>
                <w:rFonts w:asciiTheme="minorEastAsia" w:hAnsiTheme="minorEastAsia" w:cs="Arial"/>
                <w:sz w:val="22"/>
              </w:rPr>
            </w:pPr>
            <w:proofErr w:type="gramStart"/>
            <w:r>
              <w:rPr>
                <w:rFonts w:asciiTheme="minorEastAsia" w:hAnsiTheme="minorEastAsia" w:cs="Arial" w:hint="eastAsia"/>
                <w:sz w:val="22"/>
              </w:rPr>
              <w:t>粤开证券</w:t>
            </w:r>
            <w:proofErr w:type="gramEnd"/>
            <w:r>
              <w:rPr>
                <w:rFonts w:asciiTheme="minorEastAsia" w:hAnsiTheme="minorEastAsia" w:cs="Arial" w:hint="eastAsia"/>
                <w:sz w:val="22"/>
              </w:rPr>
              <w:t>股份有限公司</w:t>
            </w:r>
          </w:p>
        </w:tc>
        <w:tc>
          <w:tcPr>
            <w:tcW w:w="5103" w:type="dxa"/>
          </w:tcPr>
          <w:p w14:paraId="3E96220F"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注册地址：广州市黄埔区科学大道60号开发区控股中心19、21、22、23层</w:t>
            </w:r>
          </w:p>
          <w:p w14:paraId="20A58187"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95564</w:t>
            </w:r>
          </w:p>
          <w:p w14:paraId="0866D6FD"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www.ykzq.com</w:t>
            </w:r>
          </w:p>
        </w:tc>
      </w:tr>
      <w:tr w:rsidR="00B67C49" w14:paraId="3C4FD229" w14:textId="77777777">
        <w:trPr>
          <w:trHeight w:val="14"/>
        </w:trPr>
        <w:tc>
          <w:tcPr>
            <w:tcW w:w="709" w:type="dxa"/>
          </w:tcPr>
          <w:p w14:paraId="2C1BD293"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54</w:t>
            </w:r>
          </w:p>
        </w:tc>
        <w:tc>
          <w:tcPr>
            <w:tcW w:w="2693" w:type="dxa"/>
          </w:tcPr>
          <w:p w14:paraId="426A0C5F"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招商证券股份有限公司</w:t>
            </w:r>
          </w:p>
        </w:tc>
        <w:tc>
          <w:tcPr>
            <w:tcW w:w="5103" w:type="dxa"/>
          </w:tcPr>
          <w:p w14:paraId="79697079"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注册地址：广东省深圳市福田区福田街道福华一路</w:t>
            </w:r>
            <w:r>
              <w:rPr>
                <w:rFonts w:asciiTheme="minorEastAsia" w:hAnsiTheme="minorEastAsia" w:cs="Arial"/>
                <w:sz w:val="22"/>
              </w:rPr>
              <w:t>111</w:t>
            </w:r>
            <w:r>
              <w:rPr>
                <w:rFonts w:asciiTheme="minorEastAsia" w:hAnsiTheme="minorEastAsia" w:cs="Arial" w:hint="eastAsia"/>
                <w:sz w:val="22"/>
              </w:rPr>
              <w:t>号</w:t>
            </w:r>
          </w:p>
          <w:p w14:paraId="5D0CDB99"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95565</w:t>
            </w:r>
          </w:p>
          <w:p w14:paraId="51517058"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www.cmschina.com</w:t>
            </w:r>
          </w:p>
        </w:tc>
      </w:tr>
      <w:tr w:rsidR="00B67C49" w14:paraId="14774FA9" w14:textId="77777777">
        <w:trPr>
          <w:trHeight w:val="14"/>
        </w:trPr>
        <w:tc>
          <w:tcPr>
            <w:tcW w:w="709" w:type="dxa"/>
          </w:tcPr>
          <w:p w14:paraId="5D3E41D7"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55</w:t>
            </w:r>
          </w:p>
        </w:tc>
        <w:tc>
          <w:tcPr>
            <w:tcW w:w="2693" w:type="dxa"/>
          </w:tcPr>
          <w:p w14:paraId="3870B1DE" w14:textId="77777777" w:rsidR="00B67C49" w:rsidRDefault="00000000">
            <w:pPr>
              <w:snapToGrid w:val="0"/>
              <w:rPr>
                <w:rFonts w:asciiTheme="minorEastAsia" w:hAnsiTheme="minorEastAsia" w:cs="Arial"/>
                <w:sz w:val="22"/>
              </w:rPr>
            </w:pPr>
            <w:r>
              <w:rPr>
                <w:rFonts w:asciiTheme="minorEastAsia" w:hAnsiTheme="minorEastAsia" w:cs="Arial" w:hint="eastAsia"/>
                <w:sz w:val="22"/>
              </w:rPr>
              <w:t>中山证券有限责任公司</w:t>
            </w:r>
          </w:p>
        </w:tc>
        <w:tc>
          <w:tcPr>
            <w:tcW w:w="5103" w:type="dxa"/>
          </w:tcPr>
          <w:p w14:paraId="5664668B"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注册地址：深圳市南山区粤海街道蔚蓝海岸社区创业路</w:t>
            </w:r>
            <w:r>
              <w:rPr>
                <w:rFonts w:asciiTheme="minorEastAsia" w:hAnsiTheme="minorEastAsia" w:cs="Arial"/>
                <w:sz w:val="22"/>
              </w:rPr>
              <w:t>1777</w:t>
            </w:r>
            <w:r>
              <w:rPr>
                <w:rFonts w:asciiTheme="minorEastAsia" w:hAnsiTheme="minorEastAsia" w:cs="Arial" w:hint="eastAsia"/>
                <w:sz w:val="22"/>
              </w:rPr>
              <w:t>号海信南方大厦</w:t>
            </w:r>
            <w:r>
              <w:rPr>
                <w:rFonts w:asciiTheme="minorEastAsia" w:hAnsiTheme="minorEastAsia" w:cs="Arial"/>
                <w:sz w:val="22"/>
              </w:rPr>
              <w:t>21</w:t>
            </w:r>
            <w:r>
              <w:rPr>
                <w:rFonts w:asciiTheme="minorEastAsia" w:hAnsiTheme="minorEastAsia" w:cs="Arial" w:hint="eastAsia"/>
                <w:sz w:val="22"/>
              </w:rPr>
              <w:t>层、</w:t>
            </w:r>
            <w:r>
              <w:rPr>
                <w:rFonts w:asciiTheme="minorEastAsia" w:hAnsiTheme="minorEastAsia" w:cs="Arial"/>
                <w:sz w:val="22"/>
              </w:rPr>
              <w:t>22</w:t>
            </w:r>
            <w:r>
              <w:rPr>
                <w:rFonts w:asciiTheme="minorEastAsia" w:hAnsiTheme="minorEastAsia" w:cs="Arial" w:hint="eastAsia"/>
                <w:sz w:val="22"/>
              </w:rPr>
              <w:t>层</w:t>
            </w:r>
          </w:p>
          <w:p w14:paraId="64BEB49E"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95329</w:t>
            </w:r>
          </w:p>
          <w:p w14:paraId="0323EE3D"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www.zszq.com</w:t>
            </w:r>
          </w:p>
        </w:tc>
      </w:tr>
      <w:tr w:rsidR="00B67C49" w14:paraId="4252777D" w14:textId="77777777">
        <w:trPr>
          <w:trHeight w:val="14"/>
        </w:trPr>
        <w:tc>
          <w:tcPr>
            <w:tcW w:w="709" w:type="dxa"/>
          </w:tcPr>
          <w:p w14:paraId="4037D466"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56</w:t>
            </w:r>
          </w:p>
        </w:tc>
        <w:tc>
          <w:tcPr>
            <w:tcW w:w="2693" w:type="dxa"/>
          </w:tcPr>
          <w:p w14:paraId="38DC1AE8" w14:textId="77777777" w:rsidR="00B67C49" w:rsidRDefault="00000000">
            <w:pPr>
              <w:snapToGrid w:val="0"/>
              <w:rPr>
                <w:rFonts w:asciiTheme="minorEastAsia" w:hAnsiTheme="minorEastAsia" w:cs="Arial"/>
                <w:sz w:val="22"/>
              </w:rPr>
            </w:pPr>
            <w:r>
              <w:rPr>
                <w:rFonts w:asciiTheme="minorEastAsia" w:hAnsiTheme="minorEastAsia" w:cs="Arial" w:hint="eastAsia"/>
                <w:sz w:val="22"/>
              </w:rPr>
              <w:t>中</w:t>
            </w:r>
            <w:proofErr w:type="gramStart"/>
            <w:r>
              <w:rPr>
                <w:rFonts w:asciiTheme="minorEastAsia" w:hAnsiTheme="minorEastAsia" w:cs="Arial" w:hint="eastAsia"/>
                <w:sz w:val="22"/>
              </w:rPr>
              <w:t>信建投证券</w:t>
            </w:r>
            <w:proofErr w:type="gramEnd"/>
            <w:r>
              <w:rPr>
                <w:rFonts w:asciiTheme="minorEastAsia" w:hAnsiTheme="minorEastAsia" w:cs="Arial" w:hint="eastAsia"/>
                <w:sz w:val="22"/>
              </w:rPr>
              <w:t>股份有限公司</w:t>
            </w:r>
          </w:p>
        </w:tc>
        <w:tc>
          <w:tcPr>
            <w:tcW w:w="5103" w:type="dxa"/>
          </w:tcPr>
          <w:p w14:paraId="6F01058E"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注册地址：北京市朝阳区安立路</w:t>
            </w:r>
            <w:r>
              <w:rPr>
                <w:rFonts w:asciiTheme="minorEastAsia" w:hAnsiTheme="minorEastAsia" w:cs="Arial"/>
                <w:sz w:val="22"/>
              </w:rPr>
              <w:t>66</w:t>
            </w:r>
            <w:r>
              <w:rPr>
                <w:rFonts w:asciiTheme="minorEastAsia" w:hAnsiTheme="minorEastAsia" w:cs="Arial" w:hint="eastAsia"/>
                <w:sz w:val="22"/>
              </w:rPr>
              <w:t>号</w:t>
            </w:r>
            <w:r>
              <w:rPr>
                <w:rFonts w:asciiTheme="minorEastAsia" w:hAnsiTheme="minorEastAsia" w:cs="Arial"/>
                <w:sz w:val="22"/>
              </w:rPr>
              <w:t>4</w:t>
            </w:r>
            <w:r>
              <w:rPr>
                <w:rFonts w:asciiTheme="minorEastAsia" w:hAnsiTheme="minorEastAsia" w:cs="Arial" w:hint="eastAsia"/>
                <w:sz w:val="22"/>
              </w:rPr>
              <w:t>号楼</w:t>
            </w:r>
          </w:p>
          <w:p w14:paraId="153EF92C"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4008888108</w:t>
            </w:r>
          </w:p>
          <w:p w14:paraId="2BE9C5B5"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www.csc108.com</w:t>
            </w:r>
          </w:p>
        </w:tc>
      </w:tr>
      <w:tr w:rsidR="00B67C49" w14:paraId="44634A1C" w14:textId="77777777">
        <w:trPr>
          <w:trHeight w:val="14"/>
        </w:trPr>
        <w:tc>
          <w:tcPr>
            <w:tcW w:w="709" w:type="dxa"/>
          </w:tcPr>
          <w:p w14:paraId="70BEBBDE"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57</w:t>
            </w:r>
          </w:p>
        </w:tc>
        <w:tc>
          <w:tcPr>
            <w:tcW w:w="2693" w:type="dxa"/>
          </w:tcPr>
          <w:p w14:paraId="603A1C19" w14:textId="77777777" w:rsidR="00B67C49" w:rsidRDefault="00000000">
            <w:pPr>
              <w:snapToGrid w:val="0"/>
              <w:rPr>
                <w:rFonts w:asciiTheme="minorEastAsia" w:hAnsiTheme="minorEastAsia" w:cs="Arial"/>
                <w:sz w:val="22"/>
              </w:rPr>
            </w:pPr>
            <w:r>
              <w:rPr>
                <w:rFonts w:asciiTheme="minorEastAsia" w:hAnsiTheme="minorEastAsia" w:cs="Arial" w:hint="eastAsia"/>
                <w:sz w:val="22"/>
              </w:rPr>
              <w:t>中信期货有限公司</w:t>
            </w:r>
          </w:p>
        </w:tc>
        <w:tc>
          <w:tcPr>
            <w:tcW w:w="5103" w:type="dxa"/>
          </w:tcPr>
          <w:p w14:paraId="3054CD04"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注册地址：深圳市福田区中心三路</w:t>
            </w:r>
            <w:r>
              <w:rPr>
                <w:rFonts w:asciiTheme="minorEastAsia" w:hAnsiTheme="minorEastAsia" w:cs="Arial"/>
                <w:sz w:val="22"/>
              </w:rPr>
              <w:t>8</w:t>
            </w:r>
            <w:r>
              <w:rPr>
                <w:rFonts w:asciiTheme="minorEastAsia" w:hAnsiTheme="minorEastAsia" w:cs="Arial" w:hint="eastAsia"/>
                <w:sz w:val="22"/>
              </w:rPr>
              <w:t>号卓越时代广场</w:t>
            </w:r>
            <w:r>
              <w:rPr>
                <w:rFonts w:asciiTheme="minorEastAsia" w:hAnsiTheme="minorEastAsia" w:cs="Arial"/>
                <w:sz w:val="22"/>
              </w:rPr>
              <w:t>(</w:t>
            </w:r>
            <w:r>
              <w:rPr>
                <w:rFonts w:asciiTheme="minorEastAsia" w:hAnsiTheme="minorEastAsia" w:cs="Arial" w:hint="eastAsia"/>
                <w:sz w:val="22"/>
              </w:rPr>
              <w:t>二期</w:t>
            </w:r>
            <w:r>
              <w:rPr>
                <w:rFonts w:asciiTheme="minorEastAsia" w:hAnsiTheme="minorEastAsia" w:cs="Arial"/>
                <w:sz w:val="22"/>
              </w:rPr>
              <w:t>)</w:t>
            </w:r>
            <w:r>
              <w:rPr>
                <w:rFonts w:asciiTheme="minorEastAsia" w:hAnsiTheme="minorEastAsia" w:cs="Arial" w:hint="eastAsia"/>
                <w:sz w:val="22"/>
              </w:rPr>
              <w:t>北座</w:t>
            </w:r>
            <w:r>
              <w:rPr>
                <w:rFonts w:asciiTheme="minorEastAsia" w:hAnsiTheme="minorEastAsia" w:cs="Arial"/>
                <w:sz w:val="22"/>
              </w:rPr>
              <w:t>13</w:t>
            </w:r>
            <w:r>
              <w:rPr>
                <w:rFonts w:asciiTheme="minorEastAsia" w:hAnsiTheme="minorEastAsia" w:cs="Arial" w:hint="eastAsia"/>
                <w:sz w:val="22"/>
              </w:rPr>
              <w:t>层</w:t>
            </w:r>
            <w:r>
              <w:rPr>
                <w:rFonts w:asciiTheme="minorEastAsia" w:hAnsiTheme="minorEastAsia" w:cs="Arial"/>
                <w:sz w:val="22"/>
              </w:rPr>
              <w:t>1301-1305</w:t>
            </w:r>
            <w:r>
              <w:rPr>
                <w:rFonts w:asciiTheme="minorEastAsia" w:hAnsiTheme="minorEastAsia" w:cs="Arial" w:hint="eastAsia"/>
                <w:sz w:val="22"/>
              </w:rPr>
              <w:t>室</w:t>
            </w:r>
            <w:r>
              <w:rPr>
                <w:rFonts w:asciiTheme="minorEastAsia" w:hAnsiTheme="minorEastAsia" w:cs="Arial"/>
                <w:sz w:val="22"/>
              </w:rPr>
              <w:t>,14</w:t>
            </w:r>
            <w:r>
              <w:rPr>
                <w:rFonts w:asciiTheme="minorEastAsia" w:hAnsiTheme="minorEastAsia" w:cs="Arial" w:hint="eastAsia"/>
                <w:sz w:val="22"/>
              </w:rPr>
              <w:t>层</w:t>
            </w:r>
          </w:p>
          <w:p w14:paraId="4049D570"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4009908826</w:t>
            </w:r>
          </w:p>
          <w:p w14:paraId="6B8E125C"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www.citicsf.com</w:t>
            </w:r>
          </w:p>
        </w:tc>
      </w:tr>
      <w:tr w:rsidR="00B67C49" w14:paraId="704CDF40" w14:textId="77777777">
        <w:trPr>
          <w:trHeight w:val="14"/>
        </w:trPr>
        <w:tc>
          <w:tcPr>
            <w:tcW w:w="709" w:type="dxa"/>
          </w:tcPr>
          <w:p w14:paraId="301EE339" w14:textId="77777777" w:rsidR="00B67C49" w:rsidRDefault="00000000">
            <w:pPr>
              <w:snapToGrid w:val="0"/>
              <w:jc w:val="center"/>
              <w:rPr>
                <w:rFonts w:asciiTheme="minorEastAsia" w:hAnsiTheme="minorEastAsia" w:cs="Arial"/>
                <w:sz w:val="22"/>
              </w:rPr>
            </w:pPr>
            <w:r>
              <w:rPr>
                <w:rFonts w:asciiTheme="minorEastAsia" w:hAnsiTheme="minorEastAsia" w:cs="Arial"/>
                <w:sz w:val="22"/>
              </w:rPr>
              <w:lastRenderedPageBreak/>
              <w:t>58</w:t>
            </w:r>
          </w:p>
        </w:tc>
        <w:tc>
          <w:tcPr>
            <w:tcW w:w="2693" w:type="dxa"/>
          </w:tcPr>
          <w:p w14:paraId="2BFFCD6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中信证券</w:t>
            </w:r>
            <w:r>
              <w:rPr>
                <w:rFonts w:asciiTheme="minorEastAsia" w:hAnsiTheme="minorEastAsia" w:cs="Arial"/>
                <w:sz w:val="22"/>
              </w:rPr>
              <w:t>(山东)有限责任公司</w:t>
            </w:r>
          </w:p>
        </w:tc>
        <w:tc>
          <w:tcPr>
            <w:tcW w:w="5103" w:type="dxa"/>
          </w:tcPr>
          <w:p w14:paraId="0F7713FA"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注册地址：山东省青岛市崂山区深圳路</w:t>
            </w:r>
            <w:r>
              <w:rPr>
                <w:rFonts w:asciiTheme="minorEastAsia" w:hAnsiTheme="minorEastAsia" w:cs="Arial"/>
                <w:sz w:val="22"/>
              </w:rPr>
              <w:t>222</w:t>
            </w:r>
            <w:r>
              <w:rPr>
                <w:rFonts w:asciiTheme="minorEastAsia" w:hAnsiTheme="minorEastAsia" w:cs="Arial" w:hint="eastAsia"/>
                <w:sz w:val="22"/>
              </w:rPr>
              <w:t>号</w:t>
            </w:r>
            <w:r>
              <w:rPr>
                <w:rFonts w:asciiTheme="minorEastAsia" w:hAnsiTheme="minorEastAsia" w:cs="Arial"/>
                <w:sz w:val="22"/>
              </w:rPr>
              <w:t>1</w:t>
            </w:r>
            <w:r>
              <w:rPr>
                <w:rFonts w:asciiTheme="minorEastAsia" w:hAnsiTheme="minorEastAsia" w:cs="Arial" w:hint="eastAsia"/>
                <w:sz w:val="22"/>
              </w:rPr>
              <w:t>号楼</w:t>
            </w:r>
            <w:r>
              <w:rPr>
                <w:rFonts w:asciiTheme="minorEastAsia" w:hAnsiTheme="minorEastAsia" w:cs="Arial"/>
                <w:sz w:val="22"/>
              </w:rPr>
              <w:t>2001</w:t>
            </w:r>
          </w:p>
          <w:p w14:paraId="66461C75"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2ABEAF0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sd.citics.com</w:t>
            </w:r>
          </w:p>
        </w:tc>
      </w:tr>
      <w:tr w:rsidR="00B67C49" w14:paraId="4AD25C77" w14:textId="77777777">
        <w:trPr>
          <w:trHeight w:val="14"/>
        </w:trPr>
        <w:tc>
          <w:tcPr>
            <w:tcW w:w="709" w:type="dxa"/>
          </w:tcPr>
          <w:p w14:paraId="501DA04C"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59</w:t>
            </w:r>
          </w:p>
        </w:tc>
        <w:tc>
          <w:tcPr>
            <w:tcW w:w="2693" w:type="dxa"/>
          </w:tcPr>
          <w:p w14:paraId="1B9B5BCD" w14:textId="77777777" w:rsidR="00B67C49" w:rsidRDefault="00000000">
            <w:pPr>
              <w:snapToGrid w:val="0"/>
              <w:rPr>
                <w:rFonts w:asciiTheme="minorEastAsia" w:hAnsiTheme="minorEastAsia" w:cs="Arial"/>
                <w:sz w:val="22"/>
              </w:rPr>
            </w:pPr>
            <w:r>
              <w:rPr>
                <w:rFonts w:asciiTheme="minorEastAsia" w:hAnsiTheme="minorEastAsia" w:cs="Arial" w:hint="eastAsia"/>
                <w:sz w:val="22"/>
              </w:rPr>
              <w:t>中信证券股份有限公司</w:t>
            </w:r>
          </w:p>
        </w:tc>
        <w:tc>
          <w:tcPr>
            <w:tcW w:w="5103" w:type="dxa"/>
          </w:tcPr>
          <w:p w14:paraId="321D994C"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注册地址：广东省深圳市福田区中心三路</w:t>
            </w:r>
            <w:r>
              <w:rPr>
                <w:rFonts w:asciiTheme="minorEastAsia" w:hAnsiTheme="minorEastAsia" w:cs="Arial"/>
                <w:sz w:val="22"/>
              </w:rPr>
              <w:t>8</w:t>
            </w:r>
            <w:r>
              <w:rPr>
                <w:rFonts w:asciiTheme="minorEastAsia" w:hAnsiTheme="minorEastAsia" w:cs="Arial" w:hint="eastAsia"/>
                <w:sz w:val="22"/>
              </w:rPr>
              <w:t>号卓越时代广场</w:t>
            </w:r>
            <w:r>
              <w:rPr>
                <w:rFonts w:asciiTheme="minorEastAsia" w:hAnsiTheme="minorEastAsia" w:cs="Arial"/>
                <w:sz w:val="22"/>
              </w:rPr>
              <w:t>(</w:t>
            </w:r>
            <w:r>
              <w:rPr>
                <w:rFonts w:asciiTheme="minorEastAsia" w:hAnsiTheme="minorEastAsia" w:cs="Arial" w:hint="eastAsia"/>
                <w:sz w:val="22"/>
              </w:rPr>
              <w:t>二期</w:t>
            </w:r>
            <w:r>
              <w:rPr>
                <w:rFonts w:asciiTheme="minorEastAsia" w:hAnsiTheme="minorEastAsia" w:cs="Arial"/>
                <w:sz w:val="22"/>
              </w:rPr>
              <w:t>)</w:t>
            </w:r>
            <w:r>
              <w:rPr>
                <w:rFonts w:asciiTheme="minorEastAsia" w:hAnsiTheme="minorEastAsia" w:cs="Arial" w:hint="eastAsia"/>
                <w:sz w:val="22"/>
              </w:rPr>
              <w:t>北座</w:t>
            </w:r>
          </w:p>
          <w:p w14:paraId="348EB99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62720262"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www.citics.com</w:t>
            </w:r>
          </w:p>
        </w:tc>
      </w:tr>
      <w:tr w:rsidR="00B67C49" w14:paraId="3A601E4E" w14:textId="77777777">
        <w:trPr>
          <w:trHeight w:val="14"/>
        </w:trPr>
        <w:tc>
          <w:tcPr>
            <w:tcW w:w="709" w:type="dxa"/>
          </w:tcPr>
          <w:p w14:paraId="03322C88"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60</w:t>
            </w:r>
          </w:p>
        </w:tc>
        <w:tc>
          <w:tcPr>
            <w:tcW w:w="2693" w:type="dxa"/>
          </w:tcPr>
          <w:p w14:paraId="36E31514" w14:textId="77777777" w:rsidR="00B67C49" w:rsidRDefault="00000000">
            <w:pPr>
              <w:snapToGrid w:val="0"/>
              <w:rPr>
                <w:rFonts w:asciiTheme="minorEastAsia" w:hAnsiTheme="minorEastAsia" w:cs="Arial"/>
                <w:sz w:val="22"/>
              </w:rPr>
            </w:pPr>
            <w:r>
              <w:rPr>
                <w:rFonts w:asciiTheme="minorEastAsia" w:hAnsiTheme="minorEastAsia" w:cs="Arial" w:hint="eastAsia"/>
                <w:sz w:val="22"/>
              </w:rPr>
              <w:t>中信证券华南股份有限公司</w:t>
            </w:r>
          </w:p>
        </w:tc>
        <w:tc>
          <w:tcPr>
            <w:tcW w:w="5103" w:type="dxa"/>
          </w:tcPr>
          <w:p w14:paraId="40AC7889"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注册地址：广东省广州市天河区临江大道</w:t>
            </w:r>
            <w:r>
              <w:rPr>
                <w:rFonts w:asciiTheme="minorEastAsia" w:hAnsiTheme="minorEastAsia" w:cs="Arial"/>
                <w:sz w:val="22"/>
              </w:rPr>
              <w:t>395号901室(部位:自编01),1001室</w:t>
            </w:r>
          </w:p>
          <w:p w14:paraId="3398E93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95548</w:t>
            </w:r>
          </w:p>
          <w:p w14:paraId="0C3723AB"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www.gzs.com.cn</w:t>
            </w:r>
          </w:p>
        </w:tc>
      </w:tr>
      <w:tr w:rsidR="00B67C49" w14:paraId="479EC9CF" w14:textId="77777777">
        <w:trPr>
          <w:trHeight w:val="14"/>
        </w:trPr>
        <w:tc>
          <w:tcPr>
            <w:tcW w:w="709" w:type="dxa"/>
          </w:tcPr>
          <w:p w14:paraId="14775F3F" w14:textId="77777777" w:rsidR="00B67C49" w:rsidRDefault="00000000">
            <w:pPr>
              <w:snapToGrid w:val="0"/>
              <w:jc w:val="center"/>
              <w:rPr>
                <w:rFonts w:asciiTheme="minorEastAsia" w:hAnsiTheme="minorEastAsia" w:cs="Arial"/>
                <w:sz w:val="22"/>
              </w:rPr>
            </w:pPr>
            <w:r>
              <w:rPr>
                <w:rFonts w:asciiTheme="minorEastAsia" w:hAnsiTheme="minorEastAsia" w:cs="Arial"/>
                <w:sz w:val="22"/>
              </w:rPr>
              <w:t>61</w:t>
            </w:r>
          </w:p>
        </w:tc>
        <w:tc>
          <w:tcPr>
            <w:tcW w:w="2693" w:type="dxa"/>
          </w:tcPr>
          <w:p w14:paraId="428D9D3F" w14:textId="77777777" w:rsidR="00B67C49" w:rsidRDefault="00000000">
            <w:pPr>
              <w:snapToGrid w:val="0"/>
              <w:rPr>
                <w:rFonts w:asciiTheme="minorEastAsia" w:hAnsiTheme="minorEastAsia" w:cs="Arial"/>
                <w:sz w:val="22"/>
              </w:rPr>
            </w:pPr>
            <w:r>
              <w:rPr>
                <w:rFonts w:asciiTheme="minorEastAsia" w:hAnsiTheme="minorEastAsia" w:cs="Arial" w:hint="eastAsia"/>
                <w:sz w:val="22"/>
              </w:rPr>
              <w:t>中</w:t>
            </w:r>
            <w:proofErr w:type="gramStart"/>
            <w:r>
              <w:rPr>
                <w:rFonts w:asciiTheme="minorEastAsia" w:hAnsiTheme="minorEastAsia" w:cs="Arial" w:hint="eastAsia"/>
                <w:sz w:val="22"/>
              </w:rPr>
              <w:t>邮证券</w:t>
            </w:r>
            <w:proofErr w:type="gramEnd"/>
            <w:r>
              <w:rPr>
                <w:rFonts w:asciiTheme="minorEastAsia" w:hAnsiTheme="minorEastAsia" w:cs="Arial" w:hint="eastAsia"/>
                <w:sz w:val="22"/>
              </w:rPr>
              <w:t>有限责任公司</w:t>
            </w:r>
          </w:p>
        </w:tc>
        <w:tc>
          <w:tcPr>
            <w:tcW w:w="5103" w:type="dxa"/>
          </w:tcPr>
          <w:p w14:paraId="4DD65DEA"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注册地址：陕西省西安市</w:t>
            </w:r>
            <w:proofErr w:type="gramStart"/>
            <w:r>
              <w:rPr>
                <w:rFonts w:asciiTheme="minorEastAsia" w:hAnsiTheme="minorEastAsia" w:cs="Arial" w:hint="eastAsia"/>
                <w:sz w:val="22"/>
              </w:rPr>
              <w:t>唐延路</w:t>
            </w:r>
            <w:proofErr w:type="gramEnd"/>
            <w:r>
              <w:rPr>
                <w:rFonts w:asciiTheme="minorEastAsia" w:hAnsiTheme="minorEastAsia" w:cs="Arial"/>
                <w:sz w:val="22"/>
              </w:rPr>
              <w:t>5号(陕西邮政信息大厦9-11层)</w:t>
            </w:r>
          </w:p>
          <w:p w14:paraId="33DDC6A8"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w:t>
            </w:r>
            <w:r>
              <w:rPr>
                <w:rFonts w:asciiTheme="minorEastAsia" w:hAnsiTheme="minorEastAsia" w:cs="Arial"/>
                <w:sz w:val="22"/>
              </w:rPr>
              <w:t>4008888005</w:t>
            </w:r>
          </w:p>
          <w:p w14:paraId="5E1ADD0B"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t>
            </w:r>
            <w:r>
              <w:rPr>
                <w:rFonts w:asciiTheme="minorEastAsia" w:hAnsiTheme="minorEastAsia" w:cs="Arial"/>
                <w:sz w:val="22"/>
              </w:rPr>
              <w:t>www.cnpsec.com</w:t>
            </w:r>
          </w:p>
        </w:tc>
      </w:tr>
      <w:tr w:rsidR="00B67C49" w14:paraId="3E08C92A" w14:textId="77777777">
        <w:trPr>
          <w:trHeight w:val="14"/>
        </w:trPr>
        <w:tc>
          <w:tcPr>
            <w:tcW w:w="709" w:type="dxa"/>
          </w:tcPr>
          <w:p w14:paraId="31B0E9BC"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2</w:t>
            </w:r>
          </w:p>
        </w:tc>
        <w:tc>
          <w:tcPr>
            <w:tcW w:w="2693" w:type="dxa"/>
          </w:tcPr>
          <w:p w14:paraId="6B039B79" w14:textId="77777777" w:rsidR="00B67C49" w:rsidRDefault="00000000">
            <w:pPr>
              <w:snapToGrid w:val="0"/>
              <w:rPr>
                <w:rFonts w:asciiTheme="minorEastAsia" w:hAnsiTheme="minorEastAsia" w:cs="Arial"/>
                <w:sz w:val="22"/>
              </w:rPr>
            </w:pPr>
            <w:r>
              <w:rPr>
                <w:rFonts w:asciiTheme="minorEastAsia" w:hAnsiTheme="minorEastAsia" w:cs="Arial" w:hint="eastAsia"/>
                <w:szCs w:val="21"/>
              </w:rPr>
              <w:t>上海华夏财富投资管理有限公司</w:t>
            </w:r>
          </w:p>
        </w:tc>
        <w:tc>
          <w:tcPr>
            <w:tcW w:w="5103" w:type="dxa"/>
          </w:tcPr>
          <w:p w14:paraId="04706A6B" w14:textId="77777777" w:rsidR="00B67C49" w:rsidRDefault="00000000">
            <w:pPr>
              <w:rPr>
                <w:rFonts w:asciiTheme="minorEastAsia" w:hAnsiTheme="minorEastAsia" w:cs="Arial"/>
                <w:szCs w:val="21"/>
              </w:rPr>
            </w:pPr>
            <w:r>
              <w:rPr>
                <w:rFonts w:asciiTheme="minorEastAsia" w:hAnsiTheme="minorEastAsia" w:cs="Arial" w:hint="eastAsia"/>
                <w:szCs w:val="21"/>
              </w:rPr>
              <w:t>注册（办公）地址：北京市西城区金融大街33号通泰大厦B座8层</w:t>
            </w:r>
          </w:p>
          <w:p w14:paraId="67AF4F47" w14:textId="77777777" w:rsidR="00B67C49" w:rsidRDefault="00B67C49">
            <w:pPr>
              <w:snapToGrid w:val="0"/>
              <w:rPr>
                <w:rFonts w:asciiTheme="minorEastAsia" w:hAnsiTheme="minorEastAsia" w:cs="Arial"/>
                <w:szCs w:val="21"/>
              </w:rPr>
            </w:pPr>
          </w:p>
          <w:p w14:paraId="4B8150C7" w14:textId="77777777" w:rsidR="00B67C49" w:rsidRDefault="00000000">
            <w:pPr>
              <w:snapToGrid w:val="0"/>
              <w:rPr>
                <w:rFonts w:asciiTheme="minorEastAsia" w:hAnsiTheme="minorEastAsia" w:cs="Arial"/>
                <w:szCs w:val="21"/>
              </w:rPr>
            </w:pPr>
            <w:r>
              <w:rPr>
                <w:rFonts w:asciiTheme="minorEastAsia" w:hAnsiTheme="minorEastAsia" w:cs="Arial" w:hint="eastAsia"/>
                <w:szCs w:val="21"/>
              </w:rPr>
              <w:t>客服电话：</w:t>
            </w:r>
            <w:r>
              <w:rPr>
                <w:rFonts w:asciiTheme="minorEastAsia" w:hAnsiTheme="minorEastAsia" w:cs="Arial"/>
                <w:szCs w:val="21"/>
              </w:rPr>
              <w:t>400-817-5666</w:t>
            </w:r>
          </w:p>
          <w:p w14:paraId="3B04B10B" w14:textId="77777777" w:rsidR="00B67C49" w:rsidRDefault="00000000">
            <w:pPr>
              <w:snapToGrid w:val="0"/>
              <w:rPr>
                <w:rFonts w:asciiTheme="minorEastAsia" w:hAnsiTheme="minorEastAsia" w:cs="Arial"/>
                <w:sz w:val="22"/>
              </w:rPr>
            </w:pPr>
            <w:r>
              <w:rPr>
                <w:rFonts w:asciiTheme="minorEastAsia" w:hAnsiTheme="minorEastAsia" w:cs="Arial" w:hint="eastAsia"/>
                <w:szCs w:val="21"/>
              </w:rPr>
              <w:t>公司网站：</w:t>
            </w:r>
            <w:r>
              <w:rPr>
                <w:rFonts w:asciiTheme="minorEastAsia" w:hAnsiTheme="minorEastAsia" w:cs="Arial"/>
                <w:szCs w:val="21"/>
              </w:rPr>
              <w:t>https://www.amcfortune.com/</w:t>
            </w:r>
          </w:p>
        </w:tc>
      </w:tr>
      <w:tr w:rsidR="00B67C49" w14:paraId="33988B78" w14:textId="77777777">
        <w:trPr>
          <w:trHeight w:val="14"/>
        </w:trPr>
        <w:tc>
          <w:tcPr>
            <w:tcW w:w="709" w:type="dxa"/>
          </w:tcPr>
          <w:p w14:paraId="721A25C0"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3</w:t>
            </w:r>
          </w:p>
        </w:tc>
        <w:tc>
          <w:tcPr>
            <w:tcW w:w="2693" w:type="dxa"/>
          </w:tcPr>
          <w:p w14:paraId="70271A41" w14:textId="77777777" w:rsidR="00B67C49" w:rsidRDefault="00000000">
            <w:pPr>
              <w:snapToGrid w:val="0"/>
              <w:rPr>
                <w:rFonts w:asciiTheme="minorEastAsia" w:hAnsiTheme="minorEastAsia" w:cs="Arial"/>
                <w:szCs w:val="21"/>
              </w:rPr>
            </w:pPr>
            <w:r>
              <w:rPr>
                <w:rFonts w:ascii="宋体" w:hAnsi="宋体" w:cs="Calibri" w:hint="eastAsia"/>
                <w:color w:val="000000"/>
                <w:szCs w:val="21"/>
              </w:rPr>
              <w:t>浙江同花</w:t>
            </w:r>
            <w:proofErr w:type="gramStart"/>
            <w:r>
              <w:rPr>
                <w:rFonts w:ascii="宋体" w:hAnsi="宋体" w:cs="Calibri" w:hint="eastAsia"/>
                <w:color w:val="000000"/>
                <w:szCs w:val="21"/>
              </w:rPr>
              <w:t>顺基金</w:t>
            </w:r>
            <w:proofErr w:type="gramEnd"/>
            <w:r>
              <w:rPr>
                <w:rFonts w:ascii="宋体" w:hAnsi="宋体" w:cs="Calibri" w:hint="eastAsia"/>
                <w:color w:val="000000"/>
                <w:szCs w:val="21"/>
              </w:rPr>
              <w:t>销售有限公司</w:t>
            </w:r>
          </w:p>
        </w:tc>
        <w:tc>
          <w:tcPr>
            <w:tcW w:w="5103" w:type="dxa"/>
          </w:tcPr>
          <w:p w14:paraId="272711D9" w14:textId="77777777" w:rsidR="00B67C49" w:rsidRDefault="00000000">
            <w:pPr>
              <w:snapToGrid w:val="0"/>
              <w:spacing w:line="360" w:lineRule="auto"/>
              <w:rPr>
                <w:rFonts w:ascii="宋体" w:hAnsi="宋体" w:cs="Calibri"/>
                <w:color w:val="000000"/>
                <w:szCs w:val="21"/>
              </w:rPr>
            </w:pPr>
            <w:r>
              <w:rPr>
                <w:rFonts w:ascii="宋体" w:hAnsi="宋体" w:cs="Calibri" w:hint="eastAsia"/>
                <w:color w:val="000000"/>
                <w:szCs w:val="21"/>
              </w:rPr>
              <w:t>注册(办公)地址：杭州市西湖区文二西路1号元茂大厦903室</w:t>
            </w:r>
          </w:p>
          <w:p w14:paraId="20E46A68" w14:textId="77777777" w:rsidR="00B67C49" w:rsidRDefault="00000000">
            <w:pPr>
              <w:snapToGrid w:val="0"/>
              <w:spacing w:line="360" w:lineRule="auto"/>
              <w:rPr>
                <w:rFonts w:ascii="宋体" w:hAnsi="宋体" w:cs="Calibri"/>
                <w:color w:val="000000"/>
                <w:szCs w:val="21"/>
              </w:rPr>
            </w:pPr>
            <w:r>
              <w:rPr>
                <w:rFonts w:ascii="宋体" w:hAnsi="宋体" w:cs="Calibri" w:hint="eastAsia"/>
                <w:color w:val="000000"/>
                <w:szCs w:val="21"/>
              </w:rPr>
              <w:t>客户服务电话：</w:t>
            </w:r>
            <w:r>
              <w:rPr>
                <w:rFonts w:ascii="宋体" w:hAnsi="宋体" w:cs="Calibri"/>
                <w:color w:val="000000"/>
                <w:szCs w:val="21"/>
              </w:rPr>
              <w:t>952555</w:t>
            </w:r>
          </w:p>
          <w:p w14:paraId="75D2D093" w14:textId="77777777" w:rsidR="00B67C49" w:rsidRDefault="00000000">
            <w:pPr>
              <w:rPr>
                <w:rFonts w:asciiTheme="minorEastAsia" w:hAnsiTheme="minorEastAsia" w:cs="Arial"/>
                <w:szCs w:val="21"/>
              </w:rPr>
            </w:pPr>
            <w:r>
              <w:rPr>
                <w:rFonts w:ascii="宋体" w:hAnsi="宋体" w:cs="Calibri" w:hint="eastAsia"/>
                <w:color w:val="000000"/>
                <w:szCs w:val="21"/>
              </w:rPr>
              <w:t>网址：</w:t>
            </w:r>
            <w:hyperlink r:id="rId42" w:history="1">
              <w:r>
                <w:rPr>
                  <w:rFonts w:ascii="宋体" w:hAnsi="宋体" w:cs="Calibri" w:hint="eastAsia"/>
                  <w:color w:val="000000"/>
                  <w:szCs w:val="21"/>
                </w:rPr>
                <w:t>www.5ifund.com</w:t>
              </w:r>
            </w:hyperlink>
          </w:p>
        </w:tc>
      </w:tr>
      <w:tr w:rsidR="00B67C49" w14:paraId="47E6C4BB" w14:textId="77777777">
        <w:trPr>
          <w:trHeight w:val="14"/>
        </w:trPr>
        <w:tc>
          <w:tcPr>
            <w:tcW w:w="709" w:type="dxa"/>
          </w:tcPr>
          <w:p w14:paraId="7E2B3C01"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4</w:t>
            </w:r>
          </w:p>
        </w:tc>
        <w:tc>
          <w:tcPr>
            <w:tcW w:w="2693" w:type="dxa"/>
          </w:tcPr>
          <w:p w14:paraId="5BA9E228" w14:textId="77777777" w:rsidR="00B67C49" w:rsidRDefault="00000000">
            <w:pPr>
              <w:pStyle w:val="aff1"/>
              <w:widowControl/>
              <w:ind w:firstLineChars="0" w:firstLine="0"/>
            </w:pPr>
            <w:proofErr w:type="gramStart"/>
            <w:r>
              <w:rPr>
                <w:rFonts w:hint="eastAsia"/>
              </w:rPr>
              <w:t>众惠基金</w:t>
            </w:r>
            <w:proofErr w:type="gramEnd"/>
            <w:r>
              <w:rPr>
                <w:rFonts w:hint="eastAsia"/>
              </w:rPr>
              <w:t>销售有限公司</w:t>
            </w:r>
          </w:p>
          <w:p w14:paraId="1F55F2AC" w14:textId="77777777" w:rsidR="00B67C49" w:rsidRDefault="00B67C49">
            <w:pPr>
              <w:snapToGrid w:val="0"/>
              <w:rPr>
                <w:rFonts w:ascii="宋体" w:hAnsi="宋体" w:cs="Calibri"/>
                <w:color w:val="000000"/>
                <w:szCs w:val="21"/>
              </w:rPr>
            </w:pPr>
          </w:p>
        </w:tc>
        <w:tc>
          <w:tcPr>
            <w:tcW w:w="5103" w:type="dxa"/>
          </w:tcPr>
          <w:p w14:paraId="3F4B77AB" w14:textId="77777777" w:rsidR="00B67C49" w:rsidRDefault="00000000">
            <w:pPr>
              <w:pStyle w:val="aff1"/>
              <w:widowControl/>
              <w:ind w:firstLineChars="0" w:firstLine="0"/>
            </w:pPr>
            <w:r>
              <w:t>注册</w:t>
            </w:r>
            <w:r>
              <w:rPr>
                <w:rFonts w:cs="Calibri" w:hint="eastAsia"/>
              </w:rPr>
              <w:t>（办公）</w:t>
            </w:r>
            <w:r>
              <w:t>地址：</w:t>
            </w:r>
            <w:r>
              <w:rPr>
                <w:rFonts w:hint="eastAsia"/>
              </w:rPr>
              <w:t>贵州省贵阳市观山湖区长岭北路贵阳国际金融中心二期商务区第</w:t>
            </w:r>
            <w:r>
              <w:rPr>
                <w:rFonts w:hint="eastAsia"/>
              </w:rPr>
              <w:t>C4</w:t>
            </w:r>
            <w:r>
              <w:rPr>
                <w:rFonts w:hint="eastAsia"/>
              </w:rPr>
              <w:t>栋</w:t>
            </w:r>
            <w:r>
              <w:rPr>
                <w:rFonts w:hint="eastAsia"/>
              </w:rPr>
              <w:t>30</w:t>
            </w:r>
            <w:r>
              <w:rPr>
                <w:rFonts w:hint="eastAsia"/>
              </w:rPr>
              <w:t>层</w:t>
            </w:r>
          </w:p>
          <w:p w14:paraId="4D3AA407" w14:textId="77777777" w:rsidR="00B67C49" w:rsidRDefault="00000000">
            <w:pPr>
              <w:pStyle w:val="aff1"/>
              <w:widowControl/>
              <w:ind w:firstLineChars="0" w:firstLine="0"/>
            </w:pPr>
            <w:r>
              <w:rPr>
                <w:rFonts w:hint="eastAsia"/>
              </w:rPr>
              <w:t>客服电话：</w:t>
            </w:r>
            <w:r>
              <w:rPr>
                <w:rFonts w:hint="eastAsia"/>
              </w:rPr>
              <w:t>400-839-1818</w:t>
            </w:r>
          </w:p>
          <w:p w14:paraId="5DB37044" w14:textId="77777777" w:rsidR="00B67C49" w:rsidRDefault="00000000">
            <w:pPr>
              <w:snapToGrid w:val="0"/>
              <w:spacing w:line="360" w:lineRule="auto"/>
              <w:rPr>
                <w:rFonts w:ascii="宋体" w:hAnsi="宋体" w:cs="Calibri"/>
                <w:color w:val="000000"/>
                <w:szCs w:val="21"/>
              </w:rPr>
            </w:pPr>
            <w:r>
              <w:rPr>
                <w:rFonts w:hint="eastAsia"/>
              </w:rPr>
              <w:t>公司网站：</w:t>
            </w:r>
            <w:r>
              <w:rPr>
                <w:rFonts w:hint="eastAsia"/>
              </w:rPr>
              <w:t>www.hyzhfund.com</w:t>
            </w:r>
          </w:p>
        </w:tc>
      </w:tr>
      <w:tr w:rsidR="00B67C49" w14:paraId="3D759507" w14:textId="77777777">
        <w:trPr>
          <w:trHeight w:val="14"/>
        </w:trPr>
        <w:tc>
          <w:tcPr>
            <w:tcW w:w="709" w:type="dxa"/>
          </w:tcPr>
          <w:p w14:paraId="7B162694"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5</w:t>
            </w:r>
          </w:p>
        </w:tc>
        <w:tc>
          <w:tcPr>
            <w:tcW w:w="2693" w:type="dxa"/>
          </w:tcPr>
          <w:p w14:paraId="1BD2E425" w14:textId="77777777" w:rsidR="00B67C49" w:rsidRDefault="00000000">
            <w:pPr>
              <w:pStyle w:val="aff1"/>
              <w:widowControl/>
              <w:ind w:firstLineChars="0" w:firstLine="0"/>
            </w:pPr>
            <w:r>
              <w:rPr>
                <w:rFonts w:ascii="宋体" w:hAnsi="宋体" w:cs="Calibri" w:hint="eastAsia"/>
                <w:bCs/>
                <w:color w:val="000000"/>
                <w:szCs w:val="21"/>
              </w:rPr>
              <w:t>金元证券股份有限公司</w:t>
            </w:r>
          </w:p>
        </w:tc>
        <w:tc>
          <w:tcPr>
            <w:tcW w:w="5103" w:type="dxa"/>
          </w:tcPr>
          <w:p w14:paraId="048713F8" w14:textId="77777777" w:rsidR="00B67C49" w:rsidRDefault="00000000">
            <w:pPr>
              <w:snapToGrid w:val="0"/>
              <w:spacing w:line="360" w:lineRule="auto"/>
              <w:rPr>
                <w:rFonts w:ascii="宋体" w:hAnsi="宋体" w:cs="Calibri"/>
                <w:color w:val="000000"/>
                <w:szCs w:val="21"/>
              </w:rPr>
            </w:pPr>
            <w:r>
              <w:rPr>
                <w:rFonts w:ascii="宋体" w:hAnsi="宋体" w:cs="Calibri" w:hint="eastAsia"/>
                <w:color w:val="000000"/>
                <w:szCs w:val="21"/>
              </w:rPr>
              <w:t>注册(办公)地址 :</w:t>
            </w:r>
            <w:r>
              <w:rPr>
                <w:rFonts w:hint="eastAsia"/>
              </w:rPr>
              <w:t xml:space="preserve"> </w:t>
            </w:r>
            <w:r>
              <w:rPr>
                <w:rFonts w:ascii="宋体" w:hAnsi="宋体" w:cs="Calibri" w:hint="eastAsia"/>
                <w:color w:val="000000"/>
                <w:szCs w:val="21"/>
              </w:rPr>
              <w:t>深圳市深南大道4001号时代金融中心大厦17楼</w:t>
            </w:r>
          </w:p>
          <w:p w14:paraId="4D15D13B" w14:textId="77777777" w:rsidR="00B67C49" w:rsidRDefault="00000000">
            <w:pPr>
              <w:snapToGrid w:val="0"/>
              <w:spacing w:line="360" w:lineRule="auto"/>
            </w:pPr>
            <w:r>
              <w:rPr>
                <w:rFonts w:ascii="宋体" w:hAnsi="宋体" w:cs="Calibri" w:hint="eastAsia"/>
                <w:color w:val="000000"/>
                <w:szCs w:val="21"/>
              </w:rPr>
              <w:t>客户服务电话</w:t>
            </w:r>
            <w:r>
              <w:t>：</w:t>
            </w:r>
            <w:r>
              <w:t>95372</w:t>
            </w:r>
          </w:p>
          <w:p w14:paraId="5908B0DB" w14:textId="77777777" w:rsidR="00B67C49" w:rsidRDefault="00000000">
            <w:pPr>
              <w:pStyle w:val="aff1"/>
              <w:widowControl/>
              <w:ind w:firstLineChars="0" w:firstLine="0"/>
            </w:pPr>
            <w:r>
              <w:rPr>
                <w:rFonts w:ascii="宋体" w:hAnsi="宋体" w:cs="Calibri" w:hint="eastAsia"/>
                <w:color w:val="000000"/>
                <w:szCs w:val="21"/>
              </w:rPr>
              <w:t>网址：www.jyzq.cn</w:t>
            </w:r>
          </w:p>
        </w:tc>
      </w:tr>
      <w:tr w:rsidR="00B67C49" w14:paraId="60AC4813" w14:textId="77777777">
        <w:trPr>
          <w:trHeight w:val="14"/>
        </w:trPr>
        <w:tc>
          <w:tcPr>
            <w:tcW w:w="709" w:type="dxa"/>
          </w:tcPr>
          <w:p w14:paraId="62E314B8"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6</w:t>
            </w:r>
          </w:p>
        </w:tc>
        <w:tc>
          <w:tcPr>
            <w:tcW w:w="2693" w:type="dxa"/>
          </w:tcPr>
          <w:p w14:paraId="3C9EB541"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华</w:t>
            </w:r>
            <w:proofErr w:type="gramStart"/>
            <w:r>
              <w:rPr>
                <w:rFonts w:asciiTheme="minorEastAsia" w:hAnsiTheme="minorEastAsia" w:cs="Arial" w:hint="eastAsia"/>
                <w:sz w:val="22"/>
              </w:rPr>
              <w:t>源证券</w:t>
            </w:r>
            <w:proofErr w:type="gramEnd"/>
            <w:r>
              <w:rPr>
                <w:rFonts w:asciiTheme="minorEastAsia" w:hAnsiTheme="minorEastAsia" w:cs="Arial" w:hint="eastAsia"/>
                <w:sz w:val="22"/>
              </w:rPr>
              <w:t>股份有限公司</w:t>
            </w:r>
          </w:p>
        </w:tc>
        <w:tc>
          <w:tcPr>
            <w:tcW w:w="5103" w:type="dxa"/>
          </w:tcPr>
          <w:p w14:paraId="2F9C535C"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注册地址：西宁市南川工业园区创业路108号</w:t>
            </w:r>
          </w:p>
          <w:p w14:paraId="1B36B49C"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客户服务电话：95305</w:t>
            </w:r>
          </w:p>
          <w:p w14:paraId="1CBB8364"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网址：www.jzsec.com</w:t>
            </w:r>
          </w:p>
        </w:tc>
      </w:tr>
      <w:tr w:rsidR="00B67C49" w14:paraId="339414FD" w14:textId="77777777">
        <w:trPr>
          <w:trHeight w:val="14"/>
        </w:trPr>
        <w:tc>
          <w:tcPr>
            <w:tcW w:w="709" w:type="dxa"/>
          </w:tcPr>
          <w:p w14:paraId="4C55FC4F"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7</w:t>
            </w:r>
          </w:p>
        </w:tc>
        <w:tc>
          <w:tcPr>
            <w:tcW w:w="2693" w:type="dxa"/>
          </w:tcPr>
          <w:p w14:paraId="19BD42C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海通证券股份有限公司</w:t>
            </w:r>
          </w:p>
        </w:tc>
        <w:tc>
          <w:tcPr>
            <w:tcW w:w="5103" w:type="dxa"/>
          </w:tcPr>
          <w:p w14:paraId="0CB6E11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注册地址：上海市广东路689号</w:t>
            </w:r>
          </w:p>
          <w:p w14:paraId="5EE54C26"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客户服务电话：95553</w:t>
            </w:r>
          </w:p>
          <w:p w14:paraId="1DA73B21"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网址：www.htsec.com</w:t>
            </w:r>
          </w:p>
        </w:tc>
      </w:tr>
      <w:tr w:rsidR="00B67C49" w14:paraId="594DF906" w14:textId="77777777">
        <w:trPr>
          <w:trHeight w:val="14"/>
        </w:trPr>
        <w:tc>
          <w:tcPr>
            <w:tcW w:w="709" w:type="dxa"/>
          </w:tcPr>
          <w:p w14:paraId="52F609FF"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8</w:t>
            </w:r>
          </w:p>
        </w:tc>
        <w:tc>
          <w:tcPr>
            <w:tcW w:w="2693" w:type="dxa"/>
          </w:tcPr>
          <w:p w14:paraId="43EA5E8B"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华金证券股份有限公司</w:t>
            </w:r>
          </w:p>
        </w:tc>
        <w:tc>
          <w:tcPr>
            <w:tcW w:w="5103" w:type="dxa"/>
          </w:tcPr>
          <w:p w14:paraId="1139CB59"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注册地址：上海市静安区天目西路128号19层1902室</w:t>
            </w:r>
          </w:p>
          <w:p w14:paraId="713AC86E"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客户服务电话：956011</w:t>
            </w:r>
          </w:p>
          <w:p w14:paraId="77281F84"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网址：www.huajinsc.cn</w:t>
            </w:r>
          </w:p>
        </w:tc>
      </w:tr>
      <w:tr w:rsidR="00B67C49" w14:paraId="565C8671" w14:textId="77777777">
        <w:trPr>
          <w:trHeight w:val="14"/>
        </w:trPr>
        <w:tc>
          <w:tcPr>
            <w:tcW w:w="709" w:type="dxa"/>
          </w:tcPr>
          <w:p w14:paraId="1F572E94"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t>6</w:t>
            </w:r>
            <w:r>
              <w:rPr>
                <w:rFonts w:asciiTheme="minorEastAsia" w:hAnsiTheme="minorEastAsia" w:cs="Arial"/>
                <w:sz w:val="22"/>
              </w:rPr>
              <w:t>9</w:t>
            </w:r>
          </w:p>
        </w:tc>
        <w:tc>
          <w:tcPr>
            <w:tcW w:w="2693" w:type="dxa"/>
          </w:tcPr>
          <w:p w14:paraId="6EA29D9C"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华</w:t>
            </w:r>
            <w:proofErr w:type="gramStart"/>
            <w:r>
              <w:rPr>
                <w:rFonts w:asciiTheme="minorEastAsia" w:hAnsiTheme="minorEastAsia" w:cs="Arial" w:hint="eastAsia"/>
                <w:sz w:val="22"/>
              </w:rPr>
              <w:t>宝证券</w:t>
            </w:r>
            <w:proofErr w:type="gramEnd"/>
            <w:r>
              <w:rPr>
                <w:rFonts w:asciiTheme="minorEastAsia" w:hAnsiTheme="minorEastAsia" w:cs="Arial" w:hint="eastAsia"/>
                <w:sz w:val="22"/>
              </w:rPr>
              <w:t>股份有限公司</w:t>
            </w:r>
          </w:p>
        </w:tc>
        <w:tc>
          <w:tcPr>
            <w:tcW w:w="5103" w:type="dxa"/>
          </w:tcPr>
          <w:p w14:paraId="6F854C33"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注册地址：中国（上海）自由贸易试验区浦电路370</w:t>
            </w:r>
            <w:r>
              <w:rPr>
                <w:rFonts w:asciiTheme="minorEastAsia" w:hAnsiTheme="minorEastAsia" w:cs="Arial" w:hint="eastAsia"/>
                <w:sz w:val="22"/>
              </w:rPr>
              <w:lastRenderedPageBreak/>
              <w:t>号2、3、4层</w:t>
            </w:r>
          </w:p>
          <w:p w14:paraId="67C93B55"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客户服务电话：400-820-9898</w:t>
            </w:r>
          </w:p>
          <w:p w14:paraId="2DF620FE"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网址：www.cnhbstock.com</w:t>
            </w:r>
          </w:p>
        </w:tc>
      </w:tr>
      <w:tr w:rsidR="00B67C49" w14:paraId="0772B767" w14:textId="77777777">
        <w:trPr>
          <w:trHeight w:val="14"/>
        </w:trPr>
        <w:tc>
          <w:tcPr>
            <w:tcW w:w="709" w:type="dxa"/>
          </w:tcPr>
          <w:p w14:paraId="369E728B" w14:textId="77777777" w:rsidR="00B67C49" w:rsidRDefault="00000000">
            <w:pPr>
              <w:snapToGrid w:val="0"/>
              <w:jc w:val="center"/>
              <w:rPr>
                <w:rFonts w:asciiTheme="minorEastAsia" w:hAnsiTheme="minorEastAsia" w:cs="Arial"/>
                <w:sz w:val="22"/>
              </w:rPr>
            </w:pPr>
            <w:r>
              <w:rPr>
                <w:rFonts w:asciiTheme="minorEastAsia" w:hAnsiTheme="minorEastAsia" w:cs="Arial" w:hint="eastAsia"/>
                <w:sz w:val="22"/>
              </w:rPr>
              <w:lastRenderedPageBreak/>
              <w:t>7</w:t>
            </w:r>
            <w:r>
              <w:rPr>
                <w:rFonts w:asciiTheme="minorEastAsia" w:hAnsiTheme="minorEastAsia" w:cs="Arial"/>
                <w:sz w:val="22"/>
              </w:rPr>
              <w:t>0</w:t>
            </w:r>
          </w:p>
        </w:tc>
        <w:tc>
          <w:tcPr>
            <w:tcW w:w="2693" w:type="dxa"/>
          </w:tcPr>
          <w:p w14:paraId="779D21FF"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江海证券有限公司</w:t>
            </w:r>
          </w:p>
        </w:tc>
        <w:tc>
          <w:tcPr>
            <w:tcW w:w="5103" w:type="dxa"/>
          </w:tcPr>
          <w:p w14:paraId="622E3C3B" w14:textId="77777777" w:rsidR="00B67C49" w:rsidRDefault="00000000">
            <w:pPr>
              <w:snapToGrid w:val="0"/>
              <w:rPr>
                <w:rFonts w:asciiTheme="minorEastAsia" w:hAnsiTheme="minorEastAsia" w:cs="Arial"/>
                <w:sz w:val="22"/>
              </w:rPr>
            </w:pPr>
            <w:r>
              <w:rPr>
                <w:rFonts w:asciiTheme="minorEastAsia" w:hAnsiTheme="minorEastAsia" w:cs="Arial" w:hint="eastAsia"/>
                <w:sz w:val="22"/>
              </w:rPr>
              <w:t>注册地址：哈尔滨市香</w:t>
            </w:r>
            <w:proofErr w:type="gramStart"/>
            <w:r>
              <w:rPr>
                <w:rFonts w:asciiTheme="minorEastAsia" w:hAnsiTheme="minorEastAsia" w:cs="Arial" w:hint="eastAsia"/>
                <w:sz w:val="22"/>
              </w:rPr>
              <w:t>坊区赣水路</w:t>
            </w:r>
            <w:proofErr w:type="gramEnd"/>
            <w:r>
              <w:rPr>
                <w:rFonts w:asciiTheme="minorEastAsia" w:hAnsiTheme="minorEastAsia" w:cs="Arial" w:hint="eastAsia"/>
                <w:sz w:val="22"/>
              </w:rPr>
              <w:t>56号</w:t>
            </w:r>
          </w:p>
          <w:p w14:paraId="22C9825F" w14:textId="77777777" w:rsidR="00B67C49" w:rsidRDefault="00000000">
            <w:pPr>
              <w:snapToGrid w:val="0"/>
              <w:rPr>
                <w:rFonts w:asciiTheme="minorEastAsia" w:hAnsiTheme="minorEastAsia" w:cs="Arial"/>
                <w:sz w:val="22"/>
              </w:rPr>
            </w:pPr>
            <w:r>
              <w:rPr>
                <w:rFonts w:asciiTheme="minorEastAsia" w:hAnsiTheme="minorEastAsia" w:cs="Arial" w:hint="eastAsia"/>
                <w:sz w:val="22"/>
              </w:rPr>
              <w:t>客户服务电话：956007</w:t>
            </w:r>
          </w:p>
          <w:p w14:paraId="279B2F4F" w14:textId="77777777" w:rsidR="00B67C49" w:rsidRDefault="00000000">
            <w:pPr>
              <w:snapToGrid w:val="0"/>
              <w:rPr>
                <w:rFonts w:asciiTheme="minorEastAsia" w:hAnsiTheme="minorEastAsia" w:cs="Arial"/>
                <w:sz w:val="22"/>
              </w:rPr>
            </w:pPr>
            <w:r>
              <w:rPr>
                <w:rFonts w:asciiTheme="minorEastAsia" w:hAnsiTheme="minorEastAsia" w:cs="Arial" w:hint="eastAsia"/>
                <w:sz w:val="22"/>
              </w:rPr>
              <w:t>网址：www.jhzq.com.cn</w:t>
            </w:r>
          </w:p>
        </w:tc>
      </w:tr>
    </w:tbl>
    <w:p w14:paraId="56F2ABC1" w14:textId="77777777" w:rsidR="00B67C49" w:rsidRDefault="00B67C49">
      <w:pPr>
        <w:tabs>
          <w:tab w:val="left" w:pos="540"/>
        </w:tabs>
        <w:adjustRightInd w:val="0"/>
        <w:snapToGrid w:val="0"/>
        <w:spacing w:line="360" w:lineRule="auto"/>
        <w:ind w:firstLineChars="200" w:firstLine="480"/>
        <w:rPr>
          <w:rFonts w:asciiTheme="minorEastAsia" w:hAnsiTheme="minorEastAsia" w:cs="Arial"/>
          <w:sz w:val="24"/>
          <w:szCs w:val="24"/>
        </w:rPr>
      </w:pPr>
    </w:p>
    <w:p w14:paraId="36B3F3F0" w14:textId="77777777" w:rsidR="00B67C49" w:rsidRDefault="00000000">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sz w:val="24"/>
          <w:szCs w:val="24"/>
        </w:rPr>
        <w:t>二、登记机构</w:t>
      </w:r>
    </w:p>
    <w:p w14:paraId="30A21C73" w14:textId="77777777" w:rsidR="00B67C49"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名称：富荣基金管理有限公司 </w:t>
      </w:r>
    </w:p>
    <w:p w14:paraId="562A2E95" w14:textId="77777777" w:rsidR="00B67C49"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r>
        <w:rPr>
          <w:rFonts w:asciiTheme="minorEastAsia" w:hAnsiTheme="minorEastAsia" w:cs="Arial" w:hint="eastAsia"/>
          <w:color w:val="000000"/>
          <w:kern w:val="0"/>
          <w:sz w:val="24"/>
          <w:szCs w:val="24"/>
        </w:rPr>
        <w:t xml:space="preserve"> </w:t>
      </w:r>
    </w:p>
    <w:p w14:paraId="2B49FCEC" w14:textId="77777777" w:rsidR="00B67C49"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办公地址：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color w:val="000000"/>
          <w:kern w:val="0"/>
          <w:sz w:val="24"/>
          <w:szCs w:val="24"/>
        </w:rPr>
        <w:t xml:space="preserve"> </w:t>
      </w:r>
    </w:p>
    <w:p w14:paraId="5078A7B3" w14:textId="77777777" w:rsidR="00B67C49"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 xml:space="preserve">法定代表人：王亦伟 </w:t>
      </w:r>
    </w:p>
    <w:p w14:paraId="3FC6602F" w14:textId="77777777" w:rsidR="00B67C49"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联系人：黄文飞</w:t>
      </w:r>
    </w:p>
    <w:p w14:paraId="3864C2F7" w14:textId="77777777" w:rsidR="00B67C49" w:rsidRDefault="00000000">
      <w:pPr>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电话： 0755-84356604</w:t>
      </w:r>
    </w:p>
    <w:p w14:paraId="0C985A0C" w14:textId="77777777" w:rsidR="00B67C49" w:rsidRDefault="00000000">
      <w:pPr>
        <w:adjustRightInd w:val="0"/>
        <w:snapToGrid w:val="0"/>
        <w:spacing w:line="360" w:lineRule="auto"/>
        <w:ind w:firstLineChars="200" w:firstLine="480"/>
        <w:rPr>
          <w:rFonts w:asciiTheme="minorEastAsia" w:hAnsiTheme="minorEastAsia" w:cs="Arial"/>
          <w:color w:val="000000"/>
          <w:kern w:val="0"/>
          <w:sz w:val="24"/>
          <w:szCs w:val="24"/>
        </w:rPr>
      </w:pPr>
      <w:r>
        <w:rPr>
          <w:rFonts w:asciiTheme="minorEastAsia" w:hAnsiTheme="minorEastAsia" w:cs="Arial" w:hint="eastAsia"/>
          <w:color w:val="000000"/>
          <w:kern w:val="0"/>
          <w:sz w:val="24"/>
          <w:szCs w:val="24"/>
        </w:rPr>
        <w:t>传真： 0755-83230787</w:t>
      </w:r>
    </w:p>
    <w:p w14:paraId="4BC32971" w14:textId="77777777" w:rsidR="00B67C49" w:rsidRDefault="00000000">
      <w:pPr>
        <w:tabs>
          <w:tab w:val="left" w:pos="54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三、</w:t>
      </w:r>
      <w:r>
        <w:rPr>
          <w:rFonts w:asciiTheme="minorEastAsia" w:hAnsiTheme="minorEastAsia" w:cs="Times New Roman" w:hint="eastAsia"/>
          <w:b/>
          <w:bCs/>
          <w:color w:val="000000"/>
          <w:sz w:val="24"/>
          <w:szCs w:val="24"/>
        </w:rPr>
        <w:t>出具法律意见书的律师事务所</w:t>
      </w:r>
    </w:p>
    <w:p w14:paraId="1919BEE7"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名称：上海源泰律师事务所</w:t>
      </w:r>
    </w:p>
    <w:p w14:paraId="0BBD5826"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住所：上海市浦东新区浦东南路256号华夏银行大厦14楼</w:t>
      </w:r>
    </w:p>
    <w:p w14:paraId="79EB4E11"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办公地址：上海市浦东新区浦东南路256号华夏银行大厦14楼</w:t>
      </w:r>
    </w:p>
    <w:p w14:paraId="531EDF15"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负责人：廖海</w:t>
      </w:r>
    </w:p>
    <w:p w14:paraId="6260FAAC"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电话：（021）51150298</w:t>
      </w:r>
    </w:p>
    <w:p w14:paraId="3D7D94B7"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传真：（021）51150</w:t>
      </w:r>
      <w:r>
        <w:rPr>
          <w:rFonts w:asciiTheme="minorEastAsia" w:hAnsiTheme="minorEastAsia" w:cs="Arial"/>
          <w:kern w:val="0"/>
          <w:sz w:val="24"/>
          <w:szCs w:val="24"/>
        </w:rPr>
        <w:t>3</w:t>
      </w:r>
      <w:r>
        <w:rPr>
          <w:rFonts w:asciiTheme="minorEastAsia" w:hAnsiTheme="minorEastAsia" w:cs="Arial" w:hint="eastAsia"/>
          <w:kern w:val="0"/>
          <w:sz w:val="24"/>
          <w:szCs w:val="24"/>
        </w:rPr>
        <w:t>98</w:t>
      </w:r>
    </w:p>
    <w:p w14:paraId="15BF1077"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经办律师：刘佳、黄丽华</w:t>
      </w:r>
    </w:p>
    <w:p w14:paraId="5DE772DB" w14:textId="77777777" w:rsidR="00B67C49" w:rsidRDefault="00000000">
      <w:pPr>
        <w:adjustRightInd w:val="0"/>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联系人： 刘佳</w:t>
      </w:r>
    </w:p>
    <w:p w14:paraId="132E1C4B" w14:textId="77777777" w:rsidR="00B67C49"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四、</w:t>
      </w:r>
      <w:r>
        <w:rPr>
          <w:rFonts w:asciiTheme="minorEastAsia" w:hAnsiTheme="minorEastAsia" w:cs="Times New Roman" w:hint="eastAsia"/>
          <w:b/>
          <w:bCs/>
          <w:color w:val="000000"/>
          <w:sz w:val="24"/>
          <w:szCs w:val="24"/>
        </w:rPr>
        <w:t>审计基金财产的会计师事务所</w:t>
      </w:r>
    </w:p>
    <w:p w14:paraId="6B002FD4"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名称：安永华明会计师事务所（特殊普通合伙）</w:t>
      </w:r>
    </w:p>
    <w:p w14:paraId="0137B5E8"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住所：中国北京市东城区东长安街1号东方广场安永大楼16层</w:t>
      </w:r>
    </w:p>
    <w:p w14:paraId="514A2952"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办公地址：中国北京市东城区东长安街1号东方广场安永大楼16层</w:t>
      </w:r>
    </w:p>
    <w:p w14:paraId="252016CB"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法定代表人：</w:t>
      </w:r>
      <w:proofErr w:type="gramStart"/>
      <w:r>
        <w:rPr>
          <w:rFonts w:asciiTheme="minorEastAsia" w:hAnsiTheme="minorEastAsia" w:cs="Arial" w:hint="eastAsia"/>
          <w:kern w:val="0"/>
          <w:sz w:val="24"/>
          <w:szCs w:val="24"/>
        </w:rPr>
        <w:t>毛鞍宁</w:t>
      </w:r>
      <w:proofErr w:type="gramEnd"/>
    </w:p>
    <w:p w14:paraId="5B172D2E"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电话：+86</w:t>
      </w:r>
      <w:r>
        <w:rPr>
          <w:rFonts w:asciiTheme="minorEastAsia" w:hAnsiTheme="minorEastAsia" w:cs="Arial"/>
          <w:kern w:val="0"/>
          <w:sz w:val="24"/>
          <w:szCs w:val="24"/>
        </w:rPr>
        <w:t xml:space="preserve"> 10 58153000</w:t>
      </w:r>
    </w:p>
    <w:p w14:paraId="232D29D6"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传真：+86</w:t>
      </w:r>
      <w:r>
        <w:rPr>
          <w:rFonts w:asciiTheme="minorEastAsia" w:hAnsiTheme="minorEastAsia" w:cs="Arial"/>
          <w:kern w:val="0"/>
          <w:sz w:val="24"/>
          <w:szCs w:val="24"/>
        </w:rPr>
        <w:t xml:space="preserve"> 10 85188298</w:t>
      </w:r>
    </w:p>
    <w:p w14:paraId="16AAAE58"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签字注册会计师：吴翠蓉  高鹤</w:t>
      </w:r>
    </w:p>
    <w:p w14:paraId="2CEF10E7" w14:textId="77777777" w:rsidR="00B67C49" w:rsidRDefault="00000000">
      <w:pPr>
        <w:snapToGrid w:val="0"/>
        <w:spacing w:line="360" w:lineRule="auto"/>
        <w:ind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lastRenderedPageBreak/>
        <w:t>联系人：吴翠蓉</w:t>
      </w:r>
    </w:p>
    <w:p w14:paraId="0F2107E8" w14:textId="77777777" w:rsidR="00B67C49" w:rsidRDefault="00B67C49">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B67C49" w:rsidSect="00D84CBD">
          <w:headerReference w:type="even" r:id="rId43"/>
          <w:headerReference w:type="default" r:id="rId44"/>
          <w:footerReference w:type="default" r:id="rId45"/>
          <w:headerReference w:type="first" r:id="rId46"/>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31235"/>
      <w:bookmarkStart w:id="122" w:name="_Toc15143"/>
      <w:bookmarkStart w:id="123" w:name="_Toc31653"/>
      <w:bookmarkStart w:id="124" w:name="_Toc31644"/>
      <w:bookmarkStart w:id="125" w:name="_Toc141703887"/>
      <w:bookmarkStart w:id="126" w:name="_Toc139991737"/>
      <w:bookmarkStart w:id="127" w:name="_Toc123051453"/>
      <w:bookmarkStart w:id="128" w:name="_Toc123112235"/>
      <w:bookmarkStart w:id="129" w:name="_Toc29251"/>
      <w:bookmarkStart w:id="130" w:name="_Toc352229753"/>
      <w:bookmarkStart w:id="131" w:name="_Toc26207"/>
      <w:bookmarkStart w:id="132" w:name="_Toc98560353"/>
      <w:bookmarkStart w:id="133" w:name="_Toc3601"/>
      <w:bookmarkStart w:id="134" w:name="_Toc14835"/>
      <w:bookmarkStart w:id="135" w:name="_Toc12245"/>
      <w:bookmarkStart w:id="136" w:name="_Toc16859"/>
      <w:bookmarkStart w:id="137" w:name="_Toc6405"/>
      <w:bookmarkStart w:id="138" w:name="_Toc123102454"/>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01390250" w14:textId="77777777" w:rsidR="00B67C49" w:rsidRDefault="00000000">
      <w:pPr>
        <w:pStyle w:val="1"/>
        <w:jc w:val="center"/>
        <w:rPr>
          <w:sz w:val="30"/>
          <w:szCs w:val="30"/>
        </w:rPr>
      </w:pPr>
      <w:bookmarkStart w:id="139" w:name="_Toc68266293"/>
      <w:bookmarkStart w:id="140" w:name="_Toc119568462"/>
      <w:r>
        <w:rPr>
          <w:rFonts w:hint="eastAsia"/>
          <w:sz w:val="30"/>
          <w:szCs w:val="30"/>
        </w:rPr>
        <w:lastRenderedPageBreak/>
        <w:t>第六部分</w:t>
      </w:r>
      <w:r>
        <w:rPr>
          <w:sz w:val="30"/>
          <w:szCs w:val="30"/>
        </w:rPr>
        <w:t xml:space="preserve">  </w:t>
      </w:r>
      <w:r>
        <w:rPr>
          <w:rFonts w:asciiTheme="minorEastAsia" w:eastAsiaTheme="minorEastAsia" w:hAnsiTheme="minorEastAsia" w:hint="eastAsia"/>
          <w:sz w:val="30"/>
          <w:szCs w:val="30"/>
        </w:rPr>
        <w:t>基金的募集</w:t>
      </w:r>
      <w:bookmarkEnd w:id="119"/>
      <w:bookmarkEnd w:id="120"/>
      <w:bookmarkEnd w:id="139"/>
      <w:bookmarkEnd w:id="140"/>
    </w:p>
    <w:p w14:paraId="031A5EEE" w14:textId="77777777" w:rsidR="00B67C49" w:rsidRDefault="00B67C49">
      <w:pPr>
        <w:autoSpaceDE w:val="0"/>
        <w:autoSpaceDN w:val="0"/>
        <w:adjustRightInd w:val="0"/>
        <w:snapToGrid w:val="0"/>
        <w:spacing w:line="360" w:lineRule="auto"/>
        <w:ind w:firstLineChars="200" w:firstLine="480"/>
        <w:rPr>
          <w:rFonts w:asciiTheme="minorEastAsia" w:hAnsiTheme="minorEastAsia" w:cs="Arial"/>
          <w:sz w:val="24"/>
          <w:szCs w:val="24"/>
        </w:rPr>
      </w:pPr>
    </w:p>
    <w:p w14:paraId="25B875DA" w14:textId="77777777" w:rsidR="00B67C49" w:rsidRDefault="00000000">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14873596"/>
      <w:bookmarkStart w:id="142" w:name="_Toc263092315"/>
      <w:bookmarkStart w:id="143" w:name="_Toc416264543"/>
      <w:bookmarkStart w:id="144" w:name="_Toc25783"/>
      <w:bookmarkStart w:id="145" w:name="_Toc10650"/>
      <w:bookmarkStart w:id="146" w:name="_Toc123102455"/>
      <w:bookmarkStart w:id="147" w:name="_Toc79392583"/>
      <w:bookmarkStart w:id="148" w:name="_Toc4559"/>
      <w:bookmarkStart w:id="149" w:name="_Toc98560354"/>
      <w:bookmarkStart w:id="150" w:name="_Toc3771"/>
      <w:bookmarkStart w:id="151" w:name="_Toc139991738"/>
      <w:bookmarkStart w:id="152" w:name="_Toc11030"/>
      <w:bookmarkStart w:id="153" w:name="_Toc123051454"/>
      <w:bookmarkStart w:id="154" w:name="_Toc6447"/>
      <w:bookmarkStart w:id="155" w:name="_Toc141703888"/>
      <w:bookmarkStart w:id="156" w:name="_Toc20768"/>
      <w:bookmarkStart w:id="157" w:name="_Toc7058"/>
      <w:bookmarkStart w:id="158" w:name="_Toc9706"/>
      <w:bookmarkStart w:id="159" w:name="_Toc352229754"/>
      <w:bookmarkStart w:id="160" w:name="_Toc123112236"/>
      <w:bookmarkStart w:id="161" w:name="_Toc18567"/>
      <w:bookmarkStart w:id="162" w:name="_Toc3321"/>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Pr>
          <w:rFonts w:ascii="宋体" w:eastAsia="宋体" w:hAnsi="宋体" w:cs="Arial" w:hint="eastAsia"/>
          <w:sz w:val="24"/>
          <w:szCs w:val="24"/>
        </w:rPr>
        <w:t>基金管理人按照《基金法》、《运作办法》、《销售办法》、基金合同及其他有关规定募集本基金，并于2021年6月2</w:t>
      </w:r>
      <w:r>
        <w:rPr>
          <w:rFonts w:ascii="宋体" w:eastAsia="宋体" w:hAnsi="宋体" w:cs="Arial"/>
          <w:sz w:val="24"/>
          <w:szCs w:val="24"/>
        </w:rPr>
        <w:t>1</w:t>
      </w:r>
      <w:r>
        <w:rPr>
          <w:rFonts w:ascii="宋体" w:eastAsia="宋体" w:hAnsi="宋体" w:cs="Arial" w:hint="eastAsia"/>
          <w:sz w:val="24"/>
          <w:szCs w:val="24"/>
        </w:rPr>
        <w:t>日</w:t>
      </w:r>
      <w:r>
        <w:rPr>
          <w:rFonts w:ascii="宋体" w:eastAsia="宋体" w:hAnsi="宋体" w:cs="Arial" w:hint="eastAsia"/>
          <w:kern w:val="0"/>
          <w:sz w:val="24"/>
          <w:szCs w:val="24"/>
        </w:rPr>
        <w:t>经中国证监会证监许可[</w:t>
      </w:r>
      <w:r>
        <w:rPr>
          <w:rFonts w:ascii="宋体" w:eastAsia="宋体" w:hAnsi="宋体" w:cs="Arial"/>
          <w:kern w:val="0"/>
          <w:sz w:val="24"/>
          <w:szCs w:val="24"/>
        </w:rPr>
        <w:t>2021]2091</w:t>
      </w:r>
      <w:r>
        <w:rPr>
          <w:rFonts w:ascii="宋体" w:eastAsia="宋体" w:hAnsi="宋体" w:cs="Arial" w:hint="eastAsia"/>
          <w:kern w:val="0"/>
          <w:sz w:val="24"/>
          <w:szCs w:val="24"/>
        </w:rPr>
        <w:t>号文</w:t>
      </w:r>
      <w:r>
        <w:rPr>
          <w:rFonts w:ascii="宋体" w:eastAsia="宋体" w:hAnsi="宋体" w:cs="Arial" w:hint="eastAsia"/>
          <w:sz w:val="24"/>
          <w:szCs w:val="24"/>
        </w:rPr>
        <w:t>准予注册募集。</w:t>
      </w:r>
      <w:r>
        <w:rPr>
          <w:rFonts w:asciiTheme="minorEastAsia" w:hAnsiTheme="minorEastAsia" w:cs="Arial" w:hint="eastAsia"/>
          <w:sz w:val="24"/>
          <w:szCs w:val="24"/>
        </w:rPr>
        <w:t>本基金于</w:t>
      </w:r>
      <w:r>
        <w:rPr>
          <w:rFonts w:asciiTheme="minorEastAsia" w:hAnsiTheme="minorEastAsia" w:cs="Arial"/>
          <w:sz w:val="24"/>
          <w:szCs w:val="24"/>
        </w:rPr>
        <w:t>2021年11月26日起通过各销售机构向社会公开募集，截至2021年</w:t>
      </w:r>
      <w:r>
        <w:rPr>
          <w:rFonts w:asciiTheme="minorEastAsia" w:hAnsiTheme="minorEastAsia" w:cs="Arial" w:hint="eastAsia"/>
          <w:sz w:val="24"/>
          <w:szCs w:val="24"/>
        </w:rPr>
        <w:t>1</w:t>
      </w:r>
      <w:r>
        <w:rPr>
          <w:rFonts w:asciiTheme="minorEastAsia" w:hAnsiTheme="minorEastAsia" w:cs="Arial"/>
          <w:sz w:val="24"/>
          <w:szCs w:val="24"/>
        </w:rPr>
        <w:t>2月23</w:t>
      </w:r>
      <w:r>
        <w:rPr>
          <w:rFonts w:asciiTheme="minorEastAsia" w:hAnsiTheme="minorEastAsia" w:cs="Arial" w:hint="eastAsia"/>
          <w:sz w:val="24"/>
          <w:szCs w:val="24"/>
        </w:rPr>
        <w:t>日，基金募集工作已顺利结束。</w:t>
      </w:r>
    </w:p>
    <w:p w14:paraId="1F6EA76B" w14:textId="77777777" w:rsidR="00B67C49" w:rsidRDefault="00B67C49">
      <w:pPr>
        <w:keepNext/>
        <w:keepLines/>
        <w:spacing w:line="360" w:lineRule="auto"/>
        <w:jc w:val="center"/>
        <w:outlineLvl w:val="0"/>
        <w:rPr>
          <w:rFonts w:ascii="Times New Roman" w:eastAsia="宋体" w:hAnsi="Times New Roman" w:cs="Times New Roman"/>
          <w:b/>
          <w:kern w:val="0"/>
          <w:sz w:val="24"/>
          <w:szCs w:val="24"/>
        </w:rPr>
        <w:sectPr w:rsidR="00B67C49" w:rsidSect="00D84CBD">
          <w:headerReference w:type="even" r:id="rId47"/>
          <w:headerReference w:type="default" r:id="rId48"/>
          <w:footerReference w:type="default" r:id="rId49"/>
          <w:headerReference w:type="first" r:id="rId50"/>
          <w:pgSz w:w="11906" w:h="16838"/>
          <w:pgMar w:top="1440" w:right="1800" w:bottom="1440" w:left="1800" w:header="851" w:footer="992" w:gutter="0"/>
          <w:pgNumType w:chapStyle="1"/>
          <w:cols w:space="720"/>
          <w:docGrid w:type="lines" w:linePitch="312"/>
        </w:sectPr>
      </w:pPr>
    </w:p>
    <w:p w14:paraId="73196492" w14:textId="77777777" w:rsidR="00B67C49" w:rsidRDefault="00000000">
      <w:pPr>
        <w:pStyle w:val="1"/>
        <w:jc w:val="center"/>
        <w:rPr>
          <w:sz w:val="30"/>
          <w:szCs w:val="30"/>
        </w:rPr>
      </w:pPr>
      <w:bookmarkStart w:id="163" w:name="_Toc119568463"/>
      <w:bookmarkStart w:id="164" w:name="_Toc68266294"/>
      <w:r>
        <w:rPr>
          <w:rFonts w:hint="eastAsia"/>
          <w:sz w:val="30"/>
          <w:szCs w:val="30"/>
        </w:rPr>
        <w:lastRenderedPageBreak/>
        <w:t>第七部分</w:t>
      </w:r>
      <w:r>
        <w:rPr>
          <w:sz w:val="30"/>
          <w:szCs w:val="30"/>
        </w:rPr>
        <w:t xml:space="preserve">  </w:t>
      </w:r>
      <w:r>
        <w:rPr>
          <w:rFonts w:hint="eastAsia"/>
          <w:sz w:val="30"/>
          <w:szCs w:val="30"/>
        </w:rPr>
        <w:t>基金</w:t>
      </w:r>
      <w:bookmarkEnd w:id="141"/>
      <w:bookmarkEnd w:id="142"/>
      <w:r>
        <w:rPr>
          <w:rFonts w:hint="eastAsia"/>
          <w:sz w:val="30"/>
          <w:szCs w:val="30"/>
        </w:rPr>
        <w:t>合同的生效</w:t>
      </w:r>
      <w:bookmarkEnd w:id="143"/>
      <w:bookmarkEnd w:id="163"/>
      <w:bookmarkEnd w:id="164"/>
    </w:p>
    <w:p w14:paraId="303437CA"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根据《基金法》、《运作办法》以及基金合同、招募说明书、基金份额发售公告的有关规定，本基金募集结果符合有关条件，本基金管理人于</w:t>
      </w:r>
      <w:r>
        <w:rPr>
          <w:rFonts w:asciiTheme="minorEastAsia" w:hAnsiTheme="minorEastAsia" w:cs="Arial"/>
          <w:sz w:val="24"/>
          <w:szCs w:val="24"/>
        </w:rPr>
        <w:t>2021年12月27</w:t>
      </w:r>
      <w:r>
        <w:rPr>
          <w:rFonts w:asciiTheme="minorEastAsia" w:hAnsiTheme="minorEastAsia" w:cs="Arial" w:hint="eastAsia"/>
          <w:sz w:val="24"/>
          <w:szCs w:val="24"/>
        </w:rPr>
        <w:t>日向中国证监会办理完毕基金备案手续并已获书面确认，基金合同自该日期正式生效。自基金合同生效之日起，本基金管理人正式开始管理本基金。</w:t>
      </w:r>
    </w:p>
    <w:p w14:paraId="5E4D18DF" w14:textId="77777777" w:rsidR="00B67C49" w:rsidRDefault="00000000">
      <w:pPr>
        <w:spacing w:line="360" w:lineRule="auto"/>
        <w:ind w:firstLineChars="200" w:firstLine="480"/>
        <w:rPr>
          <w:rFonts w:asciiTheme="minorEastAsia" w:hAnsiTheme="minorEastAsia" w:cs="Times New Roman"/>
          <w:sz w:val="24"/>
          <w:szCs w:val="24"/>
        </w:rPr>
      </w:pPr>
      <w:r>
        <w:rPr>
          <w:rFonts w:asciiTheme="minorEastAsia" w:hAnsiTheme="minorEastAsia" w:cs="Times New Roman" w:hint="eastAsia"/>
          <w:sz w:val="24"/>
          <w:szCs w:val="24"/>
        </w:rPr>
        <w:t>《基金合同》生效后，连续20个工作日出现基金份额持有人数量不满200人或者基金资产净值低于5000万元情形的，基金管理人应当在定期报告中予以披露；连续60个工作日出现前述情形的，基金管理人应在当10个工作日内向中国证监会报告并提出解决方案，如持续运作、转换运作方式、与其他基金合并或者终止基金合同等，并在6个月内召集基金份额持有人大会。</w:t>
      </w:r>
    </w:p>
    <w:p w14:paraId="5576B0EC" w14:textId="77777777" w:rsidR="00B67C49" w:rsidRDefault="00000000">
      <w:pPr>
        <w:widowControl/>
        <w:spacing w:line="360" w:lineRule="auto"/>
        <w:ind w:firstLineChars="200" w:firstLine="480"/>
        <w:jc w:val="left"/>
        <w:rPr>
          <w:rFonts w:ascii="Arial" w:eastAsia="宋体" w:hAnsi="Arial" w:cs="Times New Roman"/>
          <w:szCs w:val="20"/>
        </w:rPr>
        <w:sectPr w:rsidR="00B67C49" w:rsidSect="00D84CBD">
          <w:headerReference w:type="even" r:id="rId51"/>
          <w:headerReference w:type="default" r:id="rId52"/>
          <w:footerReference w:type="default" r:id="rId53"/>
          <w:headerReference w:type="first" r:id="rId54"/>
          <w:pgSz w:w="11906" w:h="16838"/>
          <w:pgMar w:top="1440" w:right="1800" w:bottom="1440" w:left="1800" w:header="851" w:footer="992" w:gutter="0"/>
          <w:pgNumType w:chapStyle="1"/>
          <w:cols w:space="720"/>
          <w:docGrid w:type="lines" w:linePitch="312"/>
        </w:sectPr>
      </w:pPr>
      <w:r>
        <w:rPr>
          <w:rFonts w:asciiTheme="minorEastAsia" w:hAnsiTheme="minorEastAsia" w:cs="Times New Roman" w:hint="eastAsia"/>
          <w:sz w:val="24"/>
          <w:szCs w:val="24"/>
        </w:rPr>
        <w:t xml:space="preserve">法律法规或中国证监会另有规定时，从其规定。 </w:t>
      </w:r>
      <w:bookmarkStart w:id="165" w:name="_Toc416264544"/>
      <w:bookmarkStart w:id="166" w:name="_Toc12357171"/>
      <w:bookmarkStart w:id="167" w:name="_Toc21073391"/>
      <w:bookmarkStart w:id="168" w:name="_Toc263092316"/>
      <w:bookmarkStart w:id="169" w:name="_Toc214873597"/>
      <w:bookmarkStart w:id="170" w:name="_Toc147463118"/>
      <w:bookmarkStart w:id="171" w:name="_Toc3963"/>
      <w:bookmarkStart w:id="172" w:name="_Toc10398"/>
      <w:bookmarkStart w:id="173" w:name="_Toc18206"/>
      <w:bookmarkStart w:id="174" w:name="_Toc31821"/>
      <w:bookmarkStart w:id="175" w:name="_Toc123102456"/>
      <w:bookmarkStart w:id="176" w:name="_Toc123051455"/>
      <w:bookmarkStart w:id="177" w:name="_Toc98560355"/>
      <w:bookmarkStart w:id="178" w:name="_Toc3080"/>
      <w:bookmarkStart w:id="179" w:name="_Toc141703889"/>
      <w:bookmarkStart w:id="180" w:name="_Toc725"/>
      <w:bookmarkStart w:id="181" w:name="_Toc352229755"/>
      <w:bookmarkStart w:id="182" w:name="_Toc1745"/>
      <w:bookmarkStart w:id="183" w:name="_Toc21735"/>
      <w:bookmarkStart w:id="184" w:name="_Toc3572"/>
      <w:bookmarkStart w:id="185" w:name="_Toc16164"/>
      <w:bookmarkStart w:id="186" w:name="_Toc139991739"/>
      <w:bookmarkStart w:id="187" w:name="_Toc123112237"/>
      <w:bookmarkStart w:id="188" w:name="_Toc18769"/>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456E4445" w14:textId="77777777" w:rsidR="00B67C49" w:rsidRDefault="00000000">
      <w:pPr>
        <w:pStyle w:val="1"/>
        <w:jc w:val="center"/>
        <w:rPr>
          <w:rFonts w:ascii="Arial" w:hAnsi="Arial" w:cs="Arial"/>
          <w:bCs/>
          <w:sz w:val="30"/>
          <w:szCs w:val="30"/>
        </w:rPr>
      </w:pPr>
      <w:bookmarkStart w:id="189" w:name="_Toc119568464"/>
      <w:bookmarkStart w:id="190" w:name="_Toc68266295"/>
      <w:r>
        <w:rPr>
          <w:rFonts w:hint="eastAsia"/>
          <w:sz w:val="30"/>
          <w:szCs w:val="30"/>
        </w:rPr>
        <w:lastRenderedPageBreak/>
        <w:t>第八部分</w:t>
      </w:r>
      <w:r>
        <w:rPr>
          <w:sz w:val="30"/>
          <w:szCs w:val="30"/>
        </w:rPr>
        <w:t xml:space="preserve">  </w:t>
      </w:r>
      <w:r>
        <w:rPr>
          <w:rFonts w:hint="eastAsia"/>
          <w:sz w:val="30"/>
          <w:szCs w:val="30"/>
        </w:rPr>
        <w:t>基金份额的申购与赎回</w:t>
      </w:r>
      <w:bookmarkEnd w:id="165"/>
      <w:bookmarkEnd w:id="166"/>
      <w:bookmarkEnd w:id="167"/>
      <w:bookmarkEnd w:id="168"/>
      <w:bookmarkEnd w:id="169"/>
      <w:bookmarkEnd w:id="170"/>
      <w:bookmarkEnd w:id="189"/>
      <w:bookmarkEnd w:id="190"/>
    </w:p>
    <w:p w14:paraId="323DF28B" w14:textId="77777777" w:rsidR="00B67C49" w:rsidRDefault="00000000">
      <w:pPr>
        <w:adjustRightInd w:val="0"/>
        <w:snapToGrid w:val="0"/>
        <w:spacing w:line="360" w:lineRule="auto"/>
        <w:ind w:firstLineChars="200" w:firstLine="482"/>
        <w:rPr>
          <w:rFonts w:asciiTheme="minorEastAsia" w:hAnsiTheme="minorEastAsia" w:cs="Arial"/>
          <w:b/>
          <w:bCs/>
          <w:kern w:val="0"/>
          <w:sz w:val="24"/>
          <w:szCs w:val="24"/>
        </w:rPr>
      </w:pPr>
      <w:r>
        <w:rPr>
          <w:rFonts w:asciiTheme="minorEastAsia" w:hAnsiTheme="minorEastAsia" w:cs="Arial" w:hint="eastAsia"/>
          <w:b/>
          <w:bCs/>
          <w:kern w:val="0"/>
          <w:sz w:val="24"/>
          <w:szCs w:val="24"/>
        </w:rPr>
        <w:t>一、申购和赎回场所</w:t>
      </w:r>
    </w:p>
    <w:p w14:paraId="0D8E926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3193D722" w14:textId="77777777" w:rsidR="00B67C49" w:rsidRDefault="00000000">
      <w:pPr>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二、申购和赎回的开放日及时间</w:t>
      </w:r>
    </w:p>
    <w:p w14:paraId="0FB0F90A"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1、开放日及开放时间</w:t>
      </w:r>
    </w:p>
    <w:p w14:paraId="134EA544"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4B26D0C2"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生效后，若出现新的证券/期货交易市场、证券/期货交易所交易时间变更或其他特殊情况，基金管理人将视情况对前述开放日及开放时间进行相应的调整，但应在实施日前依照《信息披露办法》的有关规定在规定媒介上公告。</w:t>
      </w:r>
    </w:p>
    <w:p w14:paraId="2B237F04"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2、申购、赎回开始日及业务办理时间</w:t>
      </w:r>
    </w:p>
    <w:p w14:paraId="0BCC7C72"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本基金已于</w:t>
      </w:r>
      <w:r>
        <w:rPr>
          <w:rFonts w:asciiTheme="minorEastAsia" w:hAnsiTheme="minorEastAsia" w:cs="Arial"/>
          <w:sz w:val="24"/>
          <w:szCs w:val="24"/>
        </w:rPr>
        <w:t>2022年1月25日开始办理申购、赎回业务。</w:t>
      </w:r>
    </w:p>
    <w:p w14:paraId="3ECED989"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Pr>
          <w:rFonts w:asciiTheme="minorEastAsia" w:hAnsiTheme="minorEastAsia" w:cs="Arial" w:hint="eastAsia"/>
          <w:sz w:val="24"/>
          <w:szCs w:val="24"/>
        </w:rPr>
        <w:t>且登记</w:t>
      </w:r>
      <w:proofErr w:type="gramEnd"/>
      <w:r>
        <w:rPr>
          <w:rFonts w:asciiTheme="minorEastAsia" w:hAnsiTheme="minorEastAsia" w:cs="Arial" w:hint="eastAsia"/>
          <w:sz w:val="24"/>
          <w:szCs w:val="24"/>
        </w:rPr>
        <w:t>机构确认接受的，其基金份额申购、赎回价格为下一开放日该类基金份额申购、赎回的价格。</w:t>
      </w:r>
    </w:p>
    <w:p w14:paraId="207C387C" w14:textId="77777777" w:rsidR="00B67C49"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三、申购与赎回的原则</w:t>
      </w:r>
    </w:p>
    <w:p w14:paraId="588FAD1C"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1、“未知价”原则，即申购、赎回价格以申请当日收市后计算的该类基金份额净值为基准进行计算；</w:t>
      </w:r>
    </w:p>
    <w:p w14:paraId="1AF0F0A1"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2、“金额申购、份额赎回”原则，即申购以金额申请，赎回以份额申请；</w:t>
      </w:r>
    </w:p>
    <w:p w14:paraId="284C01B8"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3、当日的申购与赎回申请可以在基金管理人规定的时间以内撤销；</w:t>
      </w:r>
    </w:p>
    <w:p w14:paraId="06EAB049"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4、赎回遵循“先进先出”原则，即按照投资人认购、申购的先后次序进行顺序赎回；</w:t>
      </w:r>
    </w:p>
    <w:p w14:paraId="74799C16"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5、办理申购、赎回业务时，应当遵循基金份额持有人利益优先原则，确保投资者的合法权益不受损害并得到公平对待。</w:t>
      </w:r>
    </w:p>
    <w:p w14:paraId="7865E157"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基金管理人可在法律法规允许的情况下，对上述原则进行调整。基金管理人必须在新规则开始实施前依照《信息披露办法》的有关规定在规定媒介上公告。</w:t>
      </w:r>
    </w:p>
    <w:p w14:paraId="7782AF6D" w14:textId="77777777" w:rsidR="00B67C49"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四、申购与赎回的程序</w:t>
      </w:r>
    </w:p>
    <w:p w14:paraId="6B90ED4B"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1、申购和赎回的申请方式</w:t>
      </w:r>
    </w:p>
    <w:p w14:paraId="31EC4A76"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投资人必须根据销售机构规定的程序，在开放日的具体业务办理时间内提出申购或赎回的申请。</w:t>
      </w:r>
    </w:p>
    <w:p w14:paraId="50F16037"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2、申购和赎回的款项支付</w:t>
      </w:r>
    </w:p>
    <w:p w14:paraId="57050588"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申购基金份额时，必须在规定的时间内全额交付申购款项，投资人在规定的时间内全额交付申购款项，申购成立；基金份额登记机构确认基金份额时，申购生效。基金份额持有人递交赎回申请，赎回成立；基金份额登记机构确认赎回时，赎回生效。</w:t>
      </w:r>
    </w:p>
    <w:p w14:paraId="76B20D4B"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投资人T日赎回申请生效后，基金管理人将在T＋7日(包括该日)内支付赎回款项。在发生巨额赎回时或基金合同载明的延缓支付赎回款项的情形时，款项的支付办法参照基金合同有关条款处理。</w:t>
      </w:r>
    </w:p>
    <w:p w14:paraId="27B4DCC0"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遇证券、期货交易所或交易市场数据传输延迟、通讯系统故障、银行数据交换系统故障或其它</w:t>
      </w:r>
      <w:proofErr w:type="gramStart"/>
      <w:r>
        <w:rPr>
          <w:rFonts w:asciiTheme="minorEastAsia" w:hAnsiTheme="minorEastAsia" w:cs="Arial" w:hint="eastAsia"/>
          <w:sz w:val="24"/>
          <w:szCs w:val="24"/>
        </w:rPr>
        <w:t>非基金</w:t>
      </w:r>
      <w:proofErr w:type="gramEnd"/>
      <w:r>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608577CE" w14:textId="77777777" w:rsidR="00B67C49" w:rsidRDefault="00000000">
      <w:pPr>
        <w:spacing w:line="360" w:lineRule="auto"/>
        <w:ind w:firstLineChars="200" w:firstLine="480"/>
        <w:rPr>
          <w:bCs/>
          <w:sz w:val="24"/>
        </w:rPr>
      </w:pPr>
      <w:r>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7B5213AB"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3、申购和赎回申请的确认</w:t>
      </w:r>
    </w:p>
    <w:p w14:paraId="16C96E4D"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立或无效，则申购款项本金退还给投资人。</w:t>
      </w:r>
    </w:p>
    <w:p w14:paraId="48993818"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销售机构对申购、赎回申请的受理并不代表该申请一定成功，而仅代表销售机构确实接收到申购、赎回申请。申购、赎回申请的确认以基金份额登记机构的确认结果为准。对于申购、赎回申请的确认情况，投资人应及时查询并妥善行使合法权利。</w:t>
      </w:r>
    </w:p>
    <w:p w14:paraId="3909CC6F" w14:textId="77777777" w:rsidR="00B67C49" w:rsidRDefault="00000000">
      <w:pPr>
        <w:tabs>
          <w:tab w:val="left" w:pos="111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基金管理人可以在法律法规允许的范围内，依法对上述申购和赎回申请的确认时间进行调整，并必须在调整实施日前按照《信息披露办法》的有关规定在规定媒介上公告。</w:t>
      </w:r>
    </w:p>
    <w:p w14:paraId="47F47E63" w14:textId="77777777" w:rsidR="00B67C49" w:rsidRDefault="00000000">
      <w:pPr>
        <w:tabs>
          <w:tab w:val="left" w:pos="1110"/>
        </w:tabs>
        <w:adjustRightInd w:val="0"/>
        <w:snapToGrid w:val="0"/>
        <w:spacing w:line="360" w:lineRule="auto"/>
        <w:ind w:firstLineChars="200" w:firstLine="482"/>
        <w:rPr>
          <w:rFonts w:asciiTheme="minorEastAsia" w:hAnsiTheme="minorEastAsia" w:cs="Arial"/>
          <w:sz w:val="24"/>
          <w:szCs w:val="24"/>
        </w:rPr>
      </w:pPr>
      <w:r>
        <w:rPr>
          <w:rFonts w:asciiTheme="minorEastAsia" w:hAnsiTheme="minorEastAsia" w:cs="Arial" w:hint="eastAsia"/>
          <w:b/>
          <w:bCs/>
          <w:sz w:val="24"/>
          <w:szCs w:val="24"/>
        </w:rPr>
        <w:t>五、申购与赎回的数量限制</w:t>
      </w:r>
    </w:p>
    <w:p w14:paraId="09A1816C" w14:textId="77777777" w:rsidR="00B67C49"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投资人申购A类基金份额，首次单笔最低申购金额为人民币1.00元，追加申购单笔最低金额为人民币1.00元。投资人申购C类基金份额，首次单笔最低申购金额为人民币1.00元，追加申购单笔最低金额为人民币1.00元。各销售机构在不低于上述规定的前提下，可根据自己的情况调整首次最低申购金额和追加最低申购金额和追加最低申购金额限制，具体以销售机构公布的为准。</w:t>
      </w:r>
    </w:p>
    <w:p w14:paraId="13EEBD77" w14:textId="77777777" w:rsidR="00B67C49"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2、每个基金交易账户最低持有基金份额余额为1份，若某笔赎回导致单个基金交易账户的基金份额余额少于1份时，余额部分基金份额必须一同赎回。</w:t>
      </w:r>
    </w:p>
    <w:p w14:paraId="48E73EAB" w14:textId="77777777" w:rsidR="00B67C49"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3、本基金目前对单个投资人累计持有份额不设上限限制，基金管理人可以规定单个投资者累计持有的基金份额数量限制，具体规定见更新的招募说明书或相关公告。</w:t>
      </w:r>
    </w:p>
    <w:p w14:paraId="6A5C080D" w14:textId="77777777" w:rsidR="00B67C49"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asciiTheme="minorEastAsia" w:hAnsiTheme="minorEastAsia" w:cs="Arial" w:hint="eastAsia"/>
          <w:sz w:val="24"/>
          <w:szCs w:val="24"/>
        </w:rPr>
        <w:t>见基金</w:t>
      </w:r>
      <w:proofErr w:type="gramEnd"/>
      <w:r>
        <w:rPr>
          <w:rFonts w:asciiTheme="minorEastAsia" w:hAnsiTheme="minorEastAsia" w:cs="Arial" w:hint="eastAsia"/>
          <w:sz w:val="24"/>
          <w:szCs w:val="24"/>
        </w:rPr>
        <w:t>管理人相关公告。</w:t>
      </w:r>
    </w:p>
    <w:p w14:paraId="67ADC412" w14:textId="77777777" w:rsidR="00B67C49"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5、基金管理人可在法律法规允许的情况下，调整上述规定申购金额和赎回份额的数量限制。基金管理人必须在调整实施前依照《信息披露办法》的有关规定在规定媒介上公告。</w:t>
      </w:r>
    </w:p>
    <w:p w14:paraId="1047CF38" w14:textId="77777777" w:rsidR="00B67C49" w:rsidRDefault="00000000">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六、申购费用、赎回费用</w:t>
      </w:r>
    </w:p>
    <w:p w14:paraId="2DE5414E" w14:textId="77777777" w:rsidR="00B67C49"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、申购费用</w:t>
      </w:r>
    </w:p>
    <w:p w14:paraId="4F071C62" w14:textId="77777777" w:rsidR="00B67C49" w:rsidRDefault="00000000">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B67C49" w14:paraId="3E55F7F3"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ED8CDA4" w14:textId="77777777" w:rsidR="00B67C49" w:rsidRDefault="00000000">
            <w:pPr>
              <w:widowControl/>
              <w:spacing w:line="264" w:lineRule="auto"/>
              <w:jc w:val="center"/>
              <w:rPr>
                <w:rFonts w:asciiTheme="minorEastAsia" w:hAnsiTheme="minorEastAsia" w:cs="Arial"/>
                <w:bCs/>
                <w:kern w:val="0"/>
                <w:sz w:val="24"/>
                <w:szCs w:val="24"/>
              </w:rPr>
            </w:pPr>
            <w:r>
              <w:rPr>
                <w:rFonts w:asciiTheme="minorEastAsia" w:hAnsiTheme="minorEastAsia" w:cs="Arial" w:hint="eastAsia"/>
                <w:b/>
                <w:bCs/>
                <w:kern w:val="0"/>
                <w:sz w:val="24"/>
                <w:szCs w:val="24"/>
              </w:rPr>
              <w:t>A类基金份额</w:t>
            </w:r>
          </w:p>
        </w:tc>
      </w:tr>
      <w:tr w:rsidR="00B67C49" w14:paraId="1BD0A324"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3160A49"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申购金额（M）</w:t>
            </w:r>
          </w:p>
        </w:tc>
        <w:tc>
          <w:tcPr>
            <w:tcW w:w="4430" w:type="dxa"/>
            <w:tcBorders>
              <w:top w:val="single" w:sz="4" w:space="0" w:color="auto"/>
              <w:left w:val="single" w:sz="4" w:space="0" w:color="auto"/>
              <w:bottom w:val="single" w:sz="4" w:space="0" w:color="auto"/>
              <w:right w:val="single" w:sz="4" w:space="0" w:color="auto"/>
            </w:tcBorders>
          </w:tcPr>
          <w:p w14:paraId="7F95404C"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申购费率</w:t>
            </w:r>
          </w:p>
        </w:tc>
      </w:tr>
      <w:tr w:rsidR="00B67C49" w14:paraId="34B3832A"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E0F6C7A" w14:textId="77777777" w:rsidR="00B67C49"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M＜100万元</w:t>
            </w:r>
          </w:p>
        </w:tc>
        <w:tc>
          <w:tcPr>
            <w:tcW w:w="4430" w:type="dxa"/>
            <w:tcBorders>
              <w:top w:val="single" w:sz="4" w:space="0" w:color="auto"/>
              <w:left w:val="single" w:sz="4" w:space="0" w:color="auto"/>
              <w:bottom w:val="single" w:sz="4" w:space="0" w:color="auto"/>
              <w:right w:val="single" w:sz="4" w:space="0" w:color="auto"/>
            </w:tcBorders>
          </w:tcPr>
          <w:p w14:paraId="20C15A57" w14:textId="77777777" w:rsidR="00B67C49"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1.50%</w:t>
            </w:r>
          </w:p>
        </w:tc>
      </w:tr>
      <w:tr w:rsidR="00B67C49" w14:paraId="0AA9C55B"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65BBA7A4" w14:textId="77777777" w:rsidR="00B67C49"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100万元≤M＜300万元</w:t>
            </w:r>
          </w:p>
        </w:tc>
        <w:tc>
          <w:tcPr>
            <w:tcW w:w="4430" w:type="dxa"/>
            <w:tcBorders>
              <w:top w:val="single" w:sz="4" w:space="0" w:color="auto"/>
              <w:left w:val="single" w:sz="4" w:space="0" w:color="auto"/>
              <w:bottom w:val="single" w:sz="4" w:space="0" w:color="auto"/>
              <w:right w:val="single" w:sz="4" w:space="0" w:color="auto"/>
            </w:tcBorders>
          </w:tcPr>
          <w:p w14:paraId="6B1B200F" w14:textId="77777777" w:rsidR="00B67C49"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w:t>
            </w:r>
          </w:p>
        </w:tc>
      </w:tr>
      <w:tr w:rsidR="00B67C49" w14:paraId="673C1AB0"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2E04E8BC" w14:textId="77777777" w:rsidR="00B67C49"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lastRenderedPageBreak/>
              <w:t>300万元≤M＜500万元</w:t>
            </w:r>
          </w:p>
        </w:tc>
        <w:tc>
          <w:tcPr>
            <w:tcW w:w="4430" w:type="dxa"/>
            <w:tcBorders>
              <w:top w:val="single" w:sz="4" w:space="0" w:color="auto"/>
              <w:left w:val="single" w:sz="4" w:space="0" w:color="auto"/>
              <w:bottom w:val="single" w:sz="4" w:space="0" w:color="auto"/>
              <w:right w:val="single" w:sz="4" w:space="0" w:color="auto"/>
            </w:tcBorders>
          </w:tcPr>
          <w:p w14:paraId="0D614260" w14:textId="77777777" w:rsidR="00B67C49"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0.60%</w:t>
            </w:r>
          </w:p>
        </w:tc>
      </w:tr>
      <w:tr w:rsidR="00B67C49" w14:paraId="40711957"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07D8CC86" w14:textId="77777777" w:rsidR="00B67C49"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M≥500万元</w:t>
            </w:r>
          </w:p>
        </w:tc>
        <w:tc>
          <w:tcPr>
            <w:tcW w:w="4430" w:type="dxa"/>
            <w:tcBorders>
              <w:top w:val="single" w:sz="4" w:space="0" w:color="auto"/>
              <w:left w:val="single" w:sz="4" w:space="0" w:color="auto"/>
              <w:bottom w:val="single" w:sz="4" w:space="0" w:color="auto"/>
              <w:right w:val="single" w:sz="4" w:space="0" w:color="auto"/>
            </w:tcBorders>
          </w:tcPr>
          <w:p w14:paraId="232AEA74" w14:textId="77777777" w:rsidR="00B67C49" w:rsidRDefault="00000000">
            <w:pPr>
              <w:widowControl/>
              <w:spacing w:line="336" w:lineRule="auto"/>
              <w:jc w:val="center"/>
              <w:rPr>
                <w:rFonts w:asciiTheme="minorEastAsia" w:hAnsiTheme="minorEastAsia" w:cs="Arial"/>
                <w:kern w:val="0"/>
                <w:sz w:val="24"/>
                <w:szCs w:val="24"/>
              </w:rPr>
            </w:pPr>
            <w:r>
              <w:rPr>
                <w:rFonts w:asciiTheme="minorEastAsia" w:hAnsiTheme="minorEastAsia" w:cs="Arial" w:hint="eastAsia"/>
                <w:kern w:val="0"/>
                <w:sz w:val="24"/>
                <w:szCs w:val="24"/>
              </w:rPr>
              <w:t>1000元/笔</w:t>
            </w:r>
          </w:p>
        </w:tc>
      </w:tr>
      <w:tr w:rsidR="00B67C49" w14:paraId="0A45416B"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4DE5F718" w14:textId="77777777" w:rsidR="00B67C49" w:rsidRDefault="00000000">
            <w:pPr>
              <w:widowControl/>
              <w:spacing w:line="264" w:lineRule="auto"/>
              <w:jc w:val="center"/>
              <w:rPr>
                <w:rFonts w:asciiTheme="minorEastAsia" w:hAnsiTheme="minorEastAsia" w:cs="Arial"/>
                <w:b/>
                <w:kern w:val="0"/>
                <w:sz w:val="24"/>
                <w:szCs w:val="24"/>
              </w:rPr>
            </w:pPr>
            <w:r>
              <w:rPr>
                <w:rFonts w:asciiTheme="minorEastAsia" w:hAnsiTheme="minorEastAsia" w:cs="Arial" w:hint="eastAsia"/>
                <w:b/>
                <w:bCs/>
                <w:kern w:val="0"/>
                <w:sz w:val="24"/>
                <w:szCs w:val="24"/>
              </w:rPr>
              <w:t>C类基金份额</w:t>
            </w:r>
          </w:p>
        </w:tc>
      </w:tr>
      <w:tr w:rsidR="00B67C49" w14:paraId="685C822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1DEB565A" w14:textId="77777777" w:rsidR="00B67C49" w:rsidRDefault="00000000">
            <w:pPr>
              <w:widowControl/>
              <w:spacing w:line="264" w:lineRule="auto"/>
              <w:jc w:val="center"/>
              <w:rPr>
                <w:rFonts w:asciiTheme="minorEastAsia" w:hAnsiTheme="minorEastAsia" w:cs="Arial"/>
                <w:kern w:val="0"/>
                <w:sz w:val="24"/>
                <w:szCs w:val="24"/>
              </w:rPr>
            </w:pPr>
            <w:r>
              <w:rPr>
                <w:rFonts w:asciiTheme="minorEastAsia" w:hAnsiTheme="minorEastAsia" w:cs="Arial" w:hint="eastAsia"/>
                <w:bCs/>
                <w:kern w:val="0"/>
                <w:sz w:val="24"/>
                <w:szCs w:val="24"/>
              </w:rPr>
              <w:t>申</w:t>
            </w:r>
            <w:r>
              <w:rPr>
                <w:rFonts w:asciiTheme="minorEastAsia" w:hAnsiTheme="minorEastAsia" w:cs="Arial" w:hint="eastAsia"/>
                <w:kern w:val="0"/>
                <w:sz w:val="24"/>
                <w:szCs w:val="24"/>
              </w:rPr>
              <w:t>购费率为零</w:t>
            </w:r>
          </w:p>
        </w:tc>
      </w:tr>
    </w:tbl>
    <w:p w14:paraId="3FFADD20" w14:textId="77777777" w:rsidR="00B67C49" w:rsidRDefault="00B67C4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1601FA3B" w14:textId="77777777" w:rsidR="00B67C49" w:rsidRDefault="00000000">
      <w:pPr>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本基金A类基金份额的申购费用由申购A类基金份额的投资人承担，不列入基金资产，用于基金的市场推广、销售、登记等各项费用。</w:t>
      </w:r>
      <w:r>
        <w:rPr>
          <w:rFonts w:asciiTheme="minorEastAsia" w:hAnsiTheme="minorEastAsia" w:cs="Arial" w:hint="eastAsia"/>
          <w:bCs/>
          <w:sz w:val="24"/>
          <w:szCs w:val="24"/>
        </w:rPr>
        <w:t>C 类基金份额不收取申购费用</w:t>
      </w:r>
      <w:r>
        <w:rPr>
          <w:rFonts w:asciiTheme="minorEastAsia" w:hAnsiTheme="minorEastAsia" w:cs="Arial"/>
          <w:bCs/>
          <w:sz w:val="24"/>
          <w:szCs w:val="24"/>
        </w:rPr>
        <w:t>。</w:t>
      </w:r>
    </w:p>
    <w:p w14:paraId="64E96899"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、赎回费用</w:t>
      </w:r>
    </w:p>
    <w:p w14:paraId="695E9424"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本基金的</w:t>
      </w:r>
      <w:r>
        <w:rPr>
          <w:rFonts w:asciiTheme="minorEastAsia" w:hAnsiTheme="minorEastAsia" w:cs="Arial"/>
          <w:sz w:val="24"/>
          <w:szCs w:val="24"/>
        </w:rPr>
        <w:t>A</w:t>
      </w:r>
      <w:r>
        <w:rPr>
          <w:rFonts w:asciiTheme="minorEastAsia" w:hAnsiTheme="minorEastAsia" w:cs="Arial" w:hint="eastAsia"/>
          <w:sz w:val="24"/>
          <w:szCs w:val="24"/>
        </w:rPr>
        <w:t>类基金份额、</w:t>
      </w:r>
      <w:r>
        <w:rPr>
          <w:rFonts w:asciiTheme="minorEastAsia" w:hAnsiTheme="minorEastAsia" w:cs="Arial"/>
          <w:sz w:val="24"/>
          <w:szCs w:val="24"/>
        </w:rPr>
        <w:t>C</w:t>
      </w:r>
      <w:r>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B67C49" w14:paraId="1750DA1F"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C660BC2" w14:textId="77777777" w:rsidR="00B67C49"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持有基金份额期限（Y）</w:t>
            </w:r>
          </w:p>
        </w:tc>
        <w:tc>
          <w:tcPr>
            <w:tcW w:w="2127" w:type="dxa"/>
            <w:tcBorders>
              <w:top w:val="single" w:sz="4" w:space="0" w:color="auto"/>
              <w:left w:val="single" w:sz="4" w:space="0" w:color="auto"/>
              <w:bottom w:val="single" w:sz="4" w:space="0" w:color="auto"/>
              <w:right w:val="single" w:sz="4" w:space="0" w:color="auto"/>
            </w:tcBorders>
          </w:tcPr>
          <w:p w14:paraId="21DDF3C9" w14:textId="77777777" w:rsidR="00B67C49"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5ADE257C" w14:textId="77777777" w:rsidR="00B67C49" w:rsidRDefault="00000000">
            <w:pPr>
              <w:jc w:val="center"/>
              <w:rPr>
                <w:rFonts w:asciiTheme="minorEastAsia" w:hAnsiTheme="minorEastAsia" w:cs="Arial"/>
                <w:color w:val="000000"/>
                <w:sz w:val="24"/>
                <w:szCs w:val="24"/>
              </w:rPr>
            </w:pPr>
            <w:r>
              <w:rPr>
                <w:rFonts w:asciiTheme="minorEastAsia" w:hAnsiTheme="minorEastAsia" w:cs="Arial" w:hint="eastAsia"/>
                <w:color w:val="000000"/>
                <w:sz w:val="24"/>
                <w:szCs w:val="24"/>
              </w:rPr>
              <w:t>C类份额赎回费率</w:t>
            </w:r>
          </w:p>
        </w:tc>
      </w:tr>
      <w:tr w:rsidR="00B67C49" w14:paraId="6AEEA49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3CC8319"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27CE1386"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CFD36C" w14:textId="77777777" w:rsidR="00B67C49"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1.50%</w:t>
            </w:r>
          </w:p>
        </w:tc>
      </w:tr>
      <w:tr w:rsidR="00B67C49" w14:paraId="420F65A5"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02DCE5C"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7日 ≤ Y ＜ 30日</w:t>
            </w:r>
          </w:p>
        </w:tc>
        <w:tc>
          <w:tcPr>
            <w:tcW w:w="2127" w:type="dxa"/>
            <w:tcBorders>
              <w:top w:val="single" w:sz="4" w:space="0" w:color="auto"/>
              <w:left w:val="single" w:sz="4" w:space="0" w:color="auto"/>
              <w:bottom w:val="single" w:sz="4" w:space="0" w:color="auto"/>
              <w:right w:val="single" w:sz="4" w:space="0" w:color="auto"/>
            </w:tcBorders>
          </w:tcPr>
          <w:p w14:paraId="58528998"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717574D1" w14:textId="77777777" w:rsidR="00B67C49"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r>
      <w:tr w:rsidR="00B67C49" w14:paraId="052E41A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63BB3E2F"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30日 ≤ Y ＜180日</w:t>
            </w:r>
          </w:p>
        </w:tc>
        <w:tc>
          <w:tcPr>
            <w:tcW w:w="2127" w:type="dxa"/>
            <w:tcBorders>
              <w:top w:val="single" w:sz="4" w:space="0" w:color="auto"/>
              <w:left w:val="single" w:sz="4" w:space="0" w:color="auto"/>
              <w:bottom w:val="single" w:sz="4" w:space="0" w:color="auto"/>
              <w:right w:val="single" w:sz="4" w:space="0" w:color="auto"/>
            </w:tcBorders>
          </w:tcPr>
          <w:p w14:paraId="214D89B6"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36A8CF87" w14:textId="77777777" w:rsidR="00B67C49"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r w:rsidR="00B67C49" w14:paraId="7123189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5A99E582"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Y≥180日</w:t>
            </w:r>
          </w:p>
        </w:tc>
        <w:tc>
          <w:tcPr>
            <w:tcW w:w="2127" w:type="dxa"/>
            <w:tcBorders>
              <w:top w:val="single" w:sz="4" w:space="0" w:color="auto"/>
              <w:left w:val="single" w:sz="4" w:space="0" w:color="auto"/>
              <w:bottom w:val="single" w:sz="4" w:space="0" w:color="auto"/>
              <w:right w:val="single" w:sz="4" w:space="0" w:color="auto"/>
            </w:tcBorders>
          </w:tcPr>
          <w:p w14:paraId="5D068265" w14:textId="77777777" w:rsidR="00B67C49" w:rsidRDefault="00000000">
            <w:pPr>
              <w:widowControl/>
              <w:spacing w:line="336" w:lineRule="auto"/>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5DC5322F" w14:textId="77777777" w:rsidR="00B67C49" w:rsidRDefault="00000000">
            <w:pPr>
              <w:jc w:val="center"/>
              <w:rPr>
                <w:rFonts w:asciiTheme="minorEastAsia" w:hAnsiTheme="minorEastAsia" w:cs="Arial"/>
                <w:bCs/>
                <w:kern w:val="0"/>
                <w:sz w:val="24"/>
                <w:szCs w:val="24"/>
              </w:rPr>
            </w:pPr>
            <w:r>
              <w:rPr>
                <w:rFonts w:asciiTheme="minorEastAsia" w:hAnsiTheme="minorEastAsia" w:cs="Arial" w:hint="eastAsia"/>
                <w:bCs/>
                <w:kern w:val="0"/>
                <w:sz w:val="24"/>
                <w:szCs w:val="24"/>
              </w:rPr>
              <w:t>0</w:t>
            </w:r>
          </w:p>
        </w:tc>
      </w:tr>
    </w:tbl>
    <w:p w14:paraId="6A72C7FF" w14:textId="77777777" w:rsidR="00B67C49" w:rsidRDefault="00B67C49">
      <w:pPr>
        <w:adjustRightInd w:val="0"/>
        <w:snapToGrid w:val="0"/>
        <w:spacing w:line="360" w:lineRule="auto"/>
        <w:rPr>
          <w:rFonts w:asciiTheme="minorEastAsia" w:hAnsiTheme="minorEastAsia" w:cs="Arial"/>
          <w:sz w:val="24"/>
          <w:szCs w:val="24"/>
        </w:rPr>
      </w:pPr>
    </w:p>
    <w:p w14:paraId="506F6092"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赎回费用由赎回基金份额的基金份额持有人承担，在基金份额持有人赎回基金份额时收取。</w:t>
      </w:r>
    </w:p>
    <w:p w14:paraId="5BD8A032"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就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产。上述未纳入基金财产的赎回费用于支付登记费和其他必要的手续费（注：1个月按30日计算，3个月按90日计算，以此类推）。</w:t>
      </w:r>
    </w:p>
    <w:p w14:paraId="2086923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3</w:t>
      </w:r>
      <w:r>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、基金管理人可以在基金合同约定的范围内调整费率或收费方式，并最迟应于新的费率或收费方式实施日前依照《信息披露办法》的有关规定在规定媒介上公告。</w:t>
      </w:r>
    </w:p>
    <w:p w14:paraId="65A4A2C5" w14:textId="77777777" w:rsidR="00B67C49" w:rsidRDefault="00000000">
      <w:pPr>
        <w:snapToGrid w:val="0"/>
        <w:spacing w:line="360" w:lineRule="auto"/>
        <w:ind w:firstLineChars="200" w:firstLine="480"/>
        <w:rPr>
          <w:rFonts w:asciiTheme="minorEastAsia" w:hAnsiTheme="minorEastAsia" w:cs="Arial"/>
          <w:bCs/>
          <w:sz w:val="24"/>
          <w:szCs w:val="24"/>
        </w:rPr>
      </w:pPr>
      <w:r>
        <w:rPr>
          <w:rFonts w:asciiTheme="minorEastAsia" w:hAnsiTheme="minorEastAsia" w:cs="Arial"/>
          <w:sz w:val="24"/>
          <w:szCs w:val="24"/>
        </w:rPr>
        <w:t>4</w:t>
      </w:r>
      <w:r>
        <w:rPr>
          <w:rFonts w:asciiTheme="minorEastAsia" w:hAnsiTheme="minorEastAsia" w:cs="Arial" w:hint="eastAsia"/>
          <w:sz w:val="24"/>
          <w:szCs w:val="24"/>
        </w:rPr>
        <w:t>、</w:t>
      </w:r>
      <w:r>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w:t>
      </w:r>
      <w:r>
        <w:rPr>
          <w:rFonts w:asciiTheme="minorEastAsia" w:hAnsiTheme="minorEastAsia" w:cs="Arial" w:hint="eastAsia"/>
          <w:bCs/>
          <w:sz w:val="24"/>
          <w:szCs w:val="24"/>
        </w:rPr>
        <w:lastRenderedPageBreak/>
        <w:t>基金促销活动期间，基金管理人可以按中国证监会要求履行必要手续后，对基金投资者适当调低基金销售费用。</w:t>
      </w:r>
    </w:p>
    <w:p w14:paraId="78054863" w14:textId="77777777" w:rsidR="00B67C49"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七、</w:t>
      </w:r>
      <w:r>
        <w:rPr>
          <w:rFonts w:asciiTheme="minorEastAsia" w:hAnsiTheme="minorEastAsia" w:cs="Arial"/>
          <w:b/>
          <w:bCs/>
          <w:sz w:val="24"/>
          <w:szCs w:val="24"/>
        </w:rPr>
        <w:t>A</w:t>
      </w:r>
      <w:r>
        <w:rPr>
          <w:rFonts w:asciiTheme="minorEastAsia" w:hAnsiTheme="minorEastAsia" w:cs="Arial" w:hint="eastAsia"/>
          <w:b/>
          <w:bCs/>
          <w:sz w:val="24"/>
          <w:szCs w:val="24"/>
        </w:rPr>
        <w:t>类基金份额与</w:t>
      </w:r>
      <w:r>
        <w:rPr>
          <w:rFonts w:asciiTheme="minorEastAsia" w:hAnsiTheme="minorEastAsia" w:cs="Arial"/>
          <w:b/>
          <w:bCs/>
          <w:sz w:val="24"/>
          <w:szCs w:val="24"/>
        </w:rPr>
        <w:t>C</w:t>
      </w:r>
      <w:r>
        <w:rPr>
          <w:rFonts w:asciiTheme="minorEastAsia" w:hAnsiTheme="minorEastAsia" w:cs="Arial" w:hint="eastAsia"/>
          <w:b/>
          <w:bCs/>
          <w:sz w:val="24"/>
          <w:szCs w:val="24"/>
        </w:rPr>
        <w:t>类基金份额的申购份额与赎回金额的计算方式</w:t>
      </w:r>
    </w:p>
    <w:p w14:paraId="7DB7029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1、A类基金份额申购份额的计算方式：</w:t>
      </w:r>
    </w:p>
    <w:p w14:paraId="70EB21C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（1）当申购费用适用比例费率时，申购份额的计算公式如下：</w:t>
      </w:r>
    </w:p>
    <w:p w14:paraId="077D030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净申购金额=申购金额/（1+申购费率）</w:t>
      </w:r>
    </w:p>
    <w:p w14:paraId="61E8FA2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申购费用=申购金额－净申购金额</w:t>
      </w:r>
    </w:p>
    <w:p w14:paraId="41D0A9BE"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 日A类基金份额净值</w:t>
      </w:r>
    </w:p>
    <w:p w14:paraId="7D0CAB1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（2）当申购费用为固定金额时，申购份额的计算方法如下：</w:t>
      </w:r>
    </w:p>
    <w:p w14:paraId="6A0DC0F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申购费用＝固定费用</w:t>
      </w:r>
    </w:p>
    <w:p w14:paraId="2CAFC0F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净申购金额＝申购金额－申购费用</w:t>
      </w:r>
    </w:p>
    <w:p w14:paraId="6D8B3872"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申购份额＝净申购金额/T日A类基金份额净值</w:t>
      </w:r>
    </w:p>
    <w:p w14:paraId="1101506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A760A94"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例：某投资者投资50,000 元申购本基金A类基金份额，且该申购申请被全额确认，对应的申购费率为1.5%，假定申购当日A类基金份额净值为1.0500元，则可得到的申购份额为：</w:t>
      </w:r>
    </w:p>
    <w:p w14:paraId="1D80D27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净申购金额＝50,000/(1+1.5%)＝49,261.08元</w:t>
      </w:r>
    </w:p>
    <w:p w14:paraId="72160A7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申购费用＝50,000－49,261.08＝738.92元</w:t>
      </w:r>
    </w:p>
    <w:p w14:paraId="529D94FC"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申购份额＝49,261.08/1.0500＝46,915.31 份</w:t>
      </w:r>
    </w:p>
    <w:p w14:paraId="0269624A"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kern w:val="0"/>
          <w:sz w:val="24"/>
          <w:szCs w:val="24"/>
        </w:rPr>
        <w:t>即投资者投资50,000 元申购本基金A类基金份额，假定申购当日A类基金份额净值为1.0500元，可得到46,915.31份A类基金份额。</w:t>
      </w:r>
    </w:p>
    <w:p w14:paraId="1FEC631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2、C类基金份额申购份额的计算方式：</w:t>
      </w:r>
    </w:p>
    <w:p w14:paraId="4AA2114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申购份额＝申购金额/T日C类基金份额净值</w:t>
      </w:r>
    </w:p>
    <w:p w14:paraId="467E53F8"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上述计算结果按照四舍五入方法，保留小数点后两位，由此产生的收益或损失由基金财产承担。</w:t>
      </w:r>
    </w:p>
    <w:p w14:paraId="7768363E"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例：某投资者投资5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元申购本基金C类基金份额，且该申购申请被全额确认，假定申购当日C类基金份额净值为</w:t>
      </w:r>
      <w:r>
        <w:rPr>
          <w:rFonts w:asciiTheme="minorEastAsia" w:hAnsiTheme="minorEastAsia" w:cs="Arial"/>
          <w:sz w:val="24"/>
          <w:szCs w:val="24"/>
        </w:rPr>
        <w:t>1.</w:t>
      </w:r>
      <w:r>
        <w:rPr>
          <w:rFonts w:asciiTheme="minorEastAsia" w:hAnsiTheme="minorEastAsia" w:cs="Arial" w:hint="eastAsia"/>
          <w:sz w:val="24"/>
          <w:szCs w:val="24"/>
        </w:rPr>
        <w:t>2300元，则可得到的申购份额为：</w:t>
      </w:r>
    </w:p>
    <w:p w14:paraId="73F5F0F7"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申购份额＝5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1.</w:t>
      </w:r>
      <w:r>
        <w:rPr>
          <w:rFonts w:asciiTheme="minorEastAsia" w:hAnsiTheme="minorEastAsia" w:cs="Arial" w:hint="eastAsia"/>
          <w:sz w:val="24"/>
          <w:szCs w:val="24"/>
        </w:rPr>
        <w:t>2500=4</w:t>
      </w:r>
      <w:r>
        <w:rPr>
          <w:rFonts w:asciiTheme="minorEastAsia" w:hAnsiTheme="minorEastAsia" w:cs="Arial"/>
          <w:sz w:val="24"/>
          <w:szCs w:val="24"/>
        </w:rPr>
        <w:t>,</w:t>
      </w:r>
      <w:r>
        <w:rPr>
          <w:rFonts w:asciiTheme="minorEastAsia" w:hAnsiTheme="minorEastAsia" w:cs="Arial" w:hint="eastAsia"/>
          <w:sz w:val="24"/>
          <w:szCs w:val="24"/>
        </w:rPr>
        <w:t>000,000.00份</w:t>
      </w:r>
    </w:p>
    <w:p w14:paraId="3D2A2B17"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即投资者投资5</w:t>
      </w:r>
      <w:r>
        <w:rPr>
          <w:rFonts w:asciiTheme="minorEastAsia" w:hAnsiTheme="minorEastAsia" w:cs="Arial"/>
          <w:sz w:val="24"/>
          <w:szCs w:val="24"/>
        </w:rPr>
        <w:t>,000</w:t>
      </w:r>
      <w:r>
        <w:rPr>
          <w:rFonts w:asciiTheme="minorEastAsia" w:hAnsiTheme="minorEastAsia" w:cs="Arial" w:hint="eastAsia"/>
          <w:sz w:val="24"/>
          <w:szCs w:val="24"/>
        </w:rPr>
        <w:t>,000</w:t>
      </w:r>
      <w:r>
        <w:rPr>
          <w:rFonts w:asciiTheme="minorEastAsia" w:hAnsiTheme="minorEastAsia" w:cs="Arial"/>
          <w:sz w:val="24"/>
          <w:szCs w:val="24"/>
        </w:rPr>
        <w:t xml:space="preserve"> </w:t>
      </w:r>
      <w:r>
        <w:rPr>
          <w:rFonts w:asciiTheme="minorEastAsia" w:hAnsiTheme="minorEastAsia" w:cs="Arial" w:hint="eastAsia"/>
          <w:sz w:val="24"/>
          <w:szCs w:val="24"/>
        </w:rPr>
        <w:t>元申购本基金C类基金份额，假定申购当日C类基</w:t>
      </w:r>
      <w:r>
        <w:rPr>
          <w:rFonts w:asciiTheme="minorEastAsia" w:hAnsiTheme="minorEastAsia" w:cs="Arial" w:hint="eastAsia"/>
          <w:sz w:val="24"/>
          <w:szCs w:val="24"/>
        </w:rPr>
        <w:lastRenderedPageBreak/>
        <w:t>金份额净值为</w:t>
      </w:r>
      <w:r>
        <w:rPr>
          <w:rFonts w:asciiTheme="minorEastAsia" w:hAnsiTheme="minorEastAsia" w:cs="Arial"/>
          <w:sz w:val="24"/>
          <w:szCs w:val="24"/>
        </w:rPr>
        <w:t>1.</w:t>
      </w:r>
      <w:r>
        <w:rPr>
          <w:rFonts w:asciiTheme="minorEastAsia" w:hAnsiTheme="minorEastAsia" w:cs="Arial" w:hint="eastAsia"/>
          <w:sz w:val="24"/>
          <w:szCs w:val="24"/>
        </w:rPr>
        <w:t>2500元，可得到4</w:t>
      </w:r>
      <w:r>
        <w:rPr>
          <w:rFonts w:asciiTheme="minorEastAsia" w:hAnsiTheme="minorEastAsia" w:cs="Arial"/>
          <w:sz w:val="24"/>
          <w:szCs w:val="24"/>
        </w:rPr>
        <w:t>,0</w:t>
      </w:r>
      <w:r>
        <w:rPr>
          <w:rFonts w:asciiTheme="minorEastAsia" w:hAnsiTheme="minorEastAsia" w:cs="Arial" w:hint="eastAsia"/>
          <w:sz w:val="24"/>
          <w:szCs w:val="24"/>
        </w:rPr>
        <w:t>00,000.00份C类基金份额。</w:t>
      </w:r>
    </w:p>
    <w:p w14:paraId="15C3F8D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 xml:space="preserve"> </w:t>
      </w:r>
      <w:r>
        <w:rPr>
          <w:rFonts w:asciiTheme="minorEastAsia" w:hAnsiTheme="minorEastAsia" w:cs="Arial" w:hint="eastAsia"/>
          <w:sz w:val="24"/>
          <w:szCs w:val="24"/>
        </w:rPr>
        <w:t>赎回金额的计算方式：</w:t>
      </w:r>
    </w:p>
    <w:p w14:paraId="1A2DD74D"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w:t>
      </w:r>
      <w:r>
        <w:rPr>
          <w:rFonts w:asciiTheme="minorEastAsia" w:hAnsiTheme="minorEastAsia" w:cs="Arial" w:hint="eastAsia"/>
          <w:sz w:val="24"/>
          <w:szCs w:val="24"/>
        </w:rPr>
        <w:t>赎回份额×</w:t>
      </w:r>
      <w:r>
        <w:rPr>
          <w:rFonts w:asciiTheme="minorEastAsia" w:hAnsiTheme="minorEastAsia" w:cs="Arial"/>
          <w:sz w:val="24"/>
          <w:szCs w:val="24"/>
        </w:rPr>
        <w:t>T</w:t>
      </w:r>
      <w:r>
        <w:rPr>
          <w:rFonts w:asciiTheme="minorEastAsia" w:hAnsiTheme="minorEastAsia" w:cs="Arial" w:hint="eastAsia"/>
          <w:sz w:val="24"/>
          <w:szCs w:val="24"/>
        </w:rPr>
        <w:t>日该类别基金份额净值</w:t>
      </w:r>
    </w:p>
    <w:p w14:paraId="6BA9693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w:t>
      </w:r>
      <w:r>
        <w:rPr>
          <w:rFonts w:asciiTheme="minorEastAsia" w:hAnsiTheme="minorEastAsia" w:cs="Arial" w:hint="eastAsia"/>
          <w:sz w:val="24"/>
          <w:szCs w:val="24"/>
        </w:rPr>
        <w:t>赎回总额×赎回费率</w:t>
      </w:r>
    </w:p>
    <w:p w14:paraId="5D36E87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w:t>
      </w:r>
      <w:r>
        <w:rPr>
          <w:rFonts w:asciiTheme="minorEastAsia" w:hAnsiTheme="minorEastAsia" w:cs="Arial" w:hint="eastAsia"/>
          <w:sz w:val="24"/>
          <w:szCs w:val="24"/>
        </w:rPr>
        <w:t>赎回总额－赎回费用</w:t>
      </w:r>
    </w:p>
    <w:p w14:paraId="1E818DD4"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上述计算结果均按四舍五入方法，保留到小数点后2位，由此产生的收益或损失由基金财产承担。</w:t>
      </w:r>
    </w:p>
    <w:p w14:paraId="6B2ABB0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例1：某投资者赎回</w:t>
      </w:r>
      <w:r>
        <w:rPr>
          <w:rFonts w:asciiTheme="minorEastAsia" w:hAnsiTheme="minorEastAsia" w:cs="Arial"/>
          <w:sz w:val="24"/>
          <w:szCs w:val="24"/>
        </w:rPr>
        <w:t xml:space="preserve">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类基金份额且持有时间为3个月，赎回费率为</w:t>
      </w:r>
      <w:r>
        <w:rPr>
          <w:rFonts w:asciiTheme="minorEastAsia" w:hAnsiTheme="minorEastAsia" w:cs="Arial"/>
          <w:sz w:val="24"/>
          <w:szCs w:val="24"/>
        </w:rPr>
        <w:t>0.5%</w:t>
      </w:r>
      <w:r>
        <w:rPr>
          <w:rFonts w:asciiTheme="minorEastAsia" w:hAnsiTheme="minorEastAsia" w:cs="Arial" w:hint="eastAsia"/>
          <w:sz w:val="24"/>
          <w:szCs w:val="24"/>
        </w:rPr>
        <w:t>，假设赎回申请当日</w:t>
      </w:r>
      <w:r>
        <w:rPr>
          <w:rFonts w:asciiTheme="minorEastAsia" w:hAnsiTheme="minorEastAsia" w:cs="Arial"/>
          <w:sz w:val="24"/>
          <w:szCs w:val="24"/>
        </w:rPr>
        <w:t>A</w:t>
      </w:r>
      <w:r>
        <w:rPr>
          <w:rFonts w:asciiTheme="minorEastAsia" w:hAnsiTheme="minorEastAsia" w:cs="Arial" w:hint="eastAsia"/>
          <w:sz w:val="24"/>
          <w:szCs w:val="24"/>
        </w:rPr>
        <w:t>类基金份额净值是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元，则可得到的赎回金额为：</w:t>
      </w:r>
    </w:p>
    <w:p w14:paraId="6155100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赎回总额</w:t>
      </w:r>
      <w:r>
        <w:rPr>
          <w:rFonts w:asciiTheme="minorEastAsia" w:hAnsiTheme="minorEastAsia" w:cs="Arial"/>
          <w:sz w:val="24"/>
          <w:szCs w:val="24"/>
        </w:rPr>
        <w:t xml:space="preserve"> = 10,000 </w:t>
      </w:r>
      <w:r>
        <w:rPr>
          <w:rFonts w:asciiTheme="minorEastAsia" w:hAnsiTheme="minorEastAsia" w:cs="Arial" w:hint="eastAsia"/>
          <w:sz w:val="24"/>
          <w:szCs w:val="24"/>
        </w:rPr>
        <w:t>×</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10,680.00 </w:t>
      </w:r>
      <w:r>
        <w:rPr>
          <w:rFonts w:asciiTheme="minorEastAsia" w:hAnsiTheme="minorEastAsia" w:cs="Arial" w:hint="eastAsia"/>
          <w:sz w:val="24"/>
          <w:szCs w:val="24"/>
        </w:rPr>
        <w:t>元</w:t>
      </w:r>
    </w:p>
    <w:p w14:paraId="175476F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w:t>
      </w:r>
      <w:r>
        <w:rPr>
          <w:rFonts w:asciiTheme="minorEastAsia" w:hAnsiTheme="minorEastAsia" w:cs="Arial"/>
          <w:sz w:val="24"/>
          <w:szCs w:val="24"/>
        </w:rPr>
        <w:t xml:space="preserve"> = 10,680.00 </w:t>
      </w:r>
      <w:r>
        <w:rPr>
          <w:rFonts w:asciiTheme="minorEastAsia" w:hAnsiTheme="minorEastAsia" w:cs="Arial" w:hint="eastAsia"/>
          <w:sz w:val="24"/>
          <w:szCs w:val="24"/>
        </w:rPr>
        <w:t>×</w:t>
      </w:r>
      <w:r>
        <w:rPr>
          <w:rFonts w:asciiTheme="minorEastAsia" w:hAnsiTheme="minorEastAsia" w:cs="Arial"/>
          <w:sz w:val="24"/>
          <w:szCs w:val="24"/>
        </w:rPr>
        <w:t xml:space="preserve">0.5% = 53.40 </w:t>
      </w:r>
      <w:r>
        <w:rPr>
          <w:rFonts w:asciiTheme="minorEastAsia" w:hAnsiTheme="minorEastAsia" w:cs="Arial" w:hint="eastAsia"/>
          <w:sz w:val="24"/>
          <w:szCs w:val="24"/>
        </w:rPr>
        <w:t>元</w:t>
      </w:r>
    </w:p>
    <w:p w14:paraId="1E65CCA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w:t>
      </w:r>
      <w:r>
        <w:rPr>
          <w:rFonts w:asciiTheme="minorEastAsia" w:hAnsiTheme="minorEastAsia" w:cs="Arial"/>
          <w:sz w:val="24"/>
          <w:szCs w:val="24"/>
        </w:rPr>
        <w:t xml:space="preserve"> = 10,680.00 - 53.40 = 10,626.60 </w:t>
      </w:r>
      <w:r>
        <w:rPr>
          <w:rFonts w:asciiTheme="minorEastAsia" w:hAnsiTheme="minorEastAsia" w:cs="Arial" w:hint="eastAsia"/>
          <w:sz w:val="24"/>
          <w:szCs w:val="24"/>
        </w:rPr>
        <w:t>元</w:t>
      </w:r>
    </w:p>
    <w:p w14:paraId="426A2A5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即：投资者赎回</w:t>
      </w:r>
      <w:r>
        <w:rPr>
          <w:rFonts w:asciiTheme="minorEastAsia" w:hAnsiTheme="minorEastAsia" w:cs="Arial"/>
          <w:sz w:val="24"/>
          <w:szCs w:val="24"/>
        </w:rPr>
        <w:t xml:space="preserve"> 10,000 </w:t>
      </w:r>
      <w:r>
        <w:rPr>
          <w:rFonts w:asciiTheme="minorEastAsia" w:hAnsiTheme="minorEastAsia" w:cs="Arial" w:hint="eastAsia"/>
          <w:sz w:val="24"/>
          <w:szCs w:val="24"/>
        </w:rPr>
        <w:t>份</w:t>
      </w:r>
      <w:r>
        <w:rPr>
          <w:rFonts w:asciiTheme="minorEastAsia" w:hAnsiTheme="minorEastAsia" w:cs="Arial"/>
          <w:sz w:val="24"/>
          <w:szCs w:val="24"/>
        </w:rPr>
        <w:t>A</w:t>
      </w:r>
      <w:r>
        <w:rPr>
          <w:rFonts w:asciiTheme="minorEastAsia" w:hAnsiTheme="minorEastAsia" w:cs="Arial" w:hint="eastAsia"/>
          <w:sz w:val="24"/>
          <w:szCs w:val="24"/>
        </w:rPr>
        <w:t>类基金份额且持有时间为3个月，假设赎回申请当日</w:t>
      </w:r>
      <w:r>
        <w:rPr>
          <w:rFonts w:asciiTheme="minorEastAsia" w:hAnsiTheme="minorEastAsia" w:cs="Arial"/>
          <w:sz w:val="24"/>
          <w:szCs w:val="24"/>
        </w:rPr>
        <w:t>A</w:t>
      </w:r>
      <w:r>
        <w:rPr>
          <w:rFonts w:asciiTheme="minorEastAsia" w:hAnsiTheme="minorEastAsia" w:cs="Arial" w:hint="eastAsia"/>
          <w:sz w:val="24"/>
          <w:szCs w:val="24"/>
        </w:rPr>
        <w:t>类基金份额的基金份额净值是</w:t>
      </w:r>
      <w:r>
        <w:rPr>
          <w:rFonts w:asciiTheme="minorEastAsia" w:hAnsiTheme="minorEastAsia" w:cs="Arial"/>
          <w:sz w:val="24"/>
          <w:szCs w:val="24"/>
        </w:rPr>
        <w:t>1.068</w:t>
      </w:r>
      <w:r>
        <w:rPr>
          <w:rFonts w:asciiTheme="minorEastAsia" w:hAnsiTheme="minorEastAsia" w:cs="Arial" w:hint="eastAsia"/>
          <w:sz w:val="24"/>
          <w:szCs w:val="24"/>
        </w:rPr>
        <w:t>0</w:t>
      </w:r>
      <w:r>
        <w:rPr>
          <w:rFonts w:asciiTheme="minorEastAsia" w:hAnsiTheme="minorEastAsia" w:cs="Arial"/>
          <w:sz w:val="24"/>
          <w:szCs w:val="24"/>
        </w:rPr>
        <w:t xml:space="preserve"> </w:t>
      </w:r>
      <w:r>
        <w:rPr>
          <w:rFonts w:asciiTheme="minorEastAsia" w:hAnsiTheme="minorEastAsia" w:cs="Arial" w:hint="eastAsia"/>
          <w:sz w:val="24"/>
          <w:szCs w:val="24"/>
        </w:rPr>
        <w:t>元，则其可得到的赎回金额为</w:t>
      </w:r>
      <w:r>
        <w:rPr>
          <w:rFonts w:asciiTheme="minorEastAsia" w:hAnsiTheme="minorEastAsia" w:cs="Arial"/>
          <w:sz w:val="24"/>
          <w:szCs w:val="24"/>
        </w:rPr>
        <w:t xml:space="preserve">10,626.60 </w:t>
      </w:r>
      <w:r>
        <w:rPr>
          <w:rFonts w:asciiTheme="minorEastAsia" w:hAnsiTheme="minorEastAsia" w:cs="Arial" w:hint="eastAsia"/>
          <w:sz w:val="24"/>
          <w:szCs w:val="24"/>
        </w:rPr>
        <w:t>元。</w:t>
      </w:r>
    </w:p>
    <w:p w14:paraId="7DE64FF8"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例2：某投资人赎回本基金10,000份C类基金份额，持有时间为20日，对应的赎回费率为0.5%，假设赎回当日C类基金份额净值是1.0680元，则其可得到的赎回金额为：</w:t>
      </w:r>
    </w:p>
    <w:p w14:paraId="0796E88A"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赎回金额=10,000×1.0680=10,680元</w:t>
      </w:r>
    </w:p>
    <w:p w14:paraId="4363AAF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赎回费用=10,680×0.5%=53.40元</w:t>
      </w:r>
    </w:p>
    <w:p w14:paraId="61A25504"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净赎回金额=10,680-53.40=10,626.60元</w:t>
      </w:r>
    </w:p>
    <w:p w14:paraId="2BA45664"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即：投资人赎回本基金10,000份C类基金份额，持有期限为20日，假设赎回当日本基金C类基金份额净值是1.0680元，则其可得到的净赎回金额为10,626.60元。</w:t>
      </w:r>
    </w:p>
    <w:p w14:paraId="5A930F4C"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rFonts w:asciiTheme="minorEastAsia" w:hAnsiTheme="minorEastAsia" w:cs="Arial" w:hint="eastAsia"/>
          <w:sz w:val="24"/>
          <w:szCs w:val="24"/>
        </w:rPr>
        <w:t>4、</w:t>
      </w:r>
      <w:r>
        <w:rPr>
          <w:rFonts w:asciiTheme="minorEastAsia" w:hAnsiTheme="minorEastAsia" w:cs="Arial" w:hint="eastAsia"/>
          <w:bCs/>
          <w:sz w:val="24"/>
          <w:szCs w:val="24"/>
        </w:rPr>
        <w:t>本基金</w:t>
      </w:r>
      <w:r>
        <w:rPr>
          <w:rFonts w:asciiTheme="minorEastAsia" w:hAnsiTheme="minorEastAsia" w:cs="Arial"/>
          <w:bCs/>
          <w:sz w:val="24"/>
          <w:szCs w:val="24"/>
        </w:rPr>
        <w:t>A</w:t>
      </w:r>
      <w:r>
        <w:rPr>
          <w:rFonts w:asciiTheme="minorEastAsia" w:hAnsiTheme="minorEastAsia" w:cs="Arial" w:hint="eastAsia"/>
          <w:bCs/>
          <w:sz w:val="24"/>
          <w:szCs w:val="24"/>
        </w:rPr>
        <w:t>类基金份额和</w:t>
      </w:r>
      <w:r>
        <w:rPr>
          <w:rFonts w:asciiTheme="minorEastAsia" w:hAnsiTheme="minorEastAsia" w:cs="Arial"/>
          <w:bCs/>
          <w:sz w:val="24"/>
          <w:szCs w:val="24"/>
        </w:rPr>
        <w:t>C</w:t>
      </w:r>
      <w:r>
        <w:rPr>
          <w:rFonts w:asciiTheme="minorEastAsia" w:hAnsiTheme="minorEastAsia" w:cs="Arial" w:hint="eastAsia"/>
          <w:bCs/>
          <w:sz w:val="24"/>
          <w:szCs w:val="24"/>
        </w:rPr>
        <w:t>类基金份额分别设置代码，分别计算和公告两类基金份额净值和两类基金份额累计净值。</w:t>
      </w:r>
      <w:r>
        <w:rPr>
          <w:rFonts w:asciiTheme="minorEastAsia" w:hAnsiTheme="minorEastAsia" w:cs="Times New Roman" w:hint="eastAsia"/>
          <w:sz w:val="24"/>
          <w:szCs w:val="24"/>
        </w:rPr>
        <w:t>本基金两类基金份额净值的计算，保留到小数点后4位，小数点后第5位四舍五入，由此产生的收益或损失由基金财产承担。</w:t>
      </w:r>
      <w:r>
        <w:rPr>
          <w:rFonts w:asciiTheme="minorEastAsia" w:hAnsiTheme="minorEastAsia" w:cs="Times New Roman"/>
          <w:sz w:val="24"/>
          <w:szCs w:val="24"/>
        </w:rPr>
        <w:t>T</w:t>
      </w:r>
      <w:r>
        <w:rPr>
          <w:rFonts w:asciiTheme="minorEastAsia" w:hAnsiTheme="minorEastAsia" w:cs="Times New Roman" w:hint="eastAsia"/>
          <w:sz w:val="24"/>
          <w:szCs w:val="24"/>
        </w:rPr>
        <w:t>日的基金份额净值在当天收市后计算，并在</w:t>
      </w:r>
      <w:r>
        <w:rPr>
          <w:rFonts w:asciiTheme="minorEastAsia" w:hAnsiTheme="minorEastAsia" w:cs="Times New Roman"/>
          <w:sz w:val="24"/>
          <w:szCs w:val="24"/>
        </w:rPr>
        <w:t>T+1</w:t>
      </w:r>
      <w:r>
        <w:rPr>
          <w:rFonts w:asciiTheme="minorEastAsia" w:hAnsiTheme="minorEastAsia" w:cs="Times New Roman" w:hint="eastAsia"/>
          <w:sz w:val="24"/>
          <w:szCs w:val="24"/>
        </w:rPr>
        <w:t>日内公告。遇特殊情况，经中国证监会同意，可以适当延迟计算或公告。</w:t>
      </w:r>
    </w:p>
    <w:p w14:paraId="56BEAFB3" w14:textId="77777777" w:rsidR="00B67C49" w:rsidRDefault="00000000">
      <w:pPr>
        <w:snapToGrid w:val="0"/>
        <w:spacing w:line="360" w:lineRule="auto"/>
        <w:ind w:firstLineChars="200" w:firstLine="482"/>
        <w:rPr>
          <w:rFonts w:asciiTheme="minorEastAsia" w:hAnsiTheme="minorEastAsia" w:cs="Arial"/>
          <w:b/>
          <w:bCs/>
          <w:sz w:val="24"/>
          <w:szCs w:val="24"/>
        </w:rPr>
      </w:pPr>
      <w:r>
        <w:rPr>
          <w:rFonts w:asciiTheme="minorEastAsia" w:hAnsiTheme="minorEastAsia" w:cs="Times New Roman" w:hint="eastAsia"/>
          <w:b/>
          <w:sz w:val="24"/>
          <w:szCs w:val="24"/>
        </w:rPr>
        <w:lastRenderedPageBreak/>
        <w:t>八、申购与赎回的登记业务</w:t>
      </w:r>
    </w:p>
    <w:p w14:paraId="6C673EBD"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w:t>
      </w:r>
      <w:r>
        <w:rPr>
          <w:rFonts w:asciiTheme="minorEastAsia" w:hAnsiTheme="minorEastAsia" w:cs="Arial" w:hint="eastAsia"/>
          <w:sz w:val="24"/>
          <w:szCs w:val="24"/>
        </w:rPr>
        <w:t>、投资人</w:t>
      </w:r>
      <w:r>
        <w:rPr>
          <w:rFonts w:asciiTheme="minorEastAsia" w:hAnsiTheme="minorEastAsia" w:cs="Times New Roman" w:hint="eastAsia"/>
          <w:sz w:val="24"/>
          <w:szCs w:val="24"/>
        </w:rPr>
        <w:t>申购基金成功后，在正常情况下，基金登记机构在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日为投资者登记权益并办理登记手续，投资者自</w:t>
      </w:r>
      <w:r>
        <w:rPr>
          <w:rFonts w:asciiTheme="minorEastAsia" w:hAnsiTheme="minorEastAsia" w:cs="Arial"/>
          <w:sz w:val="24"/>
          <w:szCs w:val="24"/>
        </w:rPr>
        <w:t>T+2</w:t>
      </w:r>
      <w:r>
        <w:rPr>
          <w:rFonts w:asciiTheme="minorEastAsia" w:hAnsiTheme="minorEastAsia" w:cs="Times New Roman" w:hint="eastAsia"/>
          <w:sz w:val="24"/>
          <w:szCs w:val="24"/>
        </w:rPr>
        <w:t>日（含该日）后有权赎回该部分基金份额。</w:t>
      </w:r>
    </w:p>
    <w:p w14:paraId="4FDEDB42"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2</w:t>
      </w:r>
      <w:r>
        <w:rPr>
          <w:rFonts w:asciiTheme="minorEastAsia" w:hAnsiTheme="minorEastAsia" w:cs="Arial" w:hint="eastAsia"/>
          <w:sz w:val="24"/>
          <w:szCs w:val="24"/>
        </w:rPr>
        <w:t>、投资人</w:t>
      </w:r>
      <w:r>
        <w:rPr>
          <w:rFonts w:asciiTheme="minorEastAsia" w:hAnsiTheme="minorEastAsia" w:cs="Times New Roman" w:hint="eastAsia"/>
          <w:sz w:val="24"/>
          <w:szCs w:val="24"/>
        </w:rPr>
        <w:t>赎回基金成功后，在正常情况下，基金登记机构在</w:t>
      </w:r>
      <w:r>
        <w:rPr>
          <w:rFonts w:asciiTheme="minorEastAsia" w:hAnsiTheme="minorEastAsia" w:cs="Arial"/>
          <w:sz w:val="24"/>
          <w:szCs w:val="24"/>
        </w:rPr>
        <w:t>T+1</w:t>
      </w:r>
      <w:r>
        <w:rPr>
          <w:rFonts w:asciiTheme="minorEastAsia" w:hAnsiTheme="minorEastAsia" w:cs="Times New Roman" w:hint="eastAsia"/>
          <w:sz w:val="24"/>
          <w:szCs w:val="24"/>
        </w:rPr>
        <w:t>日为投资者办理扣除权益的登记手续。</w:t>
      </w:r>
    </w:p>
    <w:p w14:paraId="338E63E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Times New Roman"/>
          <w:sz w:val="24"/>
          <w:szCs w:val="24"/>
        </w:rPr>
        <w:t>3</w:t>
      </w:r>
      <w:r>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Pr>
          <w:rFonts w:asciiTheme="minorEastAsia" w:hAnsiTheme="minorEastAsia" w:cs="Arial" w:hint="eastAsia"/>
          <w:sz w:val="24"/>
          <w:szCs w:val="24"/>
        </w:rPr>
        <w:t>依照《信息披露办法》的有关规定</w:t>
      </w:r>
      <w:r>
        <w:rPr>
          <w:rFonts w:asciiTheme="minorEastAsia" w:hAnsiTheme="minorEastAsia" w:cs="Times New Roman" w:hint="eastAsia"/>
          <w:sz w:val="24"/>
          <w:szCs w:val="24"/>
        </w:rPr>
        <w:t>在规定媒介公告。</w:t>
      </w:r>
    </w:p>
    <w:p w14:paraId="789B17C3" w14:textId="77777777" w:rsidR="00B67C49" w:rsidRDefault="00000000">
      <w:pPr>
        <w:tabs>
          <w:tab w:val="left" w:pos="1110"/>
        </w:tabs>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九、拒绝或暂停申购的情形及处理</w:t>
      </w:r>
    </w:p>
    <w:p w14:paraId="70EB904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发生下列情况时，基金管理人可拒绝或暂停接受投资人的申购申请：</w:t>
      </w:r>
    </w:p>
    <w:p w14:paraId="180B823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1、因不可抗力导致基金无法正常运作。</w:t>
      </w:r>
    </w:p>
    <w:p w14:paraId="0C8F19ED"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2、发生基金合同规定的暂停基金资产估值情况时，基金管理人可暂停接受投资人的申购申请。</w:t>
      </w:r>
    </w:p>
    <w:p w14:paraId="68E25770"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4E414252"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4、接受某笔或某些申购申请可能会影响或损害现有基金份额持有人利益时。</w:t>
      </w:r>
    </w:p>
    <w:p w14:paraId="389A2D70"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5、基金资产规模过大，使基金管理人无法找到合适的投资品种，或其他可能对基金业绩产生负面影响，或发生其他损害现有基金份额持有人利益的情形。</w:t>
      </w:r>
    </w:p>
    <w:p w14:paraId="0DCDFFE0"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6、当特定资产占前一估值日基金资产净值50%以上的，经与基金托管人协商确认后，基金管理人应当暂停接受基金申购申请。</w:t>
      </w:r>
    </w:p>
    <w:p w14:paraId="32DDF437"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7、基金管理人接受某笔或者某些申购申请有可能导致单一投资者持有基金份额的比例达到或者超过50%，或者变相规避50%集中度的情形。</w:t>
      </w:r>
    </w:p>
    <w:p w14:paraId="07EEB288"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6B43C8FF"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2282C45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10</w:t>
      </w:r>
      <w:r>
        <w:rPr>
          <w:rFonts w:asciiTheme="minorEastAsia" w:hAnsiTheme="minorEastAsia" w:cs="Arial" w:hint="eastAsia"/>
          <w:sz w:val="24"/>
          <w:szCs w:val="24"/>
        </w:rPr>
        <w:t>、法律法规规定或中国证监会认定的其他情形。</w:t>
      </w:r>
    </w:p>
    <w:p w14:paraId="0DB21DA3"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发生上述第1、2、3、5、6、8、</w:t>
      </w:r>
      <w:r>
        <w:rPr>
          <w:rFonts w:asciiTheme="minorEastAsia" w:hAnsiTheme="minorEastAsia" w:cs="Arial"/>
          <w:sz w:val="24"/>
          <w:szCs w:val="24"/>
        </w:rPr>
        <w:t>10</w:t>
      </w:r>
      <w:r>
        <w:rPr>
          <w:rFonts w:asciiTheme="minorEastAsia" w:hAnsiTheme="minorEastAsia" w:cs="Arial" w:hint="eastAsia"/>
          <w:sz w:val="24"/>
          <w:szCs w:val="24"/>
        </w:rPr>
        <w:t>项暂停申购情形之一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管理人决定暂停接受投资人的申购申请时，基金管理人应当根据有关规定在规定媒介上刊登暂停申购公告。如果投资人的申购申请被拒绝，被拒绝的申购款项本金将退还给投资人。</w:t>
      </w:r>
      <w:r>
        <w:rPr>
          <w:rFonts w:asciiTheme="minorEastAsia" w:hAnsiTheme="minorEastAsia" w:cs="Arial" w:hint="eastAsia"/>
          <w:sz w:val="24"/>
          <w:szCs w:val="24"/>
        </w:rPr>
        <w:lastRenderedPageBreak/>
        <w:t>在暂停申购的情况消除时，基金管理人应及时恢复申购业务的办理。</w:t>
      </w:r>
    </w:p>
    <w:p w14:paraId="0527B143" w14:textId="77777777" w:rsidR="00B67C49" w:rsidRDefault="00000000">
      <w:pPr>
        <w:adjustRightInd w:val="0"/>
        <w:snapToGrid w:val="0"/>
        <w:spacing w:line="360" w:lineRule="auto"/>
        <w:ind w:firstLineChars="200" w:firstLine="482"/>
        <w:rPr>
          <w:rFonts w:asciiTheme="minorEastAsia" w:hAnsiTheme="minorEastAsia" w:cs="Arial"/>
          <w:b/>
          <w:bCs/>
          <w:sz w:val="24"/>
          <w:szCs w:val="24"/>
        </w:rPr>
      </w:pPr>
      <w:r>
        <w:rPr>
          <w:rFonts w:asciiTheme="minorEastAsia" w:hAnsiTheme="minorEastAsia" w:cs="Arial" w:hint="eastAsia"/>
          <w:b/>
          <w:bCs/>
          <w:sz w:val="24"/>
          <w:szCs w:val="24"/>
        </w:rPr>
        <w:t>十、暂停赎回或延缓支付赎回款项的情形</w:t>
      </w:r>
    </w:p>
    <w:p w14:paraId="5EC80FE9" w14:textId="77777777" w:rsidR="00B67C49" w:rsidRDefault="00000000">
      <w:pPr>
        <w:widowControl/>
        <w:spacing w:line="360" w:lineRule="auto"/>
        <w:ind w:firstLineChars="200" w:firstLine="480"/>
        <w:jc w:val="left"/>
        <w:rPr>
          <w:rFonts w:asciiTheme="minorEastAsia" w:hAnsiTheme="minorEastAsia" w:cs="Arial"/>
          <w:sz w:val="24"/>
          <w:szCs w:val="24"/>
        </w:rPr>
      </w:pPr>
      <w:bookmarkStart w:id="191" w:name="_Toc416264545"/>
      <w:bookmarkStart w:id="192" w:name="_Toc17920"/>
      <w:bookmarkStart w:id="193" w:name="_Toc32584"/>
      <w:bookmarkStart w:id="194" w:name="_Toc48649708"/>
      <w:bookmarkStart w:id="195" w:name="_Toc123051456"/>
      <w:bookmarkStart w:id="196" w:name="_Toc98560356"/>
      <w:bookmarkStart w:id="197" w:name="_Toc17198"/>
      <w:bookmarkStart w:id="198" w:name="_Toc141703890"/>
      <w:bookmarkStart w:id="199" w:name="_Toc21237"/>
      <w:bookmarkStart w:id="200" w:name="_Toc3329"/>
      <w:bookmarkStart w:id="201" w:name="_Toc5170"/>
      <w:bookmarkStart w:id="202" w:name="_Toc29408"/>
      <w:bookmarkStart w:id="203" w:name="_Toc739"/>
      <w:bookmarkStart w:id="204" w:name="_Toc123102457"/>
      <w:bookmarkStart w:id="205" w:name="_Toc32092"/>
      <w:bookmarkStart w:id="206" w:name="_Toc123112238"/>
      <w:bookmarkStart w:id="207" w:name="_Toc20976"/>
      <w:bookmarkStart w:id="208" w:name="_Toc79392622"/>
      <w:bookmarkStart w:id="209" w:name="_Toc139991740"/>
      <w:bookmarkStart w:id="210" w:name="_Toc352229756"/>
      <w:bookmarkStart w:id="211"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Pr>
          <w:rFonts w:asciiTheme="minorEastAsia" w:hAnsiTheme="minorEastAsia" w:cs="Arial" w:hint="eastAsia"/>
          <w:sz w:val="24"/>
          <w:szCs w:val="24"/>
        </w:rPr>
        <w:t>发生下列情形时，基金管理人可暂停接受投资人的赎回申请或延缓支付赎回款项：</w:t>
      </w:r>
    </w:p>
    <w:p w14:paraId="3C173CCE"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1、因不可抗力导致基金管理人不能支付赎回款项。</w:t>
      </w:r>
    </w:p>
    <w:p w14:paraId="62847889"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2、发生基金合同规定的暂停基金资产估值情况时，基金管理人可暂停接受投资人的赎回申请或延缓支付赎回款项。</w:t>
      </w:r>
    </w:p>
    <w:p w14:paraId="0F110779"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3、证券、期货交易所交易时间非正常停市，导致基金管理人无法计算当日基金资产净值。</w:t>
      </w:r>
    </w:p>
    <w:p w14:paraId="1B586F6C"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4、连续两个或两个以上开放日发生巨额赎回。</w:t>
      </w:r>
    </w:p>
    <w:p w14:paraId="2AB73A22"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5、发生继续接受赎回申请将损害现有基金份额持有人利益的情形时，基金管理人可暂停接受基金份额持有人的赎回申请。</w:t>
      </w:r>
    </w:p>
    <w:p w14:paraId="523DF128"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6、当特定资产占前一估值日基金资产净值50%以上的，经与基金托管人协商确认后，基金管理人应当延缓支付赎回款项或暂停接受基金赎回申请。</w:t>
      </w:r>
    </w:p>
    <w:p w14:paraId="2D597E53"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7、法律法规规定或中国证监会认定的其他情形。</w:t>
      </w:r>
    </w:p>
    <w:p w14:paraId="5D4FF41E"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发生上述情形之一</w:t>
      </w:r>
      <w:proofErr w:type="gramStart"/>
      <w:r>
        <w:rPr>
          <w:rFonts w:asciiTheme="minorEastAsia" w:hAnsiTheme="minorEastAsia" w:cs="Arial" w:hint="eastAsia"/>
          <w:sz w:val="24"/>
          <w:szCs w:val="24"/>
        </w:rPr>
        <w:t>且基金</w:t>
      </w:r>
      <w:proofErr w:type="gramEnd"/>
      <w:r>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4项所述情形，按基金合同的相关条款处理。基金份额持有人在申请赎回时可事先选择将当日可能未获受理部分予以撤销。在暂停赎回的情况消除时，基金管理人应及时恢复赎回业务的办理并公告。</w:t>
      </w:r>
    </w:p>
    <w:p w14:paraId="5F55050E"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十一、巨额赎回的情形及处理方式</w:t>
      </w:r>
    </w:p>
    <w:p w14:paraId="5BAFC1FA"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1、巨额赎回的认定</w:t>
      </w:r>
    </w:p>
    <w:p w14:paraId="00B17023"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若本基金单个开放日内的基金份额净赎回申请(赎回申请份额总数加上基金转换中转出申请份额总数后扣除申购申请份额总数及基金转换中转入申请份额总数后的余额)超过前一开放日的基金总份额的10%，即认为是发生了巨额赎回。</w:t>
      </w:r>
    </w:p>
    <w:p w14:paraId="322799CD"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2、巨额赎回的处理方式</w:t>
      </w:r>
    </w:p>
    <w:p w14:paraId="344411F6"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当基金出现巨额赎回时，基金管理人可以根据基金当时的资产组合状况决定全额赎回或部分延期赎回。</w:t>
      </w:r>
    </w:p>
    <w:p w14:paraId="3271CA18"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（1）全额赎回：当基金管理人认为有能力支付投资人的全部赎回申请时，按正常赎回程序执行。</w:t>
      </w:r>
    </w:p>
    <w:p w14:paraId="5262D3FF" w14:textId="77777777" w:rsidR="00B67C49" w:rsidRDefault="00000000">
      <w:pPr>
        <w:spacing w:line="360" w:lineRule="auto"/>
        <w:ind w:firstLineChars="200" w:firstLine="480"/>
        <w:rPr>
          <w:bCs/>
          <w:sz w:val="24"/>
        </w:rPr>
      </w:pPr>
      <w:r>
        <w:rPr>
          <w:rFonts w:asciiTheme="minorEastAsia" w:hAnsiTheme="minorEastAsia" w:cs="Arial" w:hint="eastAsia"/>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rFonts w:asciiTheme="minorEastAsia" w:hAnsiTheme="minorEastAsia" w:cs="Arial" w:hint="eastAsia"/>
          <w:sz w:val="24"/>
          <w:szCs w:val="24"/>
        </w:rPr>
        <w:t>并以下</w:t>
      </w:r>
      <w:proofErr w:type="gramEnd"/>
      <w:r>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Pr>
          <w:rFonts w:hint="eastAsia"/>
          <w:bCs/>
          <w:sz w:val="24"/>
        </w:rPr>
        <w:t>部分延期赎回不受单笔赎回最低份额的限制。</w:t>
      </w:r>
    </w:p>
    <w:p w14:paraId="346BB498"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若本基金发生巨额赎回且在单个基金份额持有人超过上一日基金总份额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22FBEA03"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4）暂停赎回：连续2个开放日以上（含本数）发生巨额赎回，如基金管理人认为有必要，可暂停接受基金的赎回申请；已经接受的赎回申请可以延缓支付赎回款项，但不得超过20个工作日，并应当在规定媒介上进行公告。</w:t>
      </w:r>
    </w:p>
    <w:p w14:paraId="354D30CF"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3、巨额赎回的公告</w:t>
      </w:r>
    </w:p>
    <w:p w14:paraId="6D56461F"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当发生上述巨额赎回并延期办理时，基金管理人应当通过邮寄、传真或者招募说明书规定的其他方式在3个交易日内通知基金份额持有人，说明有关处理方法，并依照《信息披露办法》的有关规定在规定媒介上刊登公告。</w:t>
      </w:r>
    </w:p>
    <w:p w14:paraId="21CCF3B2"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十二、暂停申购或赎回的公告和重新开放申购或赎回的公告</w:t>
      </w:r>
    </w:p>
    <w:p w14:paraId="4EADC4D0"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lastRenderedPageBreak/>
        <w:t>1、发生上述暂停申购或赎回情况的，基金管理人应在规定期限内在规定媒介上刊登暂停公告。</w:t>
      </w:r>
    </w:p>
    <w:p w14:paraId="7B642E89"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2、如发生暂停的时间为1日，基金管理人应于重新开放日，在规定媒介上刊登基金重新开放申购或赎回公告，并公布最近1个开放日的各类基金份额净值。</w:t>
      </w:r>
    </w:p>
    <w:p w14:paraId="4D5A28D7"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 xml:space="preserve">3、如发生暂停的时间超过1 日，基金管理人应提前1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 xml:space="preserve">工作日在规定媒介刊登基金重新开放申购或赎回的公告，并在重新开始办理申购或赎回的开放日公告最近1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工作日的各类基金份额净值。</w:t>
      </w:r>
    </w:p>
    <w:p w14:paraId="16DDAFAD"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十三、基金转换</w:t>
      </w:r>
    </w:p>
    <w:p w14:paraId="51A94515"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5CC0A2C"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十四、基金的</w:t>
      </w:r>
      <w:proofErr w:type="gramStart"/>
      <w:r>
        <w:rPr>
          <w:rFonts w:asciiTheme="minorEastAsia" w:hAnsiTheme="minorEastAsia" w:cs="Arial" w:hint="eastAsia"/>
          <w:b/>
          <w:sz w:val="24"/>
          <w:szCs w:val="24"/>
        </w:rPr>
        <w:t>非交易</w:t>
      </w:r>
      <w:proofErr w:type="gramEnd"/>
      <w:r>
        <w:rPr>
          <w:rFonts w:asciiTheme="minorEastAsia" w:hAnsiTheme="minorEastAsia" w:cs="Arial" w:hint="eastAsia"/>
          <w:b/>
          <w:sz w:val="24"/>
          <w:szCs w:val="24"/>
        </w:rPr>
        <w:t>过户</w:t>
      </w:r>
    </w:p>
    <w:p w14:paraId="5FAF2821"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过户是指基金登记机构受理继承、捐赠和司法强制执行等情形而产生的</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过户以及登记机构认可、符合法律法规的其它</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过户。无论在上述何种情况下，接受划转的主体必须是依法可以持有本</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份额的投资人。</w:t>
      </w:r>
    </w:p>
    <w:p w14:paraId="5DA35446"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继承是指基金份额持有人死亡，其持有的基金份额由其合法的继承人继承；</w:t>
      </w:r>
      <w:proofErr w:type="gramStart"/>
      <w:r>
        <w:rPr>
          <w:rFonts w:asciiTheme="minorEastAsia" w:hAnsiTheme="minorEastAsia" w:cs="Arial" w:hint="eastAsia"/>
          <w:sz w:val="24"/>
          <w:szCs w:val="24"/>
        </w:rPr>
        <w:t>捐赠指</w:t>
      </w:r>
      <w:proofErr w:type="gramEnd"/>
      <w:r>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asciiTheme="minorEastAsia" w:hAnsiTheme="minorEastAsia" w:cs="Arial" w:hint="eastAsia"/>
          <w:sz w:val="24"/>
          <w:szCs w:val="24"/>
        </w:rPr>
        <w:t>非交易</w:t>
      </w:r>
      <w:proofErr w:type="gramEnd"/>
      <w:r>
        <w:rPr>
          <w:rFonts w:asciiTheme="minorEastAsia" w:hAnsiTheme="minorEastAsia" w:cs="Arial" w:hint="eastAsia"/>
          <w:sz w:val="24"/>
          <w:szCs w:val="24"/>
        </w:rPr>
        <w:t>过户必须提供基金登记机构要求提供的相关资料，对于符合条件的</w:t>
      </w:r>
      <w:proofErr w:type="gramStart"/>
      <w:r>
        <w:rPr>
          <w:rFonts w:asciiTheme="minorEastAsia" w:hAnsiTheme="minorEastAsia" w:cs="Arial" w:hint="eastAsia"/>
          <w:sz w:val="24"/>
          <w:szCs w:val="24"/>
        </w:rPr>
        <w:t>非交易过户申请按</w:t>
      </w:r>
      <w:proofErr w:type="gramEnd"/>
      <w:r>
        <w:rPr>
          <w:rFonts w:asciiTheme="minorEastAsia" w:hAnsiTheme="minorEastAsia" w:cs="Arial" w:hint="eastAsia"/>
          <w:sz w:val="24"/>
          <w:szCs w:val="24"/>
        </w:rPr>
        <w:t>基金登记机构的规定办理，并按基金登记机构规定的标准收费。</w:t>
      </w:r>
    </w:p>
    <w:p w14:paraId="5DE4FCE9"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十五、基金的转托管</w:t>
      </w:r>
    </w:p>
    <w:p w14:paraId="34C75DAC"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F615FF5"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十六、定期定额投资计划</w:t>
      </w:r>
    </w:p>
    <w:p w14:paraId="35AB16FE"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w:t>
      </w:r>
      <w:r>
        <w:rPr>
          <w:rFonts w:asciiTheme="minorEastAsia" w:hAnsiTheme="minorEastAsia" w:cs="Arial" w:hint="eastAsia"/>
          <w:sz w:val="24"/>
          <w:szCs w:val="24"/>
        </w:rPr>
        <w:lastRenderedPageBreak/>
        <w:t>必须不低于基金管理人在相关公告或更新的招募说明书中所规定的定期定额投资计划最低申购金额。</w:t>
      </w:r>
    </w:p>
    <w:p w14:paraId="7F9DD1B5"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十七、基金份额的冻结</w:t>
      </w:r>
      <w:r>
        <w:rPr>
          <w:rFonts w:asciiTheme="minorEastAsia" w:hAnsiTheme="minorEastAsia" w:cs="Arial"/>
          <w:b/>
          <w:sz w:val="24"/>
          <w:szCs w:val="24"/>
        </w:rPr>
        <w:t>、</w:t>
      </w:r>
      <w:r>
        <w:rPr>
          <w:rFonts w:asciiTheme="minorEastAsia" w:hAnsiTheme="minorEastAsia" w:cs="Arial" w:hint="eastAsia"/>
          <w:b/>
          <w:sz w:val="24"/>
          <w:szCs w:val="24"/>
        </w:rPr>
        <w:t>解冻和质押</w:t>
      </w:r>
    </w:p>
    <w:p w14:paraId="6482F8E0" w14:textId="77777777" w:rsidR="00B67C49" w:rsidRDefault="00000000">
      <w:pPr>
        <w:spacing w:line="360" w:lineRule="auto"/>
        <w:ind w:firstLineChars="200" w:firstLine="480"/>
        <w:rPr>
          <w:bCs/>
          <w:sz w:val="24"/>
        </w:rPr>
      </w:pPr>
      <w:r>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Pr>
          <w:rFonts w:hint="eastAsia"/>
          <w:bCs/>
          <w:sz w:val="24"/>
        </w:rPr>
        <w:t>基金份额被冻结的，被冻结部分产生的权益一并冻结，被冻结部分份额仍然参与收益分配。法律法规或监管部门另有规定的除外。</w:t>
      </w:r>
    </w:p>
    <w:p w14:paraId="0F92876A" w14:textId="77777777" w:rsidR="00B67C49" w:rsidRDefault="00000000">
      <w:pPr>
        <w:spacing w:line="360" w:lineRule="auto"/>
        <w:ind w:firstLineChars="200" w:firstLine="480"/>
        <w:rPr>
          <w:bCs/>
          <w:sz w:val="24"/>
        </w:rPr>
      </w:pPr>
      <w:r>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3619F6A"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十八、基金份额的转让</w:t>
      </w:r>
    </w:p>
    <w:p w14:paraId="532D57EF"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规定媒介公告相关的业务规则，基金份额持有人应根据基金管理人届时公告的业务规则办理基金份额转让业务。</w:t>
      </w:r>
    </w:p>
    <w:p w14:paraId="0D934F08" w14:textId="77777777" w:rsidR="00B67C49" w:rsidRDefault="00000000">
      <w:pPr>
        <w:widowControl/>
        <w:spacing w:line="360" w:lineRule="auto"/>
        <w:ind w:firstLineChars="200" w:firstLine="482"/>
        <w:jc w:val="left"/>
        <w:rPr>
          <w:rFonts w:asciiTheme="minorEastAsia" w:hAnsiTheme="minorEastAsia" w:cs="Arial"/>
          <w:b/>
          <w:sz w:val="24"/>
          <w:szCs w:val="24"/>
        </w:rPr>
      </w:pPr>
      <w:r>
        <w:rPr>
          <w:rFonts w:asciiTheme="minorEastAsia" w:hAnsiTheme="minorEastAsia" w:cs="Arial" w:hint="eastAsia"/>
          <w:b/>
          <w:sz w:val="24"/>
          <w:szCs w:val="24"/>
        </w:rPr>
        <w:t>十九、实施</w:t>
      </w:r>
      <w:proofErr w:type="gramStart"/>
      <w:r>
        <w:rPr>
          <w:rFonts w:asciiTheme="minorEastAsia" w:hAnsiTheme="minorEastAsia" w:cs="Arial" w:hint="eastAsia"/>
          <w:b/>
          <w:sz w:val="24"/>
          <w:szCs w:val="24"/>
        </w:rPr>
        <w:t>侧袋机制</w:t>
      </w:r>
      <w:proofErr w:type="gramEnd"/>
      <w:r>
        <w:rPr>
          <w:rFonts w:asciiTheme="minorEastAsia" w:hAnsiTheme="minorEastAsia" w:cs="Arial" w:hint="eastAsia"/>
          <w:b/>
          <w:sz w:val="24"/>
          <w:szCs w:val="24"/>
        </w:rPr>
        <w:t>期间本基金的申购与赎回</w:t>
      </w:r>
    </w:p>
    <w:p w14:paraId="674BAC43" w14:textId="77777777" w:rsidR="00B67C49" w:rsidRDefault="00000000">
      <w:pPr>
        <w:widowControl/>
        <w:spacing w:line="360" w:lineRule="auto"/>
        <w:ind w:firstLineChars="200" w:firstLine="480"/>
        <w:jc w:val="left"/>
        <w:rPr>
          <w:rFonts w:asciiTheme="minorEastAsia" w:hAnsiTheme="minorEastAsia" w:cs="Arial"/>
          <w:sz w:val="24"/>
          <w:szCs w:val="24"/>
        </w:rPr>
      </w:pPr>
      <w:r>
        <w:rPr>
          <w:rFonts w:asciiTheme="minorEastAsia" w:hAnsiTheme="minorEastAsia" w:cs="Arial" w:hint="eastAsia"/>
          <w:sz w:val="24"/>
          <w:szCs w:val="24"/>
        </w:rPr>
        <w:t>本基金实施</w:t>
      </w:r>
      <w:proofErr w:type="gramStart"/>
      <w:r>
        <w:rPr>
          <w:rFonts w:asciiTheme="minorEastAsia" w:hAnsiTheme="minorEastAsia" w:cs="Arial" w:hint="eastAsia"/>
          <w:sz w:val="24"/>
          <w:szCs w:val="24"/>
        </w:rPr>
        <w:t>侧袋机制</w:t>
      </w:r>
      <w:proofErr w:type="gramEnd"/>
      <w:r>
        <w:rPr>
          <w:rFonts w:asciiTheme="minorEastAsia" w:hAnsiTheme="minorEastAsia" w:cs="Arial" w:hint="eastAsia"/>
          <w:sz w:val="24"/>
          <w:szCs w:val="24"/>
        </w:rPr>
        <w:t>的，本基金的申购和赎回安排详见招募说明书“侧袋机制</w:t>
      </w:r>
      <w:r>
        <w:rPr>
          <w:rFonts w:asciiTheme="minorEastAsia" w:hAnsiTheme="minorEastAsia" w:cs="Arial"/>
          <w:sz w:val="24"/>
          <w:szCs w:val="24"/>
        </w:rPr>
        <w:t>”</w:t>
      </w:r>
      <w:r>
        <w:rPr>
          <w:rFonts w:asciiTheme="minorEastAsia" w:hAnsiTheme="minorEastAsia" w:cs="Arial" w:hint="eastAsia"/>
          <w:sz w:val="24"/>
          <w:szCs w:val="24"/>
        </w:rPr>
        <w:t>部分的规定或相关公告。</w:t>
      </w:r>
    </w:p>
    <w:p w14:paraId="5D1C75AF" w14:textId="77777777" w:rsidR="00B67C49" w:rsidRDefault="00000000">
      <w:pPr>
        <w:widowControl/>
        <w:jc w:val="left"/>
        <w:rPr>
          <w:rFonts w:asciiTheme="minorEastAsia" w:hAnsiTheme="minorEastAsia" w:cs="Arial"/>
          <w:sz w:val="24"/>
          <w:szCs w:val="24"/>
        </w:rPr>
      </w:pPr>
      <w:r>
        <w:rPr>
          <w:rFonts w:asciiTheme="minorEastAsia" w:hAnsiTheme="minorEastAsia" w:cs="Arial"/>
          <w:sz w:val="24"/>
          <w:szCs w:val="24"/>
        </w:rPr>
        <w:br w:type="page"/>
      </w:r>
    </w:p>
    <w:p w14:paraId="27DB9145" w14:textId="77777777" w:rsidR="00B67C49" w:rsidRDefault="00000000">
      <w:pPr>
        <w:pStyle w:val="1"/>
        <w:jc w:val="center"/>
        <w:rPr>
          <w:sz w:val="30"/>
          <w:szCs w:val="30"/>
        </w:rPr>
      </w:pPr>
      <w:bookmarkStart w:id="212" w:name="_Toc119568465"/>
      <w:bookmarkStart w:id="213" w:name="_Toc68266296"/>
      <w:r>
        <w:rPr>
          <w:rFonts w:hint="eastAsia"/>
          <w:sz w:val="30"/>
          <w:szCs w:val="30"/>
        </w:rPr>
        <w:lastRenderedPageBreak/>
        <w:t>第九部分</w:t>
      </w:r>
      <w:r>
        <w:rPr>
          <w:sz w:val="30"/>
          <w:szCs w:val="30"/>
        </w:rPr>
        <w:t xml:space="preserve">  </w:t>
      </w:r>
      <w:r>
        <w:rPr>
          <w:rFonts w:hint="eastAsia"/>
          <w:sz w:val="30"/>
          <w:szCs w:val="30"/>
        </w:rPr>
        <w:t>基金的投资</w:t>
      </w:r>
      <w:bookmarkEnd w:id="191"/>
      <w:bookmarkEnd w:id="212"/>
      <w:bookmarkEnd w:id="213"/>
    </w:p>
    <w:p w14:paraId="2D60BD9D"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一、投资目标</w:t>
      </w:r>
    </w:p>
    <w:p w14:paraId="7356F6B1"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6A42C927"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二、投资范围</w:t>
      </w:r>
    </w:p>
    <w:p w14:paraId="1F2BC9E4"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、超短期融资</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6DECF8CE"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本基金将根据法律法规的规定参与融资业务。</w:t>
      </w:r>
    </w:p>
    <w:p w14:paraId="3711F3E4"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46C651D0"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413D6630"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B86202B"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 xml:space="preserve">三、投资策略 </w:t>
      </w:r>
    </w:p>
    <w:p w14:paraId="138CFE92"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1、大类资产配置</w:t>
      </w:r>
    </w:p>
    <w:p w14:paraId="230EDEB6"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本基金在资产配置上采取相对稳健的策略，采取“自上而下”的方式进行大类资产配置，根据对宏观经济、市场面、政策面等因素进行定量与定性相结合的分析</w:t>
      </w:r>
      <w:r>
        <w:rPr>
          <w:rFonts w:asciiTheme="minorEastAsia" w:hAnsiTheme="minorEastAsia" w:cs="Times New Roman" w:hint="eastAsia"/>
          <w:bCs/>
          <w:sz w:val="24"/>
          <w:szCs w:val="24"/>
        </w:rPr>
        <w:lastRenderedPageBreak/>
        <w:t>研究，根据各类资产不同的预期风险收益比来确定组合中股票、债券、货币市场工具及其他金融工具的比例。</w:t>
      </w:r>
    </w:p>
    <w:p w14:paraId="0C82C46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2、股票投资策略</w:t>
      </w:r>
    </w:p>
    <w:p w14:paraId="0FB4BC65"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（1）行业配置策略</w:t>
      </w:r>
    </w:p>
    <w:p w14:paraId="23AC2B8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1F0EED21"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1）行业景气度</w:t>
      </w:r>
    </w:p>
    <w:p w14:paraId="1AABD3F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本基金将密切关注国家相关产业政策、规划动态，并结合行业数据持续跟踪、上下游产业</w:t>
      </w:r>
      <w:proofErr w:type="gramStart"/>
      <w:r>
        <w:rPr>
          <w:rFonts w:asciiTheme="minorEastAsia" w:hAnsiTheme="minorEastAsia" w:cs="Times New Roman" w:hint="eastAsia"/>
          <w:bCs/>
          <w:sz w:val="24"/>
          <w:szCs w:val="24"/>
        </w:rPr>
        <w:t>链深入</w:t>
      </w:r>
      <w:proofErr w:type="gramEnd"/>
      <w:r>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Pr>
          <w:rFonts w:asciiTheme="minorEastAsia" w:hAnsiTheme="minorEastAsia" w:cs="Times New Roman" w:hint="eastAsia"/>
          <w:bCs/>
          <w:sz w:val="24"/>
          <w:szCs w:val="24"/>
        </w:rPr>
        <w:t>研</w:t>
      </w:r>
      <w:proofErr w:type="gramEnd"/>
      <w:r>
        <w:rPr>
          <w:rFonts w:asciiTheme="minorEastAsia" w:hAnsiTheme="minorEastAsia" w:cs="Times New Roman" w:hint="eastAsia"/>
          <w:bCs/>
          <w:sz w:val="24"/>
          <w:szCs w:val="24"/>
        </w:rPr>
        <w:t>判，重点投资于景气度较高且具有可持续性的行业。</w:t>
      </w:r>
    </w:p>
    <w:p w14:paraId="4CEFA7C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2）行业竞争格局</w:t>
      </w:r>
    </w:p>
    <w:p w14:paraId="2104A9EE"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4AF7D61E"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（2）个股投资策略</w:t>
      </w:r>
    </w:p>
    <w:p w14:paraId="20DE21C1"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04C1AF5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首先根据定量指标进行初选，主要依据盈利能力（净资产收益率、销售毛利率、销售净利率、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156FBE3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①公司主营业务收入在未来一段时间的变化趋势，例如主营业务收入增速超越所在行业平均增速；</w:t>
      </w:r>
    </w:p>
    <w:p w14:paraId="7AE06318"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②公司扣除非经常性损益后的净利润在未来一段时间的变化趋势，例如</w:t>
      </w:r>
      <w:proofErr w:type="gramStart"/>
      <w:r>
        <w:rPr>
          <w:rFonts w:asciiTheme="minorEastAsia" w:hAnsiTheme="minorEastAsia" w:cs="Times New Roman" w:hint="eastAsia"/>
          <w:bCs/>
          <w:sz w:val="24"/>
          <w:szCs w:val="24"/>
        </w:rPr>
        <w:t>扣非净</w:t>
      </w:r>
      <w:proofErr w:type="gramEnd"/>
      <w:r>
        <w:rPr>
          <w:rFonts w:asciiTheme="minorEastAsia" w:hAnsiTheme="minorEastAsia" w:cs="Times New Roman" w:hint="eastAsia"/>
          <w:bCs/>
          <w:sz w:val="24"/>
          <w:szCs w:val="24"/>
        </w:rPr>
        <w:t>利润增速超越所在行业平均增速；</w:t>
      </w:r>
    </w:p>
    <w:p w14:paraId="0D46953F"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③公司盈利能力在未来一段时间的变化趋势，例如盈利能力位于行业所在排名</w:t>
      </w:r>
      <w:r>
        <w:rPr>
          <w:rFonts w:asciiTheme="minorEastAsia" w:hAnsiTheme="minorEastAsia" w:cs="Times New Roman" w:hint="eastAsia"/>
          <w:bCs/>
          <w:sz w:val="24"/>
          <w:szCs w:val="24"/>
        </w:rPr>
        <w:lastRenderedPageBreak/>
        <w:t>前50%，盈利能力定量指标包括净资产收益率（ROE），投资资本回报（ROIC）等。</w:t>
      </w:r>
    </w:p>
    <w:p w14:paraId="67D8395F"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6D1DE726"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2F397D6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4B8C1E0C"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3、存托凭证投资策略</w:t>
      </w:r>
    </w:p>
    <w:p w14:paraId="59699F74" w14:textId="77777777" w:rsidR="00B67C49" w:rsidRDefault="00000000">
      <w:pPr>
        <w:spacing w:line="360" w:lineRule="auto"/>
        <w:ind w:firstLineChars="200" w:firstLine="480"/>
        <w:rPr>
          <w:bCs/>
          <w:sz w:val="24"/>
        </w:rPr>
      </w:pPr>
      <w:r>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441710F6"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4、债券投资策略</w:t>
      </w:r>
    </w:p>
    <w:p w14:paraId="43F295D1"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（1）资产配置策略</w:t>
      </w:r>
    </w:p>
    <w:p w14:paraId="4C6A54B5"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26407F2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（2）利率类品种投资策略</w:t>
      </w:r>
    </w:p>
    <w:p w14:paraId="135B5F2E"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335F10EC"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（3）信用债投资策略</w:t>
      </w:r>
    </w:p>
    <w:p w14:paraId="611903D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w:t>
      </w:r>
      <w:r>
        <w:rPr>
          <w:rFonts w:asciiTheme="minorEastAsia" w:hAnsiTheme="minorEastAsia" w:cs="Times New Roman" w:hint="eastAsia"/>
          <w:bCs/>
          <w:sz w:val="24"/>
          <w:szCs w:val="24"/>
        </w:rPr>
        <w:lastRenderedPageBreak/>
        <w:t>对债券进行信用评级。在此基础上，建立信用类债券池，积极发掘信用利差具有相对投资机会的</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进行投资。</w:t>
      </w:r>
    </w:p>
    <w:p w14:paraId="17B4AA8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（4）可转换债券投资策略</w:t>
      </w:r>
    </w:p>
    <w:p w14:paraId="08FF57C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条款和发行债券公司基本面进行深入分析研究的基础上，综合考虑可转换债券</w:t>
      </w:r>
      <w:proofErr w:type="gramStart"/>
      <w:r>
        <w:rPr>
          <w:rFonts w:asciiTheme="minorEastAsia" w:hAnsiTheme="minorEastAsia" w:cs="Times New Roman" w:hint="eastAsia"/>
          <w:bCs/>
          <w:sz w:val="24"/>
          <w:szCs w:val="24"/>
        </w:rPr>
        <w:t>的债性和</w:t>
      </w:r>
      <w:proofErr w:type="gramEnd"/>
      <w:r>
        <w:rPr>
          <w:rFonts w:asciiTheme="minorEastAsia" w:hAnsiTheme="minorEastAsia" w:cs="Times New Roman" w:hint="eastAsia"/>
          <w:bCs/>
          <w:sz w:val="24"/>
          <w:szCs w:val="24"/>
        </w:rPr>
        <w:t>股性，利用可转换公司债</w:t>
      </w:r>
      <w:proofErr w:type="gramStart"/>
      <w:r>
        <w:rPr>
          <w:rFonts w:asciiTheme="minorEastAsia" w:hAnsiTheme="minorEastAsia" w:cs="Times New Roman" w:hint="eastAsia"/>
          <w:bCs/>
          <w:sz w:val="24"/>
          <w:szCs w:val="24"/>
        </w:rPr>
        <w:t>券</w:t>
      </w:r>
      <w:proofErr w:type="gramEnd"/>
      <w:r>
        <w:rPr>
          <w:rFonts w:asciiTheme="minorEastAsia" w:hAnsiTheme="minorEastAsia" w:cs="Times New Roman" w:hint="eastAsia"/>
          <w:bCs/>
          <w:sz w:val="24"/>
          <w:szCs w:val="24"/>
        </w:rPr>
        <w:t>定价模型进行估值分析，并最终选择合适的投资品种。</w:t>
      </w:r>
    </w:p>
    <w:p w14:paraId="46D68F55"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5、资产支持证券投资策略</w:t>
      </w:r>
    </w:p>
    <w:p w14:paraId="3045924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本基金投资资产支持证券将综合</w:t>
      </w:r>
      <w:proofErr w:type="gramStart"/>
      <w:r>
        <w:rPr>
          <w:rFonts w:asciiTheme="minorEastAsia" w:hAnsiTheme="minorEastAsia" w:cs="Times New Roman" w:hint="eastAsia"/>
          <w:bCs/>
          <w:sz w:val="24"/>
          <w:szCs w:val="24"/>
        </w:rPr>
        <w:t>运用久期管理</w:t>
      </w:r>
      <w:proofErr w:type="gramEnd"/>
      <w:r>
        <w:rPr>
          <w:rFonts w:asciiTheme="minorEastAsia" w:hAnsiTheme="minorEastAsia" w:cs="Times New Roman" w:hint="eastAsia"/>
          <w:bCs/>
          <w:sz w:val="24"/>
          <w:szCs w:val="24"/>
        </w:rPr>
        <w:t>、收益率曲线、</w:t>
      </w:r>
      <w:proofErr w:type="gramStart"/>
      <w:r>
        <w:rPr>
          <w:rFonts w:asciiTheme="minorEastAsia" w:hAnsiTheme="minorEastAsia" w:cs="Times New Roman" w:hint="eastAsia"/>
          <w:bCs/>
          <w:sz w:val="24"/>
          <w:szCs w:val="24"/>
        </w:rPr>
        <w:t>个券</w:t>
      </w:r>
      <w:proofErr w:type="gramEnd"/>
      <w:r>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7808DAC5"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策略</w:t>
      </w:r>
    </w:p>
    <w:p w14:paraId="06BDADE2"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本基金的衍生</w:t>
      </w:r>
      <w:proofErr w:type="gramStart"/>
      <w:r>
        <w:rPr>
          <w:rFonts w:asciiTheme="minorEastAsia" w:hAnsiTheme="minorEastAsia" w:cs="Times New Roman" w:hint="eastAsia"/>
          <w:bCs/>
          <w:sz w:val="24"/>
          <w:szCs w:val="24"/>
        </w:rPr>
        <w:t>品投资</w:t>
      </w:r>
      <w:proofErr w:type="gramEnd"/>
      <w:r>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Pr>
          <w:rFonts w:asciiTheme="minorEastAsia" w:hAnsiTheme="minorEastAsia" w:cs="Times New Roman" w:hint="eastAsia"/>
          <w:bCs/>
          <w:sz w:val="24"/>
          <w:szCs w:val="24"/>
        </w:rPr>
        <w:t>或调仓过程</w:t>
      </w:r>
      <w:proofErr w:type="gramEnd"/>
      <w:r>
        <w:rPr>
          <w:rFonts w:asciiTheme="minorEastAsia" w:hAnsiTheme="minorEastAsia" w:cs="Times New Roman" w:hint="eastAsia"/>
          <w:bCs/>
          <w:sz w:val="24"/>
          <w:szCs w:val="24"/>
        </w:rPr>
        <w:t>中的冲击成本等。</w:t>
      </w:r>
    </w:p>
    <w:p w14:paraId="35C4636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（1）股指期货投资策略</w:t>
      </w:r>
    </w:p>
    <w:p w14:paraId="4A258DDA"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1DBFC99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61A4DD06"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（2）国债期货投资策略</w:t>
      </w:r>
    </w:p>
    <w:p w14:paraId="0CC01A1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w:t>
      </w:r>
      <w:r>
        <w:rPr>
          <w:rFonts w:asciiTheme="minorEastAsia" w:hAnsiTheme="minorEastAsia" w:cs="Times New Roman" w:hint="eastAsia"/>
          <w:bCs/>
          <w:sz w:val="24"/>
          <w:szCs w:val="24"/>
        </w:rPr>
        <w:lastRenderedPageBreak/>
        <w:t>系统性风险，改善组合的风险收益特性。</w:t>
      </w:r>
    </w:p>
    <w:p w14:paraId="40B63901"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29B5A1DF"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（3）股票期权投资策略</w:t>
      </w:r>
    </w:p>
    <w:p w14:paraId="380FBEEE"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F1C7EE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基金管理人将针对股票期权交易制订严格的授权管理制度和投资决策流程，确保投资、</w:t>
      </w:r>
      <w:proofErr w:type="gramStart"/>
      <w:r>
        <w:rPr>
          <w:rFonts w:asciiTheme="minorEastAsia" w:hAnsiTheme="minorEastAsia" w:cs="Times New Roman" w:hint="eastAsia"/>
          <w:bCs/>
          <w:sz w:val="24"/>
          <w:szCs w:val="24"/>
        </w:rPr>
        <w:t>风控等</w:t>
      </w:r>
      <w:proofErr w:type="gramEnd"/>
      <w:r>
        <w:rPr>
          <w:rFonts w:asciiTheme="minorEastAsia" w:hAnsiTheme="minorEastAsia" w:cs="Times New Roman" w:hint="eastAsia"/>
          <w:bCs/>
          <w:sz w:val="24"/>
          <w:szCs w:val="24"/>
        </w:rPr>
        <w:t>核心岗位人员具备股票期权业务知识和相应的专业能力，严格防范股票期权投资的风险。</w:t>
      </w:r>
    </w:p>
    <w:p w14:paraId="133D914E"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7、参与融资业务投资策略</w:t>
      </w:r>
    </w:p>
    <w:p w14:paraId="3BFC1CF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51EF7848"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四、投资限制</w:t>
      </w:r>
    </w:p>
    <w:p w14:paraId="6AE6527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1、组合限制</w:t>
      </w:r>
    </w:p>
    <w:p w14:paraId="20F6D083"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基金的投资组合应遵循以下限制：</w:t>
      </w:r>
    </w:p>
    <w:p w14:paraId="37AA0270"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（1）股票资产占基金资产的比例为60%-95%；</w:t>
      </w:r>
    </w:p>
    <w:p w14:paraId="102C5C28"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10D8195D"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（3）本基金持有一家公司发行的证券，其市值不超过基金资产净值的10％；</w:t>
      </w:r>
    </w:p>
    <w:p w14:paraId="4D51CC6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（4）本基金管理人管理的全部基金持有一家公司发行的证券，不超过该证券的10％；</w:t>
      </w:r>
    </w:p>
    <w:p w14:paraId="561BF13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（5）本基金投资于同一原始权益人的各类资产支持证券的比例，不得超过基金资产净值的10%；</w:t>
      </w:r>
    </w:p>
    <w:p w14:paraId="0901F512"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（6）本基金持有的全部资产支持证券，其市值不得超过基金资产净值的20%；</w:t>
      </w:r>
    </w:p>
    <w:p w14:paraId="2B237374"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（7）本基金持有的同一(指同一信用级别)资产支持证券的比例，不得超过该</w:t>
      </w:r>
      <w:r>
        <w:rPr>
          <w:rFonts w:asciiTheme="minorEastAsia" w:hAnsiTheme="minorEastAsia" w:cs="Times New Roman" w:hint="eastAsia"/>
          <w:bCs/>
          <w:sz w:val="24"/>
          <w:szCs w:val="24"/>
        </w:rPr>
        <w:lastRenderedPageBreak/>
        <w:t>资产支持证券规模的10%；</w:t>
      </w:r>
    </w:p>
    <w:p w14:paraId="0A1100A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（8）本基金管理人管理的全部证券投资基金投资于同一原始权益人的各类资产支持证券，不得超过其各类资产支持证券合计规模的10%；</w:t>
      </w:r>
    </w:p>
    <w:p w14:paraId="49530CDD"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12216057"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（10）基金财产参与股票发行申购，本基金所申报的金额不超过本基金的总资产，本基金所申报的股票数量不超过拟发行股票公司本次发行股票的总量；</w:t>
      </w:r>
    </w:p>
    <w:p w14:paraId="2579AC38"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（11）本基金进入全国银行间同业市场进行债券回购的资金余额不得超过基金资产净值的40%；本基金在全国银行间同业市场的债券回购最长期限为1年，债券回购到期后不得展期；</w:t>
      </w:r>
    </w:p>
    <w:p w14:paraId="47D0A62D"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（12）本基金参与股指期货、国债期货交易依据下列标准建构组合：</w:t>
      </w:r>
    </w:p>
    <w:p w14:paraId="2A83F147"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22CBFDF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2）在任何交易日日终，持有的买入股指期货合约价值，不得超过基金资产净值的10%；在任何交易日日终，持有的买入国债期货合约价值，不得超过基金资产净值的15%；</w:t>
      </w:r>
    </w:p>
    <w:p w14:paraId="06DAF062"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3）在任何交易日日终，持有的卖出股指期货合约价值不得超过基金持有的股票总市值的20%；在任何交易日日终，持有的卖出国债期货合约价值不得超过基金持有的债券总市值的30%；</w:t>
      </w:r>
    </w:p>
    <w:p w14:paraId="1844988D"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A9D0E80"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1641FD9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（13）本基金投资流通受限证券，基金管理人应事先根据中国证监会相关规定，在首次投资前与基金托管人签订风险控制补充协议，并明确基金投资流通受限证券的比例，根据比例进行投资；</w:t>
      </w:r>
    </w:p>
    <w:p w14:paraId="7CAA99CA"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（14）基金资产总值不得超过基金资产净值的140%；</w:t>
      </w:r>
    </w:p>
    <w:p w14:paraId="37DAD7F7"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619BE2B0"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（16）本基金主动投资于流动性受限资产的市值合计不得超过基金资产净值的15%；</w:t>
      </w:r>
    </w:p>
    <w:p w14:paraId="3454707A"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266BB96F"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（17）本基金与私募类</w:t>
      </w:r>
      <w:proofErr w:type="gramStart"/>
      <w:r>
        <w:rPr>
          <w:rFonts w:asciiTheme="minorEastAsia" w:hAnsiTheme="minorEastAsia" w:cs="Times New Roman" w:hint="eastAsia"/>
          <w:bCs/>
          <w:sz w:val="24"/>
          <w:szCs w:val="24"/>
        </w:rPr>
        <w:t>证券资管产品</w:t>
      </w:r>
      <w:proofErr w:type="gramEnd"/>
      <w:r>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DB5AB3F"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（18）本基金参与股票期权交易的，需遵守下列投资比例限制：</w:t>
      </w:r>
    </w:p>
    <w:p w14:paraId="0D775426"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1）本基金因未平仓的期权合约支付和收取的权利金总额不得超过基金资产净值的10%；</w:t>
      </w:r>
    </w:p>
    <w:p w14:paraId="35E3FB7D"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2）本基金开仓卖出认购期权的，应持有足额标的证券；开仓卖出认沽期权的，应持有合约行权所需的全额现金或交易所规则认可的可冲抵期权保证金的现金等价物；</w:t>
      </w:r>
    </w:p>
    <w:p w14:paraId="0633C168"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3）本基金未平仓的期权合约面值不得超过基金资产净值的20%。其中，合约面值按照行权价乘以合约乘数计算；</w:t>
      </w:r>
    </w:p>
    <w:p w14:paraId="0A8F61D7"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19</w:t>
      </w:r>
      <w:r>
        <w:rPr>
          <w:rFonts w:asciiTheme="minorEastAsia" w:hAnsiTheme="minorEastAsia" w:cs="Times New Roman" w:hint="eastAsia"/>
          <w:bCs/>
          <w:sz w:val="24"/>
          <w:szCs w:val="24"/>
        </w:rPr>
        <w:t>）本基金投资存托凭证的比例限制依照境内上市交易的股票执行，与境内上市交易的股票合并计算；</w:t>
      </w:r>
    </w:p>
    <w:p w14:paraId="39A92B48"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20</w:t>
      </w:r>
      <w:r>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）本基金参与融资的，每个交易日日终，本基金持有的融资买入股票与其他有价证券市值之和，不得超过基金资产净值的95%；</w:t>
      </w:r>
    </w:p>
    <w:p w14:paraId="29EE2926"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21</w:t>
      </w:r>
      <w:r>
        <w:rPr>
          <w:rFonts w:asciiTheme="minorEastAsia" w:hAnsiTheme="minorEastAsia" w:cs="Times New Roman" w:hint="eastAsia"/>
          <w:bCs/>
          <w:sz w:val="24"/>
          <w:szCs w:val="24"/>
        </w:rPr>
        <w:t>）法律法规及中国证监会规定的和《基金合同》约定的其他投资限制。</w:t>
      </w:r>
    </w:p>
    <w:p w14:paraId="30AD4EED"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除上述第（2）、（9）、（13）、（16）、（17）项另有约定外，因证券、期货市场波</w:t>
      </w:r>
      <w:r>
        <w:rPr>
          <w:rFonts w:asciiTheme="minorEastAsia" w:hAnsiTheme="minorEastAsia" w:cs="Times New Roman" w:hint="eastAsia"/>
          <w:bCs/>
          <w:sz w:val="24"/>
          <w:szCs w:val="24"/>
        </w:rPr>
        <w:lastRenderedPageBreak/>
        <w:t>动、证券发行人合并、基金规模变动等基金管理人之外的因素致使基金投资比例不符合上述规定投资比例的，基金管理人应当在10个交易日内进行调整，但中国证监会规定的特殊情形除外。</w:t>
      </w:r>
    </w:p>
    <w:p w14:paraId="03B9B5D0"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0680ACA1"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116B5B95"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2、禁止行为</w:t>
      </w:r>
    </w:p>
    <w:p w14:paraId="5EA5145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为维护基金份额持有人的合法权益，基金财产不得用于下列投资或者活动：</w:t>
      </w:r>
    </w:p>
    <w:p w14:paraId="7E0ACDD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（1）承销证券；</w:t>
      </w:r>
    </w:p>
    <w:p w14:paraId="7F8852D9"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（2）违反规定向他人贷款或者提供担保；</w:t>
      </w:r>
    </w:p>
    <w:p w14:paraId="2BDF5E9F"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（3）从事承担无限责任的投资；</w:t>
      </w:r>
    </w:p>
    <w:p w14:paraId="333DC31E"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（4）买卖其他基金份额，但是中国证监会另有规定的除外；</w:t>
      </w:r>
    </w:p>
    <w:p w14:paraId="63732911"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（5）向基金管理人、基金托管人出资；</w:t>
      </w:r>
    </w:p>
    <w:p w14:paraId="53FB62D7"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（6）从事内幕交易、操纵证券交易价格及其他不正当的证券交易活动；</w:t>
      </w:r>
    </w:p>
    <w:p w14:paraId="6E0BC0FF"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（7）法律、行政法规和中国证监会规定禁止的其他活动。</w:t>
      </w:r>
    </w:p>
    <w:p w14:paraId="53F7F03F"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9C8733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9F9902D"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五、业绩比较基准</w:t>
      </w:r>
    </w:p>
    <w:p w14:paraId="061CDDDA"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1、业绩比较基准</w:t>
      </w:r>
    </w:p>
    <w:p w14:paraId="1C779CF5"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沪深300指数收益率×70%+中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指数收益率×30%</w:t>
      </w:r>
    </w:p>
    <w:p w14:paraId="33CD35A7"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2、选择业绩比较基准的理由</w:t>
      </w:r>
    </w:p>
    <w:p w14:paraId="6290088E"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沪深300指数是由中证指数有限公司开发的中国 A 股市场指数，由上海和深圳证券市场中市值大、流动性好的300只股票组成，综合反映中国A股市场上市股票价格的整体表现。</w:t>
      </w:r>
    </w:p>
    <w:p w14:paraId="4AA514F7"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3A22185B"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如果今后法律法规发生变化，</w:t>
      </w:r>
      <w:r>
        <w:rPr>
          <w:rFonts w:hint="eastAsia"/>
          <w:bCs/>
          <w:sz w:val="24"/>
        </w:rPr>
        <w:t>或指数编制单位停止编制该指数或更改指数名称，</w:t>
      </w:r>
      <w:r>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490D1F9E"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六、风险收益特征</w:t>
      </w:r>
    </w:p>
    <w:p w14:paraId="1782D1F5"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10BD6A84"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七、基金管理人代表基金行使股东或债权人权利的处理原则及方法</w:t>
      </w:r>
    </w:p>
    <w:p w14:paraId="4DABFA82"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1、基金管理人按照国家有关规定代表基金独立行使股东或债权人权利，保护基金份额持有人的利益； </w:t>
      </w:r>
    </w:p>
    <w:p w14:paraId="59B61BAD"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2、不谋求对上市公司的控股； </w:t>
      </w:r>
    </w:p>
    <w:p w14:paraId="3A509C81"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 xml:space="preserve">3、有利于基金财产的安全与增值； </w:t>
      </w:r>
    </w:p>
    <w:p w14:paraId="4190E6D7"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4、不通过关联交易为自身、雇员、授权代理人或任何存在利害关系的第三人牟取任何不当利益。</w:t>
      </w:r>
    </w:p>
    <w:p w14:paraId="6EF4A81C"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八、</w:t>
      </w:r>
      <w:proofErr w:type="gramStart"/>
      <w:r>
        <w:rPr>
          <w:rFonts w:asciiTheme="minorEastAsia" w:hAnsiTheme="minorEastAsia" w:cs="Times New Roman" w:hint="eastAsia"/>
          <w:b/>
          <w:bCs/>
          <w:sz w:val="24"/>
          <w:szCs w:val="24"/>
        </w:rPr>
        <w:t>侧袋机制</w:t>
      </w:r>
      <w:proofErr w:type="gramEnd"/>
      <w:r>
        <w:rPr>
          <w:rFonts w:asciiTheme="minorEastAsia" w:hAnsiTheme="minorEastAsia" w:cs="Times New Roman" w:hint="eastAsia"/>
          <w:b/>
          <w:bCs/>
          <w:sz w:val="24"/>
          <w:szCs w:val="24"/>
        </w:rPr>
        <w:t>的实施和投资运作安排</w:t>
      </w:r>
    </w:p>
    <w:p w14:paraId="3AE22A7D" w14:textId="77777777" w:rsidR="00B67C49" w:rsidRDefault="00000000">
      <w:pPr>
        <w:spacing w:line="360" w:lineRule="auto"/>
        <w:ind w:firstLineChars="200" w:firstLine="480"/>
        <w:rPr>
          <w:rFonts w:asciiTheme="minorEastAsia" w:hAnsiTheme="minorEastAsia" w:cs="Times New Roman"/>
          <w:bCs/>
          <w:sz w:val="24"/>
          <w:szCs w:val="24"/>
        </w:rPr>
      </w:pPr>
      <w:r>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Times New Roman" w:hint="eastAsia"/>
          <w:bCs/>
          <w:sz w:val="24"/>
          <w:szCs w:val="24"/>
        </w:rPr>
        <w:t>启用侧袋机制</w:t>
      </w:r>
      <w:proofErr w:type="gramEnd"/>
      <w:r>
        <w:rPr>
          <w:rFonts w:asciiTheme="minorEastAsia" w:hAnsiTheme="minorEastAsia" w:cs="Times New Roman" w:hint="eastAsia"/>
          <w:bCs/>
          <w:sz w:val="24"/>
          <w:szCs w:val="24"/>
        </w:rPr>
        <w:t>，无需召开基金份额持有人大会审议。</w:t>
      </w:r>
    </w:p>
    <w:p w14:paraId="1184E20B" w14:textId="77777777" w:rsidR="00B67C49" w:rsidRDefault="00000000">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实施期间，本部分约定的投资组合比例、投资策略、组合限制、业绩</w:t>
      </w:r>
      <w:r>
        <w:rPr>
          <w:rFonts w:asciiTheme="minorEastAsia" w:hAnsiTheme="minorEastAsia" w:cs="Times New Roman" w:hint="eastAsia"/>
          <w:bCs/>
          <w:sz w:val="24"/>
          <w:szCs w:val="24"/>
        </w:rPr>
        <w:lastRenderedPageBreak/>
        <w:t>比较基准、风险收益特征等约定仅</w:t>
      </w:r>
      <w:proofErr w:type="gramStart"/>
      <w:r>
        <w:rPr>
          <w:rFonts w:asciiTheme="minorEastAsia" w:hAnsiTheme="minorEastAsia" w:cs="Times New Roman" w:hint="eastAsia"/>
          <w:bCs/>
          <w:sz w:val="24"/>
          <w:szCs w:val="24"/>
        </w:rPr>
        <w:t>适用于主袋账户</w:t>
      </w:r>
      <w:proofErr w:type="gramEnd"/>
      <w:r>
        <w:rPr>
          <w:rFonts w:asciiTheme="minorEastAsia" w:hAnsiTheme="minorEastAsia" w:cs="Times New Roman" w:hint="eastAsia"/>
          <w:bCs/>
          <w:sz w:val="24"/>
          <w:szCs w:val="24"/>
        </w:rPr>
        <w:t>。</w:t>
      </w:r>
    </w:p>
    <w:p w14:paraId="31E0714D" w14:textId="77777777" w:rsidR="00B67C49" w:rsidRDefault="00000000">
      <w:pPr>
        <w:spacing w:line="360" w:lineRule="auto"/>
        <w:ind w:firstLineChars="200" w:firstLine="480"/>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的实施条件、实施程序、运作安排、投资安排、特定资产的处置变现和支付等对投资者权益有重大影响的事项详见招募说明书“侧袋机制”部分的规定。</w:t>
      </w:r>
    </w:p>
    <w:p w14:paraId="0A675E62" w14:textId="77777777" w:rsidR="00B67C49" w:rsidRDefault="00000000">
      <w:pPr>
        <w:spacing w:line="360" w:lineRule="auto"/>
        <w:ind w:firstLineChars="200" w:firstLine="482"/>
        <w:rPr>
          <w:rFonts w:asciiTheme="minorEastAsia" w:hAnsiTheme="minorEastAsia" w:cs="Times New Roman"/>
          <w:b/>
          <w:bCs/>
          <w:sz w:val="24"/>
          <w:szCs w:val="24"/>
        </w:rPr>
      </w:pPr>
      <w:r>
        <w:rPr>
          <w:rFonts w:asciiTheme="minorEastAsia" w:hAnsiTheme="minorEastAsia" w:cs="Times New Roman" w:hint="eastAsia"/>
          <w:b/>
          <w:bCs/>
          <w:sz w:val="24"/>
          <w:szCs w:val="24"/>
        </w:rPr>
        <w:t>九、基金投资组合报告</w:t>
      </w:r>
    </w:p>
    <w:p w14:paraId="3A9C8D0D" w14:textId="77777777" w:rsidR="00B67C49"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基金管理人的董事会及董事保证本报告所载资料不存在虚假记载、误导性陈述或重大遗漏，并对其内容的真实性、准确性和完整性承担个别及连带责任。基金托管人国泰君安证券股份有限公司根据本基金合同规定，已复核了本报告中的财务指标、净值表现和投资组合报告等内容，保证复核内容不存在虚假记载、误导性陈述或者重大遗漏。</w:t>
      </w:r>
    </w:p>
    <w:p w14:paraId="22DBEF16" w14:textId="77777777" w:rsidR="00B67C49"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本投资组合报告所载数据截至</w:t>
      </w: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9月30日</w:t>
      </w:r>
      <w:r>
        <w:rPr>
          <w:rFonts w:asciiTheme="minorEastAsia" w:hAnsiTheme="minorEastAsia" w:cs="Times New Roman"/>
          <w:bCs/>
          <w:sz w:val="24"/>
          <w:szCs w:val="24"/>
        </w:rPr>
        <w:t>，本报告中所列财务数据未经审计。</w:t>
      </w:r>
    </w:p>
    <w:p w14:paraId="6A6FDDC8" w14:textId="77777777" w:rsidR="00B67C49" w:rsidRDefault="00000000">
      <w:pPr>
        <w:pStyle w:val="zhangjiep"/>
        <w:numPr>
          <w:ilvl w:val="0"/>
          <w:numId w:val="3"/>
        </w:numPr>
        <w:rPr>
          <w:rFonts w:asciiTheme="minorEastAsia" w:eastAsiaTheme="minorEastAsia" w:hAnsiTheme="minorEastAsia" w:cs="Times New Roman"/>
          <w:bCs/>
          <w:kern w:val="2"/>
        </w:rPr>
      </w:pPr>
      <w:bookmarkStart w:id="214" w:name="_Toc117173479"/>
      <w:r>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B67C49" w14:paraId="3F5364F9" w14:textId="77777777">
        <w:tc>
          <w:tcPr>
            <w:tcW w:w="777" w:type="dxa"/>
            <w:tcBorders>
              <w:top w:val="single" w:sz="8" w:space="0" w:color="000000"/>
              <w:left w:val="single" w:sz="8" w:space="0" w:color="000000"/>
              <w:bottom w:val="single" w:sz="6" w:space="0" w:color="000000"/>
              <w:right w:val="single" w:sz="8" w:space="0" w:color="000000"/>
            </w:tcBorders>
            <w:vAlign w:val="center"/>
          </w:tcPr>
          <w:p w14:paraId="609C23BC"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2815" w:type="dxa"/>
            <w:tcBorders>
              <w:top w:val="single" w:sz="8" w:space="0" w:color="000000"/>
              <w:left w:val="single" w:sz="8" w:space="0" w:color="000000"/>
              <w:bottom w:val="single" w:sz="6" w:space="0" w:color="000000"/>
              <w:right w:val="single" w:sz="8" w:space="0" w:color="000000"/>
            </w:tcBorders>
            <w:vAlign w:val="center"/>
          </w:tcPr>
          <w:p w14:paraId="6113DA9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项目</w:t>
            </w:r>
          </w:p>
        </w:tc>
        <w:tc>
          <w:tcPr>
            <w:tcW w:w="2495" w:type="dxa"/>
            <w:tcBorders>
              <w:top w:val="single" w:sz="8" w:space="0" w:color="000000"/>
              <w:left w:val="single" w:sz="8" w:space="0" w:color="000000"/>
              <w:bottom w:val="single" w:sz="6" w:space="0" w:color="000000"/>
              <w:right w:val="single" w:sz="8" w:space="0" w:color="000000"/>
            </w:tcBorders>
            <w:vAlign w:val="center"/>
          </w:tcPr>
          <w:p w14:paraId="51B56690"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c>
          <w:tcPr>
            <w:tcW w:w="2572" w:type="dxa"/>
            <w:tcBorders>
              <w:top w:val="single" w:sz="8" w:space="0" w:color="000000"/>
              <w:left w:val="single" w:sz="8" w:space="0" w:color="000000"/>
              <w:bottom w:val="single" w:sz="6" w:space="0" w:color="000000"/>
              <w:right w:val="single" w:sz="8" w:space="0" w:color="000000"/>
            </w:tcBorders>
            <w:vAlign w:val="center"/>
          </w:tcPr>
          <w:p w14:paraId="372C736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占基金总资产的比例（</w:t>
            </w:r>
            <w:r>
              <w:rPr>
                <w:rFonts w:asciiTheme="minorEastAsia" w:eastAsiaTheme="minorEastAsia" w:hAnsiTheme="minorEastAsia" w:cs="Times New Roman"/>
                <w:bCs/>
                <w:kern w:val="2"/>
              </w:rPr>
              <w:t>%）</w:t>
            </w:r>
          </w:p>
        </w:tc>
      </w:tr>
      <w:tr w:rsidR="00B67C49" w14:paraId="76186FDF"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D556D49"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2815" w:type="dxa"/>
            <w:tcBorders>
              <w:top w:val="single" w:sz="8" w:space="0" w:color="000000"/>
              <w:left w:val="single" w:sz="8" w:space="0" w:color="000000"/>
              <w:bottom w:val="single" w:sz="6" w:space="0" w:color="000000"/>
              <w:right w:val="single" w:sz="8" w:space="0" w:color="000000"/>
            </w:tcBorders>
            <w:vAlign w:val="center"/>
          </w:tcPr>
          <w:p w14:paraId="514E78A3"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权益投资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4A76ED71" w14:textId="77777777" w:rsidR="00B67C49" w:rsidRDefault="00000000">
            <w:pPr>
              <w:pStyle w:val="biaogeright"/>
              <w:wordWrap w:val="0"/>
              <w:rPr>
                <w:rFonts w:asciiTheme="minorEastAsia" w:eastAsiaTheme="minorEastAsia" w:hAnsiTheme="minorEastAsia" w:cs="Times New Roman"/>
                <w:bCs/>
                <w:kern w:val="2"/>
              </w:rPr>
            </w:pPr>
            <w:r>
              <w:t>84,685,728.80</w:t>
            </w:r>
          </w:p>
        </w:tc>
        <w:tc>
          <w:tcPr>
            <w:tcW w:w="2572" w:type="dxa"/>
            <w:tcBorders>
              <w:top w:val="single" w:sz="8" w:space="0" w:color="000000"/>
              <w:left w:val="single" w:sz="8" w:space="0" w:color="000000"/>
              <w:bottom w:val="single" w:sz="6" w:space="0" w:color="000000"/>
              <w:right w:val="single" w:sz="8" w:space="0" w:color="000000"/>
            </w:tcBorders>
            <w:vAlign w:val="center"/>
          </w:tcPr>
          <w:p w14:paraId="4F7FD4ED" w14:textId="77777777" w:rsidR="00B67C49" w:rsidRDefault="00000000">
            <w:pPr>
              <w:pStyle w:val="biaogeright"/>
              <w:wordWrap w:val="0"/>
              <w:rPr>
                <w:rFonts w:asciiTheme="minorEastAsia" w:eastAsiaTheme="minorEastAsia" w:hAnsiTheme="minorEastAsia" w:cs="Times New Roman"/>
                <w:bCs/>
                <w:kern w:val="2"/>
              </w:rPr>
            </w:pPr>
            <w:r>
              <w:t>69.55</w:t>
            </w:r>
          </w:p>
        </w:tc>
      </w:tr>
      <w:tr w:rsidR="00B67C49" w14:paraId="354D3C8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288ADCF" w14:textId="77777777" w:rsidR="00B67C49" w:rsidRDefault="00B67C49">
            <w:pPr>
              <w:rPr>
                <w:rFonts w:asciiTheme="minorEastAsia" w:hAnsiTheme="minorEastAsia" w:cs="Times New Roman"/>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08091F9"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其中：股票</w:t>
            </w:r>
          </w:p>
        </w:tc>
        <w:tc>
          <w:tcPr>
            <w:tcW w:w="2495" w:type="dxa"/>
            <w:tcBorders>
              <w:top w:val="single" w:sz="8" w:space="0" w:color="000000"/>
              <w:left w:val="single" w:sz="8" w:space="0" w:color="000000"/>
              <w:bottom w:val="single" w:sz="6" w:space="0" w:color="000000"/>
              <w:right w:val="single" w:sz="8" w:space="0" w:color="000000"/>
            </w:tcBorders>
            <w:vAlign w:val="center"/>
          </w:tcPr>
          <w:p w14:paraId="0F6CEB01" w14:textId="77777777" w:rsidR="00B67C49" w:rsidRDefault="00000000">
            <w:pPr>
              <w:pStyle w:val="biaogeright"/>
              <w:wordWrap w:val="0"/>
              <w:rPr>
                <w:rFonts w:asciiTheme="minorEastAsia" w:eastAsiaTheme="minorEastAsia" w:hAnsiTheme="minorEastAsia" w:cs="Times New Roman"/>
                <w:bCs/>
                <w:kern w:val="2"/>
              </w:rPr>
            </w:pPr>
            <w:r>
              <w:t>84,685,728.80</w:t>
            </w:r>
          </w:p>
        </w:tc>
        <w:tc>
          <w:tcPr>
            <w:tcW w:w="2572" w:type="dxa"/>
            <w:tcBorders>
              <w:top w:val="single" w:sz="8" w:space="0" w:color="000000"/>
              <w:left w:val="single" w:sz="8" w:space="0" w:color="000000"/>
              <w:bottom w:val="single" w:sz="6" w:space="0" w:color="000000"/>
              <w:right w:val="single" w:sz="8" w:space="0" w:color="000000"/>
            </w:tcBorders>
            <w:vAlign w:val="center"/>
          </w:tcPr>
          <w:p w14:paraId="60804E6B" w14:textId="77777777" w:rsidR="00B67C49" w:rsidRDefault="00000000">
            <w:pPr>
              <w:pStyle w:val="biaogeright"/>
              <w:wordWrap w:val="0"/>
              <w:rPr>
                <w:rFonts w:asciiTheme="minorEastAsia" w:eastAsiaTheme="minorEastAsia" w:hAnsiTheme="minorEastAsia" w:cs="Times New Roman"/>
                <w:bCs/>
                <w:kern w:val="2"/>
              </w:rPr>
            </w:pPr>
            <w:r>
              <w:t>69.55</w:t>
            </w:r>
          </w:p>
        </w:tc>
      </w:tr>
      <w:tr w:rsidR="00B67C49" w14:paraId="199271B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F180931"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2815" w:type="dxa"/>
            <w:tcBorders>
              <w:top w:val="single" w:sz="8" w:space="0" w:color="000000"/>
              <w:left w:val="single" w:sz="8" w:space="0" w:color="000000"/>
              <w:bottom w:val="single" w:sz="6" w:space="0" w:color="000000"/>
              <w:right w:val="single" w:sz="8" w:space="0" w:color="000000"/>
            </w:tcBorders>
            <w:vAlign w:val="center"/>
          </w:tcPr>
          <w:p w14:paraId="08258A33"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基金投资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2333817F" w14:textId="77777777" w:rsidR="00B67C49"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09FBBD1B"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1B6F21C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221B9E6"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2815" w:type="dxa"/>
            <w:tcBorders>
              <w:top w:val="single" w:sz="8" w:space="0" w:color="000000"/>
              <w:left w:val="single" w:sz="8" w:space="0" w:color="000000"/>
              <w:bottom w:val="single" w:sz="6" w:space="0" w:color="000000"/>
              <w:right w:val="single" w:sz="8" w:space="0" w:color="000000"/>
            </w:tcBorders>
            <w:vAlign w:val="center"/>
          </w:tcPr>
          <w:p w14:paraId="02E5716B"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固定收益投资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373CC693" w14:textId="77777777" w:rsidR="00B67C49"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19AD1CB"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0AED66D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1709323" w14:textId="77777777" w:rsidR="00B67C49" w:rsidRDefault="00B67C49">
            <w:pPr>
              <w:rPr>
                <w:rFonts w:asciiTheme="minorEastAsia" w:hAnsiTheme="minorEastAsia" w:cs="Times New Roman"/>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26C95B24"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其中：债券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15BA3B1D" w14:textId="77777777" w:rsidR="00B67C49"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47A8281"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20658B23"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08EB64C" w14:textId="77777777" w:rsidR="00B67C49" w:rsidRDefault="00B67C49">
            <w:pPr>
              <w:rPr>
                <w:rFonts w:asciiTheme="minorEastAsia" w:hAnsiTheme="minorEastAsia" w:cs="Times New Roman"/>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0DF44EF0" w14:textId="77777777" w:rsidR="00B67C49" w:rsidRDefault="00000000">
            <w:pPr>
              <w:pStyle w:val="biaogeleft"/>
              <w:wordWrap w:val="0"/>
              <w:ind w:left="75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资产支持证券</w:t>
            </w:r>
          </w:p>
        </w:tc>
        <w:tc>
          <w:tcPr>
            <w:tcW w:w="2495" w:type="dxa"/>
            <w:tcBorders>
              <w:top w:val="single" w:sz="8" w:space="0" w:color="000000"/>
              <w:left w:val="single" w:sz="8" w:space="0" w:color="000000"/>
              <w:bottom w:val="single" w:sz="6" w:space="0" w:color="000000"/>
              <w:right w:val="single" w:sz="8" w:space="0" w:color="000000"/>
            </w:tcBorders>
            <w:vAlign w:val="center"/>
          </w:tcPr>
          <w:p w14:paraId="7085120B" w14:textId="77777777" w:rsidR="00B67C49"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3C122D6D"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3455573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2977DB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w:t>
            </w:r>
          </w:p>
        </w:tc>
        <w:tc>
          <w:tcPr>
            <w:tcW w:w="0" w:type="auto"/>
            <w:tcBorders>
              <w:top w:val="single" w:sz="8" w:space="0" w:color="000000"/>
              <w:left w:val="single" w:sz="8" w:space="0" w:color="000000"/>
              <w:bottom w:val="single" w:sz="6" w:space="0" w:color="000000"/>
              <w:right w:val="single" w:sz="8" w:space="0" w:color="000000"/>
            </w:tcBorders>
            <w:vAlign w:val="center"/>
          </w:tcPr>
          <w:p w14:paraId="38BE40E0"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贵金属投资</w:t>
            </w:r>
          </w:p>
        </w:tc>
        <w:tc>
          <w:tcPr>
            <w:tcW w:w="2495" w:type="dxa"/>
            <w:tcBorders>
              <w:top w:val="single" w:sz="8" w:space="0" w:color="000000"/>
              <w:left w:val="single" w:sz="8" w:space="0" w:color="000000"/>
              <w:bottom w:val="single" w:sz="6" w:space="0" w:color="000000"/>
              <w:right w:val="single" w:sz="8" w:space="0" w:color="000000"/>
            </w:tcBorders>
            <w:vAlign w:val="center"/>
          </w:tcPr>
          <w:p w14:paraId="75CBAD29" w14:textId="77777777" w:rsidR="00B67C49"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21BEEB4B"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6792C1E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8FFB0F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w:t>
            </w:r>
          </w:p>
        </w:tc>
        <w:tc>
          <w:tcPr>
            <w:tcW w:w="2815" w:type="dxa"/>
            <w:tcBorders>
              <w:top w:val="single" w:sz="8" w:space="0" w:color="000000"/>
              <w:left w:val="single" w:sz="8" w:space="0" w:color="000000"/>
              <w:bottom w:val="single" w:sz="6" w:space="0" w:color="000000"/>
              <w:right w:val="single" w:sz="8" w:space="0" w:color="000000"/>
            </w:tcBorders>
            <w:vAlign w:val="center"/>
          </w:tcPr>
          <w:p w14:paraId="14341732"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金融衍生</w:t>
            </w:r>
            <w:proofErr w:type="gramStart"/>
            <w:r>
              <w:rPr>
                <w:rFonts w:asciiTheme="minorEastAsia" w:eastAsiaTheme="minorEastAsia" w:hAnsiTheme="minorEastAsia" w:cs="Times New Roman" w:hint="eastAsia"/>
                <w:bCs/>
                <w:kern w:val="2"/>
              </w:rPr>
              <w:t>品投资</w:t>
            </w:r>
            <w:proofErr w:type="gramEnd"/>
          </w:p>
        </w:tc>
        <w:tc>
          <w:tcPr>
            <w:tcW w:w="2495" w:type="dxa"/>
            <w:tcBorders>
              <w:top w:val="single" w:sz="8" w:space="0" w:color="000000"/>
              <w:left w:val="single" w:sz="8" w:space="0" w:color="000000"/>
              <w:bottom w:val="single" w:sz="6" w:space="0" w:color="000000"/>
              <w:right w:val="single" w:sz="8" w:space="0" w:color="000000"/>
            </w:tcBorders>
            <w:vAlign w:val="center"/>
          </w:tcPr>
          <w:p w14:paraId="2D6AA67E" w14:textId="77777777" w:rsidR="00B67C49"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6F81F4A1"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40760C1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42630E9"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2815" w:type="dxa"/>
            <w:tcBorders>
              <w:top w:val="single" w:sz="8" w:space="0" w:color="000000"/>
              <w:left w:val="single" w:sz="8" w:space="0" w:color="000000"/>
              <w:bottom w:val="single" w:sz="6" w:space="0" w:color="000000"/>
              <w:right w:val="single" w:sz="8" w:space="0" w:color="000000"/>
            </w:tcBorders>
            <w:vAlign w:val="center"/>
          </w:tcPr>
          <w:p w14:paraId="482F1AA2"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521D9756" w14:textId="77777777" w:rsidR="00B67C49" w:rsidRDefault="00000000">
            <w:pPr>
              <w:pStyle w:val="biaogeright"/>
              <w:wordWrap w:val="0"/>
              <w:rPr>
                <w:rFonts w:asciiTheme="minorEastAsia" w:eastAsiaTheme="minorEastAsia" w:hAnsiTheme="minorEastAsia" w:cs="Times New Roman"/>
                <w:bCs/>
                <w:kern w:val="2"/>
              </w:rPr>
            </w:pPr>
            <w:r>
              <w:t>17,001,473.38</w:t>
            </w:r>
          </w:p>
        </w:tc>
        <w:tc>
          <w:tcPr>
            <w:tcW w:w="2572" w:type="dxa"/>
            <w:tcBorders>
              <w:top w:val="single" w:sz="8" w:space="0" w:color="000000"/>
              <w:left w:val="single" w:sz="8" w:space="0" w:color="000000"/>
              <w:bottom w:val="single" w:sz="6" w:space="0" w:color="000000"/>
              <w:right w:val="single" w:sz="8" w:space="0" w:color="000000"/>
            </w:tcBorders>
            <w:vAlign w:val="center"/>
          </w:tcPr>
          <w:p w14:paraId="544399F4" w14:textId="77777777" w:rsidR="00B67C49" w:rsidRDefault="00000000">
            <w:pPr>
              <w:pStyle w:val="biaogeright"/>
              <w:wordWrap w:val="0"/>
              <w:rPr>
                <w:rFonts w:asciiTheme="minorEastAsia" w:eastAsiaTheme="minorEastAsia" w:hAnsiTheme="minorEastAsia" w:cs="Times New Roman"/>
                <w:bCs/>
                <w:kern w:val="2"/>
              </w:rPr>
            </w:pPr>
            <w:r>
              <w:t>13.96</w:t>
            </w:r>
          </w:p>
        </w:tc>
      </w:tr>
      <w:tr w:rsidR="00B67C49" w14:paraId="15EDB629"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B9CDA2" w14:textId="77777777" w:rsidR="00B67C49" w:rsidRDefault="00B67C49">
            <w:pPr>
              <w:rPr>
                <w:rFonts w:asciiTheme="minorEastAsia" w:hAnsiTheme="minorEastAsia" w:cs="Times New Roman"/>
                <w:bCs/>
                <w:sz w:val="24"/>
                <w:szCs w:val="24"/>
              </w:rPr>
            </w:pPr>
          </w:p>
        </w:tc>
        <w:tc>
          <w:tcPr>
            <w:tcW w:w="2815" w:type="dxa"/>
            <w:tcBorders>
              <w:top w:val="single" w:sz="8" w:space="0" w:color="000000"/>
              <w:left w:val="single" w:sz="8" w:space="0" w:color="000000"/>
              <w:bottom w:val="single" w:sz="6" w:space="0" w:color="000000"/>
              <w:right w:val="single" w:sz="8" w:space="0" w:color="000000"/>
            </w:tcBorders>
            <w:vAlign w:val="center"/>
          </w:tcPr>
          <w:p w14:paraId="72127114"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其中：买断式回购的买入返售金融资产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4888F311" w14:textId="77777777" w:rsidR="00B67C49" w:rsidRDefault="00000000">
            <w:pPr>
              <w:pStyle w:val="biaogeright"/>
              <w:wordWrap w:val="0"/>
              <w:rPr>
                <w:rFonts w:asciiTheme="minorEastAsia" w:eastAsiaTheme="minorEastAsia" w:hAnsiTheme="minorEastAsia" w:cs="Times New Roman"/>
                <w:bCs/>
                <w:kern w:val="2"/>
              </w:rPr>
            </w:pPr>
            <w:r>
              <w:t>-</w:t>
            </w:r>
          </w:p>
        </w:tc>
        <w:tc>
          <w:tcPr>
            <w:tcW w:w="2572" w:type="dxa"/>
            <w:tcBorders>
              <w:top w:val="single" w:sz="8" w:space="0" w:color="000000"/>
              <w:left w:val="single" w:sz="8" w:space="0" w:color="000000"/>
              <w:bottom w:val="single" w:sz="6" w:space="0" w:color="000000"/>
              <w:right w:val="single" w:sz="8" w:space="0" w:color="000000"/>
            </w:tcBorders>
            <w:vAlign w:val="center"/>
          </w:tcPr>
          <w:p w14:paraId="48E1B51B"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26453E5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B720534"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2815" w:type="dxa"/>
            <w:tcBorders>
              <w:top w:val="single" w:sz="8" w:space="0" w:color="000000"/>
              <w:left w:val="single" w:sz="8" w:space="0" w:color="000000"/>
              <w:bottom w:val="single" w:sz="6" w:space="0" w:color="000000"/>
              <w:right w:val="single" w:sz="8" w:space="0" w:color="000000"/>
            </w:tcBorders>
            <w:vAlign w:val="center"/>
          </w:tcPr>
          <w:p w14:paraId="403E9294"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银行存款和结算备付金合计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3B8A06D1" w14:textId="77777777" w:rsidR="00B67C49" w:rsidRDefault="00000000">
            <w:pPr>
              <w:pStyle w:val="biaogeright"/>
              <w:wordWrap w:val="0"/>
              <w:rPr>
                <w:rFonts w:asciiTheme="minorEastAsia" w:eastAsiaTheme="minorEastAsia" w:hAnsiTheme="minorEastAsia" w:cs="Times New Roman"/>
                <w:bCs/>
                <w:kern w:val="2"/>
              </w:rPr>
            </w:pPr>
            <w:r>
              <w:t>17,146,890.83</w:t>
            </w:r>
          </w:p>
        </w:tc>
        <w:tc>
          <w:tcPr>
            <w:tcW w:w="2572" w:type="dxa"/>
            <w:tcBorders>
              <w:top w:val="single" w:sz="8" w:space="0" w:color="000000"/>
              <w:left w:val="single" w:sz="8" w:space="0" w:color="000000"/>
              <w:bottom w:val="single" w:sz="6" w:space="0" w:color="000000"/>
              <w:right w:val="single" w:sz="8" w:space="0" w:color="000000"/>
            </w:tcBorders>
            <w:vAlign w:val="center"/>
          </w:tcPr>
          <w:p w14:paraId="39344B9B" w14:textId="77777777" w:rsidR="00B67C49" w:rsidRDefault="00000000">
            <w:pPr>
              <w:pStyle w:val="biaogeright"/>
              <w:wordWrap w:val="0"/>
              <w:rPr>
                <w:rFonts w:asciiTheme="minorEastAsia" w:eastAsiaTheme="minorEastAsia" w:hAnsiTheme="minorEastAsia" w:cs="Times New Roman"/>
                <w:bCs/>
                <w:kern w:val="2"/>
              </w:rPr>
            </w:pPr>
            <w:r>
              <w:t>14.08</w:t>
            </w:r>
          </w:p>
        </w:tc>
      </w:tr>
      <w:tr w:rsidR="00B67C49" w14:paraId="3F612F4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9748E6E"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2815" w:type="dxa"/>
            <w:tcBorders>
              <w:top w:val="single" w:sz="8" w:space="0" w:color="000000"/>
              <w:left w:val="single" w:sz="8" w:space="0" w:color="000000"/>
              <w:bottom w:val="single" w:sz="6" w:space="0" w:color="000000"/>
              <w:right w:val="single" w:sz="8" w:space="0" w:color="000000"/>
            </w:tcBorders>
            <w:vAlign w:val="center"/>
          </w:tcPr>
          <w:p w14:paraId="1788E61C"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其他资产</w:t>
            </w:r>
          </w:p>
        </w:tc>
        <w:tc>
          <w:tcPr>
            <w:tcW w:w="2495" w:type="dxa"/>
            <w:tcBorders>
              <w:top w:val="single" w:sz="8" w:space="0" w:color="000000"/>
              <w:left w:val="single" w:sz="8" w:space="0" w:color="000000"/>
              <w:bottom w:val="single" w:sz="6" w:space="0" w:color="000000"/>
              <w:right w:val="single" w:sz="8" w:space="0" w:color="000000"/>
            </w:tcBorders>
            <w:vAlign w:val="center"/>
          </w:tcPr>
          <w:p w14:paraId="79F072F8" w14:textId="77777777" w:rsidR="00B67C49" w:rsidRDefault="00000000">
            <w:pPr>
              <w:pStyle w:val="biaogeright"/>
              <w:wordWrap w:val="0"/>
              <w:rPr>
                <w:rFonts w:asciiTheme="minorEastAsia" w:eastAsiaTheme="minorEastAsia" w:hAnsiTheme="minorEastAsia" w:cs="Times New Roman"/>
                <w:bCs/>
                <w:kern w:val="2"/>
              </w:rPr>
            </w:pPr>
            <w:r>
              <w:t>2,921,574.71</w:t>
            </w:r>
          </w:p>
        </w:tc>
        <w:tc>
          <w:tcPr>
            <w:tcW w:w="2572" w:type="dxa"/>
            <w:tcBorders>
              <w:top w:val="single" w:sz="8" w:space="0" w:color="000000"/>
              <w:left w:val="single" w:sz="8" w:space="0" w:color="000000"/>
              <w:bottom w:val="single" w:sz="6" w:space="0" w:color="000000"/>
              <w:right w:val="single" w:sz="8" w:space="0" w:color="000000"/>
            </w:tcBorders>
            <w:vAlign w:val="center"/>
          </w:tcPr>
          <w:p w14:paraId="18779A25" w14:textId="77777777" w:rsidR="00B67C49" w:rsidRDefault="00000000">
            <w:pPr>
              <w:pStyle w:val="biaogeright"/>
              <w:wordWrap w:val="0"/>
              <w:rPr>
                <w:rFonts w:asciiTheme="minorEastAsia" w:eastAsiaTheme="minorEastAsia" w:hAnsiTheme="minorEastAsia" w:cs="Times New Roman"/>
                <w:bCs/>
                <w:kern w:val="2"/>
              </w:rPr>
            </w:pPr>
            <w:r>
              <w:t>2.40</w:t>
            </w:r>
          </w:p>
        </w:tc>
      </w:tr>
      <w:tr w:rsidR="00B67C49" w14:paraId="1C38D25E"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E5F3BE4"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9</w:t>
            </w:r>
          </w:p>
        </w:tc>
        <w:tc>
          <w:tcPr>
            <w:tcW w:w="2815" w:type="dxa"/>
            <w:tcBorders>
              <w:top w:val="single" w:sz="8" w:space="0" w:color="000000"/>
              <w:left w:val="single" w:sz="8" w:space="0" w:color="000000"/>
              <w:bottom w:val="single" w:sz="6" w:space="0" w:color="000000"/>
              <w:right w:val="single" w:sz="8" w:space="0" w:color="000000"/>
            </w:tcBorders>
            <w:vAlign w:val="center"/>
          </w:tcPr>
          <w:p w14:paraId="76895ACA"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2495" w:type="dxa"/>
            <w:tcBorders>
              <w:top w:val="single" w:sz="8" w:space="0" w:color="000000"/>
              <w:left w:val="single" w:sz="8" w:space="0" w:color="000000"/>
              <w:bottom w:val="single" w:sz="6" w:space="0" w:color="000000"/>
              <w:right w:val="single" w:sz="8" w:space="0" w:color="000000"/>
            </w:tcBorders>
            <w:vAlign w:val="center"/>
          </w:tcPr>
          <w:p w14:paraId="0E6CE3BC" w14:textId="77777777" w:rsidR="00B67C49" w:rsidRDefault="00000000">
            <w:pPr>
              <w:pStyle w:val="biaogeright"/>
              <w:wordWrap w:val="0"/>
              <w:rPr>
                <w:rFonts w:asciiTheme="minorEastAsia" w:eastAsiaTheme="minorEastAsia" w:hAnsiTheme="minorEastAsia" w:cs="Times New Roman"/>
                <w:bCs/>
                <w:kern w:val="2"/>
              </w:rPr>
            </w:pPr>
            <w:r>
              <w:t>121,755,667.72</w:t>
            </w:r>
          </w:p>
        </w:tc>
        <w:tc>
          <w:tcPr>
            <w:tcW w:w="2572" w:type="dxa"/>
            <w:tcBorders>
              <w:top w:val="single" w:sz="8" w:space="0" w:color="000000"/>
              <w:left w:val="single" w:sz="8" w:space="0" w:color="000000"/>
              <w:bottom w:val="single" w:sz="6" w:space="0" w:color="000000"/>
              <w:right w:val="single" w:sz="8" w:space="0" w:color="000000"/>
            </w:tcBorders>
            <w:vAlign w:val="center"/>
          </w:tcPr>
          <w:p w14:paraId="02694997" w14:textId="77777777" w:rsidR="00B67C49" w:rsidRDefault="00000000">
            <w:pPr>
              <w:pStyle w:val="biaogeright"/>
              <w:wordWrap w:val="0"/>
              <w:rPr>
                <w:rFonts w:asciiTheme="minorEastAsia" w:eastAsiaTheme="minorEastAsia" w:hAnsiTheme="minorEastAsia" w:cs="Times New Roman"/>
                <w:bCs/>
                <w:kern w:val="2"/>
              </w:rPr>
            </w:pPr>
            <w:r>
              <w:t>100.00</w:t>
            </w:r>
          </w:p>
        </w:tc>
      </w:tr>
    </w:tbl>
    <w:p w14:paraId="4AEB0F94" w14:textId="77777777" w:rsidR="00B67C49" w:rsidRDefault="00000000">
      <w:pPr>
        <w:pStyle w:val="zhangjiep"/>
        <w:ind w:left="0"/>
        <w:rPr>
          <w:rFonts w:asciiTheme="minorEastAsia" w:eastAsiaTheme="minorEastAsia" w:hAnsiTheme="minorEastAsia" w:cs="Times New Roman"/>
          <w:bCs/>
          <w:kern w:val="2"/>
        </w:rPr>
      </w:pPr>
      <w:bookmarkStart w:id="215" w:name="_Toc117173480"/>
      <w:r>
        <w:rPr>
          <w:rFonts w:asciiTheme="minorEastAsia" w:eastAsiaTheme="minorEastAsia" w:hAnsiTheme="minorEastAsia" w:cs="Times New Roman"/>
          <w:bCs/>
          <w:kern w:val="2"/>
        </w:rPr>
        <w:t>2</w:t>
      </w:r>
      <w:r>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B67C49" w14:paraId="7F76C976" w14:textId="77777777">
        <w:tc>
          <w:tcPr>
            <w:tcW w:w="795" w:type="dxa"/>
            <w:tcBorders>
              <w:top w:val="single" w:sz="8" w:space="0" w:color="000000"/>
              <w:left w:val="single" w:sz="8" w:space="0" w:color="000000"/>
              <w:bottom w:val="single" w:sz="6" w:space="0" w:color="000000"/>
              <w:right w:val="single" w:sz="8" w:space="0" w:color="000000"/>
            </w:tcBorders>
            <w:vAlign w:val="center"/>
          </w:tcPr>
          <w:p w14:paraId="36C190C9"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代码</w:t>
            </w:r>
          </w:p>
        </w:tc>
        <w:tc>
          <w:tcPr>
            <w:tcW w:w="2596" w:type="dxa"/>
            <w:tcBorders>
              <w:top w:val="single" w:sz="8" w:space="0" w:color="000000"/>
              <w:left w:val="single" w:sz="8" w:space="0" w:color="000000"/>
              <w:bottom w:val="single" w:sz="6" w:space="0" w:color="000000"/>
              <w:right w:val="single" w:sz="8" w:space="0" w:color="000000"/>
            </w:tcBorders>
            <w:vAlign w:val="center"/>
          </w:tcPr>
          <w:p w14:paraId="3ADC37B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行业类别</w:t>
            </w:r>
          </w:p>
        </w:tc>
        <w:tc>
          <w:tcPr>
            <w:tcW w:w="2596" w:type="dxa"/>
            <w:tcBorders>
              <w:top w:val="single" w:sz="8" w:space="0" w:color="000000"/>
              <w:left w:val="single" w:sz="8" w:space="0" w:color="000000"/>
              <w:bottom w:val="single" w:sz="6" w:space="0" w:color="000000"/>
              <w:right w:val="single" w:sz="8" w:space="0" w:color="000000"/>
            </w:tcBorders>
            <w:vAlign w:val="center"/>
          </w:tcPr>
          <w:p w14:paraId="2D51AF36"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2672" w:type="dxa"/>
            <w:tcBorders>
              <w:top w:val="single" w:sz="8" w:space="0" w:color="000000"/>
              <w:left w:val="single" w:sz="8" w:space="0" w:color="000000"/>
              <w:bottom w:val="single" w:sz="6" w:space="0" w:color="000000"/>
              <w:right w:val="single" w:sz="8" w:space="0" w:color="000000"/>
            </w:tcBorders>
            <w:vAlign w:val="center"/>
          </w:tcPr>
          <w:p w14:paraId="31BB74A6"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占基金资产净值比例（</w:t>
            </w:r>
            <w:r>
              <w:rPr>
                <w:rFonts w:asciiTheme="minorEastAsia" w:eastAsiaTheme="minorEastAsia" w:hAnsiTheme="minorEastAsia" w:cs="Times New Roman"/>
                <w:bCs/>
                <w:kern w:val="2"/>
              </w:rPr>
              <w:t>%）</w:t>
            </w:r>
          </w:p>
        </w:tc>
      </w:tr>
      <w:tr w:rsidR="00B67C49" w14:paraId="0409479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B1BA6D0"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lastRenderedPageBreak/>
              <w:t>A</w:t>
            </w:r>
          </w:p>
        </w:tc>
        <w:tc>
          <w:tcPr>
            <w:tcW w:w="2596" w:type="dxa"/>
            <w:tcBorders>
              <w:top w:val="single" w:sz="8" w:space="0" w:color="000000"/>
              <w:left w:val="single" w:sz="8" w:space="0" w:color="000000"/>
              <w:bottom w:val="single" w:sz="6" w:space="0" w:color="000000"/>
              <w:right w:val="single" w:sz="8" w:space="0" w:color="000000"/>
            </w:tcBorders>
            <w:vAlign w:val="center"/>
          </w:tcPr>
          <w:p w14:paraId="3EDB1F40"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农、林、牧、渔业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774AC219"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0A052FD9"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764409B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0B2DD6"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B</w:t>
            </w:r>
          </w:p>
        </w:tc>
        <w:tc>
          <w:tcPr>
            <w:tcW w:w="2596" w:type="dxa"/>
            <w:tcBorders>
              <w:top w:val="single" w:sz="8" w:space="0" w:color="000000"/>
              <w:left w:val="single" w:sz="8" w:space="0" w:color="000000"/>
              <w:bottom w:val="single" w:sz="6" w:space="0" w:color="000000"/>
              <w:right w:val="single" w:sz="8" w:space="0" w:color="000000"/>
            </w:tcBorders>
            <w:vAlign w:val="center"/>
          </w:tcPr>
          <w:p w14:paraId="0EEA525F"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采矿业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E66C214"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5730629D"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29DF75DB"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B355B71"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C</w:t>
            </w:r>
          </w:p>
        </w:tc>
        <w:tc>
          <w:tcPr>
            <w:tcW w:w="2596" w:type="dxa"/>
            <w:tcBorders>
              <w:top w:val="single" w:sz="8" w:space="0" w:color="000000"/>
              <w:left w:val="single" w:sz="8" w:space="0" w:color="000000"/>
              <w:bottom w:val="single" w:sz="6" w:space="0" w:color="000000"/>
              <w:right w:val="single" w:sz="8" w:space="0" w:color="000000"/>
            </w:tcBorders>
            <w:vAlign w:val="center"/>
          </w:tcPr>
          <w:p w14:paraId="3901CD1A"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制造业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15262A20" w14:textId="77777777" w:rsidR="00B67C49" w:rsidRDefault="00000000">
            <w:pPr>
              <w:pStyle w:val="biaogeright"/>
              <w:wordWrap w:val="0"/>
              <w:rPr>
                <w:rFonts w:asciiTheme="minorEastAsia" w:eastAsiaTheme="minorEastAsia" w:hAnsiTheme="minorEastAsia" w:cs="Times New Roman"/>
                <w:bCs/>
                <w:kern w:val="2"/>
              </w:rPr>
            </w:pPr>
            <w:r>
              <w:t>64,431,174.49</w:t>
            </w:r>
          </w:p>
        </w:tc>
        <w:tc>
          <w:tcPr>
            <w:tcW w:w="2672" w:type="dxa"/>
            <w:tcBorders>
              <w:top w:val="single" w:sz="8" w:space="0" w:color="000000"/>
              <w:left w:val="single" w:sz="8" w:space="0" w:color="000000"/>
              <w:bottom w:val="single" w:sz="6" w:space="0" w:color="000000"/>
              <w:right w:val="single" w:sz="8" w:space="0" w:color="000000"/>
            </w:tcBorders>
            <w:vAlign w:val="center"/>
          </w:tcPr>
          <w:p w14:paraId="742AD2A2" w14:textId="77777777" w:rsidR="00B67C49" w:rsidRDefault="00000000">
            <w:pPr>
              <w:pStyle w:val="biaogeright"/>
              <w:wordWrap w:val="0"/>
              <w:rPr>
                <w:rFonts w:asciiTheme="minorEastAsia" w:eastAsiaTheme="minorEastAsia" w:hAnsiTheme="minorEastAsia" w:cs="Times New Roman"/>
                <w:bCs/>
                <w:kern w:val="2"/>
              </w:rPr>
            </w:pPr>
            <w:r>
              <w:t>53.03</w:t>
            </w:r>
          </w:p>
        </w:tc>
      </w:tr>
      <w:tr w:rsidR="00B67C49" w14:paraId="28EB7BB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CB926B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D</w:t>
            </w:r>
          </w:p>
        </w:tc>
        <w:tc>
          <w:tcPr>
            <w:tcW w:w="2596" w:type="dxa"/>
            <w:tcBorders>
              <w:top w:val="single" w:sz="8" w:space="0" w:color="000000"/>
              <w:left w:val="single" w:sz="8" w:space="0" w:color="000000"/>
              <w:bottom w:val="single" w:sz="6" w:space="0" w:color="000000"/>
              <w:right w:val="single" w:sz="8" w:space="0" w:color="000000"/>
            </w:tcBorders>
            <w:vAlign w:val="center"/>
          </w:tcPr>
          <w:p w14:paraId="660EA08E"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电力、热力、燃气及水生产和供应业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A32476B" w14:textId="77777777" w:rsidR="00B67C49" w:rsidRDefault="00000000">
            <w:pPr>
              <w:pStyle w:val="biaogeright"/>
              <w:wordWrap w:val="0"/>
              <w:rPr>
                <w:rFonts w:asciiTheme="minorEastAsia" w:eastAsiaTheme="minorEastAsia" w:hAnsiTheme="minorEastAsia" w:cs="Times New Roman"/>
                <w:bCs/>
                <w:kern w:val="2"/>
              </w:rPr>
            </w:pPr>
            <w:r>
              <w:t>1,177,000.00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55EAB9EC" w14:textId="77777777" w:rsidR="00B67C49" w:rsidRDefault="00000000">
            <w:pPr>
              <w:pStyle w:val="biaogeright"/>
              <w:wordWrap w:val="0"/>
              <w:rPr>
                <w:rFonts w:asciiTheme="minorEastAsia" w:eastAsiaTheme="minorEastAsia" w:hAnsiTheme="minorEastAsia" w:cs="Times New Roman"/>
                <w:bCs/>
                <w:kern w:val="2"/>
              </w:rPr>
            </w:pPr>
            <w:r>
              <w:t>0.97</w:t>
            </w:r>
          </w:p>
        </w:tc>
      </w:tr>
      <w:tr w:rsidR="00B67C49" w14:paraId="50ECA216"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6CF5BAF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E</w:t>
            </w:r>
          </w:p>
        </w:tc>
        <w:tc>
          <w:tcPr>
            <w:tcW w:w="2596" w:type="dxa"/>
            <w:tcBorders>
              <w:top w:val="single" w:sz="8" w:space="0" w:color="000000"/>
              <w:left w:val="single" w:sz="8" w:space="0" w:color="000000"/>
              <w:bottom w:val="single" w:sz="6" w:space="0" w:color="000000"/>
              <w:right w:val="single" w:sz="8" w:space="0" w:color="000000"/>
            </w:tcBorders>
            <w:vAlign w:val="center"/>
          </w:tcPr>
          <w:p w14:paraId="2A11E135"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建筑业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AF97B82" w14:textId="77777777" w:rsidR="00B67C49" w:rsidRDefault="00000000">
            <w:pPr>
              <w:pStyle w:val="biaogeright"/>
              <w:wordWrap w:val="0"/>
              <w:rPr>
                <w:rFonts w:asciiTheme="minorEastAsia" w:eastAsiaTheme="minorEastAsia" w:hAnsiTheme="minorEastAsia" w:cs="Times New Roman"/>
                <w:bCs/>
                <w:kern w:val="2"/>
              </w:rPr>
            </w:pPr>
            <w:r>
              <w:t>2,697.99</w:t>
            </w:r>
          </w:p>
        </w:tc>
        <w:tc>
          <w:tcPr>
            <w:tcW w:w="2672" w:type="dxa"/>
            <w:tcBorders>
              <w:top w:val="single" w:sz="8" w:space="0" w:color="000000"/>
              <w:left w:val="single" w:sz="8" w:space="0" w:color="000000"/>
              <w:bottom w:val="single" w:sz="6" w:space="0" w:color="000000"/>
              <w:right w:val="single" w:sz="8" w:space="0" w:color="000000"/>
            </w:tcBorders>
            <w:vAlign w:val="center"/>
          </w:tcPr>
          <w:p w14:paraId="2003E81F" w14:textId="77777777" w:rsidR="00B67C49" w:rsidRDefault="00000000">
            <w:pPr>
              <w:pStyle w:val="biaogeright"/>
              <w:wordWrap w:val="0"/>
              <w:rPr>
                <w:rFonts w:asciiTheme="minorEastAsia" w:eastAsiaTheme="minorEastAsia" w:hAnsiTheme="minorEastAsia" w:cs="Times New Roman"/>
                <w:bCs/>
                <w:kern w:val="2"/>
              </w:rPr>
            </w:pPr>
            <w:r>
              <w:t>0.00</w:t>
            </w:r>
          </w:p>
        </w:tc>
      </w:tr>
      <w:tr w:rsidR="00B67C49" w14:paraId="63240408"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113020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F</w:t>
            </w:r>
          </w:p>
        </w:tc>
        <w:tc>
          <w:tcPr>
            <w:tcW w:w="2596" w:type="dxa"/>
            <w:tcBorders>
              <w:top w:val="single" w:sz="8" w:space="0" w:color="000000"/>
              <w:left w:val="single" w:sz="8" w:space="0" w:color="000000"/>
              <w:bottom w:val="single" w:sz="6" w:space="0" w:color="000000"/>
              <w:right w:val="single" w:sz="8" w:space="0" w:color="000000"/>
            </w:tcBorders>
            <w:vAlign w:val="center"/>
          </w:tcPr>
          <w:p w14:paraId="7140BC4C"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批发和零售业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B84AAF1"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0B9EB8CB"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6D4541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7BBA14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G</w:t>
            </w:r>
          </w:p>
        </w:tc>
        <w:tc>
          <w:tcPr>
            <w:tcW w:w="2596" w:type="dxa"/>
            <w:tcBorders>
              <w:top w:val="single" w:sz="8" w:space="0" w:color="000000"/>
              <w:left w:val="single" w:sz="8" w:space="0" w:color="000000"/>
              <w:bottom w:val="single" w:sz="6" w:space="0" w:color="000000"/>
              <w:right w:val="single" w:sz="8" w:space="0" w:color="000000"/>
            </w:tcBorders>
            <w:vAlign w:val="center"/>
          </w:tcPr>
          <w:p w14:paraId="742678EE"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交通运输、仓储和邮政业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2FA2A64"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5238EF68"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50300671"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4F4581F"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H</w:t>
            </w:r>
          </w:p>
        </w:tc>
        <w:tc>
          <w:tcPr>
            <w:tcW w:w="2596" w:type="dxa"/>
            <w:tcBorders>
              <w:top w:val="single" w:sz="8" w:space="0" w:color="000000"/>
              <w:left w:val="single" w:sz="8" w:space="0" w:color="000000"/>
              <w:bottom w:val="single" w:sz="6" w:space="0" w:color="000000"/>
              <w:right w:val="single" w:sz="8" w:space="0" w:color="000000"/>
            </w:tcBorders>
            <w:vAlign w:val="center"/>
          </w:tcPr>
          <w:p w14:paraId="7CE5566E"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住宿和餐饮业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531AA82"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5D66EA1B"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1CD4BC3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D7407D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I</w:t>
            </w:r>
          </w:p>
        </w:tc>
        <w:tc>
          <w:tcPr>
            <w:tcW w:w="2596" w:type="dxa"/>
            <w:tcBorders>
              <w:top w:val="single" w:sz="8" w:space="0" w:color="000000"/>
              <w:left w:val="single" w:sz="8" w:space="0" w:color="000000"/>
              <w:bottom w:val="single" w:sz="6" w:space="0" w:color="000000"/>
              <w:right w:val="single" w:sz="8" w:space="0" w:color="000000"/>
            </w:tcBorders>
            <w:vAlign w:val="center"/>
          </w:tcPr>
          <w:p w14:paraId="475CFD46"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信息传输、软件和信息技术服务业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56D352E" w14:textId="77777777" w:rsidR="00B67C49" w:rsidRDefault="00000000">
            <w:pPr>
              <w:pStyle w:val="biaogeright"/>
              <w:wordWrap w:val="0"/>
              <w:rPr>
                <w:rFonts w:asciiTheme="minorEastAsia" w:eastAsiaTheme="minorEastAsia" w:hAnsiTheme="minorEastAsia" w:cs="Times New Roman"/>
                <w:bCs/>
                <w:kern w:val="2"/>
              </w:rPr>
            </w:pPr>
            <w:r>
              <w:t>5,891,882.24</w:t>
            </w:r>
          </w:p>
        </w:tc>
        <w:tc>
          <w:tcPr>
            <w:tcW w:w="2672" w:type="dxa"/>
            <w:tcBorders>
              <w:top w:val="single" w:sz="8" w:space="0" w:color="000000"/>
              <w:left w:val="single" w:sz="8" w:space="0" w:color="000000"/>
              <w:bottom w:val="single" w:sz="6" w:space="0" w:color="000000"/>
              <w:right w:val="single" w:sz="8" w:space="0" w:color="000000"/>
            </w:tcBorders>
            <w:vAlign w:val="center"/>
          </w:tcPr>
          <w:p w14:paraId="599DFBE1" w14:textId="77777777" w:rsidR="00B67C49" w:rsidRDefault="00000000">
            <w:pPr>
              <w:pStyle w:val="biaogeright"/>
              <w:wordWrap w:val="0"/>
              <w:rPr>
                <w:rFonts w:asciiTheme="minorEastAsia" w:eastAsiaTheme="minorEastAsia" w:hAnsiTheme="minorEastAsia" w:cs="Times New Roman"/>
                <w:bCs/>
                <w:kern w:val="2"/>
              </w:rPr>
            </w:pPr>
            <w:r>
              <w:t>4.85</w:t>
            </w:r>
          </w:p>
        </w:tc>
      </w:tr>
      <w:tr w:rsidR="00B67C49" w14:paraId="5D2BC572"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84606F1"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J</w:t>
            </w:r>
          </w:p>
        </w:tc>
        <w:tc>
          <w:tcPr>
            <w:tcW w:w="2596" w:type="dxa"/>
            <w:tcBorders>
              <w:top w:val="single" w:sz="8" w:space="0" w:color="000000"/>
              <w:left w:val="single" w:sz="8" w:space="0" w:color="000000"/>
              <w:bottom w:val="single" w:sz="6" w:space="0" w:color="000000"/>
              <w:right w:val="single" w:sz="8" w:space="0" w:color="000000"/>
            </w:tcBorders>
            <w:vAlign w:val="center"/>
          </w:tcPr>
          <w:p w14:paraId="2185076C"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金融业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077A72BC" w14:textId="77777777" w:rsidR="00B67C49" w:rsidRDefault="00000000">
            <w:pPr>
              <w:pStyle w:val="biaogeright"/>
              <w:wordWrap w:val="0"/>
              <w:rPr>
                <w:rFonts w:asciiTheme="minorEastAsia" w:eastAsiaTheme="minorEastAsia" w:hAnsiTheme="minorEastAsia" w:cs="Times New Roman"/>
                <w:bCs/>
                <w:kern w:val="2"/>
              </w:rPr>
            </w:pPr>
            <w:r>
              <w:t>9,356,778.00</w:t>
            </w:r>
          </w:p>
        </w:tc>
        <w:tc>
          <w:tcPr>
            <w:tcW w:w="2672" w:type="dxa"/>
            <w:tcBorders>
              <w:top w:val="single" w:sz="8" w:space="0" w:color="000000"/>
              <w:left w:val="single" w:sz="8" w:space="0" w:color="000000"/>
              <w:bottom w:val="single" w:sz="6" w:space="0" w:color="000000"/>
              <w:right w:val="single" w:sz="8" w:space="0" w:color="000000"/>
            </w:tcBorders>
            <w:vAlign w:val="center"/>
          </w:tcPr>
          <w:p w14:paraId="7F90481F" w14:textId="77777777" w:rsidR="00B67C49" w:rsidRDefault="00000000">
            <w:pPr>
              <w:pStyle w:val="biaogeright"/>
              <w:wordWrap w:val="0"/>
              <w:rPr>
                <w:rFonts w:asciiTheme="minorEastAsia" w:eastAsiaTheme="minorEastAsia" w:hAnsiTheme="minorEastAsia" w:cs="Times New Roman"/>
                <w:bCs/>
                <w:kern w:val="2"/>
              </w:rPr>
            </w:pPr>
            <w:r>
              <w:t>7.70</w:t>
            </w:r>
          </w:p>
        </w:tc>
      </w:tr>
      <w:tr w:rsidR="00B67C49" w14:paraId="417D6D1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73428DBD"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K</w:t>
            </w:r>
          </w:p>
        </w:tc>
        <w:tc>
          <w:tcPr>
            <w:tcW w:w="2596" w:type="dxa"/>
            <w:tcBorders>
              <w:top w:val="single" w:sz="8" w:space="0" w:color="000000"/>
              <w:left w:val="single" w:sz="8" w:space="0" w:color="000000"/>
              <w:bottom w:val="single" w:sz="6" w:space="0" w:color="000000"/>
              <w:right w:val="single" w:sz="8" w:space="0" w:color="000000"/>
            </w:tcBorders>
            <w:vAlign w:val="center"/>
          </w:tcPr>
          <w:p w14:paraId="5B447801"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房地产业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CBCB160" w14:textId="77777777" w:rsidR="00B67C49" w:rsidRDefault="00000000">
            <w:pPr>
              <w:pStyle w:val="biaogeright"/>
              <w:wordWrap w:val="0"/>
              <w:rPr>
                <w:rFonts w:asciiTheme="minorEastAsia" w:eastAsiaTheme="minorEastAsia" w:hAnsiTheme="minorEastAsia" w:cs="Times New Roman"/>
                <w:bCs/>
                <w:kern w:val="2"/>
              </w:rPr>
            </w:pPr>
            <w:r>
              <w:t>3,822,000.00</w:t>
            </w:r>
          </w:p>
        </w:tc>
        <w:tc>
          <w:tcPr>
            <w:tcW w:w="2672" w:type="dxa"/>
            <w:tcBorders>
              <w:top w:val="single" w:sz="8" w:space="0" w:color="000000"/>
              <w:left w:val="single" w:sz="8" w:space="0" w:color="000000"/>
              <w:bottom w:val="single" w:sz="6" w:space="0" w:color="000000"/>
              <w:right w:val="single" w:sz="8" w:space="0" w:color="000000"/>
            </w:tcBorders>
            <w:vAlign w:val="center"/>
          </w:tcPr>
          <w:p w14:paraId="1DEDA91D" w14:textId="77777777" w:rsidR="00B67C49" w:rsidRDefault="00000000">
            <w:pPr>
              <w:pStyle w:val="biaogeright"/>
              <w:wordWrap w:val="0"/>
              <w:rPr>
                <w:rFonts w:asciiTheme="minorEastAsia" w:eastAsiaTheme="minorEastAsia" w:hAnsiTheme="minorEastAsia" w:cs="Times New Roman"/>
                <w:bCs/>
                <w:kern w:val="2"/>
              </w:rPr>
            </w:pPr>
            <w:r>
              <w:t>3.15</w:t>
            </w:r>
          </w:p>
        </w:tc>
      </w:tr>
      <w:tr w:rsidR="00B67C49" w14:paraId="7BC031A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03CFD87E"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L</w:t>
            </w:r>
          </w:p>
        </w:tc>
        <w:tc>
          <w:tcPr>
            <w:tcW w:w="2596" w:type="dxa"/>
            <w:tcBorders>
              <w:top w:val="single" w:sz="8" w:space="0" w:color="000000"/>
              <w:left w:val="single" w:sz="8" w:space="0" w:color="000000"/>
              <w:bottom w:val="single" w:sz="6" w:space="0" w:color="000000"/>
              <w:right w:val="single" w:sz="8" w:space="0" w:color="000000"/>
            </w:tcBorders>
            <w:vAlign w:val="center"/>
          </w:tcPr>
          <w:p w14:paraId="57B0FCEA"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租赁和商务服务业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3BE37E1E"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216A07F6"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1702B9F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73D798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M</w:t>
            </w:r>
          </w:p>
        </w:tc>
        <w:tc>
          <w:tcPr>
            <w:tcW w:w="2596" w:type="dxa"/>
            <w:tcBorders>
              <w:top w:val="single" w:sz="8" w:space="0" w:color="000000"/>
              <w:left w:val="single" w:sz="8" w:space="0" w:color="000000"/>
              <w:bottom w:val="single" w:sz="6" w:space="0" w:color="000000"/>
              <w:right w:val="single" w:sz="8" w:space="0" w:color="000000"/>
            </w:tcBorders>
            <w:vAlign w:val="center"/>
          </w:tcPr>
          <w:p w14:paraId="2C6B3FBA"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科学研究和技术服务业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297891B2" w14:textId="77777777" w:rsidR="00B67C49" w:rsidRDefault="00000000">
            <w:pPr>
              <w:pStyle w:val="biaogeright"/>
              <w:wordWrap w:val="0"/>
              <w:rPr>
                <w:rFonts w:asciiTheme="minorEastAsia" w:eastAsiaTheme="minorEastAsia" w:hAnsiTheme="minorEastAsia" w:cs="Times New Roman"/>
                <w:bCs/>
                <w:kern w:val="2"/>
              </w:rPr>
            </w:pPr>
            <w:r>
              <w:t>4,196.08</w:t>
            </w:r>
          </w:p>
        </w:tc>
        <w:tc>
          <w:tcPr>
            <w:tcW w:w="2672" w:type="dxa"/>
            <w:tcBorders>
              <w:top w:val="single" w:sz="8" w:space="0" w:color="000000"/>
              <w:left w:val="single" w:sz="8" w:space="0" w:color="000000"/>
              <w:bottom w:val="single" w:sz="6" w:space="0" w:color="000000"/>
              <w:right w:val="single" w:sz="8" w:space="0" w:color="000000"/>
            </w:tcBorders>
            <w:vAlign w:val="center"/>
          </w:tcPr>
          <w:p w14:paraId="117A2C50" w14:textId="77777777" w:rsidR="00B67C49" w:rsidRDefault="00000000">
            <w:pPr>
              <w:pStyle w:val="biaogeright"/>
              <w:wordWrap w:val="0"/>
              <w:rPr>
                <w:rFonts w:asciiTheme="minorEastAsia" w:eastAsiaTheme="minorEastAsia" w:hAnsiTheme="minorEastAsia" w:cs="Times New Roman"/>
                <w:bCs/>
                <w:kern w:val="2"/>
              </w:rPr>
            </w:pPr>
            <w:r>
              <w:t>0.00</w:t>
            </w:r>
          </w:p>
        </w:tc>
      </w:tr>
      <w:tr w:rsidR="00B67C49" w14:paraId="10D7D105"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EA484A7"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N</w:t>
            </w:r>
          </w:p>
        </w:tc>
        <w:tc>
          <w:tcPr>
            <w:tcW w:w="2596" w:type="dxa"/>
            <w:tcBorders>
              <w:top w:val="single" w:sz="8" w:space="0" w:color="000000"/>
              <w:left w:val="single" w:sz="8" w:space="0" w:color="000000"/>
              <w:bottom w:val="single" w:sz="6" w:space="0" w:color="000000"/>
              <w:right w:val="single" w:sz="8" w:space="0" w:color="000000"/>
            </w:tcBorders>
            <w:vAlign w:val="center"/>
          </w:tcPr>
          <w:p w14:paraId="6881F1A7"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水利、环境和公共设施管理业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5C207E97"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65A54869"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57600947"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427A5D5F"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O</w:t>
            </w:r>
          </w:p>
        </w:tc>
        <w:tc>
          <w:tcPr>
            <w:tcW w:w="2596" w:type="dxa"/>
            <w:tcBorders>
              <w:top w:val="single" w:sz="8" w:space="0" w:color="000000"/>
              <w:left w:val="single" w:sz="8" w:space="0" w:color="000000"/>
              <w:bottom w:val="single" w:sz="6" w:space="0" w:color="000000"/>
              <w:right w:val="single" w:sz="8" w:space="0" w:color="000000"/>
            </w:tcBorders>
            <w:vAlign w:val="center"/>
          </w:tcPr>
          <w:p w14:paraId="6B5CD3F6"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居民服务、修理和其他服务业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633C6506"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1EFC7D4F"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5B323B10"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1A50D0DF"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P</w:t>
            </w:r>
          </w:p>
        </w:tc>
        <w:tc>
          <w:tcPr>
            <w:tcW w:w="2596" w:type="dxa"/>
            <w:tcBorders>
              <w:top w:val="single" w:sz="8" w:space="0" w:color="000000"/>
              <w:left w:val="single" w:sz="8" w:space="0" w:color="000000"/>
              <w:bottom w:val="single" w:sz="6" w:space="0" w:color="000000"/>
              <w:right w:val="single" w:sz="8" w:space="0" w:color="000000"/>
            </w:tcBorders>
            <w:vAlign w:val="center"/>
          </w:tcPr>
          <w:p w14:paraId="2969B9F4"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教育</w:t>
            </w:r>
          </w:p>
        </w:tc>
        <w:tc>
          <w:tcPr>
            <w:tcW w:w="2596" w:type="dxa"/>
            <w:tcBorders>
              <w:top w:val="single" w:sz="8" w:space="0" w:color="000000"/>
              <w:left w:val="single" w:sz="8" w:space="0" w:color="000000"/>
              <w:bottom w:val="single" w:sz="6" w:space="0" w:color="000000"/>
              <w:right w:val="single" w:sz="8" w:space="0" w:color="000000"/>
            </w:tcBorders>
            <w:vAlign w:val="center"/>
          </w:tcPr>
          <w:p w14:paraId="580F8F4B"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67F91F4A"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00BB0FDA"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3110C53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Q</w:t>
            </w:r>
          </w:p>
        </w:tc>
        <w:tc>
          <w:tcPr>
            <w:tcW w:w="2596" w:type="dxa"/>
            <w:tcBorders>
              <w:top w:val="single" w:sz="8" w:space="0" w:color="000000"/>
              <w:left w:val="single" w:sz="8" w:space="0" w:color="000000"/>
              <w:bottom w:val="single" w:sz="6" w:space="0" w:color="000000"/>
              <w:right w:val="single" w:sz="8" w:space="0" w:color="000000"/>
            </w:tcBorders>
            <w:vAlign w:val="center"/>
          </w:tcPr>
          <w:p w14:paraId="6B6A4769"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卫生和社会工作</w:t>
            </w:r>
          </w:p>
        </w:tc>
        <w:tc>
          <w:tcPr>
            <w:tcW w:w="2596" w:type="dxa"/>
            <w:tcBorders>
              <w:top w:val="single" w:sz="8" w:space="0" w:color="000000"/>
              <w:left w:val="single" w:sz="8" w:space="0" w:color="000000"/>
              <w:bottom w:val="single" w:sz="6" w:space="0" w:color="000000"/>
              <w:right w:val="single" w:sz="8" w:space="0" w:color="000000"/>
            </w:tcBorders>
            <w:vAlign w:val="center"/>
          </w:tcPr>
          <w:p w14:paraId="67427A15"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7C526A0B"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0476DC8C"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235BC86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R</w:t>
            </w:r>
          </w:p>
        </w:tc>
        <w:tc>
          <w:tcPr>
            <w:tcW w:w="2596" w:type="dxa"/>
            <w:tcBorders>
              <w:top w:val="single" w:sz="8" w:space="0" w:color="000000"/>
              <w:left w:val="single" w:sz="8" w:space="0" w:color="000000"/>
              <w:bottom w:val="single" w:sz="6" w:space="0" w:color="000000"/>
              <w:right w:val="single" w:sz="8" w:space="0" w:color="000000"/>
            </w:tcBorders>
            <w:vAlign w:val="center"/>
          </w:tcPr>
          <w:p w14:paraId="13231532"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文化、体育和娱乐业</w:t>
            </w:r>
          </w:p>
        </w:tc>
        <w:tc>
          <w:tcPr>
            <w:tcW w:w="2596" w:type="dxa"/>
            <w:tcBorders>
              <w:top w:val="single" w:sz="8" w:space="0" w:color="000000"/>
              <w:left w:val="single" w:sz="8" w:space="0" w:color="000000"/>
              <w:bottom w:val="single" w:sz="6" w:space="0" w:color="000000"/>
              <w:right w:val="single" w:sz="8" w:space="0" w:color="000000"/>
            </w:tcBorders>
            <w:vAlign w:val="center"/>
          </w:tcPr>
          <w:p w14:paraId="43F0E9FB"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0C4D16F8"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4511D8F4"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EF7A007"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S</w:t>
            </w:r>
          </w:p>
        </w:tc>
        <w:tc>
          <w:tcPr>
            <w:tcW w:w="2596" w:type="dxa"/>
            <w:tcBorders>
              <w:top w:val="single" w:sz="8" w:space="0" w:color="000000"/>
              <w:left w:val="single" w:sz="8" w:space="0" w:color="000000"/>
              <w:bottom w:val="single" w:sz="6" w:space="0" w:color="000000"/>
              <w:right w:val="single" w:sz="8" w:space="0" w:color="000000"/>
            </w:tcBorders>
            <w:vAlign w:val="center"/>
          </w:tcPr>
          <w:p w14:paraId="5CC31D15"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综合</w:t>
            </w:r>
          </w:p>
        </w:tc>
        <w:tc>
          <w:tcPr>
            <w:tcW w:w="2596" w:type="dxa"/>
            <w:tcBorders>
              <w:top w:val="single" w:sz="8" w:space="0" w:color="000000"/>
              <w:left w:val="single" w:sz="8" w:space="0" w:color="000000"/>
              <w:bottom w:val="single" w:sz="6" w:space="0" w:color="000000"/>
              <w:right w:val="single" w:sz="8" w:space="0" w:color="000000"/>
            </w:tcBorders>
            <w:vAlign w:val="center"/>
          </w:tcPr>
          <w:p w14:paraId="443FA816" w14:textId="77777777" w:rsidR="00B67C49" w:rsidRDefault="00000000">
            <w:pPr>
              <w:pStyle w:val="biaogeright"/>
              <w:wordWrap w:val="0"/>
              <w:rPr>
                <w:rFonts w:asciiTheme="minorEastAsia" w:eastAsiaTheme="minorEastAsia" w:hAnsiTheme="minorEastAsia" w:cs="Times New Roman"/>
                <w:bCs/>
                <w:kern w:val="2"/>
              </w:rPr>
            </w:pPr>
            <w:r>
              <w:t>-</w:t>
            </w:r>
          </w:p>
        </w:tc>
        <w:tc>
          <w:tcPr>
            <w:tcW w:w="2672" w:type="dxa"/>
            <w:tcBorders>
              <w:top w:val="single" w:sz="8" w:space="0" w:color="000000"/>
              <w:left w:val="single" w:sz="8" w:space="0" w:color="000000"/>
              <w:bottom w:val="single" w:sz="6" w:space="0" w:color="000000"/>
              <w:right w:val="single" w:sz="8" w:space="0" w:color="000000"/>
            </w:tcBorders>
            <w:vAlign w:val="center"/>
          </w:tcPr>
          <w:p w14:paraId="59203EB0"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3E1A74CD" w14:textId="77777777">
        <w:tc>
          <w:tcPr>
            <w:tcW w:w="0" w:type="auto"/>
            <w:tcBorders>
              <w:top w:val="single" w:sz="8" w:space="0" w:color="000000"/>
              <w:left w:val="single" w:sz="8" w:space="0" w:color="000000"/>
              <w:bottom w:val="single" w:sz="6" w:space="0" w:color="000000"/>
              <w:right w:val="single" w:sz="8" w:space="0" w:color="000000"/>
            </w:tcBorders>
            <w:vAlign w:val="center"/>
          </w:tcPr>
          <w:p w14:paraId="58BCDB83" w14:textId="77777777" w:rsidR="00B67C49" w:rsidRDefault="00B67C49">
            <w:pPr>
              <w:rPr>
                <w:rFonts w:asciiTheme="minorEastAsia" w:hAnsiTheme="minorEastAsia" w:cs="Times New Roman"/>
                <w:bCs/>
                <w:sz w:val="24"/>
                <w:szCs w:val="24"/>
              </w:rPr>
            </w:pPr>
          </w:p>
        </w:tc>
        <w:tc>
          <w:tcPr>
            <w:tcW w:w="2596" w:type="dxa"/>
            <w:tcBorders>
              <w:top w:val="single" w:sz="8" w:space="0" w:color="000000"/>
              <w:left w:val="single" w:sz="8" w:space="0" w:color="000000"/>
              <w:bottom w:val="single" w:sz="6" w:space="0" w:color="000000"/>
              <w:right w:val="single" w:sz="8" w:space="0" w:color="000000"/>
            </w:tcBorders>
            <w:vAlign w:val="center"/>
          </w:tcPr>
          <w:p w14:paraId="603E0662"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2596" w:type="dxa"/>
            <w:tcBorders>
              <w:top w:val="single" w:sz="8" w:space="0" w:color="000000"/>
              <w:left w:val="single" w:sz="8" w:space="0" w:color="000000"/>
              <w:bottom w:val="single" w:sz="6" w:space="0" w:color="000000"/>
              <w:right w:val="single" w:sz="8" w:space="0" w:color="000000"/>
            </w:tcBorders>
            <w:vAlign w:val="center"/>
          </w:tcPr>
          <w:p w14:paraId="4687B69E" w14:textId="77777777" w:rsidR="00B67C49" w:rsidRDefault="00000000">
            <w:pPr>
              <w:pStyle w:val="biaogeright"/>
              <w:wordWrap w:val="0"/>
              <w:rPr>
                <w:rFonts w:asciiTheme="minorEastAsia" w:eastAsiaTheme="minorEastAsia" w:hAnsiTheme="minorEastAsia" w:cs="Times New Roman"/>
                <w:bCs/>
                <w:kern w:val="2"/>
              </w:rPr>
            </w:pPr>
            <w:r>
              <w:t>84,685,728.80</w:t>
            </w:r>
          </w:p>
        </w:tc>
        <w:tc>
          <w:tcPr>
            <w:tcW w:w="2672" w:type="dxa"/>
            <w:tcBorders>
              <w:top w:val="single" w:sz="8" w:space="0" w:color="000000"/>
              <w:left w:val="single" w:sz="8" w:space="0" w:color="000000"/>
              <w:bottom w:val="single" w:sz="6" w:space="0" w:color="000000"/>
              <w:right w:val="single" w:sz="8" w:space="0" w:color="000000"/>
            </w:tcBorders>
            <w:vAlign w:val="center"/>
          </w:tcPr>
          <w:p w14:paraId="5F759D25" w14:textId="77777777" w:rsidR="00B67C49" w:rsidRDefault="00000000">
            <w:pPr>
              <w:pStyle w:val="biaogeright"/>
              <w:wordWrap w:val="0"/>
              <w:rPr>
                <w:rFonts w:asciiTheme="minorEastAsia" w:eastAsiaTheme="minorEastAsia" w:hAnsiTheme="minorEastAsia" w:cs="Times New Roman"/>
                <w:bCs/>
                <w:kern w:val="2"/>
              </w:rPr>
            </w:pPr>
            <w:r>
              <w:t>69.70</w:t>
            </w:r>
          </w:p>
        </w:tc>
      </w:tr>
    </w:tbl>
    <w:p w14:paraId="17FFA694" w14:textId="77777777" w:rsidR="00B67C49" w:rsidRDefault="00B67C49">
      <w:pPr>
        <w:widowControl/>
        <w:jc w:val="left"/>
        <w:rPr>
          <w:rFonts w:asciiTheme="minorEastAsia" w:hAnsiTheme="minorEastAsia" w:cs="Times New Roman"/>
          <w:bCs/>
          <w:sz w:val="24"/>
          <w:szCs w:val="24"/>
        </w:rPr>
      </w:pPr>
    </w:p>
    <w:p w14:paraId="45A647E5" w14:textId="77777777" w:rsidR="00B67C49" w:rsidRDefault="00000000">
      <w:pPr>
        <w:pStyle w:val="zhangjiep"/>
        <w:rPr>
          <w:rFonts w:asciiTheme="minorEastAsia" w:eastAsiaTheme="minorEastAsia" w:hAnsiTheme="minorEastAsia" w:cs="Times New Roman"/>
          <w:bCs/>
          <w:kern w:val="2"/>
        </w:rPr>
      </w:pPr>
      <w:bookmarkStart w:id="216" w:name="_Toc117173481"/>
      <w:r>
        <w:rPr>
          <w:rFonts w:asciiTheme="minorEastAsia" w:eastAsiaTheme="minorEastAsia" w:hAnsiTheme="minorEastAsia" w:cs="Times New Roman"/>
          <w:bCs/>
          <w:kern w:val="2"/>
        </w:rPr>
        <w:t>3、 报告期末按公允价值占基金资产净值比例大小排序的前十名股票投资明细</w:t>
      </w:r>
      <w:bookmarkEnd w:id="216"/>
    </w:p>
    <w:tbl>
      <w:tblPr>
        <w:tblW w:w="8789" w:type="dxa"/>
        <w:tblInd w:w="108" w:type="dxa"/>
        <w:tblLook w:val="04A0" w:firstRow="1" w:lastRow="0" w:firstColumn="1" w:lastColumn="0" w:noHBand="0" w:noVBand="1"/>
      </w:tblPr>
      <w:tblGrid>
        <w:gridCol w:w="472"/>
        <w:gridCol w:w="1402"/>
        <w:gridCol w:w="1674"/>
        <w:gridCol w:w="1696"/>
        <w:gridCol w:w="1844"/>
        <w:gridCol w:w="1701"/>
      </w:tblGrid>
      <w:tr w:rsidR="00B67C49" w14:paraId="5D4B6B31"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720E4A6"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1402" w:type="dxa"/>
            <w:tcBorders>
              <w:top w:val="single" w:sz="8" w:space="0" w:color="000000"/>
              <w:left w:val="single" w:sz="8" w:space="0" w:color="000000"/>
              <w:bottom w:val="single" w:sz="6" w:space="0" w:color="000000"/>
              <w:right w:val="single" w:sz="8" w:space="0" w:color="000000"/>
            </w:tcBorders>
            <w:vAlign w:val="center"/>
          </w:tcPr>
          <w:p w14:paraId="63F08094"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股票代码</w:t>
            </w:r>
          </w:p>
        </w:tc>
        <w:tc>
          <w:tcPr>
            <w:tcW w:w="1674" w:type="dxa"/>
            <w:tcBorders>
              <w:top w:val="single" w:sz="8" w:space="0" w:color="000000"/>
              <w:left w:val="single" w:sz="8" w:space="0" w:color="000000"/>
              <w:bottom w:val="single" w:sz="6" w:space="0" w:color="000000"/>
              <w:right w:val="single" w:sz="8" w:space="0" w:color="000000"/>
            </w:tcBorders>
            <w:vAlign w:val="center"/>
          </w:tcPr>
          <w:p w14:paraId="1C81AA86"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股票名称</w:t>
            </w:r>
          </w:p>
        </w:tc>
        <w:tc>
          <w:tcPr>
            <w:tcW w:w="1696" w:type="dxa"/>
            <w:tcBorders>
              <w:top w:val="single" w:sz="8" w:space="0" w:color="000000"/>
              <w:left w:val="single" w:sz="8" w:space="0" w:color="000000"/>
              <w:bottom w:val="single" w:sz="6" w:space="0" w:color="000000"/>
              <w:right w:val="single" w:sz="8" w:space="0" w:color="000000"/>
            </w:tcBorders>
            <w:vAlign w:val="center"/>
          </w:tcPr>
          <w:p w14:paraId="35779AB7"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数量</w:t>
            </w:r>
            <w:r>
              <w:rPr>
                <w:rFonts w:asciiTheme="minorEastAsia" w:eastAsiaTheme="minorEastAsia" w:hAnsiTheme="minorEastAsia" w:cs="Times New Roman"/>
                <w:bCs/>
                <w:kern w:val="2"/>
              </w:rPr>
              <w:t>(股)</w:t>
            </w:r>
          </w:p>
        </w:tc>
        <w:tc>
          <w:tcPr>
            <w:tcW w:w="1844" w:type="dxa"/>
            <w:tcBorders>
              <w:top w:val="single" w:sz="8" w:space="0" w:color="000000"/>
              <w:left w:val="single" w:sz="8" w:space="0" w:color="000000"/>
              <w:bottom w:val="single" w:sz="6" w:space="0" w:color="000000"/>
              <w:right w:val="single" w:sz="8" w:space="0" w:color="000000"/>
            </w:tcBorders>
            <w:vAlign w:val="center"/>
          </w:tcPr>
          <w:p w14:paraId="4877359F"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公允价值</w:t>
            </w:r>
            <w:r>
              <w:rPr>
                <w:rFonts w:asciiTheme="minorEastAsia" w:eastAsiaTheme="minorEastAsia" w:hAnsiTheme="minorEastAsia" w:cs="Times New Roman"/>
                <w:bCs/>
                <w:kern w:val="2"/>
              </w:rPr>
              <w:t>(元)</w:t>
            </w:r>
          </w:p>
        </w:tc>
        <w:tc>
          <w:tcPr>
            <w:tcW w:w="1701" w:type="dxa"/>
            <w:tcBorders>
              <w:top w:val="single" w:sz="8" w:space="0" w:color="000000"/>
              <w:left w:val="single" w:sz="8" w:space="0" w:color="000000"/>
              <w:bottom w:val="single" w:sz="6" w:space="0" w:color="000000"/>
              <w:right w:val="single" w:sz="8" w:space="0" w:color="000000"/>
            </w:tcBorders>
            <w:vAlign w:val="center"/>
          </w:tcPr>
          <w:p w14:paraId="2050F81E"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占基金资产净值比例（％）</w:t>
            </w:r>
          </w:p>
        </w:tc>
      </w:tr>
      <w:tr w:rsidR="00B67C49" w14:paraId="28292D7E"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15C1DE7"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1402" w:type="dxa"/>
            <w:tcBorders>
              <w:top w:val="single" w:sz="8" w:space="0" w:color="000000"/>
              <w:left w:val="single" w:sz="8" w:space="0" w:color="000000"/>
              <w:bottom w:val="single" w:sz="6" w:space="0" w:color="000000"/>
              <w:right w:val="single" w:sz="8" w:space="0" w:color="000000"/>
            </w:tcBorders>
            <w:vAlign w:val="center"/>
          </w:tcPr>
          <w:p w14:paraId="35F3FE5C"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600519</w:t>
            </w:r>
          </w:p>
        </w:tc>
        <w:tc>
          <w:tcPr>
            <w:tcW w:w="1674" w:type="dxa"/>
            <w:tcBorders>
              <w:top w:val="single" w:sz="8" w:space="0" w:color="000000"/>
              <w:left w:val="single" w:sz="8" w:space="0" w:color="000000"/>
              <w:bottom w:val="single" w:sz="6" w:space="0" w:color="000000"/>
              <w:right w:val="single" w:sz="8" w:space="0" w:color="000000"/>
            </w:tcBorders>
            <w:vAlign w:val="center"/>
          </w:tcPr>
          <w:p w14:paraId="6C71E849"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贵州茅台</w:t>
            </w:r>
          </w:p>
        </w:tc>
        <w:tc>
          <w:tcPr>
            <w:tcW w:w="1696" w:type="dxa"/>
            <w:tcBorders>
              <w:top w:val="single" w:sz="8" w:space="0" w:color="000000"/>
              <w:left w:val="single" w:sz="8" w:space="0" w:color="000000"/>
              <w:bottom w:val="single" w:sz="6" w:space="0" w:color="000000"/>
              <w:right w:val="single" w:sz="8" w:space="0" w:color="000000"/>
            </w:tcBorders>
            <w:vAlign w:val="center"/>
          </w:tcPr>
          <w:p w14:paraId="68E922B1"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5,800</w:t>
            </w:r>
          </w:p>
        </w:tc>
        <w:tc>
          <w:tcPr>
            <w:tcW w:w="1844" w:type="dxa"/>
            <w:tcBorders>
              <w:top w:val="single" w:sz="8" w:space="0" w:color="000000"/>
              <w:left w:val="single" w:sz="8" w:space="0" w:color="000000"/>
              <w:bottom w:val="single" w:sz="6" w:space="0" w:color="000000"/>
              <w:right w:val="single" w:sz="8" w:space="0" w:color="000000"/>
            </w:tcBorders>
            <w:vAlign w:val="center"/>
          </w:tcPr>
          <w:p w14:paraId="52E4C8FA"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10,431,590.00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DFEEF25"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8.59</w:t>
            </w:r>
          </w:p>
        </w:tc>
      </w:tr>
      <w:tr w:rsidR="00B67C49" w14:paraId="50DEBE62"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EC3067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1402" w:type="dxa"/>
            <w:tcBorders>
              <w:top w:val="single" w:sz="8" w:space="0" w:color="000000"/>
              <w:left w:val="single" w:sz="8" w:space="0" w:color="000000"/>
              <w:bottom w:val="single" w:sz="6" w:space="0" w:color="000000"/>
              <w:right w:val="single" w:sz="8" w:space="0" w:color="000000"/>
            </w:tcBorders>
            <w:vAlign w:val="center"/>
          </w:tcPr>
          <w:p w14:paraId="2ADB5527"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600309</w:t>
            </w:r>
          </w:p>
        </w:tc>
        <w:tc>
          <w:tcPr>
            <w:tcW w:w="1674" w:type="dxa"/>
            <w:tcBorders>
              <w:top w:val="single" w:sz="8" w:space="0" w:color="000000"/>
              <w:left w:val="single" w:sz="8" w:space="0" w:color="000000"/>
              <w:bottom w:val="single" w:sz="6" w:space="0" w:color="000000"/>
              <w:right w:val="single" w:sz="8" w:space="0" w:color="000000"/>
            </w:tcBorders>
            <w:vAlign w:val="center"/>
          </w:tcPr>
          <w:p w14:paraId="3B5E77CF"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万华化学</w:t>
            </w:r>
          </w:p>
        </w:tc>
        <w:tc>
          <w:tcPr>
            <w:tcW w:w="1696" w:type="dxa"/>
            <w:tcBorders>
              <w:top w:val="single" w:sz="8" w:space="0" w:color="000000"/>
              <w:left w:val="single" w:sz="8" w:space="0" w:color="000000"/>
              <w:bottom w:val="single" w:sz="6" w:space="0" w:color="000000"/>
              <w:right w:val="single" w:sz="8" w:space="0" w:color="000000"/>
            </w:tcBorders>
            <w:vAlign w:val="center"/>
          </w:tcPr>
          <w:p w14:paraId="32271458"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92,000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20444D23"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8,125,440.00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74FF108"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6.69</w:t>
            </w:r>
          </w:p>
        </w:tc>
      </w:tr>
      <w:tr w:rsidR="00B67C49" w14:paraId="05160AA0"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C3AA6D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1402" w:type="dxa"/>
            <w:tcBorders>
              <w:top w:val="single" w:sz="8" w:space="0" w:color="000000"/>
              <w:left w:val="single" w:sz="8" w:space="0" w:color="000000"/>
              <w:bottom w:val="single" w:sz="6" w:space="0" w:color="000000"/>
              <w:right w:val="single" w:sz="8" w:space="0" w:color="000000"/>
            </w:tcBorders>
            <w:vAlign w:val="center"/>
          </w:tcPr>
          <w:p w14:paraId="411E8B60"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000858</w:t>
            </w:r>
          </w:p>
        </w:tc>
        <w:tc>
          <w:tcPr>
            <w:tcW w:w="1674" w:type="dxa"/>
            <w:tcBorders>
              <w:top w:val="single" w:sz="8" w:space="0" w:color="000000"/>
              <w:left w:val="single" w:sz="8" w:space="0" w:color="000000"/>
              <w:bottom w:val="single" w:sz="6" w:space="0" w:color="000000"/>
              <w:right w:val="single" w:sz="8" w:space="0" w:color="000000"/>
            </w:tcBorders>
            <w:vAlign w:val="center"/>
          </w:tcPr>
          <w:p w14:paraId="4BD5A77C"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五 粮 液</w:t>
            </w:r>
          </w:p>
        </w:tc>
        <w:tc>
          <w:tcPr>
            <w:tcW w:w="1696" w:type="dxa"/>
            <w:tcBorders>
              <w:top w:val="single" w:sz="8" w:space="0" w:color="000000"/>
              <w:left w:val="single" w:sz="8" w:space="0" w:color="000000"/>
              <w:bottom w:val="single" w:sz="6" w:space="0" w:color="000000"/>
              <w:right w:val="single" w:sz="8" w:space="0" w:color="000000"/>
            </w:tcBorders>
            <w:vAlign w:val="center"/>
          </w:tcPr>
          <w:p w14:paraId="5E871012"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50,000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7E805C13"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7,805,000.00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D59476E"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6.42</w:t>
            </w:r>
          </w:p>
        </w:tc>
      </w:tr>
      <w:tr w:rsidR="00B67C49" w14:paraId="0A403010"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9A2506D"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w:t>
            </w:r>
          </w:p>
        </w:tc>
        <w:tc>
          <w:tcPr>
            <w:tcW w:w="1402" w:type="dxa"/>
            <w:tcBorders>
              <w:top w:val="single" w:sz="8" w:space="0" w:color="000000"/>
              <w:left w:val="single" w:sz="8" w:space="0" w:color="000000"/>
              <w:bottom w:val="single" w:sz="6" w:space="0" w:color="000000"/>
              <w:right w:val="single" w:sz="8" w:space="0" w:color="000000"/>
            </w:tcBorders>
            <w:vAlign w:val="center"/>
          </w:tcPr>
          <w:p w14:paraId="22F43732"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000568</w:t>
            </w:r>
          </w:p>
        </w:tc>
        <w:tc>
          <w:tcPr>
            <w:tcW w:w="1674" w:type="dxa"/>
            <w:tcBorders>
              <w:top w:val="single" w:sz="8" w:space="0" w:color="000000"/>
              <w:left w:val="single" w:sz="8" w:space="0" w:color="000000"/>
              <w:bottom w:val="single" w:sz="6" w:space="0" w:color="000000"/>
              <w:right w:val="single" w:sz="8" w:space="0" w:color="000000"/>
            </w:tcBorders>
            <w:vAlign w:val="center"/>
          </w:tcPr>
          <w:p w14:paraId="0DF64B97"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泸州老窖</w:t>
            </w:r>
          </w:p>
        </w:tc>
        <w:tc>
          <w:tcPr>
            <w:tcW w:w="1696" w:type="dxa"/>
            <w:tcBorders>
              <w:top w:val="single" w:sz="8" w:space="0" w:color="000000"/>
              <w:left w:val="single" w:sz="8" w:space="0" w:color="000000"/>
              <w:bottom w:val="single" w:sz="6" w:space="0" w:color="000000"/>
              <w:right w:val="single" w:sz="8" w:space="0" w:color="000000"/>
            </w:tcBorders>
            <w:vAlign w:val="center"/>
          </w:tcPr>
          <w:p w14:paraId="3CBE8BD7"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33,000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7507827B"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7,149,450.00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3C259E8C"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5.88</w:t>
            </w:r>
          </w:p>
        </w:tc>
      </w:tr>
      <w:tr w:rsidR="00B67C49" w14:paraId="6BB8F069"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5B808910"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lastRenderedPageBreak/>
              <w:t>5</w:t>
            </w:r>
          </w:p>
        </w:tc>
        <w:tc>
          <w:tcPr>
            <w:tcW w:w="1402" w:type="dxa"/>
            <w:tcBorders>
              <w:top w:val="single" w:sz="8" w:space="0" w:color="000000"/>
              <w:left w:val="single" w:sz="8" w:space="0" w:color="000000"/>
              <w:bottom w:val="single" w:sz="6" w:space="0" w:color="000000"/>
              <w:right w:val="single" w:sz="8" w:space="0" w:color="000000"/>
            </w:tcBorders>
            <w:vAlign w:val="center"/>
          </w:tcPr>
          <w:p w14:paraId="6D170DF1"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600887</w:t>
            </w:r>
          </w:p>
        </w:tc>
        <w:tc>
          <w:tcPr>
            <w:tcW w:w="1674" w:type="dxa"/>
            <w:tcBorders>
              <w:top w:val="single" w:sz="8" w:space="0" w:color="000000"/>
              <w:left w:val="single" w:sz="8" w:space="0" w:color="000000"/>
              <w:bottom w:val="single" w:sz="6" w:space="0" w:color="000000"/>
              <w:right w:val="single" w:sz="8" w:space="0" w:color="000000"/>
            </w:tcBorders>
            <w:vAlign w:val="center"/>
          </w:tcPr>
          <w:p w14:paraId="287EBC4E"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伊利股份</w:t>
            </w:r>
          </w:p>
        </w:tc>
        <w:tc>
          <w:tcPr>
            <w:tcW w:w="1696" w:type="dxa"/>
            <w:tcBorders>
              <w:top w:val="single" w:sz="8" w:space="0" w:color="000000"/>
              <w:left w:val="single" w:sz="8" w:space="0" w:color="000000"/>
              <w:bottom w:val="single" w:sz="6" w:space="0" w:color="000000"/>
              <w:right w:val="single" w:sz="8" w:space="0" w:color="000000"/>
            </w:tcBorders>
            <w:vAlign w:val="center"/>
          </w:tcPr>
          <w:p w14:paraId="210AC997"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220,000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35E463BF"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5,836,600.00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5D37194"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4.80</w:t>
            </w:r>
          </w:p>
        </w:tc>
      </w:tr>
      <w:tr w:rsidR="00B67C49" w14:paraId="17CDB42C"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30EBEE7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1402" w:type="dxa"/>
            <w:tcBorders>
              <w:top w:val="single" w:sz="8" w:space="0" w:color="000000"/>
              <w:left w:val="single" w:sz="8" w:space="0" w:color="000000"/>
              <w:bottom w:val="single" w:sz="6" w:space="0" w:color="000000"/>
              <w:right w:val="single" w:sz="8" w:space="0" w:color="000000"/>
            </w:tcBorders>
            <w:vAlign w:val="center"/>
          </w:tcPr>
          <w:p w14:paraId="66276075"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600941</w:t>
            </w:r>
          </w:p>
        </w:tc>
        <w:tc>
          <w:tcPr>
            <w:tcW w:w="1674" w:type="dxa"/>
            <w:tcBorders>
              <w:top w:val="single" w:sz="8" w:space="0" w:color="000000"/>
              <w:left w:val="single" w:sz="8" w:space="0" w:color="000000"/>
              <w:bottom w:val="single" w:sz="6" w:space="0" w:color="000000"/>
              <w:right w:val="single" w:sz="8" w:space="0" w:color="000000"/>
            </w:tcBorders>
            <w:vAlign w:val="center"/>
          </w:tcPr>
          <w:p w14:paraId="0FAC4891"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中国移动</w:t>
            </w:r>
          </w:p>
        </w:tc>
        <w:tc>
          <w:tcPr>
            <w:tcW w:w="1696" w:type="dxa"/>
            <w:tcBorders>
              <w:top w:val="single" w:sz="8" w:space="0" w:color="000000"/>
              <w:left w:val="single" w:sz="8" w:space="0" w:color="000000"/>
              <w:bottom w:val="single" w:sz="6" w:space="0" w:color="000000"/>
              <w:right w:val="single" w:sz="8" w:space="0" w:color="000000"/>
            </w:tcBorders>
            <w:vAlign w:val="center"/>
          </w:tcPr>
          <w:p w14:paraId="5F6890E8"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60,000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498BF0E4"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5,809,200.00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18A54827"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4.78</w:t>
            </w:r>
          </w:p>
        </w:tc>
      </w:tr>
      <w:tr w:rsidR="00B67C49" w14:paraId="152D8F6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985B1B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1402" w:type="dxa"/>
            <w:tcBorders>
              <w:top w:val="single" w:sz="8" w:space="0" w:color="000000"/>
              <w:left w:val="single" w:sz="8" w:space="0" w:color="000000"/>
              <w:bottom w:val="single" w:sz="6" w:space="0" w:color="000000"/>
              <w:right w:val="single" w:sz="8" w:space="0" w:color="000000"/>
            </w:tcBorders>
            <w:vAlign w:val="center"/>
          </w:tcPr>
          <w:p w14:paraId="28FF4FA9"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600809</w:t>
            </w:r>
          </w:p>
        </w:tc>
        <w:tc>
          <w:tcPr>
            <w:tcW w:w="1674" w:type="dxa"/>
            <w:tcBorders>
              <w:top w:val="single" w:sz="8" w:space="0" w:color="000000"/>
              <w:left w:val="single" w:sz="8" w:space="0" w:color="000000"/>
              <w:bottom w:val="single" w:sz="6" w:space="0" w:color="000000"/>
              <w:right w:val="single" w:sz="8" w:space="0" w:color="000000"/>
            </w:tcBorders>
            <w:vAlign w:val="center"/>
          </w:tcPr>
          <w:p w14:paraId="659FD73D"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山西汾酒</w:t>
            </w:r>
          </w:p>
        </w:tc>
        <w:tc>
          <w:tcPr>
            <w:tcW w:w="1696" w:type="dxa"/>
            <w:tcBorders>
              <w:top w:val="single" w:sz="8" w:space="0" w:color="000000"/>
              <w:left w:val="single" w:sz="8" w:space="0" w:color="000000"/>
              <w:bottom w:val="single" w:sz="6" w:space="0" w:color="000000"/>
              <w:right w:val="single" w:sz="8" w:space="0" w:color="000000"/>
            </w:tcBorders>
            <w:vAlign w:val="center"/>
          </w:tcPr>
          <w:p w14:paraId="40113EFD"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24,000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70AA451A"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5,748,000.00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4F29E470"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4.73</w:t>
            </w:r>
          </w:p>
        </w:tc>
      </w:tr>
      <w:tr w:rsidR="00B67C49" w14:paraId="5912D1F3"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0FE33FC8"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1402" w:type="dxa"/>
            <w:tcBorders>
              <w:top w:val="single" w:sz="8" w:space="0" w:color="000000"/>
              <w:left w:val="single" w:sz="8" w:space="0" w:color="000000"/>
              <w:bottom w:val="single" w:sz="6" w:space="0" w:color="000000"/>
              <w:right w:val="single" w:sz="8" w:space="0" w:color="000000"/>
            </w:tcBorders>
            <w:vAlign w:val="center"/>
          </w:tcPr>
          <w:p w14:paraId="1C129B93"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600585</w:t>
            </w:r>
          </w:p>
        </w:tc>
        <w:tc>
          <w:tcPr>
            <w:tcW w:w="1674" w:type="dxa"/>
            <w:tcBorders>
              <w:top w:val="single" w:sz="8" w:space="0" w:color="000000"/>
              <w:left w:val="single" w:sz="8" w:space="0" w:color="000000"/>
              <w:bottom w:val="single" w:sz="6" w:space="0" w:color="000000"/>
              <w:right w:val="single" w:sz="8" w:space="0" w:color="000000"/>
            </w:tcBorders>
            <w:vAlign w:val="center"/>
          </w:tcPr>
          <w:p w14:paraId="10E7078F"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海螺水泥</w:t>
            </w:r>
          </w:p>
        </w:tc>
        <w:tc>
          <w:tcPr>
            <w:tcW w:w="1696" w:type="dxa"/>
            <w:tcBorders>
              <w:top w:val="single" w:sz="8" w:space="0" w:color="000000"/>
              <w:left w:val="single" w:sz="8" w:space="0" w:color="000000"/>
              <w:bottom w:val="single" w:sz="6" w:space="0" w:color="000000"/>
              <w:right w:val="single" w:sz="8" w:space="0" w:color="000000"/>
            </w:tcBorders>
            <w:vAlign w:val="center"/>
          </w:tcPr>
          <w:p w14:paraId="0A19B26C"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220,000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16DE98ED"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5,726,600.00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749D7EB5"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4.71</w:t>
            </w:r>
          </w:p>
        </w:tc>
      </w:tr>
      <w:tr w:rsidR="00B67C49" w14:paraId="6B9A4B08"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420D3C3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9</w:t>
            </w:r>
          </w:p>
        </w:tc>
        <w:tc>
          <w:tcPr>
            <w:tcW w:w="1402" w:type="dxa"/>
            <w:tcBorders>
              <w:top w:val="single" w:sz="8" w:space="0" w:color="000000"/>
              <w:left w:val="single" w:sz="8" w:space="0" w:color="000000"/>
              <w:bottom w:val="single" w:sz="6" w:space="0" w:color="000000"/>
              <w:right w:val="single" w:sz="8" w:space="0" w:color="000000"/>
            </w:tcBorders>
            <w:vAlign w:val="center"/>
          </w:tcPr>
          <w:p w14:paraId="10CB8A6F"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601318</w:t>
            </w:r>
          </w:p>
        </w:tc>
        <w:tc>
          <w:tcPr>
            <w:tcW w:w="1674" w:type="dxa"/>
            <w:tcBorders>
              <w:top w:val="single" w:sz="8" w:space="0" w:color="000000"/>
              <w:left w:val="single" w:sz="8" w:space="0" w:color="000000"/>
              <w:bottom w:val="single" w:sz="6" w:space="0" w:color="000000"/>
              <w:right w:val="single" w:sz="8" w:space="0" w:color="000000"/>
            </w:tcBorders>
            <w:vAlign w:val="center"/>
          </w:tcPr>
          <w:p w14:paraId="6B8A7B3F"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中国平安</w:t>
            </w:r>
          </w:p>
        </w:tc>
        <w:tc>
          <w:tcPr>
            <w:tcW w:w="1696" w:type="dxa"/>
            <w:tcBorders>
              <w:top w:val="single" w:sz="8" w:space="0" w:color="000000"/>
              <w:left w:val="single" w:sz="8" w:space="0" w:color="000000"/>
              <w:bottom w:val="single" w:sz="6" w:space="0" w:color="000000"/>
              <w:right w:val="single" w:sz="8" w:space="0" w:color="000000"/>
            </w:tcBorders>
            <w:vAlign w:val="center"/>
          </w:tcPr>
          <w:p w14:paraId="3AA6FF32"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104,000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3398FCCD"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5,023,200.00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0F2723EF"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4.13</w:t>
            </w:r>
          </w:p>
        </w:tc>
      </w:tr>
      <w:tr w:rsidR="00B67C49" w14:paraId="543FA7A6" w14:textId="77777777">
        <w:tc>
          <w:tcPr>
            <w:tcW w:w="472" w:type="dxa"/>
            <w:tcBorders>
              <w:top w:val="single" w:sz="8" w:space="0" w:color="000000"/>
              <w:left w:val="single" w:sz="8" w:space="0" w:color="000000"/>
              <w:bottom w:val="single" w:sz="6" w:space="0" w:color="000000"/>
              <w:right w:val="single" w:sz="8" w:space="0" w:color="000000"/>
            </w:tcBorders>
            <w:vAlign w:val="center"/>
          </w:tcPr>
          <w:p w14:paraId="193D6F7D"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10</w:t>
            </w:r>
          </w:p>
        </w:tc>
        <w:tc>
          <w:tcPr>
            <w:tcW w:w="1402" w:type="dxa"/>
            <w:tcBorders>
              <w:top w:val="single" w:sz="8" w:space="0" w:color="000000"/>
              <w:left w:val="single" w:sz="8" w:space="0" w:color="000000"/>
              <w:bottom w:val="single" w:sz="6" w:space="0" w:color="000000"/>
              <w:right w:val="single" w:sz="8" w:space="0" w:color="000000"/>
            </w:tcBorders>
            <w:vAlign w:val="center"/>
          </w:tcPr>
          <w:p w14:paraId="64EAD25E"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600276</w:t>
            </w:r>
          </w:p>
        </w:tc>
        <w:tc>
          <w:tcPr>
            <w:tcW w:w="1674" w:type="dxa"/>
            <w:tcBorders>
              <w:top w:val="single" w:sz="8" w:space="0" w:color="000000"/>
              <w:left w:val="single" w:sz="8" w:space="0" w:color="000000"/>
              <w:bottom w:val="single" w:sz="6" w:space="0" w:color="000000"/>
              <w:right w:val="single" w:sz="8" w:space="0" w:color="000000"/>
            </w:tcBorders>
            <w:vAlign w:val="center"/>
          </w:tcPr>
          <w:p w14:paraId="1F9556B0" w14:textId="77777777" w:rsidR="00B67C49" w:rsidRDefault="00000000">
            <w:pPr>
              <w:pStyle w:val="biaogeleft"/>
              <w:wordWrap w:val="0"/>
              <w:rPr>
                <w:rFonts w:asciiTheme="minorEastAsia" w:eastAsiaTheme="minorEastAsia" w:hAnsiTheme="minorEastAsia" w:cs="Times New Roman"/>
                <w:bCs/>
                <w:kern w:val="2"/>
              </w:rPr>
            </w:pPr>
            <w:r>
              <w:rPr>
                <w:rFonts w:hAnsi="等线"/>
                <w:color w:val="000000"/>
              </w:rPr>
              <w:t>恒瑞医药</w:t>
            </w:r>
          </w:p>
        </w:tc>
        <w:tc>
          <w:tcPr>
            <w:tcW w:w="1696" w:type="dxa"/>
            <w:tcBorders>
              <w:top w:val="single" w:sz="8" w:space="0" w:color="000000"/>
              <w:left w:val="single" w:sz="8" w:space="0" w:color="000000"/>
              <w:bottom w:val="single" w:sz="6" w:space="0" w:color="000000"/>
              <w:right w:val="single" w:sz="8" w:space="0" w:color="000000"/>
            </w:tcBorders>
            <w:vAlign w:val="center"/>
          </w:tcPr>
          <w:p w14:paraId="3F2B5F0D"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110,000</w:t>
            </w:r>
          </w:p>
        </w:tc>
        <w:tc>
          <w:tcPr>
            <w:tcW w:w="1844" w:type="dxa"/>
            <w:tcBorders>
              <w:top w:val="single" w:sz="8" w:space="0" w:color="000000"/>
              <w:left w:val="single" w:sz="8" w:space="0" w:color="000000"/>
              <w:bottom w:val="single" w:sz="6" w:space="0" w:color="000000"/>
              <w:right w:val="single" w:sz="8" w:space="0" w:color="000000"/>
            </w:tcBorders>
            <w:vAlign w:val="center"/>
          </w:tcPr>
          <w:p w14:paraId="7DEA49A4"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4,943,400.00</w:t>
            </w:r>
          </w:p>
        </w:tc>
        <w:tc>
          <w:tcPr>
            <w:tcW w:w="1701" w:type="dxa"/>
            <w:tcBorders>
              <w:top w:val="single" w:sz="8" w:space="0" w:color="000000"/>
              <w:left w:val="single" w:sz="8" w:space="0" w:color="000000"/>
              <w:bottom w:val="single" w:sz="6" w:space="0" w:color="000000"/>
              <w:right w:val="single" w:sz="8" w:space="0" w:color="000000"/>
            </w:tcBorders>
            <w:vAlign w:val="center"/>
          </w:tcPr>
          <w:p w14:paraId="20180334" w14:textId="77777777" w:rsidR="00B67C49" w:rsidRDefault="00000000">
            <w:pPr>
              <w:pStyle w:val="biaogeright"/>
              <w:wordWrap w:val="0"/>
              <w:rPr>
                <w:rFonts w:asciiTheme="minorEastAsia" w:eastAsiaTheme="minorEastAsia" w:hAnsiTheme="minorEastAsia" w:cs="Times New Roman"/>
                <w:bCs/>
                <w:kern w:val="2"/>
              </w:rPr>
            </w:pPr>
            <w:r>
              <w:rPr>
                <w:rFonts w:hAnsi="等线"/>
                <w:color w:val="000000"/>
              </w:rPr>
              <w:t>4.07</w:t>
            </w:r>
          </w:p>
        </w:tc>
      </w:tr>
    </w:tbl>
    <w:p w14:paraId="290F6944" w14:textId="77777777" w:rsidR="00B67C49" w:rsidRDefault="00B67C49">
      <w:pPr>
        <w:widowControl/>
        <w:jc w:val="left"/>
        <w:rPr>
          <w:rFonts w:asciiTheme="minorEastAsia" w:hAnsiTheme="minorEastAsia" w:cs="Times New Roman"/>
          <w:bCs/>
          <w:sz w:val="24"/>
          <w:szCs w:val="24"/>
        </w:rPr>
      </w:pPr>
    </w:p>
    <w:p w14:paraId="4F462700" w14:textId="77777777" w:rsidR="00B67C49" w:rsidRDefault="00000000">
      <w:pPr>
        <w:pStyle w:val="zhangjiep"/>
        <w:rPr>
          <w:rFonts w:asciiTheme="minorEastAsia" w:eastAsiaTheme="minorEastAsia" w:hAnsiTheme="minorEastAsia" w:cs="Times New Roman"/>
          <w:bCs/>
          <w:kern w:val="2"/>
        </w:rPr>
      </w:pPr>
      <w:bookmarkStart w:id="217" w:name="_Toc117173482"/>
      <w:r>
        <w:rPr>
          <w:rFonts w:asciiTheme="minorEastAsia" w:eastAsiaTheme="minorEastAsia" w:hAnsiTheme="minorEastAsia" w:cs="Times New Roman"/>
          <w:bCs/>
          <w:kern w:val="2"/>
        </w:rPr>
        <w:t>4、 报告期末按债券品种分类的债券投资组合</w:t>
      </w:r>
      <w:bookmarkEnd w:id="217"/>
    </w:p>
    <w:p w14:paraId="515307E9"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本基金本报告期末未持有债券。</w:t>
      </w:r>
    </w:p>
    <w:p w14:paraId="79635879" w14:textId="77777777" w:rsidR="00B67C49" w:rsidRDefault="00B67C49">
      <w:pPr>
        <w:widowControl/>
        <w:jc w:val="left"/>
        <w:rPr>
          <w:rFonts w:asciiTheme="minorEastAsia" w:hAnsiTheme="minorEastAsia" w:cs="Times New Roman"/>
          <w:bCs/>
          <w:sz w:val="24"/>
          <w:szCs w:val="24"/>
        </w:rPr>
      </w:pPr>
    </w:p>
    <w:p w14:paraId="73460A32" w14:textId="77777777" w:rsidR="00B67C49" w:rsidRDefault="00000000">
      <w:pPr>
        <w:pStyle w:val="zhangjiep"/>
        <w:rPr>
          <w:rFonts w:asciiTheme="minorEastAsia" w:eastAsiaTheme="minorEastAsia" w:hAnsiTheme="minorEastAsia" w:cs="Times New Roman"/>
          <w:bCs/>
          <w:kern w:val="2"/>
        </w:rPr>
      </w:pPr>
      <w:bookmarkStart w:id="218" w:name="_Toc117173483"/>
      <w:r>
        <w:rPr>
          <w:rFonts w:asciiTheme="minorEastAsia" w:eastAsiaTheme="minorEastAsia" w:hAnsiTheme="minorEastAsia" w:cs="Times New Roman"/>
          <w:bCs/>
          <w:kern w:val="2"/>
        </w:rPr>
        <w:t>5、 报告期末按公允价值占基金资产净值比例大小排序的前五名债券投资明细</w:t>
      </w:r>
      <w:bookmarkEnd w:id="218"/>
    </w:p>
    <w:p w14:paraId="61022443"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本基金本报告期末未持有债券。</w:t>
      </w:r>
    </w:p>
    <w:p w14:paraId="2A36012C" w14:textId="77777777" w:rsidR="00B67C49" w:rsidRDefault="00B67C49">
      <w:pPr>
        <w:widowControl/>
        <w:jc w:val="left"/>
        <w:rPr>
          <w:rFonts w:asciiTheme="minorEastAsia" w:hAnsiTheme="minorEastAsia" w:cs="Times New Roman"/>
          <w:bCs/>
          <w:sz w:val="24"/>
          <w:szCs w:val="24"/>
        </w:rPr>
      </w:pPr>
    </w:p>
    <w:p w14:paraId="74D7BEDC" w14:textId="77777777" w:rsidR="00B67C49" w:rsidRDefault="00000000">
      <w:pPr>
        <w:pStyle w:val="zhangjiep"/>
        <w:rPr>
          <w:rFonts w:asciiTheme="minorEastAsia" w:eastAsiaTheme="minorEastAsia" w:hAnsiTheme="minorEastAsia" w:cs="Times New Roman"/>
          <w:bCs/>
          <w:kern w:val="2"/>
        </w:rPr>
      </w:pPr>
      <w:bookmarkStart w:id="219" w:name="_Toc117173484"/>
      <w:r>
        <w:rPr>
          <w:rFonts w:asciiTheme="minorEastAsia" w:eastAsiaTheme="minorEastAsia" w:hAnsiTheme="minorEastAsia" w:cs="Times New Roman"/>
          <w:bCs/>
          <w:kern w:val="2"/>
        </w:rPr>
        <w:t>6、 报告期末按公允价值占基金资产净值比例大小排序的前十名资产支持证券投资明细</w:t>
      </w:r>
      <w:bookmarkEnd w:id="219"/>
    </w:p>
    <w:p w14:paraId="13C201E0"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本基金本报告期末未持有资产支持证券。</w:t>
      </w:r>
    </w:p>
    <w:p w14:paraId="14CE9CE9" w14:textId="77777777" w:rsidR="00B67C49" w:rsidRDefault="00B67C49">
      <w:pPr>
        <w:widowControl/>
        <w:jc w:val="left"/>
        <w:rPr>
          <w:rFonts w:asciiTheme="minorEastAsia" w:hAnsiTheme="minorEastAsia" w:cs="Times New Roman"/>
          <w:bCs/>
          <w:sz w:val="24"/>
          <w:szCs w:val="24"/>
        </w:rPr>
      </w:pPr>
    </w:p>
    <w:p w14:paraId="55664267" w14:textId="77777777" w:rsidR="00B67C49" w:rsidRDefault="00000000">
      <w:pPr>
        <w:pStyle w:val="zhangjiep"/>
        <w:rPr>
          <w:rFonts w:asciiTheme="minorEastAsia" w:eastAsiaTheme="minorEastAsia" w:hAnsiTheme="minorEastAsia" w:cs="Times New Roman"/>
          <w:bCs/>
          <w:kern w:val="2"/>
        </w:rPr>
      </w:pPr>
      <w:bookmarkStart w:id="220" w:name="_Toc117173485"/>
      <w:r>
        <w:rPr>
          <w:rFonts w:asciiTheme="minorEastAsia" w:eastAsiaTheme="minorEastAsia" w:hAnsiTheme="minorEastAsia" w:cs="Times New Roman"/>
          <w:bCs/>
          <w:kern w:val="2"/>
        </w:rPr>
        <w:t>7、 报告期末按公允价值占基金资产净值比例大小排序的前五名贵金属投资明细</w:t>
      </w:r>
      <w:bookmarkEnd w:id="220"/>
    </w:p>
    <w:p w14:paraId="4F0E4641"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本基金本报告期末未持有贵金属。</w:t>
      </w:r>
    </w:p>
    <w:p w14:paraId="71AA0779" w14:textId="77777777" w:rsidR="00B67C49" w:rsidRDefault="00B67C49">
      <w:pPr>
        <w:widowControl/>
        <w:jc w:val="left"/>
        <w:rPr>
          <w:rFonts w:asciiTheme="minorEastAsia" w:hAnsiTheme="minorEastAsia" w:cs="Times New Roman"/>
          <w:bCs/>
          <w:sz w:val="24"/>
          <w:szCs w:val="24"/>
        </w:rPr>
      </w:pPr>
    </w:p>
    <w:p w14:paraId="22EDA153" w14:textId="77777777" w:rsidR="00B67C49" w:rsidRDefault="00000000">
      <w:pPr>
        <w:pStyle w:val="zhangjiep"/>
        <w:rPr>
          <w:rFonts w:asciiTheme="minorEastAsia" w:eastAsiaTheme="minorEastAsia" w:hAnsiTheme="minorEastAsia" w:cs="Times New Roman"/>
          <w:bCs/>
          <w:kern w:val="2"/>
        </w:rPr>
      </w:pPr>
      <w:bookmarkStart w:id="221" w:name="_Toc117173486"/>
      <w:r>
        <w:rPr>
          <w:rFonts w:asciiTheme="minorEastAsia" w:eastAsiaTheme="minorEastAsia" w:hAnsiTheme="minorEastAsia" w:cs="Times New Roman"/>
          <w:bCs/>
          <w:kern w:val="2"/>
        </w:rPr>
        <w:t>8、 报告期末按公允价值占基金资产净值比例大小排序的前五名权证投资明细</w:t>
      </w:r>
      <w:bookmarkEnd w:id="221"/>
    </w:p>
    <w:p w14:paraId="1152A414"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本基金本报告期末未持有权证。</w:t>
      </w:r>
    </w:p>
    <w:p w14:paraId="2A6D4C36" w14:textId="77777777" w:rsidR="00B67C49" w:rsidRDefault="00B67C49">
      <w:pPr>
        <w:widowControl/>
        <w:jc w:val="left"/>
        <w:rPr>
          <w:rFonts w:asciiTheme="minorEastAsia" w:hAnsiTheme="minorEastAsia" w:cs="Times New Roman"/>
          <w:bCs/>
          <w:sz w:val="24"/>
          <w:szCs w:val="24"/>
        </w:rPr>
      </w:pPr>
    </w:p>
    <w:p w14:paraId="3E118F41" w14:textId="77777777" w:rsidR="00B67C49" w:rsidRDefault="00000000">
      <w:pPr>
        <w:pStyle w:val="zhangjiep"/>
        <w:rPr>
          <w:rFonts w:asciiTheme="minorEastAsia" w:eastAsiaTheme="minorEastAsia" w:hAnsiTheme="minorEastAsia" w:cs="Times New Roman"/>
          <w:bCs/>
          <w:kern w:val="2"/>
        </w:rPr>
      </w:pPr>
      <w:bookmarkStart w:id="222" w:name="_Toc117173487"/>
      <w:r>
        <w:rPr>
          <w:rFonts w:asciiTheme="minorEastAsia" w:eastAsiaTheme="minorEastAsia" w:hAnsiTheme="minorEastAsia" w:cs="Times New Roman"/>
          <w:bCs/>
          <w:kern w:val="2"/>
        </w:rPr>
        <w:t>9</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报告期末本基金投资的股指期货交易情况说明</w:t>
      </w:r>
      <w:bookmarkEnd w:id="222"/>
    </w:p>
    <w:p w14:paraId="42B19012"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报告期末本基金投资的股指期货持仓和损益明细</w:t>
      </w:r>
    </w:p>
    <w:p w14:paraId="30F0EC1D"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本基金本报告期末未投资股指期货。</w:t>
      </w:r>
    </w:p>
    <w:p w14:paraId="259EEBC1" w14:textId="77777777" w:rsidR="00B67C49" w:rsidRDefault="00B67C49">
      <w:pPr>
        <w:widowControl/>
        <w:jc w:val="left"/>
        <w:rPr>
          <w:rFonts w:asciiTheme="minorEastAsia" w:hAnsiTheme="minorEastAsia" w:cs="Times New Roman"/>
          <w:bCs/>
          <w:sz w:val="24"/>
          <w:szCs w:val="24"/>
        </w:rPr>
      </w:pPr>
    </w:p>
    <w:p w14:paraId="5CC70F12"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本基金投资股指期货的投资政策</w:t>
      </w:r>
    </w:p>
    <w:p w14:paraId="5B9A1C13" w14:textId="77777777" w:rsidR="00B67C49" w:rsidRDefault="00000000">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本基金本报告期末未投资股指期货。</w:t>
      </w:r>
    </w:p>
    <w:p w14:paraId="4233EC61" w14:textId="77777777" w:rsidR="00B67C49" w:rsidRDefault="00B67C49">
      <w:pPr>
        <w:widowControl/>
        <w:jc w:val="left"/>
        <w:rPr>
          <w:rFonts w:asciiTheme="minorEastAsia" w:hAnsiTheme="minorEastAsia" w:cs="Times New Roman"/>
          <w:bCs/>
          <w:sz w:val="24"/>
          <w:szCs w:val="24"/>
        </w:rPr>
      </w:pPr>
    </w:p>
    <w:p w14:paraId="5D001928" w14:textId="77777777" w:rsidR="00B67C49" w:rsidRDefault="00000000">
      <w:pPr>
        <w:pStyle w:val="zhangjiep"/>
        <w:rPr>
          <w:rFonts w:asciiTheme="minorEastAsia" w:eastAsiaTheme="minorEastAsia" w:hAnsiTheme="minorEastAsia" w:cs="Times New Roman"/>
          <w:bCs/>
          <w:kern w:val="2"/>
        </w:rPr>
      </w:pPr>
      <w:bookmarkStart w:id="223" w:name="_Toc117173488"/>
      <w:r>
        <w:rPr>
          <w:rFonts w:asciiTheme="minorEastAsia" w:eastAsiaTheme="minorEastAsia" w:hAnsiTheme="minorEastAsia" w:cs="Times New Roman"/>
          <w:bCs/>
          <w:kern w:val="2"/>
        </w:rPr>
        <w:t>10、 报告期末本基金投资的国债期货交易情况说明</w:t>
      </w:r>
      <w:bookmarkEnd w:id="223"/>
    </w:p>
    <w:p w14:paraId="67D1FE27"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1） 本期国债期货投资政策</w:t>
      </w:r>
    </w:p>
    <w:p w14:paraId="7E100A36" w14:textId="77777777" w:rsidR="00B67C49" w:rsidRDefault="00000000">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4864B6F9" w14:textId="77777777" w:rsidR="00B67C49" w:rsidRDefault="00B67C49">
      <w:pPr>
        <w:widowControl/>
        <w:jc w:val="left"/>
        <w:rPr>
          <w:rFonts w:asciiTheme="minorEastAsia" w:hAnsiTheme="minorEastAsia" w:cs="Times New Roman"/>
          <w:bCs/>
          <w:sz w:val="24"/>
          <w:szCs w:val="24"/>
        </w:rPr>
      </w:pPr>
    </w:p>
    <w:p w14:paraId="5ACC43F3"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报告期末本基金投资的国债期货持仓和损益明细</w:t>
      </w:r>
    </w:p>
    <w:p w14:paraId="6957A4C8"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62596EE3"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w:t>
      </w:r>
      <w:r>
        <w:rPr>
          <w:rFonts w:asciiTheme="minorEastAsia" w:eastAsiaTheme="minorEastAsia" w:hAnsiTheme="minorEastAsia" w:cs="Times New Roman"/>
          <w:bCs/>
          <w:kern w:val="2"/>
        </w:rPr>
        <w:t>3） 本期国债期货投资评价</w:t>
      </w:r>
    </w:p>
    <w:p w14:paraId="1BFFD954" w14:textId="77777777" w:rsidR="00B67C49" w:rsidRDefault="00000000">
      <w:pPr>
        <w:pStyle w:val="neirong"/>
        <w:spacing w:before="0"/>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本基金本报告期末未投资国债期货。</w:t>
      </w:r>
    </w:p>
    <w:p w14:paraId="41411D58" w14:textId="77777777" w:rsidR="00B67C49" w:rsidRDefault="00B67C49">
      <w:pPr>
        <w:widowControl/>
        <w:jc w:val="left"/>
        <w:rPr>
          <w:rFonts w:asciiTheme="minorEastAsia" w:hAnsiTheme="minorEastAsia" w:cs="Times New Roman"/>
          <w:bCs/>
          <w:sz w:val="24"/>
          <w:szCs w:val="24"/>
        </w:rPr>
      </w:pPr>
    </w:p>
    <w:p w14:paraId="7A0F8ACA" w14:textId="77777777" w:rsidR="00B67C49" w:rsidRDefault="00000000">
      <w:pPr>
        <w:pStyle w:val="zhangjiep"/>
        <w:rPr>
          <w:rFonts w:asciiTheme="minorEastAsia" w:eastAsiaTheme="minorEastAsia" w:hAnsiTheme="minorEastAsia" w:cs="Times New Roman"/>
          <w:bCs/>
          <w:kern w:val="2"/>
        </w:rPr>
      </w:pPr>
      <w:bookmarkStart w:id="224" w:name="_Toc117173489"/>
      <w:r>
        <w:rPr>
          <w:rFonts w:asciiTheme="minorEastAsia" w:eastAsiaTheme="minorEastAsia" w:hAnsiTheme="minorEastAsia" w:cs="Times New Roman"/>
          <w:bCs/>
          <w:kern w:val="2"/>
        </w:rPr>
        <w:t>11、 投资组合报告附注</w:t>
      </w:r>
      <w:bookmarkEnd w:id="224"/>
      <w:r>
        <w:rPr>
          <w:rFonts w:asciiTheme="minorEastAsia" w:eastAsiaTheme="minorEastAsia" w:hAnsiTheme="minorEastAsia" w:cs="Times New Roman"/>
          <w:bCs/>
          <w:kern w:val="2"/>
        </w:rPr>
        <w:t xml:space="preserve"> </w:t>
      </w:r>
    </w:p>
    <w:p w14:paraId="414C4EB6"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1） </w:t>
      </w:r>
      <w:r>
        <w:rPr>
          <w:rFonts w:asciiTheme="minorEastAsia" w:eastAsiaTheme="minorEastAsia" w:hAnsiTheme="minorEastAsia" w:cs="Times New Roman" w:hint="eastAsia"/>
          <w:bCs/>
          <w:kern w:val="2"/>
        </w:rPr>
        <w:t>本基金本报告期投资的前十名证券的发行主体，本报告期没有出现被监管部门立案调查的情形，也没有出现在报告编制日前一年内受到公开谴责、处罚的情形。</w:t>
      </w:r>
    </w:p>
    <w:p w14:paraId="2774622D" w14:textId="77777777" w:rsidR="00B67C49" w:rsidRDefault="00B67C49">
      <w:pPr>
        <w:widowControl/>
        <w:jc w:val="left"/>
        <w:rPr>
          <w:rFonts w:asciiTheme="minorEastAsia" w:hAnsiTheme="minorEastAsia" w:cs="Times New Roman"/>
          <w:bCs/>
          <w:sz w:val="24"/>
          <w:szCs w:val="24"/>
        </w:rPr>
      </w:pPr>
    </w:p>
    <w:p w14:paraId="36E72BD2"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2） 本基金投资的前十名股票没有超出基金合同规定的备选股票库。</w:t>
      </w:r>
    </w:p>
    <w:p w14:paraId="5D88D81A" w14:textId="77777777" w:rsidR="00B67C49" w:rsidRDefault="00B67C49">
      <w:pPr>
        <w:widowControl/>
        <w:jc w:val="left"/>
        <w:rPr>
          <w:rFonts w:asciiTheme="minorEastAsia" w:hAnsiTheme="minorEastAsia" w:cs="Times New Roman"/>
          <w:bCs/>
          <w:sz w:val="24"/>
          <w:szCs w:val="24"/>
        </w:rPr>
      </w:pPr>
    </w:p>
    <w:p w14:paraId="65D73BDA"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3</w:t>
      </w: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 xml:space="preserve"> 其他资产构成</w:t>
      </w:r>
    </w:p>
    <w:tbl>
      <w:tblPr>
        <w:tblW w:w="9045" w:type="dxa"/>
        <w:tblInd w:w="108" w:type="dxa"/>
        <w:tblLook w:val="04A0" w:firstRow="1" w:lastRow="0" w:firstColumn="1" w:lastColumn="0" w:noHBand="0" w:noVBand="1"/>
      </w:tblPr>
      <w:tblGrid>
        <w:gridCol w:w="1276"/>
        <w:gridCol w:w="3709"/>
        <w:gridCol w:w="4060"/>
      </w:tblGrid>
      <w:tr w:rsidR="00B67C49" w14:paraId="563A21CE"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D20154E"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序号</w:t>
            </w:r>
          </w:p>
        </w:tc>
        <w:tc>
          <w:tcPr>
            <w:tcW w:w="3709" w:type="dxa"/>
            <w:tcBorders>
              <w:top w:val="single" w:sz="8" w:space="0" w:color="000000"/>
              <w:left w:val="single" w:sz="8" w:space="0" w:color="000000"/>
              <w:bottom w:val="single" w:sz="6" w:space="0" w:color="000000"/>
              <w:right w:val="single" w:sz="8" w:space="0" w:color="000000"/>
            </w:tcBorders>
            <w:vAlign w:val="center"/>
          </w:tcPr>
          <w:p w14:paraId="22DE1586"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名称</w:t>
            </w:r>
          </w:p>
        </w:tc>
        <w:tc>
          <w:tcPr>
            <w:tcW w:w="4060" w:type="dxa"/>
            <w:tcBorders>
              <w:top w:val="single" w:sz="8" w:space="0" w:color="000000"/>
              <w:left w:val="single" w:sz="8" w:space="0" w:color="000000"/>
              <w:bottom w:val="single" w:sz="6" w:space="0" w:color="000000"/>
              <w:right w:val="single" w:sz="8" w:space="0" w:color="000000"/>
            </w:tcBorders>
            <w:vAlign w:val="center"/>
          </w:tcPr>
          <w:p w14:paraId="3CEC746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金额</w:t>
            </w:r>
            <w:r>
              <w:rPr>
                <w:rFonts w:asciiTheme="minorEastAsia" w:eastAsiaTheme="minorEastAsia" w:hAnsiTheme="minorEastAsia" w:cs="Times New Roman"/>
                <w:bCs/>
                <w:kern w:val="2"/>
              </w:rPr>
              <w:t>(元)</w:t>
            </w:r>
          </w:p>
        </w:tc>
      </w:tr>
      <w:tr w:rsidR="00B67C49" w14:paraId="6E8DE300"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0F2FB0E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1</w:t>
            </w:r>
          </w:p>
        </w:tc>
        <w:tc>
          <w:tcPr>
            <w:tcW w:w="3709" w:type="dxa"/>
            <w:tcBorders>
              <w:top w:val="single" w:sz="8" w:space="0" w:color="000000"/>
              <w:left w:val="single" w:sz="8" w:space="0" w:color="000000"/>
              <w:bottom w:val="single" w:sz="6" w:space="0" w:color="000000"/>
              <w:right w:val="single" w:sz="8" w:space="0" w:color="000000"/>
            </w:tcBorders>
            <w:vAlign w:val="center"/>
          </w:tcPr>
          <w:p w14:paraId="33A187CC"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存出保证金</w:t>
            </w:r>
          </w:p>
        </w:tc>
        <w:tc>
          <w:tcPr>
            <w:tcW w:w="4060" w:type="dxa"/>
            <w:tcBorders>
              <w:top w:val="single" w:sz="8" w:space="0" w:color="000000"/>
              <w:left w:val="single" w:sz="8" w:space="0" w:color="000000"/>
              <w:bottom w:val="single" w:sz="6" w:space="0" w:color="000000"/>
              <w:right w:val="single" w:sz="8" w:space="0" w:color="000000"/>
            </w:tcBorders>
            <w:vAlign w:val="center"/>
          </w:tcPr>
          <w:p w14:paraId="56E371B4" w14:textId="77777777" w:rsidR="00B67C49" w:rsidRDefault="00000000">
            <w:pPr>
              <w:pStyle w:val="biaogeright"/>
              <w:wordWrap w:val="0"/>
              <w:rPr>
                <w:rFonts w:asciiTheme="minorEastAsia" w:eastAsiaTheme="minorEastAsia" w:hAnsiTheme="minorEastAsia" w:cs="Times New Roman"/>
                <w:bCs/>
                <w:kern w:val="2"/>
              </w:rPr>
            </w:pPr>
            <w:r>
              <w:t>2,921,559.71</w:t>
            </w:r>
          </w:p>
        </w:tc>
      </w:tr>
      <w:tr w:rsidR="00B67C49" w14:paraId="07C5A66A"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44A6452"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w:t>
            </w:r>
          </w:p>
        </w:tc>
        <w:tc>
          <w:tcPr>
            <w:tcW w:w="3709" w:type="dxa"/>
            <w:tcBorders>
              <w:top w:val="single" w:sz="8" w:space="0" w:color="000000"/>
              <w:left w:val="single" w:sz="8" w:space="0" w:color="000000"/>
              <w:bottom w:val="single" w:sz="6" w:space="0" w:color="000000"/>
              <w:right w:val="single" w:sz="8" w:space="0" w:color="000000"/>
            </w:tcBorders>
            <w:vAlign w:val="center"/>
          </w:tcPr>
          <w:p w14:paraId="44F7783A"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应收证券清算款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4CC2C20"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447B8834"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448DDB5E"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3</w:t>
            </w:r>
          </w:p>
        </w:tc>
        <w:tc>
          <w:tcPr>
            <w:tcW w:w="3709" w:type="dxa"/>
            <w:tcBorders>
              <w:top w:val="single" w:sz="8" w:space="0" w:color="000000"/>
              <w:left w:val="single" w:sz="8" w:space="0" w:color="000000"/>
              <w:bottom w:val="single" w:sz="6" w:space="0" w:color="000000"/>
              <w:right w:val="single" w:sz="8" w:space="0" w:color="000000"/>
            </w:tcBorders>
            <w:vAlign w:val="center"/>
          </w:tcPr>
          <w:p w14:paraId="11257B18"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应收股利</w:t>
            </w:r>
          </w:p>
        </w:tc>
        <w:tc>
          <w:tcPr>
            <w:tcW w:w="4060" w:type="dxa"/>
            <w:tcBorders>
              <w:top w:val="single" w:sz="8" w:space="0" w:color="000000"/>
              <w:left w:val="single" w:sz="8" w:space="0" w:color="000000"/>
              <w:bottom w:val="single" w:sz="6" w:space="0" w:color="000000"/>
              <w:right w:val="single" w:sz="8" w:space="0" w:color="000000"/>
            </w:tcBorders>
            <w:vAlign w:val="center"/>
          </w:tcPr>
          <w:p w14:paraId="65F0084E"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64E3F712"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522513FF"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4</w:t>
            </w:r>
          </w:p>
        </w:tc>
        <w:tc>
          <w:tcPr>
            <w:tcW w:w="3709" w:type="dxa"/>
            <w:tcBorders>
              <w:top w:val="single" w:sz="8" w:space="0" w:color="000000"/>
              <w:left w:val="single" w:sz="8" w:space="0" w:color="000000"/>
              <w:bottom w:val="single" w:sz="6" w:space="0" w:color="000000"/>
              <w:right w:val="single" w:sz="8" w:space="0" w:color="000000"/>
            </w:tcBorders>
            <w:vAlign w:val="center"/>
          </w:tcPr>
          <w:p w14:paraId="737D070F"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应收利息</w:t>
            </w:r>
          </w:p>
        </w:tc>
        <w:tc>
          <w:tcPr>
            <w:tcW w:w="4060" w:type="dxa"/>
            <w:tcBorders>
              <w:top w:val="single" w:sz="8" w:space="0" w:color="000000"/>
              <w:left w:val="single" w:sz="8" w:space="0" w:color="000000"/>
              <w:bottom w:val="single" w:sz="6" w:space="0" w:color="000000"/>
              <w:right w:val="single" w:sz="8" w:space="0" w:color="000000"/>
            </w:tcBorders>
            <w:vAlign w:val="center"/>
          </w:tcPr>
          <w:p w14:paraId="1E84BA18"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549A2206"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88A4AE7"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5</w:t>
            </w:r>
          </w:p>
        </w:tc>
        <w:tc>
          <w:tcPr>
            <w:tcW w:w="3709" w:type="dxa"/>
            <w:tcBorders>
              <w:top w:val="single" w:sz="8" w:space="0" w:color="000000"/>
              <w:left w:val="single" w:sz="8" w:space="0" w:color="000000"/>
              <w:bottom w:val="single" w:sz="6" w:space="0" w:color="000000"/>
              <w:right w:val="single" w:sz="8" w:space="0" w:color="000000"/>
            </w:tcBorders>
            <w:vAlign w:val="center"/>
          </w:tcPr>
          <w:p w14:paraId="0C683FD6"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应收申购款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1665A5E6" w14:textId="77777777" w:rsidR="00B67C49" w:rsidRDefault="00000000">
            <w:pPr>
              <w:pStyle w:val="biaogeright"/>
              <w:wordWrap w:val="0"/>
              <w:rPr>
                <w:rFonts w:asciiTheme="minorEastAsia" w:eastAsiaTheme="minorEastAsia" w:hAnsiTheme="minorEastAsia" w:cs="Times New Roman"/>
                <w:bCs/>
                <w:kern w:val="2"/>
              </w:rPr>
            </w:pPr>
            <w:r>
              <w:t>15.00</w:t>
            </w:r>
          </w:p>
        </w:tc>
      </w:tr>
      <w:tr w:rsidR="00B67C49" w14:paraId="0AAFB6C1"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818263C"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6</w:t>
            </w:r>
          </w:p>
        </w:tc>
        <w:tc>
          <w:tcPr>
            <w:tcW w:w="3709" w:type="dxa"/>
            <w:tcBorders>
              <w:top w:val="single" w:sz="8" w:space="0" w:color="000000"/>
              <w:left w:val="single" w:sz="8" w:space="0" w:color="000000"/>
              <w:bottom w:val="single" w:sz="6" w:space="0" w:color="000000"/>
              <w:right w:val="single" w:sz="8" w:space="0" w:color="000000"/>
            </w:tcBorders>
            <w:vAlign w:val="center"/>
          </w:tcPr>
          <w:p w14:paraId="117F8E69"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其他应收款</w:t>
            </w:r>
          </w:p>
        </w:tc>
        <w:tc>
          <w:tcPr>
            <w:tcW w:w="4060" w:type="dxa"/>
            <w:tcBorders>
              <w:top w:val="single" w:sz="8" w:space="0" w:color="000000"/>
              <w:left w:val="single" w:sz="8" w:space="0" w:color="000000"/>
              <w:bottom w:val="single" w:sz="6" w:space="0" w:color="000000"/>
              <w:right w:val="single" w:sz="8" w:space="0" w:color="000000"/>
            </w:tcBorders>
            <w:vAlign w:val="center"/>
          </w:tcPr>
          <w:p w14:paraId="658717FA"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7E6CF54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1202B0EE"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7</w:t>
            </w:r>
          </w:p>
        </w:tc>
        <w:tc>
          <w:tcPr>
            <w:tcW w:w="3709" w:type="dxa"/>
            <w:tcBorders>
              <w:top w:val="single" w:sz="8" w:space="0" w:color="000000"/>
              <w:left w:val="single" w:sz="8" w:space="0" w:color="000000"/>
              <w:bottom w:val="single" w:sz="6" w:space="0" w:color="000000"/>
              <w:right w:val="single" w:sz="8" w:space="0" w:color="000000"/>
            </w:tcBorders>
            <w:vAlign w:val="center"/>
          </w:tcPr>
          <w:p w14:paraId="0C4A5163"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其他</w:t>
            </w:r>
          </w:p>
        </w:tc>
        <w:tc>
          <w:tcPr>
            <w:tcW w:w="4060" w:type="dxa"/>
            <w:tcBorders>
              <w:top w:val="single" w:sz="8" w:space="0" w:color="000000"/>
              <w:left w:val="single" w:sz="8" w:space="0" w:color="000000"/>
              <w:bottom w:val="single" w:sz="6" w:space="0" w:color="000000"/>
              <w:right w:val="single" w:sz="8" w:space="0" w:color="000000"/>
            </w:tcBorders>
            <w:vAlign w:val="center"/>
          </w:tcPr>
          <w:p w14:paraId="1A20FBEA" w14:textId="77777777" w:rsidR="00B67C49" w:rsidRDefault="00000000">
            <w:pPr>
              <w:pStyle w:val="biaogeright"/>
              <w:wordWrap w:val="0"/>
              <w:rPr>
                <w:rFonts w:asciiTheme="minorEastAsia" w:eastAsiaTheme="minorEastAsia" w:hAnsiTheme="minorEastAsia" w:cs="Times New Roman"/>
                <w:bCs/>
                <w:kern w:val="2"/>
              </w:rPr>
            </w:pPr>
            <w:r>
              <w:t>-</w:t>
            </w:r>
          </w:p>
        </w:tc>
      </w:tr>
      <w:tr w:rsidR="00B67C49" w14:paraId="765EFFB7" w14:textId="77777777">
        <w:tc>
          <w:tcPr>
            <w:tcW w:w="1276" w:type="dxa"/>
            <w:tcBorders>
              <w:top w:val="single" w:sz="8" w:space="0" w:color="000000"/>
              <w:left w:val="single" w:sz="8" w:space="0" w:color="000000"/>
              <w:bottom w:val="single" w:sz="6" w:space="0" w:color="000000"/>
              <w:right w:val="single" w:sz="8" w:space="0" w:color="000000"/>
            </w:tcBorders>
            <w:vAlign w:val="center"/>
          </w:tcPr>
          <w:p w14:paraId="350AAA9E"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8</w:t>
            </w:r>
          </w:p>
        </w:tc>
        <w:tc>
          <w:tcPr>
            <w:tcW w:w="3709" w:type="dxa"/>
            <w:tcBorders>
              <w:top w:val="single" w:sz="8" w:space="0" w:color="000000"/>
              <w:left w:val="single" w:sz="8" w:space="0" w:color="000000"/>
              <w:bottom w:val="single" w:sz="6" w:space="0" w:color="000000"/>
              <w:right w:val="single" w:sz="8" w:space="0" w:color="000000"/>
            </w:tcBorders>
            <w:vAlign w:val="center"/>
          </w:tcPr>
          <w:p w14:paraId="754032C2"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合计</w:t>
            </w:r>
          </w:p>
        </w:tc>
        <w:tc>
          <w:tcPr>
            <w:tcW w:w="4060" w:type="dxa"/>
            <w:tcBorders>
              <w:top w:val="single" w:sz="8" w:space="0" w:color="000000"/>
              <w:left w:val="single" w:sz="8" w:space="0" w:color="000000"/>
              <w:bottom w:val="single" w:sz="6" w:space="0" w:color="000000"/>
              <w:right w:val="single" w:sz="8" w:space="0" w:color="000000"/>
            </w:tcBorders>
            <w:vAlign w:val="center"/>
          </w:tcPr>
          <w:p w14:paraId="3AE821A1" w14:textId="77777777" w:rsidR="00B67C49" w:rsidRDefault="00000000">
            <w:pPr>
              <w:pStyle w:val="biaogeright"/>
              <w:wordWrap w:val="0"/>
              <w:rPr>
                <w:rFonts w:asciiTheme="minorEastAsia" w:eastAsiaTheme="minorEastAsia" w:hAnsiTheme="minorEastAsia" w:cs="Times New Roman"/>
                <w:bCs/>
                <w:kern w:val="2"/>
              </w:rPr>
            </w:pPr>
            <w:r>
              <w:t>2,921,574.71</w:t>
            </w:r>
          </w:p>
        </w:tc>
      </w:tr>
    </w:tbl>
    <w:p w14:paraId="358514B4" w14:textId="77777777" w:rsidR="00B67C49" w:rsidRDefault="00B67C49">
      <w:pPr>
        <w:widowControl/>
        <w:jc w:val="left"/>
        <w:rPr>
          <w:rFonts w:asciiTheme="minorEastAsia" w:hAnsiTheme="minorEastAsia" w:cs="Times New Roman"/>
          <w:bCs/>
          <w:sz w:val="24"/>
          <w:szCs w:val="24"/>
        </w:rPr>
      </w:pPr>
    </w:p>
    <w:p w14:paraId="4D7815BB"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4） 报告期末持有的处于转股期的可转换债券明细</w:t>
      </w:r>
    </w:p>
    <w:p w14:paraId="12E686B2"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本基金本报告期末未持有处于转股期的可转换债券。</w:t>
      </w:r>
    </w:p>
    <w:p w14:paraId="30CA1363" w14:textId="77777777" w:rsidR="00B67C49" w:rsidRDefault="00B67C49">
      <w:pPr>
        <w:widowControl/>
        <w:jc w:val="left"/>
        <w:rPr>
          <w:rFonts w:asciiTheme="minorEastAsia" w:hAnsiTheme="minorEastAsia" w:cs="Times New Roman"/>
          <w:bCs/>
          <w:sz w:val="24"/>
          <w:szCs w:val="24"/>
        </w:rPr>
      </w:pPr>
    </w:p>
    <w:p w14:paraId="535683B2"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5） 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十名股票中存在流通受限情况的说明</w:t>
      </w:r>
    </w:p>
    <w:p w14:paraId="39072F7D" w14:textId="77777777" w:rsidR="00B67C49" w:rsidRDefault="00000000">
      <w:pPr>
        <w:pStyle w:val="neirong"/>
        <w:ind w:firstLineChars="200" w:firstLine="48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本基金本报告</w:t>
      </w:r>
      <w:proofErr w:type="gramStart"/>
      <w:r>
        <w:rPr>
          <w:rFonts w:asciiTheme="minorEastAsia" w:eastAsiaTheme="minorEastAsia" w:hAnsiTheme="minorEastAsia" w:cs="Times New Roman" w:hint="eastAsia"/>
          <w:bCs/>
          <w:kern w:val="2"/>
        </w:rPr>
        <w:t>期末前</w:t>
      </w:r>
      <w:proofErr w:type="gramEnd"/>
      <w:r>
        <w:rPr>
          <w:rFonts w:asciiTheme="minorEastAsia" w:eastAsiaTheme="minorEastAsia" w:hAnsiTheme="minorEastAsia" w:cs="Times New Roman" w:hint="eastAsia"/>
          <w:bCs/>
          <w:kern w:val="2"/>
        </w:rPr>
        <w:t>十名股票中不存在流通受限股票。</w:t>
      </w:r>
    </w:p>
    <w:p w14:paraId="63B5907F" w14:textId="77777777" w:rsidR="00B67C49" w:rsidRDefault="00B67C49">
      <w:pPr>
        <w:widowControl/>
        <w:jc w:val="left"/>
        <w:rPr>
          <w:rFonts w:asciiTheme="minorEastAsia" w:hAnsiTheme="minorEastAsia" w:cs="Times New Roman"/>
          <w:bCs/>
          <w:sz w:val="24"/>
          <w:szCs w:val="24"/>
        </w:rPr>
      </w:pPr>
    </w:p>
    <w:p w14:paraId="477539EB"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w:t>
      </w:r>
      <w:r>
        <w:rPr>
          <w:rFonts w:asciiTheme="minorEastAsia" w:eastAsiaTheme="minorEastAsia" w:hAnsiTheme="minorEastAsia" w:cs="Times New Roman"/>
          <w:bCs/>
          <w:kern w:val="2"/>
        </w:rPr>
        <w:t>6） 投资组合报告附注的其他文字描述部分</w:t>
      </w:r>
    </w:p>
    <w:p w14:paraId="773BC7C8" w14:textId="77777777" w:rsidR="00B67C49" w:rsidRDefault="00000000">
      <w:pPr>
        <w:autoSpaceDE w:val="0"/>
        <w:autoSpaceDN w:val="0"/>
        <w:spacing w:line="360" w:lineRule="auto"/>
        <w:ind w:firstLineChars="200" w:firstLine="480"/>
        <w:textAlignment w:val="bottom"/>
        <w:rPr>
          <w:rFonts w:asciiTheme="minorEastAsia" w:hAnsiTheme="minorEastAsia" w:cs="Times New Roman"/>
          <w:bCs/>
          <w:sz w:val="24"/>
          <w:szCs w:val="24"/>
        </w:rPr>
      </w:pPr>
      <w:r>
        <w:rPr>
          <w:rFonts w:asciiTheme="minorEastAsia" w:hAnsiTheme="minorEastAsia" w:cs="Times New Roman" w:hint="eastAsia"/>
          <w:bCs/>
          <w:sz w:val="24"/>
          <w:szCs w:val="24"/>
        </w:rPr>
        <w:t>由于四舍五入原因，分项之和与合计可能有尾差。</w:t>
      </w:r>
    </w:p>
    <w:p w14:paraId="4B6C3493" w14:textId="77777777" w:rsidR="00B67C49" w:rsidRDefault="00000000">
      <w:pPr>
        <w:autoSpaceDE w:val="0"/>
        <w:autoSpaceDN w:val="0"/>
        <w:spacing w:line="360" w:lineRule="auto"/>
        <w:ind w:firstLineChars="200" w:firstLine="482"/>
        <w:textAlignment w:val="bottom"/>
        <w:rPr>
          <w:rFonts w:asciiTheme="minorEastAsia" w:hAnsiTheme="minorEastAsia" w:cs="Times New Roman"/>
          <w:b/>
          <w:sz w:val="24"/>
          <w:szCs w:val="24"/>
        </w:rPr>
      </w:pPr>
      <w:r>
        <w:rPr>
          <w:rFonts w:asciiTheme="minorEastAsia" w:hAnsiTheme="minorEastAsia" w:cs="Times New Roman" w:hint="eastAsia"/>
          <w:b/>
          <w:sz w:val="24"/>
          <w:szCs w:val="24"/>
        </w:rPr>
        <w:t>十、基金净值表现</w:t>
      </w:r>
    </w:p>
    <w:p w14:paraId="1129BB0E" w14:textId="77777777" w:rsidR="00B67C49" w:rsidRDefault="00000000">
      <w:pPr>
        <w:pStyle w:val="zhangjiep2"/>
        <w:rPr>
          <w:rFonts w:asciiTheme="minorEastAsia" w:hAnsiTheme="minorEastAsia" w:cs="Times New Roman"/>
          <w:bCs/>
        </w:rPr>
      </w:pPr>
      <w:r>
        <w:rPr>
          <w:rFonts w:asciiTheme="minorEastAsia" w:eastAsiaTheme="minorEastAsia" w:hAnsiTheme="minorEastAsia" w:cs="Times New Roman" w:hint="eastAsia"/>
          <w:bCs/>
          <w:kern w:val="2"/>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08F9BECA" w14:textId="77777777" w:rsidR="00B67C49" w:rsidRDefault="00B67C49">
      <w:pPr>
        <w:pStyle w:val="zhangjiep2"/>
        <w:ind w:firstLine="420"/>
        <w:rPr>
          <w:rFonts w:asciiTheme="minorEastAsia" w:hAnsiTheme="minorEastAsia" w:cs="Times New Roman"/>
          <w:bCs/>
        </w:rPr>
      </w:pPr>
    </w:p>
    <w:p w14:paraId="7018EF6C" w14:textId="77777777" w:rsidR="00B67C49" w:rsidRDefault="00000000">
      <w:pPr>
        <w:pStyle w:val="zhangjiep2"/>
        <w:ind w:left="0"/>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w:t>
      </w:r>
      <w:r>
        <w:rPr>
          <w:rFonts w:asciiTheme="minorEastAsia" w:eastAsiaTheme="minorEastAsia" w:hAnsiTheme="minorEastAsia" w:cs="Times New Roman"/>
          <w:bCs/>
          <w:kern w:val="2"/>
        </w:rPr>
        <w:t>A</w:t>
      </w:r>
      <w:r>
        <w:rPr>
          <w:rFonts w:asciiTheme="minorEastAsia" w:eastAsiaTheme="minorEastAsia" w:hAnsiTheme="minorEastAsia" w:cs="Times New Roman" w:hint="eastAsia"/>
          <w:bCs/>
          <w:kern w:val="2"/>
        </w:rPr>
        <w:t>（基金代码：012876）</w:t>
      </w:r>
      <w:r>
        <w:rPr>
          <w:rFonts w:asciiTheme="minorEastAsia" w:eastAsiaTheme="minorEastAsia" w:hAnsiTheme="minorEastAsia" w:cs="Times New Roman"/>
          <w:bCs/>
          <w:kern w:val="2"/>
        </w:rPr>
        <w:t xml:space="preserve"> </w:t>
      </w:r>
    </w:p>
    <w:tbl>
      <w:tblPr>
        <w:tblW w:w="9260" w:type="dxa"/>
        <w:jc w:val="center"/>
        <w:tblLook w:val="04A0" w:firstRow="1" w:lastRow="0" w:firstColumn="1" w:lastColumn="0" w:noHBand="0" w:noVBand="1"/>
      </w:tblPr>
      <w:tblGrid>
        <w:gridCol w:w="1631"/>
        <w:gridCol w:w="1243"/>
        <w:gridCol w:w="1278"/>
        <w:gridCol w:w="1278"/>
        <w:gridCol w:w="1278"/>
        <w:gridCol w:w="1278"/>
        <w:gridCol w:w="1274"/>
      </w:tblGrid>
      <w:tr w:rsidR="00B67C49" w14:paraId="1D0BF0AF"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07A5EA3D"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阶段</w:t>
            </w:r>
          </w:p>
        </w:tc>
        <w:tc>
          <w:tcPr>
            <w:tcW w:w="671" w:type="pct"/>
            <w:tcBorders>
              <w:top w:val="single" w:sz="8" w:space="0" w:color="000000"/>
              <w:left w:val="single" w:sz="8" w:space="0" w:color="000000"/>
              <w:bottom w:val="single" w:sz="6" w:space="0" w:color="000000"/>
              <w:right w:val="single" w:sz="8" w:space="0" w:color="000000"/>
            </w:tcBorders>
            <w:vAlign w:val="center"/>
          </w:tcPr>
          <w:p w14:paraId="0317DE2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w:t>
            </w:r>
            <w:r>
              <w:rPr>
                <w:rFonts w:asciiTheme="minorEastAsia" w:eastAsiaTheme="minorEastAsia" w:hAnsiTheme="minorEastAsia" w:cs="Times New Roman" w:hint="eastAsia"/>
                <w:bCs/>
                <w:kern w:val="2"/>
              </w:rPr>
              <w:lastRenderedPageBreak/>
              <w:t>率①</w:t>
            </w:r>
          </w:p>
        </w:tc>
        <w:tc>
          <w:tcPr>
            <w:tcW w:w="690" w:type="pct"/>
            <w:tcBorders>
              <w:top w:val="single" w:sz="8" w:space="0" w:color="000000"/>
              <w:left w:val="single" w:sz="8" w:space="0" w:color="000000"/>
              <w:bottom w:val="single" w:sz="6" w:space="0" w:color="000000"/>
              <w:right w:val="single" w:sz="8" w:space="0" w:color="000000"/>
            </w:tcBorders>
            <w:vAlign w:val="center"/>
          </w:tcPr>
          <w:p w14:paraId="45B18C21"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净值增长</w:t>
            </w:r>
            <w:r>
              <w:rPr>
                <w:rFonts w:asciiTheme="minorEastAsia" w:eastAsiaTheme="minorEastAsia" w:hAnsiTheme="minorEastAsia" w:cs="Times New Roman" w:hint="eastAsia"/>
                <w:bCs/>
                <w:kern w:val="2"/>
              </w:rPr>
              <w:lastRenderedPageBreak/>
              <w:t>率标准差②</w:t>
            </w:r>
          </w:p>
        </w:tc>
        <w:tc>
          <w:tcPr>
            <w:tcW w:w="690" w:type="pct"/>
            <w:tcBorders>
              <w:top w:val="single" w:sz="8" w:space="0" w:color="000000"/>
              <w:left w:val="single" w:sz="8" w:space="0" w:color="000000"/>
              <w:bottom w:val="single" w:sz="6" w:space="0" w:color="000000"/>
              <w:right w:val="single" w:sz="8" w:space="0" w:color="000000"/>
            </w:tcBorders>
            <w:vAlign w:val="center"/>
          </w:tcPr>
          <w:p w14:paraId="4759964C"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业绩比较</w:t>
            </w:r>
            <w:r>
              <w:rPr>
                <w:rFonts w:asciiTheme="minorEastAsia" w:eastAsiaTheme="minorEastAsia" w:hAnsiTheme="minorEastAsia" w:cs="Times New Roman" w:hint="eastAsia"/>
                <w:bCs/>
                <w:kern w:val="2"/>
              </w:rPr>
              <w:lastRenderedPageBreak/>
              <w:t>基准收益率③</w:t>
            </w:r>
          </w:p>
        </w:tc>
        <w:tc>
          <w:tcPr>
            <w:tcW w:w="690" w:type="pct"/>
            <w:tcBorders>
              <w:top w:val="single" w:sz="8" w:space="0" w:color="000000"/>
              <w:left w:val="single" w:sz="8" w:space="0" w:color="000000"/>
              <w:bottom w:val="single" w:sz="6" w:space="0" w:color="000000"/>
              <w:right w:val="single" w:sz="8" w:space="0" w:color="000000"/>
            </w:tcBorders>
            <w:vAlign w:val="center"/>
          </w:tcPr>
          <w:p w14:paraId="52E7B6F4"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业绩比较</w:t>
            </w:r>
            <w:r>
              <w:rPr>
                <w:rFonts w:asciiTheme="minorEastAsia" w:eastAsiaTheme="minorEastAsia" w:hAnsiTheme="minorEastAsia" w:cs="Times New Roman" w:hint="eastAsia"/>
                <w:bCs/>
                <w:kern w:val="2"/>
              </w:rPr>
              <w:lastRenderedPageBreak/>
              <w:t>基准收益率标准差④</w:t>
            </w:r>
          </w:p>
        </w:tc>
        <w:tc>
          <w:tcPr>
            <w:tcW w:w="690" w:type="pct"/>
            <w:tcBorders>
              <w:top w:val="single" w:sz="8" w:space="0" w:color="000000"/>
              <w:left w:val="single" w:sz="8" w:space="0" w:color="000000"/>
              <w:bottom w:val="single" w:sz="6" w:space="0" w:color="000000"/>
              <w:right w:val="single" w:sz="8" w:space="0" w:color="000000"/>
            </w:tcBorders>
            <w:vAlign w:val="center"/>
          </w:tcPr>
          <w:p w14:paraId="1E628436"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lastRenderedPageBreak/>
              <w:t>①</w:t>
            </w:r>
            <w:r>
              <w:rPr>
                <w:rFonts w:asciiTheme="minorEastAsia" w:eastAsiaTheme="minorEastAsia" w:hAnsiTheme="minorEastAsia" w:cs="Times New Roman"/>
                <w:bCs/>
                <w:kern w:val="2"/>
              </w:rPr>
              <w:t>-③</w:t>
            </w:r>
          </w:p>
        </w:tc>
        <w:tc>
          <w:tcPr>
            <w:tcW w:w="688" w:type="pct"/>
            <w:tcBorders>
              <w:top w:val="single" w:sz="8" w:space="0" w:color="000000"/>
              <w:left w:val="single" w:sz="8" w:space="0" w:color="000000"/>
              <w:bottom w:val="single" w:sz="6" w:space="0" w:color="000000"/>
              <w:right w:val="single" w:sz="8" w:space="0" w:color="000000"/>
            </w:tcBorders>
            <w:vAlign w:val="center"/>
          </w:tcPr>
          <w:p w14:paraId="4476CFBA"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B67C49" w14:paraId="2DA0921E"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6E1D2271"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2021.12.27-2021.12.31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6EBF441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0.02</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3AA3BD5C"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0.01</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36A4434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0.34</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56B58788"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0.6</w:t>
            </w:r>
            <w:r>
              <w:rPr>
                <w:rFonts w:asciiTheme="minorEastAsia" w:eastAsiaTheme="minorEastAsia" w:hAnsiTheme="minorEastAsia" w:cs="Times New Roman" w:hint="eastAsia"/>
                <w:bCs/>
                <w:kern w:val="2"/>
              </w:rPr>
              <w:t>5</w:t>
            </w:r>
            <w:r>
              <w:rPr>
                <w:rFonts w:asciiTheme="minorEastAsia" w:eastAsiaTheme="minorEastAsia" w:hAnsiTheme="minorEastAsia" w:cs="Times New Roman"/>
                <w:bCs/>
                <w:kern w:val="2"/>
              </w:rPr>
              <w:t>%</w:t>
            </w:r>
          </w:p>
        </w:tc>
        <w:tc>
          <w:tcPr>
            <w:tcW w:w="690" w:type="pct"/>
            <w:tcBorders>
              <w:top w:val="single" w:sz="8" w:space="0" w:color="000000"/>
              <w:left w:val="single" w:sz="8" w:space="0" w:color="000000"/>
              <w:bottom w:val="single" w:sz="6" w:space="0" w:color="000000"/>
              <w:right w:val="single" w:sz="8" w:space="0" w:color="000000"/>
            </w:tcBorders>
            <w:vAlign w:val="center"/>
          </w:tcPr>
          <w:p w14:paraId="0D1D419A" w14:textId="77777777" w:rsidR="00B67C49"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-0.32%</w:t>
            </w:r>
          </w:p>
        </w:tc>
        <w:tc>
          <w:tcPr>
            <w:tcW w:w="688" w:type="pct"/>
            <w:tcBorders>
              <w:top w:val="single" w:sz="8" w:space="0" w:color="000000"/>
              <w:left w:val="single" w:sz="8" w:space="0" w:color="000000"/>
              <w:bottom w:val="single" w:sz="6" w:space="0" w:color="000000"/>
              <w:right w:val="single" w:sz="8" w:space="0" w:color="000000"/>
            </w:tcBorders>
            <w:vAlign w:val="center"/>
          </w:tcPr>
          <w:p w14:paraId="366A7894" w14:textId="77777777" w:rsidR="00B67C49"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-0.64%</w:t>
            </w:r>
          </w:p>
        </w:tc>
      </w:tr>
      <w:tr w:rsidR="00B67C49" w14:paraId="474E392B"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04126643"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71" w:type="pct"/>
            <w:tcBorders>
              <w:top w:val="single" w:sz="8" w:space="0" w:color="000000"/>
              <w:left w:val="single" w:sz="8" w:space="0" w:color="000000"/>
              <w:bottom w:val="single" w:sz="6" w:space="0" w:color="000000"/>
              <w:right w:val="single" w:sz="8" w:space="0" w:color="000000"/>
            </w:tcBorders>
            <w:vAlign w:val="center"/>
          </w:tcPr>
          <w:p w14:paraId="50E9D841" w14:textId="77777777" w:rsidR="00B67C49" w:rsidRDefault="00000000">
            <w:pPr>
              <w:pStyle w:val="biaogecenter"/>
              <w:wordWrap w:val="0"/>
              <w:rPr>
                <w:rFonts w:asciiTheme="minorEastAsia" w:eastAsiaTheme="minorEastAsia" w:hAnsiTheme="minorEastAsia" w:cs="Times New Roman"/>
                <w:bCs/>
                <w:kern w:val="2"/>
              </w:rPr>
            </w:pPr>
            <w:r>
              <w:rPr>
                <w:rFonts w:hAnsi="等线"/>
                <w:color w:val="000000"/>
              </w:rPr>
              <w:t>-12.88%</w:t>
            </w:r>
          </w:p>
        </w:tc>
        <w:tc>
          <w:tcPr>
            <w:tcW w:w="690" w:type="pct"/>
            <w:tcBorders>
              <w:top w:val="single" w:sz="8" w:space="0" w:color="000000"/>
              <w:left w:val="single" w:sz="8" w:space="0" w:color="000000"/>
              <w:bottom w:val="single" w:sz="6" w:space="0" w:color="000000"/>
              <w:right w:val="single" w:sz="8" w:space="0" w:color="000000"/>
            </w:tcBorders>
            <w:vAlign w:val="center"/>
          </w:tcPr>
          <w:p w14:paraId="361A0D21" w14:textId="77777777" w:rsidR="00B67C49" w:rsidRDefault="00000000">
            <w:pPr>
              <w:pStyle w:val="biaogecenter"/>
              <w:wordWrap w:val="0"/>
              <w:rPr>
                <w:rFonts w:asciiTheme="minorEastAsia" w:eastAsiaTheme="minorEastAsia" w:hAnsiTheme="minorEastAsia" w:cs="Times New Roman"/>
                <w:bCs/>
                <w:kern w:val="2"/>
              </w:rPr>
            </w:pPr>
            <w:r>
              <w:rPr>
                <w:rFonts w:hAnsi="等线"/>
                <w:color w:val="000000"/>
              </w:rPr>
              <w:t>0.78%</w:t>
            </w:r>
          </w:p>
        </w:tc>
        <w:tc>
          <w:tcPr>
            <w:tcW w:w="690" w:type="pct"/>
            <w:tcBorders>
              <w:top w:val="single" w:sz="8" w:space="0" w:color="000000"/>
              <w:left w:val="single" w:sz="8" w:space="0" w:color="000000"/>
              <w:bottom w:val="single" w:sz="6" w:space="0" w:color="000000"/>
              <w:right w:val="single" w:sz="8" w:space="0" w:color="000000"/>
            </w:tcBorders>
            <w:vAlign w:val="center"/>
          </w:tcPr>
          <w:p w14:paraId="20768AD3" w14:textId="77777777" w:rsidR="00B67C49" w:rsidRDefault="00000000">
            <w:pPr>
              <w:pStyle w:val="biaogecenter"/>
              <w:wordWrap w:val="0"/>
              <w:rPr>
                <w:rFonts w:asciiTheme="minorEastAsia" w:eastAsiaTheme="minorEastAsia" w:hAnsiTheme="minorEastAsia" w:cs="Times New Roman"/>
                <w:bCs/>
                <w:kern w:val="2"/>
              </w:rPr>
            </w:pPr>
            <w:r>
              <w:rPr>
                <w:rFonts w:hAnsi="等线"/>
                <w:color w:val="000000"/>
              </w:rPr>
              <w:t>-15.20%</w:t>
            </w:r>
          </w:p>
        </w:tc>
        <w:tc>
          <w:tcPr>
            <w:tcW w:w="690" w:type="pct"/>
            <w:tcBorders>
              <w:top w:val="single" w:sz="8" w:space="0" w:color="000000"/>
              <w:left w:val="single" w:sz="8" w:space="0" w:color="000000"/>
              <w:bottom w:val="single" w:sz="6" w:space="0" w:color="000000"/>
              <w:right w:val="single" w:sz="8" w:space="0" w:color="000000"/>
            </w:tcBorders>
            <w:vAlign w:val="center"/>
          </w:tcPr>
          <w:p w14:paraId="7EB88057" w14:textId="77777777" w:rsidR="00B67C49" w:rsidRDefault="00000000">
            <w:pPr>
              <w:pStyle w:val="biaogecenter"/>
              <w:wordWrap w:val="0"/>
              <w:rPr>
                <w:rFonts w:asciiTheme="minorEastAsia" w:eastAsiaTheme="minorEastAsia" w:hAnsiTheme="minorEastAsia" w:cs="Times New Roman"/>
                <w:bCs/>
                <w:kern w:val="2"/>
              </w:rPr>
            </w:pPr>
            <w:r>
              <w:rPr>
                <w:rFonts w:hAnsi="等线"/>
                <w:color w:val="000000"/>
              </w:rPr>
              <w:t>0.90%</w:t>
            </w:r>
          </w:p>
        </w:tc>
        <w:tc>
          <w:tcPr>
            <w:tcW w:w="690" w:type="pct"/>
            <w:tcBorders>
              <w:top w:val="single" w:sz="8" w:space="0" w:color="000000"/>
              <w:left w:val="single" w:sz="8" w:space="0" w:color="000000"/>
              <w:bottom w:val="single" w:sz="6" w:space="0" w:color="000000"/>
              <w:right w:val="single" w:sz="8" w:space="0" w:color="000000"/>
            </w:tcBorders>
            <w:vAlign w:val="center"/>
          </w:tcPr>
          <w:p w14:paraId="07207295" w14:textId="77777777" w:rsidR="00B67C49" w:rsidRDefault="00000000">
            <w:pPr>
              <w:pStyle w:val="biaogecenter"/>
              <w:wordWrap w:val="0"/>
              <w:rPr>
                <w:color w:val="000000"/>
                <w:sz w:val="22"/>
                <w:szCs w:val="22"/>
              </w:rPr>
            </w:pPr>
            <w:r>
              <w:rPr>
                <w:rFonts w:hAnsi="等线"/>
                <w:color w:val="000000"/>
              </w:rPr>
              <w:t>2.32%</w:t>
            </w:r>
          </w:p>
        </w:tc>
        <w:tc>
          <w:tcPr>
            <w:tcW w:w="688" w:type="pct"/>
            <w:tcBorders>
              <w:top w:val="single" w:sz="8" w:space="0" w:color="000000"/>
              <w:left w:val="single" w:sz="8" w:space="0" w:color="000000"/>
              <w:bottom w:val="single" w:sz="6" w:space="0" w:color="000000"/>
              <w:right w:val="single" w:sz="8" w:space="0" w:color="000000"/>
            </w:tcBorders>
            <w:vAlign w:val="center"/>
          </w:tcPr>
          <w:p w14:paraId="02D8840B" w14:textId="77777777" w:rsidR="00B67C49" w:rsidRDefault="00000000">
            <w:pPr>
              <w:pStyle w:val="biaogecenter"/>
              <w:wordWrap w:val="0"/>
              <w:rPr>
                <w:color w:val="000000"/>
                <w:sz w:val="22"/>
                <w:szCs w:val="22"/>
              </w:rPr>
            </w:pPr>
            <w:r>
              <w:rPr>
                <w:rFonts w:hAnsi="等线"/>
                <w:color w:val="000000"/>
              </w:rPr>
              <w:t>-0.12%</w:t>
            </w:r>
          </w:p>
        </w:tc>
      </w:tr>
      <w:tr w:rsidR="00B67C49" w14:paraId="409011EF" w14:textId="77777777">
        <w:trPr>
          <w:jc w:val="center"/>
        </w:trPr>
        <w:tc>
          <w:tcPr>
            <w:tcW w:w="881" w:type="pct"/>
            <w:tcBorders>
              <w:top w:val="single" w:sz="8" w:space="0" w:color="000000"/>
              <w:left w:val="single" w:sz="8" w:space="0" w:color="000000"/>
              <w:bottom w:val="single" w:sz="6" w:space="0" w:color="000000"/>
              <w:right w:val="single" w:sz="8" w:space="0" w:color="000000"/>
            </w:tcBorders>
            <w:vAlign w:val="center"/>
          </w:tcPr>
          <w:p w14:paraId="1EF3EFAE"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3</w:t>
            </w:r>
            <w:r>
              <w:rPr>
                <w:rFonts w:asciiTheme="minorEastAsia" w:eastAsiaTheme="minorEastAsia" w:hAnsiTheme="minorEastAsia" w:cs="Times New Roman"/>
                <w:bCs/>
                <w:kern w:val="2"/>
              </w:rPr>
              <w:t>.09.30</w:t>
            </w:r>
          </w:p>
        </w:tc>
        <w:tc>
          <w:tcPr>
            <w:tcW w:w="671" w:type="pct"/>
            <w:tcBorders>
              <w:top w:val="single" w:sz="8" w:space="0" w:color="000000"/>
              <w:left w:val="single" w:sz="8" w:space="0" w:color="000000"/>
              <w:bottom w:val="single" w:sz="6" w:space="0" w:color="000000"/>
              <w:right w:val="single" w:sz="8" w:space="0" w:color="000000"/>
            </w:tcBorders>
            <w:vAlign w:val="center"/>
          </w:tcPr>
          <w:p w14:paraId="0F3EB484" w14:textId="77777777" w:rsidR="00B67C49" w:rsidRDefault="00000000">
            <w:pPr>
              <w:pStyle w:val="biaogecenter"/>
              <w:wordWrap w:val="0"/>
              <w:rPr>
                <w:rFonts w:asciiTheme="minorEastAsia" w:eastAsiaTheme="minorEastAsia" w:hAnsiTheme="minorEastAsia" w:cs="Times New Roman"/>
                <w:bCs/>
                <w:kern w:val="2"/>
              </w:rPr>
            </w:pPr>
            <w:r>
              <w:t>-16.29%</w:t>
            </w:r>
          </w:p>
        </w:tc>
        <w:tc>
          <w:tcPr>
            <w:tcW w:w="690" w:type="pct"/>
            <w:tcBorders>
              <w:top w:val="single" w:sz="8" w:space="0" w:color="000000"/>
              <w:left w:val="single" w:sz="8" w:space="0" w:color="000000"/>
              <w:bottom w:val="single" w:sz="6" w:space="0" w:color="000000"/>
              <w:right w:val="single" w:sz="8" w:space="0" w:color="000000"/>
            </w:tcBorders>
            <w:vAlign w:val="center"/>
          </w:tcPr>
          <w:p w14:paraId="739FD84F" w14:textId="77777777" w:rsidR="00B67C49" w:rsidRDefault="00000000">
            <w:pPr>
              <w:pStyle w:val="biaogecenter"/>
              <w:wordWrap w:val="0"/>
              <w:rPr>
                <w:rFonts w:asciiTheme="minorEastAsia" w:eastAsiaTheme="minorEastAsia" w:hAnsiTheme="minorEastAsia" w:cs="Times New Roman"/>
                <w:bCs/>
                <w:kern w:val="2"/>
              </w:rPr>
            </w:pPr>
            <w:r>
              <w:t>0.77%</w:t>
            </w:r>
          </w:p>
        </w:tc>
        <w:tc>
          <w:tcPr>
            <w:tcW w:w="690" w:type="pct"/>
            <w:tcBorders>
              <w:top w:val="single" w:sz="8" w:space="0" w:color="000000"/>
              <w:left w:val="single" w:sz="8" w:space="0" w:color="000000"/>
              <w:bottom w:val="single" w:sz="6" w:space="0" w:color="000000"/>
              <w:right w:val="single" w:sz="8" w:space="0" w:color="000000"/>
            </w:tcBorders>
            <w:vAlign w:val="center"/>
          </w:tcPr>
          <w:p w14:paraId="563A3CEB" w14:textId="77777777" w:rsidR="00B67C49" w:rsidRDefault="00000000">
            <w:pPr>
              <w:pStyle w:val="biaogecenter"/>
              <w:wordWrap w:val="0"/>
              <w:rPr>
                <w:rFonts w:asciiTheme="minorEastAsia" w:eastAsiaTheme="minorEastAsia" w:hAnsiTheme="minorEastAsia" w:cs="Times New Roman"/>
                <w:bCs/>
                <w:kern w:val="2"/>
              </w:rPr>
            </w:pPr>
            <w:r>
              <w:t>-17.30%</w:t>
            </w:r>
          </w:p>
        </w:tc>
        <w:tc>
          <w:tcPr>
            <w:tcW w:w="690" w:type="pct"/>
            <w:tcBorders>
              <w:top w:val="single" w:sz="8" w:space="0" w:color="000000"/>
              <w:left w:val="single" w:sz="8" w:space="0" w:color="000000"/>
              <w:bottom w:val="single" w:sz="6" w:space="0" w:color="000000"/>
              <w:right w:val="single" w:sz="8" w:space="0" w:color="000000"/>
            </w:tcBorders>
            <w:vAlign w:val="center"/>
          </w:tcPr>
          <w:p w14:paraId="133FE4B5" w14:textId="77777777" w:rsidR="00B67C49" w:rsidRDefault="00000000">
            <w:pPr>
              <w:pStyle w:val="biaogecenter"/>
              <w:wordWrap w:val="0"/>
              <w:rPr>
                <w:rFonts w:asciiTheme="minorEastAsia" w:eastAsiaTheme="minorEastAsia" w:hAnsiTheme="minorEastAsia" w:cs="Times New Roman"/>
                <w:bCs/>
                <w:kern w:val="2"/>
              </w:rPr>
            </w:pPr>
            <w:r>
              <w:t>0.78%</w:t>
            </w:r>
          </w:p>
        </w:tc>
        <w:tc>
          <w:tcPr>
            <w:tcW w:w="690" w:type="pct"/>
            <w:tcBorders>
              <w:top w:val="single" w:sz="8" w:space="0" w:color="000000"/>
              <w:left w:val="single" w:sz="8" w:space="0" w:color="000000"/>
              <w:bottom w:val="single" w:sz="6" w:space="0" w:color="000000"/>
              <w:right w:val="single" w:sz="8" w:space="0" w:color="000000"/>
            </w:tcBorders>
            <w:vAlign w:val="center"/>
          </w:tcPr>
          <w:p w14:paraId="1535A55C" w14:textId="77777777" w:rsidR="00B67C49" w:rsidRDefault="00000000">
            <w:pPr>
              <w:pStyle w:val="biaogecenter"/>
              <w:wordWrap w:val="0"/>
              <w:rPr>
                <w:rFonts w:asciiTheme="minorEastAsia" w:eastAsiaTheme="minorEastAsia" w:hAnsiTheme="minorEastAsia" w:cs="Times New Roman"/>
                <w:bCs/>
                <w:kern w:val="2"/>
              </w:rPr>
            </w:pPr>
            <w:r>
              <w:t>1.01%</w:t>
            </w:r>
          </w:p>
        </w:tc>
        <w:tc>
          <w:tcPr>
            <w:tcW w:w="688" w:type="pct"/>
            <w:tcBorders>
              <w:top w:val="single" w:sz="8" w:space="0" w:color="000000"/>
              <w:left w:val="single" w:sz="8" w:space="0" w:color="000000"/>
              <w:bottom w:val="single" w:sz="6" w:space="0" w:color="000000"/>
              <w:right w:val="single" w:sz="8" w:space="0" w:color="000000"/>
            </w:tcBorders>
            <w:vAlign w:val="center"/>
          </w:tcPr>
          <w:p w14:paraId="46157757" w14:textId="77777777" w:rsidR="00B67C49" w:rsidRDefault="00000000">
            <w:pPr>
              <w:pStyle w:val="biaogecenter"/>
              <w:wordWrap w:val="0"/>
              <w:rPr>
                <w:rFonts w:asciiTheme="minorEastAsia" w:eastAsiaTheme="minorEastAsia" w:hAnsiTheme="minorEastAsia" w:cs="Times New Roman"/>
                <w:bCs/>
                <w:kern w:val="2"/>
              </w:rPr>
            </w:pPr>
            <w:r>
              <w:t>-0.01%</w:t>
            </w:r>
          </w:p>
        </w:tc>
      </w:tr>
    </w:tbl>
    <w:p w14:paraId="720CC2AE" w14:textId="77777777" w:rsidR="00B67C49" w:rsidRDefault="00000000">
      <w:pPr>
        <w:pStyle w:val="biaogeleft"/>
        <w:rPr>
          <w:rFonts w:asciiTheme="minorEastAsia" w:eastAsiaTheme="minorEastAsia" w:hAnsiTheme="minorEastAsia" w:cs="Times New Roman"/>
          <w:bCs/>
          <w:kern w:val="2"/>
        </w:rPr>
      </w:pP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富荣福耀混合C（基金代码：012877）</w:t>
      </w:r>
    </w:p>
    <w:tbl>
      <w:tblPr>
        <w:tblW w:w="9261" w:type="dxa"/>
        <w:jc w:val="center"/>
        <w:tblLook w:val="04A0" w:firstRow="1" w:lastRow="0" w:firstColumn="1" w:lastColumn="0" w:noHBand="0" w:noVBand="1"/>
      </w:tblPr>
      <w:tblGrid>
        <w:gridCol w:w="1601"/>
        <w:gridCol w:w="1277"/>
        <w:gridCol w:w="1277"/>
        <w:gridCol w:w="1277"/>
        <w:gridCol w:w="1277"/>
        <w:gridCol w:w="1276"/>
        <w:gridCol w:w="1276"/>
      </w:tblGrid>
      <w:tr w:rsidR="00B67C49" w14:paraId="2DC51988"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6E958AA3"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阶段</w:t>
            </w:r>
          </w:p>
        </w:tc>
        <w:tc>
          <w:tcPr>
            <w:tcW w:w="689" w:type="pct"/>
            <w:tcBorders>
              <w:top w:val="single" w:sz="8" w:space="0" w:color="000000"/>
              <w:left w:val="single" w:sz="8" w:space="0" w:color="000000"/>
              <w:bottom w:val="single" w:sz="6" w:space="0" w:color="000000"/>
              <w:right w:val="single" w:sz="8" w:space="0" w:color="000000"/>
            </w:tcBorders>
            <w:vAlign w:val="center"/>
          </w:tcPr>
          <w:p w14:paraId="79F4921D"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净值增长率①</w:t>
            </w:r>
          </w:p>
        </w:tc>
        <w:tc>
          <w:tcPr>
            <w:tcW w:w="689" w:type="pct"/>
            <w:tcBorders>
              <w:top w:val="single" w:sz="8" w:space="0" w:color="000000"/>
              <w:left w:val="single" w:sz="8" w:space="0" w:color="000000"/>
              <w:bottom w:val="single" w:sz="6" w:space="0" w:color="000000"/>
              <w:right w:val="single" w:sz="8" w:space="0" w:color="000000"/>
            </w:tcBorders>
            <w:vAlign w:val="center"/>
          </w:tcPr>
          <w:p w14:paraId="369648F7"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净值增长率标准差②</w:t>
            </w:r>
          </w:p>
        </w:tc>
        <w:tc>
          <w:tcPr>
            <w:tcW w:w="689" w:type="pct"/>
            <w:tcBorders>
              <w:top w:val="single" w:sz="8" w:space="0" w:color="000000"/>
              <w:left w:val="single" w:sz="8" w:space="0" w:color="000000"/>
              <w:bottom w:val="single" w:sz="6" w:space="0" w:color="000000"/>
              <w:right w:val="single" w:sz="8" w:space="0" w:color="000000"/>
            </w:tcBorders>
            <w:vAlign w:val="center"/>
          </w:tcPr>
          <w:p w14:paraId="3E79EAE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业绩比较基准收益率③</w:t>
            </w:r>
          </w:p>
        </w:tc>
        <w:tc>
          <w:tcPr>
            <w:tcW w:w="689" w:type="pct"/>
            <w:tcBorders>
              <w:top w:val="single" w:sz="8" w:space="0" w:color="000000"/>
              <w:left w:val="single" w:sz="8" w:space="0" w:color="000000"/>
              <w:bottom w:val="single" w:sz="6" w:space="0" w:color="000000"/>
              <w:right w:val="single" w:sz="8" w:space="0" w:color="000000"/>
            </w:tcBorders>
            <w:vAlign w:val="center"/>
          </w:tcPr>
          <w:p w14:paraId="663531C0"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业绩比较基准收益率标准差④</w:t>
            </w:r>
          </w:p>
        </w:tc>
        <w:tc>
          <w:tcPr>
            <w:tcW w:w="689" w:type="pct"/>
            <w:tcBorders>
              <w:top w:val="single" w:sz="8" w:space="0" w:color="000000"/>
              <w:left w:val="single" w:sz="8" w:space="0" w:color="000000"/>
              <w:bottom w:val="single" w:sz="6" w:space="0" w:color="000000"/>
              <w:right w:val="single" w:sz="8" w:space="0" w:color="000000"/>
            </w:tcBorders>
            <w:vAlign w:val="center"/>
          </w:tcPr>
          <w:p w14:paraId="21C2756F"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①</w:t>
            </w:r>
            <w:r>
              <w:rPr>
                <w:rFonts w:asciiTheme="minorEastAsia" w:eastAsiaTheme="minorEastAsia" w:hAnsiTheme="minorEastAsia" w:cs="Times New Roman"/>
                <w:bCs/>
                <w:kern w:val="2"/>
              </w:rPr>
              <w:t>-③</w:t>
            </w:r>
          </w:p>
        </w:tc>
        <w:tc>
          <w:tcPr>
            <w:tcW w:w="689" w:type="pct"/>
            <w:tcBorders>
              <w:top w:val="single" w:sz="8" w:space="0" w:color="000000"/>
              <w:left w:val="single" w:sz="8" w:space="0" w:color="000000"/>
              <w:bottom w:val="single" w:sz="6" w:space="0" w:color="000000"/>
              <w:right w:val="single" w:sz="8" w:space="0" w:color="000000"/>
            </w:tcBorders>
            <w:vAlign w:val="center"/>
          </w:tcPr>
          <w:p w14:paraId="3C1FDF44"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②</w:t>
            </w:r>
            <w:r>
              <w:rPr>
                <w:rFonts w:asciiTheme="minorEastAsia" w:eastAsiaTheme="minorEastAsia" w:hAnsiTheme="minorEastAsia" w:cs="Times New Roman"/>
                <w:bCs/>
                <w:kern w:val="2"/>
              </w:rPr>
              <w:t>-④</w:t>
            </w:r>
          </w:p>
        </w:tc>
      </w:tr>
      <w:tr w:rsidR="00B67C49" w14:paraId="111B9B0D"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7D714A79"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2021.12.27-2021.12.31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7E42FC83"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0.02%</w:t>
            </w:r>
          </w:p>
        </w:tc>
        <w:tc>
          <w:tcPr>
            <w:tcW w:w="689" w:type="pct"/>
            <w:tcBorders>
              <w:top w:val="single" w:sz="8" w:space="0" w:color="000000"/>
              <w:left w:val="single" w:sz="8" w:space="0" w:color="000000"/>
              <w:bottom w:val="single" w:sz="6" w:space="0" w:color="000000"/>
              <w:right w:val="single" w:sz="8" w:space="0" w:color="000000"/>
            </w:tcBorders>
            <w:vAlign w:val="center"/>
          </w:tcPr>
          <w:p w14:paraId="6ADE37D5"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0.01%</w:t>
            </w:r>
          </w:p>
        </w:tc>
        <w:tc>
          <w:tcPr>
            <w:tcW w:w="689" w:type="pct"/>
            <w:tcBorders>
              <w:top w:val="single" w:sz="8" w:space="0" w:color="000000"/>
              <w:left w:val="single" w:sz="8" w:space="0" w:color="000000"/>
              <w:bottom w:val="single" w:sz="6" w:space="0" w:color="000000"/>
              <w:right w:val="single" w:sz="8" w:space="0" w:color="000000"/>
            </w:tcBorders>
            <w:vAlign w:val="center"/>
          </w:tcPr>
          <w:p w14:paraId="6A10C529"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0.34%</w:t>
            </w:r>
          </w:p>
        </w:tc>
        <w:tc>
          <w:tcPr>
            <w:tcW w:w="689" w:type="pct"/>
            <w:tcBorders>
              <w:top w:val="single" w:sz="8" w:space="0" w:color="000000"/>
              <w:left w:val="single" w:sz="8" w:space="0" w:color="000000"/>
              <w:bottom w:val="single" w:sz="6" w:space="0" w:color="000000"/>
              <w:right w:val="single" w:sz="8" w:space="0" w:color="000000"/>
            </w:tcBorders>
            <w:vAlign w:val="center"/>
          </w:tcPr>
          <w:p w14:paraId="2068AD8F" w14:textId="77777777" w:rsidR="00B67C49" w:rsidRDefault="00000000">
            <w:pPr>
              <w:pStyle w:val="biaogecenter"/>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0.65%</w:t>
            </w:r>
          </w:p>
        </w:tc>
        <w:tc>
          <w:tcPr>
            <w:tcW w:w="689" w:type="pct"/>
            <w:tcBorders>
              <w:top w:val="single" w:sz="8" w:space="0" w:color="000000"/>
              <w:left w:val="single" w:sz="8" w:space="0" w:color="000000"/>
              <w:bottom w:val="single" w:sz="6" w:space="0" w:color="000000"/>
              <w:right w:val="single" w:sz="8" w:space="0" w:color="000000"/>
            </w:tcBorders>
            <w:vAlign w:val="center"/>
          </w:tcPr>
          <w:p w14:paraId="6AD6FD7F" w14:textId="77777777" w:rsidR="00B67C49"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-0.32%</w:t>
            </w:r>
          </w:p>
        </w:tc>
        <w:tc>
          <w:tcPr>
            <w:tcW w:w="689" w:type="pct"/>
            <w:tcBorders>
              <w:top w:val="single" w:sz="8" w:space="0" w:color="000000"/>
              <w:left w:val="single" w:sz="8" w:space="0" w:color="000000"/>
              <w:bottom w:val="single" w:sz="6" w:space="0" w:color="000000"/>
              <w:right w:val="single" w:sz="8" w:space="0" w:color="000000"/>
            </w:tcBorders>
            <w:vAlign w:val="center"/>
          </w:tcPr>
          <w:p w14:paraId="54C7D3F7" w14:textId="77777777" w:rsidR="00B67C49" w:rsidRDefault="00000000">
            <w:pPr>
              <w:pStyle w:val="biaogecenter"/>
              <w:wordWrap w:val="0"/>
              <w:rPr>
                <w:rFonts w:asciiTheme="minorEastAsia" w:eastAsiaTheme="minorEastAsia" w:hAnsiTheme="minorEastAsia" w:cs="Times New Roman"/>
                <w:bCs/>
                <w:kern w:val="2"/>
              </w:rPr>
            </w:pPr>
            <w:r>
              <w:rPr>
                <w:rFonts w:hint="eastAsia"/>
                <w:color w:val="000000"/>
                <w:sz w:val="22"/>
                <w:szCs w:val="22"/>
              </w:rPr>
              <w:t>-0.64%</w:t>
            </w:r>
          </w:p>
        </w:tc>
      </w:tr>
      <w:tr w:rsidR="00B67C49" w14:paraId="70804C63"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6B17FFE9"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w:t>
            </w:r>
            <w:r>
              <w:rPr>
                <w:rFonts w:asciiTheme="minorEastAsia" w:eastAsiaTheme="minorEastAsia" w:hAnsiTheme="minorEastAsia" w:cs="Times New Roman" w:hint="eastAsia"/>
                <w:bCs/>
                <w:kern w:val="2"/>
              </w:rPr>
              <w:t>01</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2</w:t>
            </w:r>
            <w:r>
              <w:rPr>
                <w:rFonts w:asciiTheme="minorEastAsia" w:eastAsiaTheme="minorEastAsia" w:hAnsiTheme="minorEastAsia" w:cs="Times New Roman"/>
                <w:bCs/>
                <w:kern w:val="2"/>
              </w:rPr>
              <w:t>.12.31</w:t>
            </w:r>
          </w:p>
        </w:tc>
        <w:tc>
          <w:tcPr>
            <w:tcW w:w="689" w:type="pct"/>
            <w:tcBorders>
              <w:top w:val="single" w:sz="8" w:space="0" w:color="000000"/>
              <w:left w:val="single" w:sz="8" w:space="0" w:color="000000"/>
              <w:bottom w:val="single" w:sz="6" w:space="0" w:color="000000"/>
              <w:right w:val="single" w:sz="8" w:space="0" w:color="000000"/>
            </w:tcBorders>
            <w:vAlign w:val="center"/>
          </w:tcPr>
          <w:p w14:paraId="12C184B5" w14:textId="77777777" w:rsidR="00B67C49" w:rsidRDefault="00000000">
            <w:pPr>
              <w:pStyle w:val="biaogecenter"/>
              <w:wordWrap w:val="0"/>
              <w:rPr>
                <w:rFonts w:asciiTheme="minorEastAsia" w:eastAsiaTheme="minorEastAsia" w:hAnsiTheme="minorEastAsia" w:cs="Times New Roman"/>
                <w:bCs/>
                <w:kern w:val="2"/>
              </w:rPr>
            </w:pPr>
            <w:r>
              <w:rPr>
                <w:rFonts w:hAnsi="等线"/>
                <w:color w:val="000000"/>
              </w:rPr>
              <w:t>-13.23%</w:t>
            </w:r>
          </w:p>
        </w:tc>
        <w:tc>
          <w:tcPr>
            <w:tcW w:w="689" w:type="pct"/>
            <w:tcBorders>
              <w:top w:val="single" w:sz="8" w:space="0" w:color="000000"/>
              <w:left w:val="single" w:sz="8" w:space="0" w:color="000000"/>
              <w:bottom w:val="single" w:sz="6" w:space="0" w:color="000000"/>
              <w:right w:val="single" w:sz="8" w:space="0" w:color="000000"/>
            </w:tcBorders>
            <w:vAlign w:val="center"/>
          </w:tcPr>
          <w:p w14:paraId="250CDF5C" w14:textId="77777777" w:rsidR="00B67C49" w:rsidRDefault="00000000">
            <w:pPr>
              <w:pStyle w:val="biaogecenter"/>
              <w:wordWrap w:val="0"/>
              <w:rPr>
                <w:rFonts w:asciiTheme="minorEastAsia" w:eastAsiaTheme="minorEastAsia" w:hAnsiTheme="minorEastAsia" w:cs="Times New Roman"/>
                <w:bCs/>
                <w:kern w:val="2"/>
              </w:rPr>
            </w:pPr>
            <w:r>
              <w:rPr>
                <w:rFonts w:hAnsi="等线"/>
                <w:color w:val="000000"/>
              </w:rPr>
              <w:t>0.78%</w:t>
            </w:r>
          </w:p>
        </w:tc>
        <w:tc>
          <w:tcPr>
            <w:tcW w:w="689" w:type="pct"/>
            <w:tcBorders>
              <w:top w:val="single" w:sz="8" w:space="0" w:color="000000"/>
              <w:left w:val="single" w:sz="8" w:space="0" w:color="000000"/>
              <w:bottom w:val="single" w:sz="6" w:space="0" w:color="000000"/>
              <w:right w:val="single" w:sz="8" w:space="0" w:color="000000"/>
            </w:tcBorders>
            <w:vAlign w:val="center"/>
          </w:tcPr>
          <w:p w14:paraId="79E18A76" w14:textId="77777777" w:rsidR="00B67C49" w:rsidRDefault="00000000">
            <w:pPr>
              <w:pStyle w:val="biaogecenter"/>
              <w:wordWrap w:val="0"/>
              <w:rPr>
                <w:rFonts w:asciiTheme="minorEastAsia" w:eastAsiaTheme="minorEastAsia" w:hAnsiTheme="minorEastAsia" w:cs="Times New Roman"/>
                <w:bCs/>
                <w:kern w:val="2"/>
              </w:rPr>
            </w:pPr>
            <w:r>
              <w:rPr>
                <w:rFonts w:hAnsi="等线"/>
                <w:color w:val="000000"/>
              </w:rPr>
              <w:t>-15.20%</w:t>
            </w:r>
          </w:p>
        </w:tc>
        <w:tc>
          <w:tcPr>
            <w:tcW w:w="689" w:type="pct"/>
            <w:tcBorders>
              <w:top w:val="single" w:sz="8" w:space="0" w:color="000000"/>
              <w:left w:val="single" w:sz="8" w:space="0" w:color="000000"/>
              <w:bottom w:val="single" w:sz="6" w:space="0" w:color="000000"/>
              <w:right w:val="single" w:sz="8" w:space="0" w:color="000000"/>
            </w:tcBorders>
            <w:vAlign w:val="center"/>
          </w:tcPr>
          <w:p w14:paraId="5C89B9FD" w14:textId="77777777" w:rsidR="00B67C49" w:rsidRDefault="00000000">
            <w:pPr>
              <w:pStyle w:val="biaogecenter"/>
              <w:wordWrap w:val="0"/>
              <w:rPr>
                <w:rFonts w:asciiTheme="minorEastAsia" w:eastAsiaTheme="minorEastAsia" w:hAnsiTheme="minorEastAsia" w:cs="Times New Roman"/>
                <w:bCs/>
                <w:kern w:val="2"/>
              </w:rPr>
            </w:pPr>
            <w:r>
              <w:rPr>
                <w:rFonts w:hAnsi="等线"/>
                <w:color w:val="000000"/>
              </w:rPr>
              <w:t>0.90%</w:t>
            </w:r>
          </w:p>
        </w:tc>
        <w:tc>
          <w:tcPr>
            <w:tcW w:w="689" w:type="pct"/>
            <w:tcBorders>
              <w:top w:val="single" w:sz="8" w:space="0" w:color="000000"/>
              <w:left w:val="single" w:sz="8" w:space="0" w:color="000000"/>
              <w:bottom w:val="single" w:sz="6" w:space="0" w:color="000000"/>
              <w:right w:val="single" w:sz="8" w:space="0" w:color="000000"/>
            </w:tcBorders>
            <w:vAlign w:val="center"/>
          </w:tcPr>
          <w:p w14:paraId="2AB1191F" w14:textId="77777777" w:rsidR="00B67C49" w:rsidRDefault="00000000">
            <w:pPr>
              <w:pStyle w:val="biaogecenter"/>
              <w:wordWrap w:val="0"/>
              <w:rPr>
                <w:color w:val="000000"/>
                <w:sz w:val="22"/>
                <w:szCs w:val="22"/>
              </w:rPr>
            </w:pPr>
            <w:r>
              <w:rPr>
                <w:rFonts w:hAnsi="等线"/>
                <w:color w:val="000000"/>
              </w:rPr>
              <w:t>1.97%</w:t>
            </w:r>
          </w:p>
        </w:tc>
        <w:tc>
          <w:tcPr>
            <w:tcW w:w="689" w:type="pct"/>
            <w:tcBorders>
              <w:top w:val="single" w:sz="8" w:space="0" w:color="000000"/>
              <w:left w:val="single" w:sz="8" w:space="0" w:color="000000"/>
              <w:bottom w:val="single" w:sz="6" w:space="0" w:color="000000"/>
              <w:right w:val="single" w:sz="8" w:space="0" w:color="000000"/>
            </w:tcBorders>
            <w:vAlign w:val="center"/>
          </w:tcPr>
          <w:p w14:paraId="671D778D" w14:textId="77777777" w:rsidR="00B67C49" w:rsidRDefault="00000000">
            <w:pPr>
              <w:pStyle w:val="biaogecenter"/>
              <w:wordWrap w:val="0"/>
              <w:rPr>
                <w:color w:val="000000"/>
                <w:sz w:val="22"/>
                <w:szCs w:val="22"/>
              </w:rPr>
            </w:pPr>
            <w:r>
              <w:rPr>
                <w:rFonts w:hAnsi="等线"/>
                <w:color w:val="000000"/>
              </w:rPr>
              <w:t>-0.12%</w:t>
            </w:r>
          </w:p>
        </w:tc>
      </w:tr>
      <w:tr w:rsidR="00B67C49" w14:paraId="73FDC463" w14:textId="77777777">
        <w:trPr>
          <w:jc w:val="center"/>
        </w:trPr>
        <w:tc>
          <w:tcPr>
            <w:tcW w:w="864" w:type="pct"/>
            <w:tcBorders>
              <w:top w:val="single" w:sz="8" w:space="0" w:color="000000"/>
              <w:left w:val="single" w:sz="8" w:space="0" w:color="000000"/>
              <w:bottom w:val="single" w:sz="6" w:space="0" w:color="000000"/>
              <w:right w:val="single" w:sz="8" w:space="0" w:color="000000"/>
            </w:tcBorders>
            <w:vAlign w:val="center"/>
          </w:tcPr>
          <w:p w14:paraId="04FF6EF3" w14:textId="77777777" w:rsidR="00B67C49" w:rsidRDefault="00000000">
            <w:pPr>
              <w:pStyle w:val="biaogeleft"/>
              <w:wordWrap w:val="0"/>
              <w:rPr>
                <w:rFonts w:asciiTheme="minorEastAsia" w:eastAsiaTheme="minorEastAsia" w:hAnsiTheme="minorEastAsia" w:cs="Times New Roman"/>
                <w:bCs/>
                <w:kern w:val="2"/>
              </w:rPr>
            </w:pPr>
            <w:r>
              <w:rPr>
                <w:rFonts w:asciiTheme="minorEastAsia" w:eastAsiaTheme="minorEastAsia" w:hAnsiTheme="minorEastAsia" w:cs="Times New Roman" w:hint="eastAsia"/>
                <w:bCs/>
                <w:kern w:val="2"/>
              </w:rPr>
              <w:t>自基金合同生效日至</w:t>
            </w:r>
            <w:r>
              <w:rPr>
                <w:rFonts w:asciiTheme="minorEastAsia" w:eastAsiaTheme="minorEastAsia" w:hAnsiTheme="minorEastAsia" w:cs="Times New Roman"/>
                <w:bCs/>
                <w:kern w:val="2"/>
              </w:rPr>
              <w:t>202</w:t>
            </w:r>
            <w:r>
              <w:rPr>
                <w:rFonts w:asciiTheme="minorEastAsia" w:eastAsiaTheme="minorEastAsia" w:hAnsiTheme="minorEastAsia" w:cs="Times New Roman" w:hint="eastAsia"/>
                <w:bCs/>
                <w:kern w:val="2"/>
              </w:rPr>
              <w:t>3</w:t>
            </w:r>
            <w:r>
              <w:rPr>
                <w:rFonts w:asciiTheme="minorEastAsia" w:eastAsiaTheme="minorEastAsia" w:hAnsiTheme="minorEastAsia" w:cs="Times New Roman"/>
                <w:bCs/>
                <w:kern w:val="2"/>
              </w:rPr>
              <w:t>.09.30</w:t>
            </w:r>
          </w:p>
        </w:tc>
        <w:tc>
          <w:tcPr>
            <w:tcW w:w="689" w:type="pct"/>
            <w:tcBorders>
              <w:top w:val="single" w:sz="8" w:space="0" w:color="000000"/>
              <w:left w:val="single" w:sz="8" w:space="0" w:color="000000"/>
              <w:bottom w:val="single" w:sz="6" w:space="0" w:color="000000"/>
              <w:right w:val="single" w:sz="8" w:space="0" w:color="000000"/>
            </w:tcBorders>
            <w:vAlign w:val="center"/>
          </w:tcPr>
          <w:p w14:paraId="565012DA" w14:textId="77777777" w:rsidR="00B67C49" w:rsidRDefault="00000000">
            <w:pPr>
              <w:pStyle w:val="biaogecenter"/>
              <w:wordWrap w:val="0"/>
              <w:rPr>
                <w:rFonts w:asciiTheme="minorEastAsia" w:eastAsiaTheme="minorEastAsia" w:hAnsiTheme="minorEastAsia" w:cs="Times New Roman"/>
                <w:bCs/>
                <w:kern w:val="2"/>
              </w:rPr>
            </w:pPr>
            <w:r>
              <w:t>-16.90%</w:t>
            </w:r>
          </w:p>
        </w:tc>
        <w:tc>
          <w:tcPr>
            <w:tcW w:w="689" w:type="pct"/>
            <w:tcBorders>
              <w:top w:val="single" w:sz="8" w:space="0" w:color="000000"/>
              <w:left w:val="single" w:sz="8" w:space="0" w:color="000000"/>
              <w:bottom w:val="single" w:sz="6" w:space="0" w:color="000000"/>
              <w:right w:val="single" w:sz="8" w:space="0" w:color="000000"/>
            </w:tcBorders>
            <w:vAlign w:val="center"/>
          </w:tcPr>
          <w:p w14:paraId="58F02656" w14:textId="77777777" w:rsidR="00B67C49" w:rsidRDefault="00000000">
            <w:pPr>
              <w:pStyle w:val="biaogecenter"/>
              <w:wordWrap w:val="0"/>
              <w:rPr>
                <w:rFonts w:asciiTheme="minorEastAsia" w:eastAsiaTheme="minorEastAsia" w:hAnsiTheme="minorEastAsia" w:cs="Times New Roman"/>
                <w:bCs/>
                <w:kern w:val="2"/>
              </w:rPr>
            </w:pPr>
            <w:r>
              <w:t>0.77%</w:t>
            </w:r>
          </w:p>
        </w:tc>
        <w:tc>
          <w:tcPr>
            <w:tcW w:w="689" w:type="pct"/>
            <w:tcBorders>
              <w:top w:val="single" w:sz="8" w:space="0" w:color="000000"/>
              <w:left w:val="single" w:sz="8" w:space="0" w:color="000000"/>
              <w:bottom w:val="single" w:sz="6" w:space="0" w:color="000000"/>
              <w:right w:val="single" w:sz="8" w:space="0" w:color="000000"/>
            </w:tcBorders>
            <w:vAlign w:val="center"/>
          </w:tcPr>
          <w:p w14:paraId="0FFB95B9" w14:textId="77777777" w:rsidR="00B67C49" w:rsidRDefault="00000000">
            <w:pPr>
              <w:pStyle w:val="biaogecenter"/>
              <w:wordWrap w:val="0"/>
              <w:rPr>
                <w:rFonts w:asciiTheme="minorEastAsia" w:eastAsiaTheme="minorEastAsia" w:hAnsiTheme="minorEastAsia" w:cs="Times New Roman"/>
                <w:bCs/>
                <w:kern w:val="2"/>
              </w:rPr>
            </w:pPr>
            <w:r>
              <w:t>-17.30%</w:t>
            </w:r>
          </w:p>
        </w:tc>
        <w:tc>
          <w:tcPr>
            <w:tcW w:w="689" w:type="pct"/>
            <w:tcBorders>
              <w:top w:val="single" w:sz="8" w:space="0" w:color="000000"/>
              <w:left w:val="single" w:sz="8" w:space="0" w:color="000000"/>
              <w:bottom w:val="single" w:sz="6" w:space="0" w:color="000000"/>
              <w:right w:val="single" w:sz="8" w:space="0" w:color="000000"/>
            </w:tcBorders>
            <w:vAlign w:val="center"/>
          </w:tcPr>
          <w:p w14:paraId="41ABA3F0" w14:textId="77777777" w:rsidR="00B67C49" w:rsidRDefault="00000000">
            <w:pPr>
              <w:pStyle w:val="biaogecenter"/>
              <w:wordWrap w:val="0"/>
              <w:rPr>
                <w:rFonts w:asciiTheme="minorEastAsia" w:eastAsiaTheme="minorEastAsia" w:hAnsiTheme="minorEastAsia" w:cs="Times New Roman"/>
                <w:bCs/>
                <w:kern w:val="2"/>
              </w:rPr>
            </w:pPr>
            <w:r>
              <w:t>0.78%</w:t>
            </w:r>
          </w:p>
        </w:tc>
        <w:tc>
          <w:tcPr>
            <w:tcW w:w="689" w:type="pct"/>
            <w:tcBorders>
              <w:top w:val="single" w:sz="8" w:space="0" w:color="000000"/>
              <w:left w:val="single" w:sz="8" w:space="0" w:color="000000"/>
              <w:bottom w:val="single" w:sz="6" w:space="0" w:color="000000"/>
              <w:right w:val="single" w:sz="8" w:space="0" w:color="000000"/>
            </w:tcBorders>
            <w:vAlign w:val="center"/>
          </w:tcPr>
          <w:p w14:paraId="70BCFDD5" w14:textId="77777777" w:rsidR="00B67C49" w:rsidRDefault="00000000">
            <w:pPr>
              <w:pStyle w:val="biaogecenter"/>
              <w:wordWrap w:val="0"/>
              <w:rPr>
                <w:rFonts w:asciiTheme="minorEastAsia" w:eastAsiaTheme="minorEastAsia" w:hAnsiTheme="minorEastAsia" w:cs="Times New Roman"/>
                <w:bCs/>
                <w:kern w:val="2"/>
              </w:rPr>
            </w:pPr>
            <w:r>
              <w:t>0.40%</w:t>
            </w:r>
          </w:p>
        </w:tc>
        <w:tc>
          <w:tcPr>
            <w:tcW w:w="689" w:type="pct"/>
            <w:tcBorders>
              <w:top w:val="single" w:sz="8" w:space="0" w:color="000000"/>
              <w:left w:val="single" w:sz="8" w:space="0" w:color="000000"/>
              <w:bottom w:val="single" w:sz="6" w:space="0" w:color="000000"/>
              <w:right w:val="single" w:sz="8" w:space="0" w:color="000000"/>
            </w:tcBorders>
            <w:vAlign w:val="center"/>
          </w:tcPr>
          <w:p w14:paraId="1D62D7CE" w14:textId="77777777" w:rsidR="00B67C49" w:rsidRDefault="00000000">
            <w:pPr>
              <w:pStyle w:val="biaogecenter"/>
              <w:wordWrap w:val="0"/>
              <w:rPr>
                <w:rFonts w:asciiTheme="minorEastAsia" w:eastAsiaTheme="minorEastAsia" w:hAnsiTheme="minorEastAsia" w:cs="Times New Roman"/>
                <w:bCs/>
                <w:kern w:val="2"/>
              </w:rPr>
            </w:pPr>
            <w:r>
              <w:t>-0.01%</w:t>
            </w:r>
          </w:p>
        </w:tc>
      </w:tr>
    </w:tbl>
    <w:p w14:paraId="6963FFE6" w14:textId="77777777" w:rsidR="00B67C49" w:rsidRDefault="00000000">
      <w:pPr>
        <w:widowControl/>
        <w:spacing w:after="240"/>
        <w:jc w:val="left"/>
        <w:rPr>
          <w:rFonts w:asciiTheme="minorEastAsia" w:hAnsiTheme="minorEastAsia" w:cs="Times New Roman"/>
          <w:bCs/>
          <w:sz w:val="24"/>
          <w:szCs w:val="24"/>
        </w:rPr>
      </w:pPr>
      <w:r>
        <w:rPr>
          <w:rFonts w:asciiTheme="minorEastAsia" w:hAnsiTheme="minorEastAsia" w:cs="Times New Roman" w:hint="eastAsia"/>
          <w:bCs/>
          <w:sz w:val="24"/>
          <w:szCs w:val="24"/>
        </w:rPr>
        <w:t>注：本基金的业绩比较基准为：沪深</w:t>
      </w:r>
      <w:r>
        <w:rPr>
          <w:rFonts w:asciiTheme="minorEastAsia" w:hAnsiTheme="minorEastAsia" w:cs="Times New Roman"/>
          <w:bCs/>
          <w:sz w:val="24"/>
          <w:szCs w:val="24"/>
        </w:rPr>
        <w:t>300指数收益率×70%+中</w:t>
      </w:r>
      <w:proofErr w:type="gramStart"/>
      <w:r>
        <w:rPr>
          <w:rFonts w:asciiTheme="minorEastAsia" w:hAnsiTheme="minorEastAsia" w:cs="Times New Roman" w:hint="eastAsia"/>
          <w:bCs/>
          <w:sz w:val="24"/>
          <w:szCs w:val="24"/>
        </w:rPr>
        <w:t>债综合</w:t>
      </w:r>
      <w:proofErr w:type="gramEnd"/>
      <w:r>
        <w:rPr>
          <w:rFonts w:asciiTheme="minorEastAsia" w:hAnsiTheme="minorEastAsia" w:cs="Times New Roman" w:hint="eastAsia"/>
          <w:bCs/>
          <w:sz w:val="24"/>
          <w:szCs w:val="24"/>
        </w:rPr>
        <w:t>指数收益率×</w:t>
      </w:r>
      <w:r>
        <w:rPr>
          <w:rFonts w:asciiTheme="minorEastAsia" w:hAnsiTheme="minorEastAsia" w:cs="Times New Roman"/>
          <w:bCs/>
          <w:sz w:val="24"/>
          <w:szCs w:val="24"/>
        </w:rPr>
        <w:t>30% </w:t>
      </w:r>
    </w:p>
    <w:p w14:paraId="3C5D1729" w14:textId="77777777" w:rsidR="00B67C49" w:rsidRDefault="00000000">
      <w:pPr>
        <w:pStyle w:val="zhangjiep2"/>
        <w:rPr>
          <w:rFonts w:asciiTheme="minorEastAsia" w:eastAsiaTheme="minorEastAsia" w:hAnsiTheme="minorEastAsia" w:cs="Times New Roman"/>
          <w:bCs/>
          <w:kern w:val="2"/>
        </w:rPr>
      </w:pPr>
      <w:r>
        <w:rPr>
          <w:rFonts w:asciiTheme="minorEastAsia" w:eastAsiaTheme="minorEastAsia" w:hAnsiTheme="minorEastAsia" w:cs="Times New Roman"/>
          <w:bCs/>
          <w:kern w:val="2"/>
        </w:rPr>
        <w:t xml:space="preserve">2、 </w:t>
      </w:r>
      <w:r>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5A4E5C5B" w14:textId="77777777" w:rsidR="00B67C49" w:rsidRDefault="00000000">
      <w:pPr>
        <w:pStyle w:val="biaogeleft"/>
      </w:pPr>
      <w:r>
        <w:rPr>
          <w:rFonts w:hAnsi="等线"/>
          <w:noProof/>
          <w:color w:val="000000"/>
        </w:rPr>
        <w:lastRenderedPageBreak/>
        <w:drawing>
          <wp:inline distT="0" distB="0" distL="0" distR="0" wp14:anchorId="0ED378C2" wp14:editId="61CC68BE">
            <wp:extent cx="5429885" cy="35274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5">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0B39EE72" w14:textId="77777777" w:rsidR="00B67C49" w:rsidRDefault="00000000">
      <w:pPr>
        <w:pStyle w:val="biaogeleft"/>
      </w:pPr>
      <w:r>
        <w:rPr>
          <w:rFonts w:hAnsi="等线"/>
          <w:noProof/>
          <w:color w:val="000000"/>
        </w:rPr>
        <w:drawing>
          <wp:inline distT="0" distB="0" distL="0" distR="0" wp14:anchorId="79DB18B0" wp14:editId="654F05B5">
            <wp:extent cx="5429885" cy="3527425"/>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noChangeArrowheads="1"/>
                    </pic:cNvPicPr>
                  </pic:nvPicPr>
                  <pic:blipFill>
                    <a:blip r:embed="rId56">
                      <a:extLst>
                        <a:ext uri="{28A0092B-C50C-407E-A947-70E740481C1C}">
                          <a14:useLocalDpi xmlns:a14="http://schemas.microsoft.com/office/drawing/2010/main" val="0"/>
                        </a:ext>
                      </a:extLst>
                    </a:blip>
                    <a:stretch>
                      <a:fillRect/>
                    </a:stretch>
                  </pic:blipFill>
                  <pic:spPr>
                    <a:xfrm>
                      <a:off x="0" y="0"/>
                      <a:ext cx="5429885" cy="3527425"/>
                    </a:xfrm>
                    <a:prstGeom prst="rect">
                      <a:avLst/>
                    </a:prstGeom>
                    <a:noFill/>
                    <a:ln>
                      <a:noFill/>
                    </a:ln>
                  </pic:spPr>
                </pic:pic>
              </a:graphicData>
            </a:graphic>
          </wp:inline>
        </w:drawing>
      </w:r>
    </w:p>
    <w:p w14:paraId="487D47A8" w14:textId="77777777" w:rsidR="00B67C49" w:rsidRDefault="00000000">
      <w:pPr>
        <w:spacing w:line="360" w:lineRule="auto"/>
        <w:rPr>
          <w:rFonts w:asciiTheme="minorEastAsia" w:hAnsiTheme="minorEastAsia" w:cs="Times New Roman"/>
          <w:bCs/>
          <w:sz w:val="24"/>
          <w:szCs w:val="24"/>
        </w:rPr>
      </w:pPr>
      <w:r>
        <w:rPr>
          <w:rFonts w:asciiTheme="minorEastAsia" w:hAnsiTheme="minorEastAsia" w:cs="Times New Roman" w:hint="eastAsia"/>
          <w:bCs/>
          <w:sz w:val="24"/>
          <w:szCs w:val="24"/>
        </w:rPr>
        <w:t>注：本基金的建仓期为</w:t>
      </w:r>
      <w:r>
        <w:rPr>
          <w:rFonts w:asciiTheme="minorEastAsia" w:hAnsiTheme="minorEastAsia" w:cs="Times New Roman"/>
          <w:bCs/>
          <w:sz w:val="24"/>
          <w:szCs w:val="24"/>
        </w:rPr>
        <w:t>6个月，建仓期结束时各项资产配置比例符合合同约定。</w:t>
      </w:r>
    </w:p>
    <w:p w14:paraId="0932D35F" w14:textId="77777777" w:rsidR="00B67C49" w:rsidRDefault="00000000">
      <w:pPr>
        <w:pStyle w:val="1"/>
        <w:jc w:val="center"/>
        <w:rPr>
          <w:sz w:val="30"/>
          <w:szCs w:val="30"/>
        </w:rPr>
      </w:pPr>
      <w:bookmarkStart w:id="225" w:name="_Toc416264546"/>
      <w:bookmarkStart w:id="226" w:name="_Toc119568466"/>
      <w:bookmarkStart w:id="227" w:name="_Toc68266297"/>
      <w:bookmarkStart w:id="228" w:name="_Toc2255"/>
      <w:bookmarkStart w:id="229" w:name="_Toc26383"/>
      <w:bookmarkStart w:id="230" w:name="_Toc123102458"/>
      <w:bookmarkStart w:id="231" w:name="_Toc22674"/>
      <w:bookmarkStart w:id="232" w:name="_Toc352229757"/>
      <w:bookmarkStart w:id="233" w:name="_Toc14725"/>
      <w:bookmarkStart w:id="234" w:name="_Toc141703891"/>
      <w:bookmarkStart w:id="235" w:name="_Toc21886"/>
      <w:bookmarkStart w:id="236" w:name="_Toc123112239"/>
      <w:bookmarkStart w:id="237" w:name="_Toc31469"/>
      <w:bookmarkStart w:id="238" w:name="_Toc16789"/>
      <w:bookmarkStart w:id="239" w:name="_Toc19520"/>
      <w:bookmarkStart w:id="240" w:name="_Toc48649710"/>
      <w:bookmarkStart w:id="241" w:name="_Toc26084"/>
      <w:bookmarkStart w:id="242" w:name="_Toc123051457"/>
      <w:bookmarkStart w:id="243" w:name="_Toc79392624"/>
      <w:bookmarkStart w:id="244" w:name="_Toc26152"/>
      <w:bookmarkStart w:id="245" w:name="_Toc3244"/>
      <w:bookmarkStart w:id="246" w:name="_Toc139991741"/>
      <w:bookmarkStart w:id="247" w:name="_Toc98560357"/>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Pr>
          <w:rFonts w:hint="eastAsia"/>
          <w:sz w:val="30"/>
          <w:szCs w:val="30"/>
        </w:rPr>
        <w:t>第十部分</w:t>
      </w:r>
      <w:r>
        <w:rPr>
          <w:sz w:val="30"/>
          <w:szCs w:val="30"/>
        </w:rPr>
        <w:t xml:space="preserve">  </w:t>
      </w:r>
      <w:r>
        <w:rPr>
          <w:rFonts w:hint="eastAsia"/>
          <w:sz w:val="30"/>
          <w:szCs w:val="30"/>
        </w:rPr>
        <w:t>基金的财产</w:t>
      </w:r>
      <w:bookmarkEnd w:id="225"/>
      <w:bookmarkEnd w:id="226"/>
      <w:bookmarkEnd w:id="227"/>
    </w:p>
    <w:p w14:paraId="7DE3A718" w14:textId="77777777" w:rsidR="00B67C49" w:rsidRDefault="00000000">
      <w:pPr>
        <w:autoSpaceDE w:val="0"/>
        <w:autoSpaceDN w:val="0"/>
        <w:spacing w:line="360" w:lineRule="auto"/>
        <w:ind w:firstLineChars="200" w:firstLine="480"/>
        <w:textAlignment w:val="bottom"/>
        <w:rPr>
          <w:bCs/>
          <w:sz w:val="24"/>
        </w:rPr>
      </w:pPr>
      <w:bookmarkStart w:id="248" w:name="_Toc214873600"/>
      <w:bookmarkStart w:id="249" w:name="_Toc263092319"/>
      <w:bookmarkStart w:id="250" w:name="_Toc416264547"/>
      <w:bookmarkStart w:id="251" w:name="_Toc3872"/>
      <w:bookmarkStart w:id="252" w:name="_Toc16437"/>
      <w:bookmarkStart w:id="253" w:name="_Toc578"/>
      <w:bookmarkStart w:id="254" w:name="_Toc352229758"/>
      <w:bookmarkStart w:id="255" w:name="_Toc801"/>
      <w:bookmarkStart w:id="256" w:name="_Toc21917"/>
      <w:bookmarkStart w:id="257" w:name="_Toc13343"/>
      <w:bookmarkStart w:id="258" w:name="_Toc11395"/>
      <w:bookmarkStart w:id="259" w:name="_Toc2981"/>
      <w:bookmarkStart w:id="260" w:name="_Toc11351"/>
      <w:bookmarkStart w:id="261" w:name="_Toc22538"/>
      <w:bookmarkStart w:id="262" w:name="_Toc547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Pr>
          <w:rFonts w:hint="eastAsia"/>
          <w:bCs/>
          <w:sz w:val="24"/>
        </w:rPr>
        <w:t>一、基金资产总值</w:t>
      </w:r>
    </w:p>
    <w:p w14:paraId="218E3DC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基金资产总值是指基金拥有的各类有价证券、银行存款本息、基金应收款项及其他资产的价值总和。</w:t>
      </w:r>
    </w:p>
    <w:p w14:paraId="68E4D115"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二、基金资产净值</w:t>
      </w:r>
    </w:p>
    <w:p w14:paraId="2D36120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基金资产净值是指基金资产总值减去基金负债后的价值。</w:t>
      </w:r>
    </w:p>
    <w:p w14:paraId="0E5DA87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三、基金财产的账户</w:t>
      </w:r>
    </w:p>
    <w:p w14:paraId="3A150A5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54398F8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四、基金财产的保管和处分</w:t>
      </w:r>
    </w:p>
    <w:p w14:paraId="3F44208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Pr>
          <w:rFonts w:hint="eastAsia"/>
          <w:bCs/>
          <w:sz w:val="24"/>
        </w:rPr>
        <w:t>律法规</w:t>
      </w:r>
      <w:proofErr w:type="gramEnd"/>
      <w:r>
        <w:rPr>
          <w:rFonts w:hint="eastAsia"/>
          <w:bCs/>
          <w:sz w:val="24"/>
        </w:rPr>
        <w:t>和《基金合同》的规定处分外，基金财产不得被处分。</w:t>
      </w:r>
    </w:p>
    <w:p w14:paraId="33A0F03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rFonts w:hint="eastAsia"/>
          <w:bCs/>
          <w:sz w:val="24"/>
        </w:rPr>
        <w:t>抵销</w:t>
      </w:r>
      <w:proofErr w:type="gramEnd"/>
      <w:r>
        <w:rPr>
          <w:rFonts w:hint="eastAsia"/>
          <w:bCs/>
          <w:sz w:val="24"/>
        </w:rPr>
        <w:t>；基金管理人管理运作不同基金的基金财产所产生的债权债务不得相互</w:t>
      </w:r>
      <w:proofErr w:type="gramStart"/>
      <w:r>
        <w:rPr>
          <w:rFonts w:hint="eastAsia"/>
          <w:bCs/>
          <w:sz w:val="24"/>
        </w:rPr>
        <w:t>抵销</w:t>
      </w:r>
      <w:proofErr w:type="gramEnd"/>
      <w:r>
        <w:rPr>
          <w:rFonts w:hint="eastAsia"/>
          <w:bCs/>
          <w:sz w:val="24"/>
        </w:rPr>
        <w:t>。非因基金财产本身承担的债务，不得对基金财产强制执行。</w:t>
      </w:r>
    </w:p>
    <w:p w14:paraId="402CAD59" w14:textId="77777777" w:rsidR="00B67C49" w:rsidRDefault="00000000">
      <w:pPr>
        <w:widowControl/>
        <w:jc w:val="left"/>
        <w:rPr>
          <w:bCs/>
          <w:sz w:val="24"/>
        </w:rPr>
      </w:pPr>
      <w:r>
        <w:rPr>
          <w:bCs/>
          <w:sz w:val="24"/>
        </w:rPr>
        <w:br w:type="page"/>
      </w:r>
    </w:p>
    <w:p w14:paraId="0D0305BA" w14:textId="77777777" w:rsidR="00B67C49" w:rsidRDefault="00000000">
      <w:pPr>
        <w:pStyle w:val="1"/>
        <w:jc w:val="center"/>
        <w:rPr>
          <w:sz w:val="30"/>
          <w:szCs w:val="30"/>
        </w:rPr>
      </w:pPr>
      <w:bookmarkStart w:id="263" w:name="_Toc68266298"/>
      <w:bookmarkStart w:id="264" w:name="_Toc119568467"/>
      <w:r>
        <w:rPr>
          <w:rFonts w:hint="eastAsia"/>
          <w:sz w:val="30"/>
          <w:szCs w:val="30"/>
        </w:rPr>
        <w:lastRenderedPageBreak/>
        <w:t>第十一部分</w:t>
      </w:r>
      <w:r>
        <w:rPr>
          <w:sz w:val="30"/>
          <w:szCs w:val="30"/>
        </w:rPr>
        <w:t xml:space="preserve">  </w:t>
      </w:r>
      <w:r>
        <w:rPr>
          <w:rFonts w:hint="eastAsia"/>
          <w:sz w:val="30"/>
          <w:szCs w:val="30"/>
        </w:rPr>
        <w:t>基金资产的估值</w:t>
      </w:r>
      <w:bookmarkEnd w:id="248"/>
      <w:bookmarkEnd w:id="249"/>
      <w:bookmarkEnd w:id="250"/>
      <w:bookmarkEnd w:id="263"/>
      <w:bookmarkEnd w:id="264"/>
    </w:p>
    <w:p w14:paraId="47FF749B"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一、估值日</w:t>
      </w:r>
    </w:p>
    <w:p w14:paraId="2E29357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本基金的估值日为本基金相关的证券、期货交易场所的交易日以及国家法律法规规定需要对外披露基金净值的</w:t>
      </w:r>
      <w:proofErr w:type="gramStart"/>
      <w:r>
        <w:rPr>
          <w:rFonts w:hint="eastAsia"/>
          <w:bCs/>
          <w:sz w:val="24"/>
        </w:rPr>
        <w:t>非交易</w:t>
      </w:r>
      <w:proofErr w:type="gramEnd"/>
      <w:r>
        <w:rPr>
          <w:rFonts w:hint="eastAsia"/>
          <w:bCs/>
          <w:sz w:val="24"/>
        </w:rPr>
        <w:t>日。</w:t>
      </w:r>
    </w:p>
    <w:p w14:paraId="7DF46021"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二、估值对象</w:t>
      </w:r>
    </w:p>
    <w:p w14:paraId="2318CCA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基金所拥有的股票、存托凭证、股指期货合约、国债期货合约、债券和银行存款本息、资产支持证券、应收款项、其它投资、股票期权合约等资产及负债。</w:t>
      </w:r>
    </w:p>
    <w:p w14:paraId="096FBD1F"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三、估值原则</w:t>
      </w:r>
    </w:p>
    <w:p w14:paraId="1EB7064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基金管理人在确定相关金融资产和金融负债的公允价值时，应符合《企业会计准则》、监管部门有关规定。</w:t>
      </w:r>
    </w:p>
    <w:p w14:paraId="6E79D97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5397AE9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与上述投资品种相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D1208C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37E8D64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7A702233"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四、估值方法</w:t>
      </w:r>
    </w:p>
    <w:p w14:paraId="3ADCED4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、证券交易所上市的有价证券的估值</w:t>
      </w:r>
    </w:p>
    <w:p w14:paraId="48875BE3"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DCFBE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37B921C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54521DC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6D4DE5A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Pr>
          <w:bCs/>
          <w:sz w:val="24"/>
        </w:rPr>
        <w:t>；</w:t>
      </w:r>
    </w:p>
    <w:p w14:paraId="60707A5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5611E51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、处于未上市期间的有价证券应区分如下情况处理：</w:t>
      </w:r>
    </w:p>
    <w:p w14:paraId="078FB2B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2EC8429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53AF7D76"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w:t>
      </w:r>
      <w:r>
        <w:rPr>
          <w:rFonts w:hint="eastAsia"/>
          <w:bCs/>
          <w:sz w:val="24"/>
        </w:rPr>
        <w:t>3</w:t>
      </w:r>
      <w:r>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Pr>
          <w:rFonts w:hint="eastAsia"/>
          <w:bCs/>
          <w:sz w:val="24"/>
        </w:rPr>
        <w:t>券</w:t>
      </w:r>
      <w:proofErr w:type="gramEnd"/>
      <w:r>
        <w:rPr>
          <w:rFonts w:hint="eastAsia"/>
          <w:bCs/>
          <w:sz w:val="24"/>
        </w:rPr>
        <w:t>等流通受限股票），按监管机构或行业协会有关规定确定公允价值。</w:t>
      </w:r>
    </w:p>
    <w:p w14:paraId="0E6CF33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04BAFBD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、同一证券同时在两个或两个以上市场交易的，按证券所处的市场分别估值。</w:t>
      </w:r>
    </w:p>
    <w:p w14:paraId="145C3AC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、本基金投资国债期货合约、股指期货合约、股票期权合约，一般以估值当日结算价进行估值，估值当日无结算价的，且最近交易日后经济环境未发生重大变化的，采用最近交易日结算价估值。</w:t>
      </w:r>
    </w:p>
    <w:p w14:paraId="3148A031" w14:textId="77777777" w:rsidR="00B67C49" w:rsidRDefault="00000000">
      <w:pPr>
        <w:autoSpaceDE w:val="0"/>
        <w:autoSpaceDN w:val="0"/>
        <w:spacing w:line="360" w:lineRule="auto"/>
        <w:ind w:firstLineChars="200" w:firstLine="480"/>
        <w:textAlignment w:val="bottom"/>
        <w:rPr>
          <w:bCs/>
          <w:sz w:val="24"/>
        </w:rPr>
      </w:pPr>
      <w:r>
        <w:rPr>
          <w:bCs/>
          <w:sz w:val="24"/>
        </w:rPr>
        <w:t>6</w:t>
      </w:r>
      <w:r>
        <w:rPr>
          <w:rFonts w:hint="eastAsia"/>
          <w:bCs/>
          <w:sz w:val="24"/>
        </w:rPr>
        <w:t>、本基金投资存托凭证的估值核算，依照境内上市交易的股票执行。</w:t>
      </w:r>
    </w:p>
    <w:p w14:paraId="4A3649D9" w14:textId="77777777" w:rsidR="00B67C49" w:rsidRDefault="00000000">
      <w:pPr>
        <w:autoSpaceDE w:val="0"/>
        <w:autoSpaceDN w:val="0"/>
        <w:spacing w:line="360" w:lineRule="auto"/>
        <w:ind w:firstLineChars="200" w:firstLine="480"/>
        <w:textAlignment w:val="bottom"/>
        <w:rPr>
          <w:bCs/>
          <w:sz w:val="24"/>
        </w:rPr>
      </w:pPr>
      <w:r>
        <w:rPr>
          <w:bCs/>
          <w:sz w:val="24"/>
        </w:rPr>
        <w:t>7</w:t>
      </w:r>
      <w:r>
        <w:rPr>
          <w:rFonts w:hint="eastAsia"/>
          <w:bCs/>
          <w:sz w:val="24"/>
        </w:rPr>
        <w:t>、其他资产按法律法规或监管机构有关规定进行估值。</w:t>
      </w:r>
    </w:p>
    <w:p w14:paraId="1FBBDFB4" w14:textId="77777777" w:rsidR="00B67C49" w:rsidRDefault="00000000">
      <w:pPr>
        <w:autoSpaceDE w:val="0"/>
        <w:autoSpaceDN w:val="0"/>
        <w:spacing w:line="360" w:lineRule="auto"/>
        <w:ind w:firstLineChars="200" w:firstLine="480"/>
        <w:textAlignment w:val="bottom"/>
        <w:rPr>
          <w:bCs/>
          <w:sz w:val="24"/>
        </w:rPr>
      </w:pPr>
      <w:r>
        <w:rPr>
          <w:bCs/>
          <w:sz w:val="24"/>
        </w:rPr>
        <w:t>8</w:t>
      </w:r>
      <w:r>
        <w:rPr>
          <w:rFonts w:hint="eastAsia"/>
          <w:bCs/>
          <w:sz w:val="24"/>
        </w:rPr>
        <w:t>、如有确凿证据表明按上述方法进行估值不能客观反映其公允价值的，基金管理人可根据具体情况与基金托管人商定后，按最能反映公允价值的方法估值。</w:t>
      </w:r>
    </w:p>
    <w:p w14:paraId="0581B604" w14:textId="77777777" w:rsidR="00B67C49" w:rsidRDefault="00000000">
      <w:pPr>
        <w:autoSpaceDE w:val="0"/>
        <w:autoSpaceDN w:val="0"/>
        <w:spacing w:line="360" w:lineRule="auto"/>
        <w:ind w:firstLineChars="200" w:firstLine="480"/>
        <w:textAlignment w:val="bottom"/>
        <w:rPr>
          <w:bCs/>
          <w:sz w:val="24"/>
        </w:rPr>
      </w:pPr>
      <w:r>
        <w:rPr>
          <w:bCs/>
          <w:sz w:val="24"/>
        </w:rPr>
        <w:t>9</w:t>
      </w:r>
      <w:r>
        <w:rPr>
          <w:rFonts w:hint="eastAsia"/>
          <w:bCs/>
          <w:sz w:val="24"/>
        </w:rPr>
        <w:t>、当本基金发生大额申购或赎回情形时，基金管理人可以对本基金采用摆动定价机制，以确保基金估值的公平性。</w:t>
      </w:r>
    </w:p>
    <w:p w14:paraId="5C305EB7" w14:textId="77777777" w:rsidR="00B67C49" w:rsidRDefault="00000000">
      <w:pPr>
        <w:autoSpaceDE w:val="0"/>
        <w:autoSpaceDN w:val="0"/>
        <w:spacing w:line="360" w:lineRule="auto"/>
        <w:ind w:firstLineChars="200" w:firstLine="480"/>
        <w:textAlignment w:val="bottom"/>
        <w:rPr>
          <w:bCs/>
          <w:sz w:val="24"/>
        </w:rPr>
      </w:pPr>
      <w:r>
        <w:rPr>
          <w:bCs/>
          <w:sz w:val="24"/>
        </w:rPr>
        <w:t>10</w:t>
      </w:r>
      <w:r>
        <w:rPr>
          <w:rFonts w:hint="eastAsia"/>
          <w:bCs/>
          <w:sz w:val="24"/>
        </w:rPr>
        <w:t>、相关法律法规以及监管部门有强制规定的，从其规定。如有新增事项，按国家最新规定估值。</w:t>
      </w:r>
    </w:p>
    <w:p w14:paraId="46AE733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D86CB9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根据有关法律法规，基金资产净值计算和基金会计核算的义务由基金管理人承担，基金托管人承担复核责任。本基金的基金会计</w:t>
      </w:r>
      <w:proofErr w:type="gramStart"/>
      <w:r>
        <w:rPr>
          <w:rFonts w:hint="eastAsia"/>
          <w:bCs/>
          <w:sz w:val="24"/>
        </w:rPr>
        <w:t>主责任</w:t>
      </w:r>
      <w:proofErr w:type="gramEnd"/>
      <w:r>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273C3133"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五、估值程序</w:t>
      </w:r>
    </w:p>
    <w:p w14:paraId="4B383BD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、各类基金份额净值是按照每个工作日闭市后，该类基金资产净值除以当日</w:t>
      </w:r>
      <w:r>
        <w:rPr>
          <w:rFonts w:hint="eastAsia"/>
          <w:bCs/>
          <w:sz w:val="24"/>
        </w:rPr>
        <w:lastRenderedPageBreak/>
        <w:t>该类基金份额的余额数量计算，精确到</w:t>
      </w:r>
      <w:r>
        <w:rPr>
          <w:rFonts w:hint="eastAsia"/>
          <w:bCs/>
          <w:sz w:val="24"/>
        </w:rPr>
        <w:t>0.0001</w:t>
      </w:r>
      <w:r>
        <w:rPr>
          <w:rFonts w:hint="eastAsia"/>
          <w:bCs/>
          <w:sz w:val="24"/>
        </w:rPr>
        <w:t>元，小数点后第</w:t>
      </w:r>
      <w:r>
        <w:rPr>
          <w:rFonts w:hint="eastAsia"/>
          <w:bCs/>
          <w:sz w:val="24"/>
        </w:rPr>
        <w:t>5</w:t>
      </w:r>
      <w:r>
        <w:rPr>
          <w:rFonts w:hint="eastAsia"/>
          <w:bCs/>
          <w:sz w:val="24"/>
        </w:rPr>
        <w:t>位四舍五入，由此产生的收益或损失由基金财产承担。基金管理人可以设立大额赎回情形下的净值精度应急调整机制。国家另有规定的，从其规定。</w:t>
      </w:r>
    </w:p>
    <w:p w14:paraId="475D219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基金管理人每个工作日计算基金资产净值及各类基金份额净值，经基金托管人复核，并按规定公告。</w:t>
      </w:r>
    </w:p>
    <w:p w14:paraId="5ADE804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w:t>
      </w:r>
      <w:proofErr w:type="gramStart"/>
      <w:r>
        <w:rPr>
          <w:rFonts w:hint="eastAsia"/>
          <w:bCs/>
          <w:sz w:val="24"/>
        </w:rPr>
        <w:t>应每个</w:t>
      </w:r>
      <w:proofErr w:type="gramEnd"/>
      <w:r>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24ED4A77"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六、估值错误的处理</w:t>
      </w:r>
    </w:p>
    <w:p w14:paraId="3E4E830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基金管理人和基金托管人将采取必要、适当、合理的措施确保基金资产估值的准确性、及时性。当任一类基金份额净值小数点后</w:t>
      </w:r>
      <w:r>
        <w:rPr>
          <w:rFonts w:hint="eastAsia"/>
          <w:bCs/>
          <w:sz w:val="24"/>
        </w:rPr>
        <w:t>4</w:t>
      </w:r>
      <w:r>
        <w:rPr>
          <w:rFonts w:hint="eastAsia"/>
          <w:bCs/>
          <w:sz w:val="24"/>
        </w:rPr>
        <w:t>位以内</w:t>
      </w:r>
      <w:r>
        <w:rPr>
          <w:rFonts w:hint="eastAsia"/>
          <w:bCs/>
          <w:sz w:val="24"/>
        </w:rPr>
        <w:t>(</w:t>
      </w:r>
      <w:r>
        <w:rPr>
          <w:rFonts w:hint="eastAsia"/>
          <w:bCs/>
          <w:sz w:val="24"/>
        </w:rPr>
        <w:t>含第</w:t>
      </w:r>
      <w:r>
        <w:rPr>
          <w:rFonts w:hint="eastAsia"/>
          <w:bCs/>
          <w:sz w:val="24"/>
        </w:rPr>
        <w:t>4</w:t>
      </w:r>
      <w:r>
        <w:rPr>
          <w:rFonts w:hint="eastAsia"/>
          <w:bCs/>
          <w:sz w:val="24"/>
        </w:rPr>
        <w:t>位</w:t>
      </w:r>
      <w:r>
        <w:rPr>
          <w:rFonts w:hint="eastAsia"/>
          <w:bCs/>
          <w:sz w:val="24"/>
        </w:rPr>
        <w:t>)</w:t>
      </w:r>
      <w:r>
        <w:rPr>
          <w:rFonts w:hint="eastAsia"/>
          <w:bCs/>
          <w:sz w:val="24"/>
        </w:rPr>
        <w:t>发生估值错误时，视为该类基金份额净值错误。</w:t>
      </w:r>
    </w:p>
    <w:p w14:paraId="6506A96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基金合同的当事人应按照以下约定处理：</w:t>
      </w:r>
    </w:p>
    <w:p w14:paraId="4B9D647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、估值错误类型</w:t>
      </w:r>
    </w:p>
    <w:p w14:paraId="70238B0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运作过程中，如果由于基金管理人或基金托管人、或登记机构、或证券经纪机构、或销售机构、或投资人自身的过错造成估值错误，导致其他当事人遭受损失的，过错的责任人应当对由于该估值错误遭受损失当事人</w:t>
      </w:r>
      <w:r>
        <w:rPr>
          <w:rFonts w:hint="eastAsia"/>
          <w:bCs/>
          <w:sz w:val="24"/>
        </w:rPr>
        <w:t>(</w:t>
      </w:r>
      <w:r>
        <w:rPr>
          <w:rFonts w:hint="eastAsia"/>
          <w:bCs/>
          <w:sz w:val="24"/>
        </w:rPr>
        <w:t>“受损方”</w:t>
      </w:r>
      <w:r>
        <w:rPr>
          <w:rFonts w:hint="eastAsia"/>
          <w:bCs/>
          <w:sz w:val="24"/>
        </w:rPr>
        <w:t>)</w:t>
      </w:r>
      <w:r>
        <w:rPr>
          <w:rFonts w:hint="eastAsia"/>
          <w:bCs/>
          <w:sz w:val="24"/>
        </w:rPr>
        <w:t>的直接损失按下述“估值错误处理原则”给予赔偿，承担赔偿责任。</w:t>
      </w:r>
    </w:p>
    <w:p w14:paraId="1E99AA6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上述估值错误的主要类型包括但不限于：资料申报差错、数据传输差错、数据计算差错、系统故障差错、下达指令差错等。</w:t>
      </w:r>
    </w:p>
    <w:p w14:paraId="082A9B2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、估值错误处理原则</w:t>
      </w:r>
    </w:p>
    <w:p w14:paraId="658F761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4BB3514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）估值错误的责任方对有关当事人的直接损失负责，不对间接损失负责，</w:t>
      </w:r>
      <w:r>
        <w:rPr>
          <w:rFonts w:hint="eastAsia"/>
          <w:bCs/>
          <w:sz w:val="24"/>
        </w:rPr>
        <w:lastRenderedPageBreak/>
        <w:t>并且仅对估值错误的有关直接当事人负责，不对第三方负责。</w:t>
      </w:r>
    </w:p>
    <w:p w14:paraId="3941548D"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）因估值错误而获得不当得利的当事人负有及时返还不当得利的义务。但估值错误责任方仍应对估值错误负责。如果由于获得不当得利的当事人</w:t>
      </w:r>
      <w:proofErr w:type="gramStart"/>
      <w:r>
        <w:rPr>
          <w:rFonts w:hint="eastAsia"/>
          <w:bCs/>
          <w:sz w:val="24"/>
        </w:rPr>
        <w:t>不</w:t>
      </w:r>
      <w:proofErr w:type="gramEnd"/>
      <w:r>
        <w:rPr>
          <w:rFonts w:hint="eastAsia"/>
          <w:bCs/>
          <w:sz w:val="24"/>
        </w:rPr>
        <w:t>返还或不全部返还不当得利造成其他当事人的利益损失</w:t>
      </w:r>
      <w:r>
        <w:rPr>
          <w:rFonts w:hint="eastAsia"/>
          <w:bCs/>
          <w:sz w:val="24"/>
        </w:rPr>
        <w:t>(</w:t>
      </w:r>
      <w:r>
        <w:rPr>
          <w:rFonts w:hint="eastAsia"/>
          <w:bCs/>
          <w:sz w:val="24"/>
        </w:rPr>
        <w:t>“受损方”</w:t>
      </w:r>
      <w:r>
        <w:rPr>
          <w:rFonts w:hint="eastAsia"/>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1A557D9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）估值错误调整采用尽量恢复至假设未发生估值错误的正确情形的方式。</w:t>
      </w:r>
    </w:p>
    <w:p w14:paraId="5CBEDD1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、估值错误处理程序</w:t>
      </w:r>
    </w:p>
    <w:p w14:paraId="2133DAA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估值错误被发现后，有关的当事人应当及时进行处理，处理的程序如下：</w:t>
      </w:r>
    </w:p>
    <w:p w14:paraId="5D56F2D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）查明估值错误发生的原因，列明所有的当事人，并根据估值错误发生的原因确定估值错误的责任方；</w:t>
      </w:r>
    </w:p>
    <w:p w14:paraId="6BAFA76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）根据估值错误处理原则或当事人协商的方法对因估值错误造成的损失进行评估；</w:t>
      </w:r>
    </w:p>
    <w:p w14:paraId="4CB51CB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）根据估值错误处理原则或当事人协商的方法由估值错误的责任方进行更正和赔偿损失；</w:t>
      </w:r>
    </w:p>
    <w:p w14:paraId="5B1A6DD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4</w:t>
      </w:r>
      <w:r>
        <w:rPr>
          <w:rFonts w:hint="eastAsia"/>
          <w:bCs/>
          <w:sz w:val="24"/>
        </w:rPr>
        <w:t>）根据估值错误处理的方法，需要修改基金份额登记机构交易数据的，由基金份额登记机构进行更正，并就估值错误的更正向有关当事人进行确认。</w:t>
      </w:r>
    </w:p>
    <w:p w14:paraId="1FF5C70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、基金份额净值估值错误处理的方法如下：</w:t>
      </w:r>
    </w:p>
    <w:p w14:paraId="32E00D5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1</w:t>
      </w:r>
      <w:r>
        <w:rPr>
          <w:rFonts w:hint="eastAsia"/>
          <w:bCs/>
          <w:sz w:val="24"/>
        </w:rPr>
        <w:t>）基金份额净值计算出现错误时，基金管理人应当立即予以纠正，通报基金托管人，并采取合理的措施防止损失进一步扩大。</w:t>
      </w:r>
    </w:p>
    <w:p w14:paraId="586B866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2</w:t>
      </w:r>
      <w:r>
        <w:rPr>
          <w:rFonts w:hint="eastAsia"/>
          <w:bCs/>
          <w:sz w:val="24"/>
        </w:rPr>
        <w:t>）错误偏差达到某类基金份额净值的</w:t>
      </w:r>
      <w:r>
        <w:rPr>
          <w:rFonts w:hint="eastAsia"/>
          <w:bCs/>
          <w:sz w:val="24"/>
        </w:rPr>
        <w:t>0.25%</w:t>
      </w:r>
      <w:r>
        <w:rPr>
          <w:rFonts w:hint="eastAsia"/>
          <w:bCs/>
          <w:sz w:val="24"/>
        </w:rPr>
        <w:t>时，基金管理人应当通报基金托管人并报中国证监会备案；错误偏差达到某类基金份额净值的</w:t>
      </w:r>
      <w:r>
        <w:rPr>
          <w:rFonts w:hint="eastAsia"/>
          <w:bCs/>
          <w:sz w:val="24"/>
        </w:rPr>
        <w:t>0.5%</w:t>
      </w:r>
      <w:r>
        <w:rPr>
          <w:rFonts w:hint="eastAsia"/>
          <w:bCs/>
          <w:sz w:val="24"/>
        </w:rPr>
        <w:t>时，基金管理人应当公告，并报中国证监会备案。</w:t>
      </w:r>
    </w:p>
    <w:p w14:paraId="300F530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w:t>
      </w:r>
      <w:r>
        <w:rPr>
          <w:rFonts w:hint="eastAsia"/>
          <w:bCs/>
          <w:sz w:val="24"/>
        </w:rPr>
        <w:t>3</w:t>
      </w:r>
      <w:r>
        <w:rPr>
          <w:rFonts w:hint="eastAsia"/>
          <w:bCs/>
          <w:sz w:val="24"/>
        </w:rPr>
        <w:t>）前述内容如法律法规或监管机关另有规定的，从其规定处理。</w:t>
      </w:r>
    </w:p>
    <w:p w14:paraId="56F08C21"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七、暂停估值的情形</w:t>
      </w:r>
    </w:p>
    <w:p w14:paraId="653CB95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、基金投资所涉及的证券、期货交易市场遇法定节假日或因其他原因暂停营业时；</w:t>
      </w:r>
    </w:p>
    <w:p w14:paraId="659FE36C"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2</w:t>
      </w:r>
      <w:r>
        <w:rPr>
          <w:rFonts w:hint="eastAsia"/>
          <w:bCs/>
          <w:sz w:val="24"/>
        </w:rPr>
        <w:t>、因不可抗力或其他情形致使基金管理人、基金托管人无法准确评估基金资产价值时；</w:t>
      </w:r>
    </w:p>
    <w:p w14:paraId="41E4A0B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、当特定资产占前一估值日基金资产净值</w:t>
      </w:r>
      <w:r>
        <w:rPr>
          <w:rFonts w:hint="eastAsia"/>
          <w:bCs/>
          <w:sz w:val="24"/>
        </w:rPr>
        <w:t>50%</w:t>
      </w:r>
      <w:r>
        <w:rPr>
          <w:rFonts w:hint="eastAsia"/>
          <w:bCs/>
          <w:sz w:val="24"/>
        </w:rPr>
        <w:t>以上的，经与基金托管人协商确认后，基金管理人应当暂停基金估值；</w:t>
      </w:r>
    </w:p>
    <w:p w14:paraId="7AF7722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、法律法规、中国证监会和基金合同认定的其它情形。</w:t>
      </w:r>
    </w:p>
    <w:p w14:paraId="01E47B20"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八、基金净值的确认</w:t>
      </w:r>
    </w:p>
    <w:p w14:paraId="35542C7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资产净值和各类基金份额净值由基金管理人负责计算，基金托管人负责进行复核。基金管理人应于每个工作日交易结束后计算当日的基金资产净值和各类基金份额净值并发送给基金托管人。基金托管人对净值计算结果复核确认后发送给基金管理人，由基金管理人按规定对基金净值予以公布。</w:t>
      </w:r>
    </w:p>
    <w:p w14:paraId="793A2FF6"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九、特殊情形的处理</w:t>
      </w:r>
    </w:p>
    <w:p w14:paraId="484EEEB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、基金管理人、基金托管人按估值方法的第</w:t>
      </w:r>
      <w:r>
        <w:rPr>
          <w:bCs/>
          <w:sz w:val="24"/>
        </w:rPr>
        <w:t>8</w:t>
      </w:r>
      <w:r>
        <w:rPr>
          <w:rFonts w:hint="eastAsia"/>
          <w:bCs/>
          <w:sz w:val="24"/>
        </w:rPr>
        <w:t>项进行估值时，所造成的误差不作为基金资产估值错误处理。</w:t>
      </w:r>
    </w:p>
    <w:p w14:paraId="1728061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由于不可抗力原因，或由于证券、期货交易所、证券经纪机构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757EA1FA" w14:textId="77777777" w:rsidR="00B67C49" w:rsidRDefault="00000000">
      <w:pPr>
        <w:autoSpaceDE w:val="0"/>
        <w:autoSpaceDN w:val="0"/>
        <w:spacing w:line="360" w:lineRule="auto"/>
        <w:ind w:firstLineChars="200" w:firstLine="482"/>
        <w:textAlignment w:val="bottom"/>
        <w:rPr>
          <w:b/>
          <w:bCs/>
          <w:sz w:val="24"/>
        </w:rPr>
      </w:pPr>
      <w:r>
        <w:rPr>
          <w:rFonts w:hint="eastAsia"/>
          <w:b/>
          <w:bCs/>
          <w:sz w:val="24"/>
        </w:rPr>
        <w:t>十、实施</w:t>
      </w:r>
      <w:proofErr w:type="gramStart"/>
      <w:r>
        <w:rPr>
          <w:rFonts w:hint="eastAsia"/>
          <w:b/>
          <w:bCs/>
          <w:sz w:val="24"/>
        </w:rPr>
        <w:t>侧袋机制</w:t>
      </w:r>
      <w:proofErr w:type="gramEnd"/>
      <w:r>
        <w:rPr>
          <w:rFonts w:hint="eastAsia"/>
          <w:b/>
          <w:bCs/>
          <w:sz w:val="24"/>
        </w:rPr>
        <w:t>期间的基金资产估值</w:t>
      </w:r>
    </w:p>
    <w:p w14:paraId="1618FD2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的，应根据本部分的约定</w:t>
      </w:r>
      <w:proofErr w:type="gramStart"/>
      <w:r>
        <w:rPr>
          <w:rFonts w:hint="eastAsia"/>
          <w:bCs/>
          <w:sz w:val="24"/>
        </w:rPr>
        <w:t>对主袋账户</w:t>
      </w:r>
      <w:proofErr w:type="gramEnd"/>
      <w:r>
        <w:rPr>
          <w:rFonts w:hint="eastAsia"/>
          <w:bCs/>
          <w:sz w:val="24"/>
        </w:rPr>
        <w:t>资产进行估值并</w:t>
      </w:r>
      <w:proofErr w:type="gramStart"/>
      <w:r>
        <w:rPr>
          <w:rFonts w:hint="eastAsia"/>
          <w:bCs/>
          <w:sz w:val="24"/>
        </w:rPr>
        <w:t>披露主袋账户</w:t>
      </w:r>
      <w:proofErr w:type="gramEnd"/>
      <w:r>
        <w:rPr>
          <w:rFonts w:hint="eastAsia"/>
          <w:bCs/>
          <w:sz w:val="24"/>
        </w:rPr>
        <w:t>的基金净值信息，暂停</w:t>
      </w:r>
      <w:proofErr w:type="gramStart"/>
      <w:r>
        <w:rPr>
          <w:rFonts w:hint="eastAsia"/>
          <w:bCs/>
          <w:sz w:val="24"/>
        </w:rPr>
        <w:t>披露侧袋账户</w:t>
      </w:r>
      <w:proofErr w:type="gramEnd"/>
      <w:r>
        <w:rPr>
          <w:rFonts w:hint="eastAsia"/>
          <w:bCs/>
          <w:sz w:val="24"/>
        </w:rPr>
        <w:t>的基金净值信息。</w:t>
      </w:r>
    </w:p>
    <w:p w14:paraId="57B50C26" w14:textId="77777777" w:rsidR="00B67C49" w:rsidRDefault="00000000">
      <w:pPr>
        <w:widowControl/>
        <w:jc w:val="left"/>
        <w:rPr>
          <w:bCs/>
          <w:sz w:val="24"/>
        </w:rPr>
      </w:pPr>
      <w:r>
        <w:rPr>
          <w:bCs/>
          <w:sz w:val="24"/>
        </w:rPr>
        <w:br w:type="page"/>
      </w:r>
    </w:p>
    <w:p w14:paraId="579FEA1D" w14:textId="77777777" w:rsidR="00B67C49" w:rsidRDefault="00000000">
      <w:pPr>
        <w:pStyle w:val="1"/>
        <w:jc w:val="center"/>
        <w:rPr>
          <w:sz w:val="30"/>
          <w:szCs w:val="30"/>
        </w:rPr>
      </w:pPr>
      <w:bookmarkStart w:id="265" w:name="_Toc416264548"/>
      <w:bookmarkStart w:id="266" w:name="_Toc68266299"/>
      <w:bookmarkStart w:id="267" w:name="_Toc263092320"/>
      <w:bookmarkStart w:id="268" w:name="_Toc119568468"/>
      <w:bookmarkEnd w:id="251"/>
      <w:bookmarkEnd w:id="252"/>
      <w:bookmarkEnd w:id="253"/>
      <w:bookmarkEnd w:id="254"/>
      <w:bookmarkEnd w:id="255"/>
      <w:bookmarkEnd w:id="256"/>
      <w:bookmarkEnd w:id="257"/>
      <w:bookmarkEnd w:id="258"/>
      <w:bookmarkEnd w:id="259"/>
      <w:bookmarkEnd w:id="260"/>
      <w:bookmarkEnd w:id="261"/>
      <w:bookmarkEnd w:id="262"/>
      <w:r>
        <w:rPr>
          <w:rFonts w:hint="eastAsia"/>
          <w:sz w:val="30"/>
          <w:szCs w:val="30"/>
        </w:rPr>
        <w:lastRenderedPageBreak/>
        <w:t>第十二部分</w:t>
      </w:r>
      <w:r>
        <w:rPr>
          <w:sz w:val="30"/>
          <w:szCs w:val="30"/>
        </w:rPr>
        <w:t xml:space="preserve">  </w:t>
      </w:r>
      <w:r>
        <w:rPr>
          <w:rFonts w:hint="eastAsia"/>
          <w:sz w:val="30"/>
          <w:szCs w:val="30"/>
        </w:rPr>
        <w:t>基金的收益分配</w:t>
      </w:r>
      <w:bookmarkEnd w:id="265"/>
      <w:bookmarkEnd w:id="266"/>
      <w:bookmarkEnd w:id="267"/>
      <w:bookmarkEnd w:id="268"/>
    </w:p>
    <w:p w14:paraId="2CE55259" w14:textId="77777777" w:rsidR="00B67C49" w:rsidRDefault="00000000">
      <w:pPr>
        <w:autoSpaceDE w:val="0"/>
        <w:autoSpaceDN w:val="0"/>
        <w:spacing w:line="360" w:lineRule="auto"/>
        <w:ind w:firstLineChars="200" w:firstLine="480"/>
        <w:textAlignment w:val="bottom"/>
        <w:rPr>
          <w:bCs/>
          <w:sz w:val="24"/>
        </w:rPr>
      </w:pPr>
      <w:bookmarkStart w:id="269" w:name="_Toc416264549"/>
      <w:bookmarkStart w:id="270" w:name="_Toc147463128"/>
      <w:bookmarkStart w:id="271" w:name="_Toc12357181"/>
      <w:bookmarkStart w:id="272" w:name="_Toc21073401"/>
      <w:bookmarkStart w:id="273" w:name="_Toc263092321"/>
      <w:bookmarkStart w:id="274" w:name="_Toc214873602"/>
      <w:bookmarkStart w:id="275" w:name="_Toc17782"/>
      <w:bookmarkStart w:id="276" w:name="_Toc27832"/>
      <w:bookmarkStart w:id="277" w:name="_Toc871"/>
      <w:bookmarkStart w:id="278" w:name="_Toc352229760"/>
      <w:bookmarkStart w:id="279" w:name="_Toc141703894"/>
      <w:bookmarkStart w:id="280" w:name="_Toc2623"/>
      <w:bookmarkStart w:id="281" w:name="_Toc19714"/>
      <w:bookmarkStart w:id="282" w:name="_Toc31917"/>
      <w:bookmarkStart w:id="283" w:name="_Toc7802"/>
      <w:bookmarkStart w:id="284" w:name="_Toc139991744"/>
      <w:r>
        <w:rPr>
          <w:rFonts w:hint="eastAsia"/>
          <w:bCs/>
          <w:sz w:val="24"/>
        </w:rPr>
        <w:t>一、基金利润的构成</w:t>
      </w:r>
    </w:p>
    <w:p w14:paraId="7494E4D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基金利润指基金利息收入、投资收益、公允价值变动收益和其他收入扣除相关费用后的余额，基金已实现收益指基金利润减去公允价值变动收益后的余额。</w:t>
      </w:r>
    </w:p>
    <w:p w14:paraId="0F1B008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二、基金可供分配利润</w:t>
      </w:r>
    </w:p>
    <w:p w14:paraId="19EF92A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基金可供分配利润指截至收益分配基准日基金未分配利润与未分配利润中已实现收益的孰低数。</w:t>
      </w:r>
    </w:p>
    <w:p w14:paraId="16DA148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三、基金收益分配原则</w:t>
      </w:r>
    </w:p>
    <w:p w14:paraId="4752E65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、在符合有关基金分红条件的前提下，本基金管理人可以根据实际情况进行收益分配，具体分配方案以公告为准，若《基金合同》生效不满</w:t>
      </w:r>
      <w:r>
        <w:rPr>
          <w:rFonts w:hint="eastAsia"/>
          <w:bCs/>
          <w:sz w:val="24"/>
        </w:rPr>
        <w:t>3</w:t>
      </w:r>
      <w:r>
        <w:rPr>
          <w:rFonts w:hint="eastAsia"/>
          <w:bCs/>
          <w:sz w:val="24"/>
        </w:rPr>
        <w:t>个月可不进行收益分配；</w:t>
      </w:r>
    </w:p>
    <w:p w14:paraId="525BB39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230621E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、基金收益分配后各类基金份额净值不能低于面值，即基金收益分配基准日的各类基金份额净值减去每单位该类别基金份额收益分配金额后不能低于面值；</w:t>
      </w:r>
    </w:p>
    <w:p w14:paraId="3D4F06D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1BC625D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、法律法规或监管机关另有规定的，从其规定。</w:t>
      </w:r>
    </w:p>
    <w:p w14:paraId="1BA7A598" w14:textId="77777777" w:rsidR="00B67C49" w:rsidRDefault="00000000">
      <w:pPr>
        <w:spacing w:line="360" w:lineRule="auto"/>
        <w:ind w:firstLineChars="225" w:firstLine="540"/>
        <w:rPr>
          <w:bCs/>
          <w:sz w:val="24"/>
        </w:rPr>
      </w:pPr>
      <w:r>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098879E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四、收益分配方案</w:t>
      </w:r>
    </w:p>
    <w:p w14:paraId="53BA84C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基金收益分配方案中应载明截止收益分配基准日的可供分配利润、基金收益分配对象、分配时间、分配数额及比例、分配方式等内容。</w:t>
      </w:r>
    </w:p>
    <w:p w14:paraId="35841CDC"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五、收益分配方案的确定、公告与实施</w:t>
      </w:r>
    </w:p>
    <w:p w14:paraId="2853EC9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本基金收益分配方案由基金管理人拟定，并由基金托管人复核，依照《信息披露办法》的有关规定在规定媒介公告。</w:t>
      </w:r>
    </w:p>
    <w:p w14:paraId="36A8B12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六、基金收益分配中发生的费用</w:t>
      </w:r>
    </w:p>
    <w:p w14:paraId="00A0090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1686C9FA"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七、实施</w:t>
      </w:r>
      <w:proofErr w:type="gramStart"/>
      <w:r>
        <w:rPr>
          <w:rFonts w:cs="Arial" w:hint="eastAsia"/>
          <w:color w:val="000000"/>
          <w:sz w:val="24"/>
        </w:rPr>
        <w:t>侧袋机制</w:t>
      </w:r>
      <w:proofErr w:type="gramEnd"/>
      <w:r>
        <w:rPr>
          <w:rFonts w:cs="Arial" w:hint="eastAsia"/>
          <w:color w:val="000000"/>
          <w:sz w:val="24"/>
        </w:rPr>
        <w:t>期间的收益分配</w:t>
      </w:r>
    </w:p>
    <w:p w14:paraId="4BFF4866"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侧袋账户</w:t>
      </w:r>
      <w:proofErr w:type="gramEnd"/>
      <w:r>
        <w:rPr>
          <w:rFonts w:cs="Arial" w:hint="eastAsia"/>
          <w:color w:val="000000"/>
          <w:sz w:val="24"/>
        </w:rPr>
        <w:t>不进行收益分配。</w:t>
      </w:r>
    </w:p>
    <w:p w14:paraId="1B894876" w14:textId="77777777" w:rsidR="00B67C49" w:rsidRDefault="00B67C49">
      <w:pPr>
        <w:autoSpaceDE w:val="0"/>
        <w:autoSpaceDN w:val="0"/>
        <w:spacing w:line="360" w:lineRule="auto"/>
        <w:ind w:firstLineChars="200" w:firstLine="480"/>
        <w:textAlignment w:val="bottom"/>
        <w:rPr>
          <w:bCs/>
          <w:sz w:val="24"/>
        </w:rPr>
      </w:pPr>
    </w:p>
    <w:p w14:paraId="7CAD991A" w14:textId="77777777" w:rsidR="00B67C49" w:rsidRDefault="00000000">
      <w:pPr>
        <w:widowControl/>
        <w:jc w:val="left"/>
        <w:rPr>
          <w:bCs/>
          <w:sz w:val="24"/>
        </w:rPr>
      </w:pPr>
      <w:r>
        <w:rPr>
          <w:bCs/>
          <w:sz w:val="24"/>
        </w:rPr>
        <w:br w:type="page"/>
      </w:r>
    </w:p>
    <w:p w14:paraId="2AD76A2A" w14:textId="77777777" w:rsidR="00B67C49" w:rsidRDefault="00000000">
      <w:pPr>
        <w:pStyle w:val="1"/>
        <w:jc w:val="center"/>
        <w:rPr>
          <w:sz w:val="30"/>
          <w:szCs w:val="30"/>
        </w:rPr>
      </w:pPr>
      <w:bookmarkStart w:id="285" w:name="_Toc68266300"/>
      <w:bookmarkStart w:id="286" w:name="_Toc119568469"/>
      <w:r>
        <w:rPr>
          <w:rFonts w:hint="eastAsia"/>
          <w:sz w:val="30"/>
          <w:szCs w:val="30"/>
        </w:rPr>
        <w:lastRenderedPageBreak/>
        <w:t>第十三部分</w:t>
      </w:r>
      <w:r>
        <w:rPr>
          <w:sz w:val="30"/>
          <w:szCs w:val="30"/>
        </w:rPr>
        <w:t xml:space="preserve">  </w:t>
      </w:r>
      <w:r>
        <w:rPr>
          <w:rFonts w:hint="eastAsia"/>
          <w:sz w:val="30"/>
          <w:szCs w:val="30"/>
        </w:rPr>
        <w:t>基金费用与税收</w:t>
      </w:r>
      <w:bookmarkEnd w:id="269"/>
      <w:bookmarkEnd w:id="270"/>
      <w:bookmarkEnd w:id="271"/>
      <w:bookmarkEnd w:id="272"/>
      <w:bookmarkEnd w:id="273"/>
      <w:bookmarkEnd w:id="274"/>
      <w:bookmarkEnd w:id="285"/>
      <w:bookmarkEnd w:id="286"/>
    </w:p>
    <w:p w14:paraId="2510A081" w14:textId="77777777" w:rsidR="00B67C49" w:rsidRDefault="00000000">
      <w:pPr>
        <w:autoSpaceDE w:val="0"/>
        <w:autoSpaceDN w:val="0"/>
        <w:spacing w:line="360" w:lineRule="auto"/>
        <w:ind w:firstLineChars="200" w:firstLine="480"/>
        <w:textAlignment w:val="bottom"/>
        <w:rPr>
          <w:bCs/>
          <w:sz w:val="24"/>
        </w:rPr>
      </w:pPr>
      <w:bookmarkStart w:id="287" w:name="_Toc416264550"/>
      <w:bookmarkStart w:id="288" w:name="_Toc214873603"/>
      <w:bookmarkStart w:id="289" w:name="_Toc263092322"/>
      <w:bookmarkStart w:id="290" w:name="_Toc19752"/>
      <w:bookmarkStart w:id="291" w:name="_Toc6493"/>
      <w:bookmarkStart w:id="292" w:name="_Toc32046"/>
      <w:bookmarkStart w:id="293" w:name="_Toc139991745"/>
      <w:bookmarkStart w:id="294" w:name="_Toc32041"/>
      <w:bookmarkStart w:id="295" w:name="_Toc13987"/>
      <w:bookmarkStart w:id="296" w:name="_Toc3365"/>
      <w:bookmarkStart w:id="297" w:name="_Toc19706"/>
      <w:bookmarkStart w:id="298" w:name="_Toc141703895"/>
      <w:bookmarkStart w:id="299" w:name="_Toc32227"/>
      <w:bookmarkStart w:id="300" w:name="_Toc15779"/>
      <w:bookmarkStart w:id="301" w:name="_Toc12105"/>
      <w:bookmarkStart w:id="302" w:name="_Toc352229761"/>
      <w:bookmarkStart w:id="303" w:name="_Toc24601"/>
      <w:bookmarkEnd w:id="275"/>
      <w:bookmarkEnd w:id="276"/>
      <w:bookmarkEnd w:id="277"/>
      <w:bookmarkEnd w:id="278"/>
      <w:bookmarkEnd w:id="279"/>
      <w:bookmarkEnd w:id="280"/>
      <w:bookmarkEnd w:id="281"/>
      <w:bookmarkEnd w:id="282"/>
      <w:bookmarkEnd w:id="283"/>
      <w:bookmarkEnd w:id="284"/>
      <w:r>
        <w:rPr>
          <w:rFonts w:hint="eastAsia"/>
          <w:bCs/>
          <w:sz w:val="24"/>
        </w:rPr>
        <w:t>一、基金费用的种类</w:t>
      </w:r>
    </w:p>
    <w:p w14:paraId="09EA472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p>
    <w:p w14:paraId="7BB7CE1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556B753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167DC0A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、除法律法规、中国证监会另有规定外，《基金合同》生效后与基金相关的信息披露费用；</w:t>
      </w:r>
    </w:p>
    <w:p w14:paraId="7154036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、《基金合同》生效后与基金相关的会计师费、律师费、诉讼费和仲裁费；</w:t>
      </w:r>
    </w:p>
    <w:p w14:paraId="3F129C1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、基金份额持有人大会费用；</w:t>
      </w:r>
    </w:p>
    <w:p w14:paraId="47FB284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、基金的证券、期货、期权交易费用；</w:t>
      </w:r>
    </w:p>
    <w:p w14:paraId="0945D4D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、基金的银行汇划费用；</w:t>
      </w:r>
    </w:p>
    <w:p w14:paraId="5701E3F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、基金的相关账户的开户及维护费用；</w:t>
      </w:r>
    </w:p>
    <w:p w14:paraId="7E9246C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bCs/>
          <w:sz w:val="24"/>
        </w:rPr>
        <w:t>0</w:t>
      </w:r>
      <w:r>
        <w:rPr>
          <w:rFonts w:hint="eastAsia"/>
          <w:bCs/>
          <w:sz w:val="24"/>
        </w:rPr>
        <w:t>、按照国家有关规定和《基金合同》约定，可以在基金财产中列支的其他费用。</w:t>
      </w:r>
    </w:p>
    <w:p w14:paraId="4CB1286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二、基金费用计提方法、计提标准和支付方式</w:t>
      </w:r>
    </w:p>
    <w:p w14:paraId="43683D4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、基金管理人的管理费</w:t>
      </w:r>
      <w:r>
        <w:rPr>
          <w:rFonts w:hint="eastAsia"/>
          <w:bCs/>
          <w:sz w:val="24"/>
        </w:rPr>
        <w:t xml:space="preserve"> </w:t>
      </w:r>
    </w:p>
    <w:p w14:paraId="1104A82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本基金的管理费按前一日基金资产净值的</w:t>
      </w:r>
      <w:r>
        <w:rPr>
          <w:rFonts w:hint="eastAsia"/>
          <w:bCs/>
          <w:sz w:val="24"/>
        </w:rPr>
        <w:t>0.6%</w:t>
      </w:r>
      <w:r>
        <w:rPr>
          <w:rFonts w:hint="eastAsia"/>
          <w:bCs/>
          <w:sz w:val="24"/>
        </w:rPr>
        <w:t>的年费率计提。管理费的计算方法如下：</w:t>
      </w:r>
    </w:p>
    <w:p w14:paraId="7AB40A0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0.6%</w:t>
      </w:r>
      <w:r>
        <w:rPr>
          <w:rFonts w:hint="eastAsia"/>
          <w:bCs/>
          <w:sz w:val="24"/>
        </w:rPr>
        <w:t>÷当年天数</w:t>
      </w:r>
    </w:p>
    <w:p w14:paraId="67F1A64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为每日应计提的基金管理费</w:t>
      </w:r>
    </w:p>
    <w:p w14:paraId="3C84D5D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为前一日的基金资产净值</w:t>
      </w:r>
    </w:p>
    <w:p w14:paraId="4F0BC5E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个工作日自动从基金资产中一次性支付给基金管理人。若遇法定节假日、休息日或不可抗力致使无法按时支付的，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11B54A3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、基金托管人的托管费</w:t>
      </w:r>
    </w:p>
    <w:p w14:paraId="72EC615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本基金的托管费按前一日基金资产净值的</w:t>
      </w:r>
      <w:r>
        <w:rPr>
          <w:rFonts w:hint="eastAsia"/>
          <w:bCs/>
          <w:sz w:val="24"/>
        </w:rPr>
        <w:t>0.20%</w:t>
      </w:r>
      <w:r>
        <w:rPr>
          <w:rFonts w:hint="eastAsia"/>
          <w:bCs/>
          <w:sz w:val="24"/>
        </w:rPr>
        <w:t>的年费率计提。托管费的计算方法如下：</w:t>
      </w:r>
    </w:p>
    <w:p w14:paraId="715F262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0.20%</w:t>
      </w:r>
      <w:r>
        <w:rPr>
          <w:rFonts w:hint="eastAsia"/>
          <w:bCs/>
          <w:sz w:val="24"/>
        </w:rPr>
        <w:t>÷当年天数</w:t>
      </w:r>
    </w:p>
    <w:p w14:paraId="6A46FD5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为每日应计提的基金托管费</w:t>
      </w:r>
    </w:p>
    <w:p w14:paraId="40718005"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E</w:t>
      </w:r>
      <w:r>
        <w:rPr>
          <w:rFonts w:hint="eastAsia"/>
          <w:bCs/>
          <w:sz w:val="24"/>
        </w:rPr>
        <w:t>为前一日的基金资产净值</w:t>
      </w:r>
    </w:p>
    <w:p w14:paraId="5D4906F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基金托管费每日计提，逐日累计至每月月末，按月支付。由基金管理人授权基金托管人于次月第</w:t>
      </w:r>
      <w:r>
        <w:rPr>
          <w:rFonts w:hint="eastAsia"/>
          <w:bCs/>
          <w:sz w:val="24"/>
        </w:rPr>
        <w:t>5</w:t>
      </w:r>
      <w:r>
        <w:rPr>
          <w:rFonts w:hint="eastAsia"/>
          <w:bCs/>
          <w:sz w:val="24"/>
        </w:rPr>
        <w:t>个工作日自动从基金资产中一次性支付给基金托管人。若遇法定节假日、休息日或不可抗力致使无法按时支付的，</w:t>
      </w:r>
      <w:r>
        <w:rPr>
          <w:rFonts w:ascii="宋体" w:hAnsi="宋体" w:hint="eastAsia"/>
          <w:color w:val="000000"/>
          <w:kern w:val="0"/>
          <w:sz w:val="24"/>
        </w:rPr>
        <w:t>顺延至最近可支付日支付</w:t>
      </w:r>
      <w:r>
        <w:rPr>
          <w:rFonts w:ascii="宋体" w:hAnsi="宋体" w:hint="eastAsia"/>
          <w:kern w:val="0"/>
          <w:sz w:val="24"/>
        </w:rPr>
        <w:t>。</w:t>
      </w:r>
    </w:p>
    <w:p w14:paraId="559E53E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w:t>
      </w:r>
      <w:r>
        <w:rPr>
          <w:rFonts w:hint="eastAsia"/>
          <w:bCs/>
          <w:sz w:val="24"/>
        </w:rPr>
        <w:t>C</w:t>
      </w:r>
      <w:r>
        <w:rPr>
          <w:rFonts w:hint="eastAsia"/>
          <w:bCs/>
          <w:sz w:val="24"/>
        </w:rPr>
        <w:t>类基金份额的销售服务费</w:t>
      </w:r>
    </w:p>
    <w:p w14:paraId="3605BB0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 xml:space="preserve">0.40% </w:t>
      </w:r>
      <w:r>
        <w:rPr>
          <w:rFonts w:hint="eastAsia"/>
          <w:bCs/>
          <w:sz w:val="24"/>
        </w:rPr>
        <w:t>。销售服务费的计算方法如下：</w:t>
      </w:r>
    </w:p>
    <w:p w14:paraId="14E3F96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w:t>
      </w:r>
      <w:r>
        <w:rPr>
          <w:rFonts w:hint="eastAsia"/>
          <w:bCs/>
          <w:sz w:val="24"/>
        </w:rPr>
        <w:t>E</w:t>
      </w:r>
      <w:r>
        <w:rPr>
          <w:rFonts w:hint="eastAsia"/>
          <w:bCs/>
          <w:sz w:val="24"/>
        </w:rPr>
        <w:t>×</w:t>
      </w:r>
      <w:r>
        <w:rPr>
          <w:rFonts w:hint="eastAsia"/>
          <w:bCs/>
          <w:sz w:val="24"/>
        </w:rPr>
        <w:t xml:space="preserve">0.40% </w:t>
      </w:r>
      <w:r>
        <w:rPr>
          <w:rFonts w:hint="eastAsia"/>
          <w:bCs/>
          <w:sz w:val="24"/>
        </w:rPr>
        <w:t>÷当年天数</w:t>
      </w:r>
    </w:p>
    <w:p w14:paraId="08E35DF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159901D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类基金份额的基金资产净值</w:t>
      </w:r>
    </w:p>
    <w:p w14:paraId="29E8233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C</w:t>
      </w:r>
      <w:r>
        <w:rPr>
          <w:rFonts w:hint="eastAsia"/>
          <w:bCs/>
          <w:sz w:val="24"/>
        </w:rPr>
        <w:t>类基金份额的销售服务费每日计提，逐日累计至每月月末，按月支付。由基金管理人授权基金托管人于次月第</w:t>
      </w:r>
      <w:r>
        <w:rPr>
          <w:rFonts w:hint="eastAsia"/>
          <w:bCs/>
          <w:sz w:val="24"/>
        </w:rPr>
        <w:t>5</w:t>
      </w:r>
      <w:r>
        <w:rPr>
          <w:rFonts w:hint="eastAsia"/>
          <w:bCs/>
          <w:sz w:val="24"/>
        </w:rPr>
        <w:t>个工作日自动从基金资产中一次性支付给登记机构，由登记机构分别支付给销售机构。若遇法定节假日、休息日或不可抗力致使无法按时支付的，支付日期顺延。</w:t>
      </w:r>
    </w:p>
    <w:p w14:paraId="499AEE5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上述“一、基金费用的种类”中第</w:t>
      </w:r>
      <w:r>
        <w:rPr>
          <w:rFonts w:hint="eastAsia"/>
          <w:bCs/>
          <w:sz w:val="24"/>
        </w:rPr>
        <w:t>4</w:t>
      </w:r>
      <w:r>
        <w:rPr>
          <w:rFonts w:hint="eastAsia"/>
          <w:bCs/>
          <w:sz w:val="24"/>
        </w:rPr>
        <w:t>－</w:t>
      </w:r>
      <w:r>
        <w:rPr>
          <w:rFonts w:hint="eastAsia"/>
          <w:bCs/>
          <w:sz w:val="24"/>
        </w:rPr>
        <w:t>1</w:t>
      </w:r>
      <w:r>
        <w:rPr>
          <w:bCs/>
          <w:sz w:val="24"/>
        </w:rPr>
        <w:t>0</w:t>
      </w:r>
      <w:r>
        <w:rPr>
          <w:rFonts w:hint="eastAsia"/>
          <w:bCs/>
          <w:sz w:val="24"/>
        </w:rPr>
        <w:t>项费用，根据有关法规及相应协议规定，按费用实际支出金额列入当期费用，由基金托管人根据基金管理人指令并参照行业惯例从基金财产中支付。</w:t>
      </w:r>
    </w:p>
    <w:p w14:paraId="57B6236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三、不列入基金费用的项目</w:t>
      </w:r>
    </w:p>
    <w:p w14:paraId="0179B95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下列费用不列入基金费用：</w:t>
      </w:r>
    </w:p>
    <w:p w14:paraId="35C7B63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、基金管理人和基金托管人因未履行或未完全履行义务导致的费用支出或基金财产的损失；</w:t>
      </w:r>
    </w:p>
    <w:p w14:paraId="49A628A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、基金管理人和基金托管人处理与基金运作无关的事项发生的费用；</w:t>
      </w:r>
    </w:p>
    <w:p w14:paraId="0671AD3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、《基金合同》生效前的相关费用；</w:t>
      </w:r>
    </w:p>
    <w:p w14:paraId="520DD83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、其他根据相关法律法规及中国证监会的有关规定不得列入基金费用的项目。</w:t>
      </w:r>
    </w:p>
    <w:p w14:paraId="782C7E48" w14:textId="77777777" w:rsidR="00B67C49" w:rsidRDefault="00000000">
      <w:pPr>
        <w:spacing w:line="360" w:lineRule="auto"/>
        <w:ind w:firstLineChars="200" w:firstLine="480"/>
        <w:rPr>
          <w:bCs/>
          <w:sz w:val="24"/>
        </w:rPr>
      </w:pPr>
      <w:r>
        <w:rPr>
          <w:rFonts w:hint="eastAsia"/>
          <w:bCs/>
          <w:sz w:val="24"/>
        </w:rPr>
        <w:t>四、实施</w:t>
      </w:r>
      <w:proofErr w:type="gramStart"/>
      <w:r>
        <w:rPr>
          <w:rFonts w:hint="eastAsia"/>
          <w:bCs/>
          <w:sz w:val="24"/>
        </w:rPr>
        <w:t>侧袋机制</w:t>
      </w:r>
      <w:proofErr w:type="gramEnd"/>
      <w:r>
        <w:rPr>
          <w:rFonts w:hint="eastAsia"/>
          <w:bCs/>
          <w:sz w:val="24"/>
        </w:rPr>
        <w:t>期间的基金费用</w:t>
      </w:r>
    </w:p>
    <w:p w14:paraId="5DF59B39" w14:textId="77777777" w:rsidR="00B67C49" w:rsidRDefault="00000000">
      <w:pPr>
        <w:spacing w:line="360" w:lineRule="auto"/>
        <w:ind w:firstLineChars="200" w:firstLine="480"/>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w:t>
      </w:r>
      <w:proofErr w:type="gramStart"/>
      <w:r>
        <w:rPr>
          <w:rFonts w:hint="eastAsia"/>
          <w:bCs/>
          <w:sz w:val="24"/>
        </w:rPr>
        <w:t>与侧袋账户</w:t>
      </w:r>
      <w:proofErr w:type="gramEnd"/>
      <w:r>
        <w:rPr>
          <w:rFonts w:hint="eastAsia"/>
          <w:bCs/>
          <w:sz w:val="24"/>
        </w:rPr>
        <w:t>有关的费用可以</w:t>
      </w:r>
      <w:proofErr w:type="gramStart"/>
      <w:r>
        <w:rPr>
          <w:rFonts w:hint="eastAsia"/>
          <w:bCs/>
          <w:sz w:val="24"/>
        </w:rPr>
        <w:t>从侧袋账户</w:t>
      </w:r>
      <w:proofErr w:type="gramEnd"/>
      <w:r>
        <w:rPr>
          <w:rFonts w:hint="eastAsia"/>
          <w:bCs/>
          <w:sz w:val="24"/>
        </w:rPr>
        <w:t>中列支，但应</w:t>
      </w:r>
      <w:proofErr w:type="gramStart"/>
      <w:r>
        <w:rPr>
          <w:rFonts w:hint="eastAsia"/>
          <w:bCs/>
          <w:sz w:val="24"/>
        </w:rPr>
        <w:t>待侧袋</w:t>
      </w:r>
      <w:proofErr w:type="gramEnd"/>
      <w:r>
        <w:rPr>
          <w:rFonts w:hint="eastAsia"/>
          <w:bCs/>
          <w:sz w:val="24"/>
        </w:rPr>
        <w:t>账户资产变现后方可列支，有关费用可酌情收取或减免，但不得收取管理费，其他费用详见招募说明书“侧袋机制”部分或相关公告的规定。</w:t>
      </w:r>
    </w:p>
    <w:p w14:paraId="3250B85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五、基金税收</w:t>
      </w:r>
    </w:p>
    <w:p w14:paraId="5DBCCB41"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本基金运作过程中涉及的各纳税主体，其纳税义务按国家税收法律、法规执行。</w:t>
      </w:r>
    </w:p>
    <w:p w14:paraId="2ECE5ACD"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基金财产投资的相关税收，由基金份额持有人承担，基金管理人或者其他扣缴义务人按照国家有关税收征收的规定代扣代缴。</w:t>
      </w:r>
    </w:p>
    <w:p w14:paraId="3D7E2A50" w14:textId="77777777" w:rsidR="00B67C49" w:rsidRDefault="00B67C49">
      <w:pPr>
        <w:autoSpaceDE w:val="0"/>
        <w:autoSpaceDN w:val="0"/>
        <w:spacing w:line="360" w:lineRule="auto"/>
        <w:ind w:firstLineChars="200" w:firstLine="480"/>
        <w:textAlignment w:val="bottom"/>
        <w:rPr>
          <w:bCs/>
          <w:sz w:val="24"/>
        </w:rPr>
      </w:pPr>
    </w:p>
    <w:p w14:paraId="2C2A0F9D" w14:textId="77777777" w:rsidR="00B67C49" w:rsidRDefault="00000000">
      <w:pPr>
        <w:widowControl/>
        <w:jc w:val="left"/>
        <w:rPr>
          <w:bCs/>
          <w:sz w:val="24"/>
        </w:rPr>
      </w:pPr>
      <w:r>
        <w:rPr>
          <w:bCs/>
          <w:sz w:val="24"/>
        </w:rPr>
        <w:br w:type="page"/>
      </w:r>
    </w:p>
    <w:p w14:paraId="64A5B7A0" w14:textId="77777777" w:rsidR="00B67C49" w:rsidRDefault="00000000">
      <w:pPr>
        <w:pStyle w:val="1"/>
        <w:jc w:val="center"/>
        <w:rPr>
          <w:sz w:val="30"/>
          <w:szCs w:val="30"/>
        </w:rPr>
      </w:pPr>
      <w:bookmarkStart w:id="304" w:name="_Toc68266301"/>
      <w:bookmarkStart w:id="305" w:name="_Toc119568470"/>
      <w:r>
        <w:rPr>
          <w:rFonts w:hint="eastAsia"/>
          <w:sz w:val="30"/>
          <w:szCs w:val="30"/>
        </w:rPr>
        <w:lastRenderedPageBreak/>
        <w:t>第十四部分</w:t>
      </w:r>
      <w:r>
        <w:rPr>
          <w:sz w:val="30"/>
          <w:szCs w:val="30"/>
        </w:rPr>
        <w:t xml:space="preserve">  </w:t>
      </w:r>
      <w:r>
        <w:rPr>
          <w:rFonts w:hint="eastAsia"/>
          <w:sz w:val="30"/>
          <w:szCs w:val="30"/>
        </w:rPr>
        <w:t>基金的会计与审计</w:t>
      </w:r>
      <w:bookmarkEnd w:id="287"/>
      <w:bookmarkEnd w:id="288"/>
      <w:bookmarkEnd w:id="289"/>
      <w:bookmarkEnd w:id="304"/>
      <w:bookmarkEnd w:id="305"/>
    </w:p>
    <w:p w14:paraId="44825AC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一、基金会计政策</w:t>
      </w:r>
    </w:p>
    <w:p w14:paraId="57E256F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、基金管理人为本基金的基金会计责任方；</w:t>
      </w:r>
    </w:p>
    <w:p w14:paraId="212F428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、基金的会计年度为公历年度的</w:t>
      </w:r>
      <w:r>
        <w:rPr>
          <w:rFonts w:hint="eastAsia"/>
          <w:bCs/>
          <w:sz w:val="24"/>
        </w:rPr>
        <w:t>1</w:t>
      </w:r>
      <w:r>
        <w:rPr>
          <w:rFonts w:hint="eastAsia"/>
          <w:bCs/>
          <w:sz w:val="24"/>
        </w:rPr>
        <w:t>月</w:t>
      </w:r>
      <w:r>
        <w:rPr>
          <w:rFonts w:hint="eastAsia"/>
          <w:bCs/>
          <w:sz w:val="24"/>
        </w:rPr>
        <w:t>1</w:t>
      </w:r>
      <w:r>
        <w:rPr>
          <w:rFonts w:hint="eastAsia"/>
          <w:bCs/>
          <w:sz w:val="24"/>
        </w:rPr>
        <w:t>日至</w:t>
      </w:r>
      <w:r>
        <w:rPr>
          <w:rFonts w:hint="eastAsia"/>
          <w:bCs/>
          <w:sz w:val="24"/>
        </w:rPr>
        <w:t>12</w:t>
      </w:r>
      <w:r>
        <w:rPr>
          <w:rFonts w:hint="eastAsia"/>
          <w:bCs/>
          <w:sz w:val="24"/>
        </w:rPr>
        <w:t>月</w:t>
      </w:r>
      <w:r>
        <w:rPr>
          <w:rFonts w:hint="eastAsia"/>
          <w:bCs/>
          <w:sz w:val="24"/>
        </w:rPr>
        <w:t>31</w:t>
      </w:r>
      <w:r>
        <w:rPr>
          <w:rFonts w:hint="eastAsia"/>
          <w:bCs/>
          <w:sz w:val="24"/>
        </w:rPr>
        <w:t>日；基金首次募集的会计年度按如下原则：如果《基金合同》生效少于</w:t>
      </w:r>
      <w:r>
        <w:rPr>
          <w:rFonts w:hint="eastAsia"/>
          <w:bCs/>
          <w:sz w:val="24"/>
        </w:rPr>
        <w:t>2</w:t>
      </w:r>
      <w:r>
        <w:rPr>
          <w:rFonts w:hint="eastAsia"/>
          <w:bCs/>
          <w:sz w:val="24"/>
        </w:rPr>
        <w:t>个月，可以并入下一个会计年度披露；</w:t>
      </w:r>
    </w:p>
    <w:p w14:paraId="2D183E7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、基金核算以人民币为记账本位币，以人民币元为记账单位；</w:t>
      </w:r>
    </w:p>
    <w:p w14:paraId="162113A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、会计制度执行国家有关会计制度；</w:t>
      </w:r>
    </w:p>
    <w:p w14:paraId="0DFBBEE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、本基金独立建账、独立核算；</w:t>
      </w:r>
    </w:p>
    <w:p w14:paraId="0DD706C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、基金管理人及基金托管人各自保留完整的会计账目、凭证并进行日常的会计核算，按照有关规定编制基金会计报表；</w:t>
      </w:r>
    </w:p>
    <w:p w14:paraId="0D2B9A8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、基金托管人每月与基金管理人就基金的会计核算、报表编制等进行核对并以书面方式确认。</w:t>
      </w:r>
    </w:p>
    <w:p w14:paraId="5CD3A9D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二、基金的年度审计</w:t>
      </w:r>
    </w:p>
    <w:p w14:paraId="3F26BE6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、基金管理人聘请与基金管理人、基金托管人相互独立的符合《中华人民共和国证券法》规定的会计师事务所及其注册会计师对本基金的年度财务报表进行审计。</w:t>
      </w:r>
    </w:p>
    <w:p w14:paraId="4C63121D"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、会计师事务所更换经办注册会计师，应事先征得基金管理人同意。</w:t>
      </w:r>
    </w:p>
    <w:p w14:paraId="0FBAD22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、基金管理人认为有充足理由更换会计师事务所，须通报基金托管人。更换会计师事务所需依照《信息披露办法》的有关规定在规定媒介公告。</w:t>
      </w:r>
    </w:p>
    <w:p w14:paraId="0D1DFAEB" w14:textId="77777777" w:rsidR="00B67C49" w:rsidRDefault="00000000">
      <w:pPr>
        <w:widowControl/>
        <w:jc w:val="left"/>
        <w:rPr>
          <w:bCs/>
          <w:sz w:val="24"/>
        </w:rPr>
      </w:pPr>
      <w:r>
        <w:rPr>
          <w:bCs/>
          <w:sz w:val="24"/>
        </w:rPr>
        <w:br w:type="page"/>
      </w:r>
    </w:p>
    <w:p w14:paraId="522FB26E" w14:textId="77777777" w:rsidR="00B67C49" w:rsidRDefault="00000000">
      <w:pPr>
        <w:pStyle w:val="1"/>
        <w:jc w:val="center"/>
        <w:rPr>
          <w:sz w:val="30"/>
          <w:szCs w:val="30"/>
        </w:rPr>
      </w:pPr>
      <w:bookmarkStart w:id="306" w:name="_Toc416264551"/>
      <w:bookmarkStart w:id="307" w:name="_Toc263092323"/>
      <w:bookmarkStart w:id="308" w:name="_Toc119568471"/>
      <w:bookmarkStart w:id="309" w:name="_Toc68266302"/>
      <w:bookmarkStart w:id="310" w:name="_Toc79978642"/>
      <w:bookmarkStart w:id="311" w:name="_Toc214873604"/>
      <w:bookmarkStart w:id="312" w:name="_Toc93226149"/>
      <w:bookmarkStart w:id="313" w:name="_Toc21829"/>
      <w:bookmarkStart w:id="314" w:name="_Toc19558"/>
      <w:bookmarkStart w:id="315" w:name="_Toc139991746"/>
      <w:bookmarkStart w:id="316" w:name="_Toc15351"/>
      <w:bookmarkStart w:id="317" w:name="_Toc352229762"/>
      <w:bookmarkStart w:id="318" w:name="_Toc3656"/>
      <w:bookmarkStart w:id="319" w:name="_Toc12761"/>
      <w:bookmarkStart w:id="320" w:name="_Toc25883"/>
      <w:bookmarkStart w:id="321" w:name="_Toc15525"/>
      <w:bookmarkStart w:id="322" w:name="_Toc178"/>
      <w:bookmarkStart w:id="323" w:name="_Toc20052"/>
      <w:bookmarkStart w:id="324" w:name="_Toc22552"/>
      <w:bookmarkStart w:id="325" w:name="_Toc92662707"/>
      <w:bookmarkStart w:id="326" w:name="_Toc141703896"/>
      <w:bookmarkStart w:id="327" w:name="_Toc128310499"/>
      <w:bookmarkStart w:id="328" w:name="_Toc1617"/>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Pr>
          <w:rFonts w:hint="eastAsia"/>
          <w:sz w:val="30"/>
          <w:szCs w:val="30"/>
        </w:rPr>
        <w:lastRenderedPageBreak/>
        <w:t>第十五部分</w:t>
      </w:r>
      <w:r>
        <w:rPr>
          <w:sz w:val="30"/>
          <w:szCs w:val="30"/>
        </w:rPr>
        <w:t xml:space="preserve">  </w:t>
      </w:r>
      <w:r>
        <w:rPr>
          <w:rFonts w:hint="eastAsia"/>
          <w:sz w:val="30"/>
          <w:szCs w:val="30"/>
        </w:rPr>
        <w:t>基金的信息披露</w:t>
      </w:r>
      <w:bookmarkEnd w:id="306"/>
      <w:bookmarkEnd w:id="307"/>
      <w:bookmarkEnd w:id="308"/>
      <w:bookmarkEnd w:id="309"/>
      <w:bookmarkEnd w:id="310"/>
      <w:bookmarkEnd w:id="311"/>
    </w:p>
    <w:p w14:paraId="0ADD147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E67897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二、信息披露义务人</w:t>
      </w:r>
    </w:p>
    <w:p w14:paraId="4510E7A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本基金信息披露义务人包括基金管理人、基金托管人、召集基金份额持有人大会的基金份额持有人等法律、行政法规和中国证监会规定的自然人、法人和非法人组织。</w:t>
      </w:r>
    </w:p>
    <w:p w14:paraId="3493DA9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2734D1E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本基金信息披露义务人应当在中国证监会规定时间内，将应予披露的基金信息通过中国证监会规定媒介披露，并保证基金投资者能够按照《基金合同》约定的时间和方式查阅或者复制公开披露的信息资料。</w:t>
      </w:r>
    </w:p>
    <w:p w14:paraId="306573F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三、本基金信息披露义务人承诺公开披露的基金信息，不得有下列行为：</w:t>
      </w:r>
    </w:p>
    <w:p w14:paraId="3F1EBDE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、虚假记载、误导性陈述或者重大遗漏；</w:t>
      </w:r>
    </w:p>
    <w:p w14:paraId="1967DB0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、对证券投资业绩进行预测；</w:t>
      </w:r>
    </w:p>
    <w:p w14:paraId="40495C8D"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、违规承诺收益或者承担损失；</w:t>
      </w:r>
    </w:p>
    <w:p w14:paraId="597066F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、诋毁其他基金管理人、基金托管人或者基金销售机构；</w:t>
      </w:r>
    </w:p>
    <w:p w14:paraId="482BC29D" w14:textId="77777777" w:rsidR="00B67C49"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、登载任何自然人、法人和非法人组织的祝贺性、恭维性或推荐性的文字；</w:t>
      </w:r>
    </w:p>
    <w:p w14:paraId="51D5DE8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、中国证监会禁止的其他行为。</w:t>
      </w:r>
    </w:p>
    <w:p w14:paraId="14C76EB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四、本基金公开披露的信息应采用中文文本。同时采用外文文本的，基金信息披露义务人应保证不同文本的内容一致。不同文本之间发生歧义的，以中文文本为准。</w:t>
      </w:r>
    </w:p>
    <w:p w14:paraId="41EF0B6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本基金公开披露的信息采用阿拉伯数字；除特别说明外，货币单位为人民币元。</w:t>
      </w:r>
    </w:p>
    <w:p w14:paraId="0A94DBE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五、公开披露的基金信息</w:t>
      </w:r>
    </w:p>
    <w:p w14:paraId="0BC558A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公开披露的基金信息包括：</w:t>
      </w:r>
    </w:p>
    <w:p w14:paraId="2CE6E4C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（一）基金招募说明书、《基金合同》、基金托管协议、基金产品资料概要</w:t>
      </w:r>
    </w:p>
    <w:p w14:paraId="30E42FB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、《基金合同》是界定《基金合同》当事人的各项权利、义务关系，明确基金</w:t>
      </w:r>
      <w:r>
        <w:rPr>
          <w:rFonts w:hint="eastAsia"/>
          <w:bCs/>
          <w:sz w:val="24"/>
        </w:rPr>
        <w:lastRenderedPageBreak/>
        <w:t>份额持有人大会召开的规则及具体程序，说明基金产品的特性等涉及基金投资者重大利益的事项的法律文件。</w:t>
      </w:r>
    </w:p>
    <w:p w14:paraId="3D065B0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w:t>
      </w:r>
    </w:p>
    <w:p w14:paraId="37DE676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、基金托管协议是界定基金托管人和基金管理人在基金财产保管及基金运作监督等活动中的权利、义务关系的法律文件。</w:t>
      </w:r>
    </w:p>
    <w:p w14:paraId="6A31575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规定网站及基金销售机构网站或营业网点；基金产品资料概要其他信息发生变更的，基金管理人至少每年更新一次。基金终止运作的，基金管理人不再更新基金产品资料概要。</w:t>
      </w:r>
    </w:p>
    <w:p w14:paraId="01F0BA0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募集申请经中国证监会注册后，基金管理人在基金份额发售的三日前，将基金份额发售公告、基金招募说明书提示性公告、《基金合同》提示性公告登载在规定报刊上，将基金份额发售公告、基金招募说明书、基金产品资料概要、基金合同和基金托管协议登载在规定网站上，并将基金产品资料概要登载在基金销售机构网站或营业网点；基金托管人应当同时将《基金合同》、基金托管协议登载在规定网站上。</w:t>
      </w:r>
    </w:p>
    <w:p w14:paraId="0B1CE64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（二）基金份额发售公告</w:t>
      </w:r>
    </w:p>
    <w:p w14:paraId="6EBAD57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基金管理人应当就基金份额发售的具体事宜编制基金份额发售公告，并在披露招募说明书的当日登载于规定媒介上。</w:t>
      </w:r>
    </w:p>
    <w:p w14:paraId="109BEC0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（三）《基金合同》生效公告</w:t>
      </w:r>
    </w:p>
    <w:p w14:paraId="48BA568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基金管理人应当在收到中国证监会确认文件的次日在规定媒介上登载《基金合同》生效公告。</w:t>
      </w:r>
    </w:p>
    <w:p w14:paraId="2F975E2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（四）基金净值信息</w:t>
      </w:r>
    </w:p>
    <w:p w14:paraId="5D03CC7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《基金合同》生效后，在开始办理基金份额申购或者赎回前，基金管理人应当</w:t>
      </w:r>
      <w:r>
        <w:rPr>
          <w:rFonts w:hint="eastAsia"/>
          <w:bCs/>
          <w:sz w:val="24"/>
        </w:rPr>
        <w:lastRenderedPageBreak/>
        <w:t>至少每周在规定网站披露一次各类基金份额净值和各类基金份额累计净值。</w:t>
      </w:r>
    </w:p>
    <w:p w14:paraId="75C7EA5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在开始办理基金份额申购或者赎回后，基金管理人应当在不晚于每个开放日的次日，通过规定网站、基金销售机构网站或营业网点披露开放日的各类基金份额净值和各类基金份额累计净值。</w:t>
      </w:r>
    </w:p>
    <w:p w14:paraId="1174ED4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基金管理人应在不晚于半年度和年度最后一日的次日，在规定网站披露半年度和年度最后一日的各类基金份额净值和各类基金份额累计净值。</w:t>
      </w:r>
    </w:p>
    <w:p w14:paraId="4DBFC47D"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（五）基金份额申购、赎回价格</w:t>
      </w:r>
    </w:p>
    <w:p w14:paraId="50E1C76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基金管理人应当在《基金合同》、招募说明书等信息披露文件上载</w:t>
      </w:r>
      <w:proofErr w:type="gramStart"/>
      <w:r>
        <w:rPr>
          <w:rFonts w:hint="eastAsia"/>
          <w:bCs/>
          <w:sz w:val="24"/>
        </w:rPr>
        <w:t>明基金</w:t>
      </w:r>
      <w:proofErr w:type="gramEnd"/>
      <w:r>
        <w:rPr>
          <w:rFonts w:hint="eastAsia"/>
          <w:bCs/>
          <w:sz w:val="24"/>
        </w:rPr>
        <w:t>份额申购、赎回价格的计算方式及有关申购、赎回费率，并保证投资者能够在基金销售机构网站或营业网点查阅或者复制前述信息资料。</w:t>
      </w:r>
    </w:p>
    <w:p w14:paraId="00AA912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（六）基金定期报告，包括基金年度报告、基金中期报告和基金季度报告</w:t>
      </w:r>
    </w:p>
    <w:p w14:paraId="2A8F78D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在每年结束之日起三个月内，编制完成基金年度报告，将年度报告登载在规定网站上，并将年度报告提示性公告登载在规定报刊上。基金年度报告中的财务会计报告应当经过符合《中华人民共和国证券法》规定的会计师事务所审计。</w:t>
      </w:r>
    </w:p>
    <w:p w14:paraId="5D1C54C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基金管理人应当在上半年结束之日起两个月内，编制完成基金中期报告，将中期报告登载在规定网站上，并将中期报告提示性公告登载在规定报刊上。</w:t>
      </w:r>
    </w:p>
    <w:p w14:paraId="22ED5F3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基金管理人应当在每个季度结束之日起</w:t>
      </w:r>
      <w:r>
        <w:rPr>
          <w:rFonts w:hint="eastAsia"/>
          <w:bCs/>
          <w:sz w:val="24"/>
        </w:rPr>
        <w:t>15</w:t>
      </w:r>
      <w:r>
        <w:rPr>
          <w:rFonts w:hint="eastAsia"/>
          <w:bCs/>
          <w:sz w:val="24"/>
        </w:rPr>
        <w:t>个工作日内，编制完成基金季度报告，将季度报告登载在规定网站上，并将季度报告提示性公告登载在规定报刊上。</w:t>
      </w:r>
    </w:p>
    <w:p w14:paraId="076AF8B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《基金合同》生效不足</w:t>
      </w:r>
      <w:r>
        <w:rPr>
          <w:rFonts w:hint="eastAsia"/>
          <w:bCs/>
          <w:sz w:val="24"/>
        </w:rPr>
        <w:t>2</w:t>
      </w:r>
      <w:r>
        <w:rPr>
          <w:rFonts w:hint="eastAsia"/>
          <w:bCs/>
          <w:sz w:val="24"/>
        </w:rPr>
        <w:t>个月的，基金管理人可以不编制当期季度报告、中期报告或者年度报告。</w:t>
      </w:r>
    </w:p>
    <w:p w14:paraId="2DD3F9E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如报告期内出现单一投资者持有基金份额达到或超过基金总份额</w:t>
      </w:r>
      <w:r>
        <w:rPr>
          <w:rFonts w:hint="eastAsia"/>
          <w:bCs/>
          <w:sz w:val="24"/>
        </w:rPr>
        <w:t>20%</w:t>
      </w:r>
      <w:r>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本基金的特有风险，中国证监会认定的特殊情形除外。</w:t>
      </w:r>
    </w:p>
    <w:p w14:paraId="38276EC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基金管理人应当在基金年度报告和中期报告中披露基金组合资产情况及其流动性风险分析等。</w:t>
      </w:r>
    </w:p>
    <w:p w14:paraId="5BD0DFC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（七）临时报告</w:t>
      </w:r>
    </w:p>
    <w:p w14:paraId="7725537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本基金发生重大事件，有关信息披露义务人应当依照《信息披露办法》的有关</w:t>
      </w:r>
      <w:r>
        <w:rPr>
          <w:rFonts w:hint="eastAsia"/>
          <w:bCs/>
          <w:sz w:val="24"/>
        </w:rPr>
        <w:lastRenderedPageBreak/>
        <w:t>规定编制临时报告书，并登载在规定报刊和规定网站上。</w:t>
      </w:r>
    </w:p>
    <w:p w14:paraId="6E00FB3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前款所称重大事件，是指可能对基金份额持有人权益或者基金份额的价格产生重大影响的下列事件：</w:t>
      </w:r>
    </w:p>
    <w:p w14:paraId="36B1485D"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、基金份额持有人大会的召开及决定的事项；</w:t>
      </w:r>
    </w:p>
    <w:p w14:paraId="4A31EF3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rFonts w:hint="eastAsia"/>
          <w:bCs/>
          <w:sz w:val="24"/>
        </w:rPr>
        <w:t>、基金合同终止、基金清算；</w:t>
      </w:r>
    </w:p>
    <w:p w14:paraId="78B35CEF"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rFonts w:hint="eastAsia"/>
          <w:bCs/>
          <w:sz w:val="24"/>
        </w:rPr>
        <w:t>、转换基金运作方式、基金合并；</w:t>
      </w:r>
    </w:p>
    <w:p w14:paraId="1401270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rFonts w:hint="eastAsia"/>
          <w:bCs/>
          <w:sz w:val="24"/>
        </w:rPr>
        <w:t>、更换基金管理人、基金托管人、基金份额登记机构，基金改聘会计师事务所；</w:t>
      </w:r>
    </w:p>
    <w:p w14:paraId="0B41ED5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7B39E66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6</w:t>
      </w:r>
      <w:r>
        <w:rPr>
          <w:rFonts w:hint="eastAsia"/>
          <w:bCs/>
          <w:sz w:val="24"/>
        </w:rPr>
        <w:t>、基金管理人、基金托管人的法定名称、住所发生变更；</w:t>
      </w:r>
    </w:p>
    <w:p w14:paraId="7748330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7</w:t>
      </w:r>
      <w:r>
        <w:rPr>
          <w:rFonts w:hint="eastAsia"/>
          <w:bCs/>
          <w:sz w:val="24"/>
        </w:rPr>
        <w:t>、基金管理人变更持有百分之五以上股权的股东、基金管理人的实际控制人变更；</w:t>
      </w:r>
    </w:p>
    <w:p w14:paraId="27D9EC3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8</w:t>
      </w:r>
      <w:r>
        <w:rPr>
          <w:rFonts w:hint="eastAsia"/>
          <w:bCs/>
          <w:sz w:val="24"/>
        </w:rPr>
        <w:t>、基金募集期延长或提前结束募集；</w:t>
      </w:r>
    </w:p>
    <w:p w14:paraId="6E47794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9</w:t>
      </w:r>
      <w:r>
        <w:rPr>
          <w:rFonts w:hint="eastAsia"/>
          <w:bCs/>
          <w:sz w:val="24"/>
        </w:rPr>
        <w:t>、基金管理人高级管理人员、基金经理和基金托管人专门基金托管部门负责人发生变动；</w:t>
      </w:r>
    </w:p>
    <w:p w14:paraId="47058D3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3B063AF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11</w:t>
      </w:r>
      <w:r>
        <w:rPr>
          <w:rFonts w:hint="eastAsia"/>
          <w:bCs/>
          <w:sz w:val="24"/>
        </w:rPr>
        <w:t>、涉及基金财产、基金管理业务、基金托管业务的诉讼或仲裁；</w:t>
      </w:r>
    </w:p>
    <w:p w14:paraId="7911B98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806492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64322FE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14</w:t>
      </w:r>
      <w:r>
        <w:rPr>
          <w:rFonts w:hint="eastAsia"/>
          <w:bCs/>
          <w:sz w:val="24"/>
        </w:rPr>
        <w:t>、基金收益分配事项；</w:t>
      </w:r>
    </w:p>
    <w:p w14:paraId="74652BC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15</w:t>
      </w:r>
      <w:r>
        <w:rPr>
          <w:rFonts w:hint="eastAsia"/>
          <w:bCs/>
          <w:sz w:val="24"/>
        </w:rPr>
        <w:t>、管理费、托管费、销售服务费、申购费、赎回费等费用计提标准、计提方式和费率发生变更；</w:t>
      </w:r>
    </w:p>
    <w:p w14:paraId="684D503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16</w:t>
      </w:r>
      <w:r>
        <w:rPr>
          <w:rFonts w:hint="eastAsia"/>
          <w:bCs/>
          <w:sz w:val="24"/>
        </w:rPr>
        <w:t>、某一类基金份额净值计价错误达该类基金份额净值百分之零点五；</w:t>
      </w:r>
    </w:p>
    <w:p w14:paraId="790BA04D"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17</w:t>
      </w:r>
      <w:r>
        <w:rPr>
          <w:rFonts w:hint="eastAsia"/>
          <w:bCs/>
          <w:sz w:val="24"/>
        </w:rPr>
        <w:t>、本基金开始办理申购、赎回；</w:t>
      </w:r>
    </w:p>
    <w:p w14:paraId="4E11A50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18</w:t>
      </w:r>
      <w:r>
        <w:rPr>
          <w:rFonts w:hint="eastAsia"/>
          <w:bCs/>
          <w:sz w:val="24"/>
        </w:rPr>
        <w:t>、本基金发生巨额赎回并延期办理；</w:t>
      </w:r>
    </w:p>
    <w:p w14:paraId="15F3FB1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19</w:t>
      </w:r>
      <w:r>
        <w:rPr>
          <w:rFonts w:hint="eastAsia"/>
          <w:bCs/>
          <w:sz w:val="24"/>
        </w:rPr>
        <w:t>、本基金连续发生巨额赎回并暂停接受赎回申请或延缓支付赎回款项；</w:t>
      </w:r>
    </w:p>
    <w:p w14:paraId="4BF4987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20</w:t>
      </w:r>
      <w:r>
        <w:rPr>
          <w:rFonts w:hint="eastAsia"/>
          <w:bCs/>
          <w:sz w:val="24"/>
        </w:rPr>
        <w:t>、本基金暂停接受申购、赎回申请或重新接受申购、赎回申请；</w:t>
      </w:r>
    </w:p>
    <w:p w14:paraId="018AEC4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21</w:t>
      </w:r>
      <w:r>
        <w:rPr>
          <w:rFonts w:hint="eastAsia"/>
          <w:bCs/>
          <w:sz w:val="24"/>
        </w:rPr>
        <w:t>、在发生涉及基金申购、赎回事项调整或潜在影响投资者赎回等重大事项时；</w:t>
      </w:r>
    </w:p>
    <w:p w14:paraId="4996EC6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22</w:t>
      </w:r>
      <w:r>
        <w:rPr>
          <w:rFonts w:hint="eastAsia"/>
          <w:bCs/>
          <w:sz w:val="24"/>
        </w:rPr>
        <w:t>、基金管理人采用摆动定价机制进行估值；</w:t>
      </w:r>
    </w:p>
    <w:p w14:paraId="3DF732DC"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23</w:t>
      </w:r>
      <w:r>
        <w:rPr>
          <w:rFonts w:hint="eastAsia"/>
          <w:bCs/>
          <w:sz w:val="24"/>
        </w:rPr>
        <w:t>、调整基金份额类别设置；</w:t>
      </w:r>
    </w:p>
    <w:p w14:paraId="4F66FD42" w14:textId="77777777" w:rsidR="00B67C49" w:rsidRDefault="00000000">
      <w:pPr>
        <w:autoSpaceDE w:val="0"/>
        <w:autoSpaceDN w:val="0"/>
        <w:spacing w:line="360" w:lineRule="auto"/>
        <w:ind w:firstLineChars="200" w:firstLine="480"/>
        <w:textAlignment w:val="bottom"/>
        <w:rPr>
          <w:bCs/>
          <w:sz w:val="24"/>
        </w:rPr>
      </w:pPr>
      <w:r>
        <w:rPr>
          <w:rFonts w:hint="eastAsia"/>
          <w:bCs/>
          <w:sz w:val="24"/>
        </w:rPr>
        <w:t>2</w:t>
      </w:r>
      <w:r>
        <w:rPr>
          <w:bCs/>
          <w:sz w:val="24"/>
        </w:rPr>
        <w:t>4</w:t>
      </w:r>
      <w:r>
        <w:rPr>
          <w:rFonts w:hint="eastAsia"/>
          <w:bCs/>
          <w:sz w:val="24"/>
        </w:rPr>
        <w:t>、基金信息披露义务人认为可能对基金份额持有人权益或者基金份额的价格产生重大影响的其他事项或中国证监会规定的其他事项。</w:t>
      </w:r>
    </w:p>
    <w:p w14:paraId="3D0EB6ED"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（八）澄清公告</w:t>
      </w:r>
    </w:p>
    <w:p w14:paraId="788C75C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3F8FC27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（九）基金份额持有人大会决议</w:t>
      </w:r>
    </w:p>
    <w:p w14:paraId="0924214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基金份额持有人大会决定的事项，应当依法报中国证监会备案，并予以公告。</w:t>
      </w:r>
    </w:p>
    <w:p w14:paraId="4A1D76A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（十）清算报告</w:t>
      </w:r>
    </w:p>
    <w:p w14:paraId="675E116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基金终止运作的，基金管理人应当依法组织基金财产清算小组对基金财产进行清算并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清算报告。基金财产清算小组应当将清算报告登载在规定网站上，并将清算报告提示性公告登载在规定报刊上。</w:t>
      </w:r>
    </w:p>
    <w:p w14:paraId="1ECD83D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（十一）实施</w:t>
      </w:r>
      <w:proofErr w:type="gramStart"/>
      <w:r>
        <w:rPr>
          <w:rFonts w:hint="eastAsia"/>
          <w:bCs/>
          <w:sz w:val="24"/>
        </w:rPr>
        <w:t>侧袋机制</w:t>
      </w:r>
      <w:proofErr w:type="gramEnd"/>
      <w:r>
        <w:rPr>
          <w:rFonts w:hint="eastAsia"/>
          <w:bCs/>
          <w:sz w:val="24"/>
        </w:rPr>
        <w:t>期间的信息披露</w:t>
      </w:r>
    </w:p>
    <w:p w14:paraId="4D48960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本基金实施</w:t>
      </w:r>
      <w:proofErr w:type="gramStart"/>
      <w:r>
        <w:rPr>
          <w:rFonts w:hint="eastAsia"/>
          <w:bCs/>
          <w:sz w:val="24"/>
        </w:rPr>
        <w:t>侧袋机制</w:t>
      </w:r>
      <w:proofErr w:type="gramEnd"/>
      <w:r>
        <w:rPr>
          <w:rFonts w:hint="eastAsia"/>
          <w:bCs/>
          <w:sz w:val="24"/>
        </w:rPr>
        <w:t>的，相关信息披露义务人应当根据法律法规、基金合同和招募说明书的规定进行信息披露，详见招募说明书的规定。</w:t>
      </w:r>
    </w:p>
    <w:p w14:paraId="74B0046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（十二）中国证监会规定的其他信息。</w:t>
      </w:r>
    </w:p>
    <w:p w14:paraId="1FA59AF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2F35D9F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基金管理人应当在季度报告、中期报告、年度报告等定期报告和招募说明书（更新）等文件中披露国债期货交易情况，包括投资政策、持仓情况、损益情况、风险</w:t>
      </w:r>
      <w:r>
        <w:rPr>
          <w:rFonts w:hint="eastAsia"/>
          <w:bCs/>
          <w:sz w:val="24"/>
        </w:rPr>
        <w:lastRenderedPageBreak/>
        <w:t>指标等，并充分揭示国债期货交易对本基金总体风险的影响以及是否符合既定的投资政策和投资目标。</w:t>
      </w:r>
    </w:p>
    <w:p w14:paraId="3FF74DA4" w14:textId="77777777" w:rsidR="00B67C49" w:rsidRDefault="00000000">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0D6A6AE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69460C9"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基金管理人在本基金投资非公开发行股票后两个交易日内，在中国证监会规定媒介披露所投资非公开发行股票的名称、数量、总成本、账面价值，以及总成本和账面价值占基金资产净值的比例、锁定期等信息。</w:t>
      </w:r>
    </w:p>
    <w:p w14:paraId="4551C753"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六、信息披露事务管理</w:t>
      </w:r>
    </w:p>
    <w:p w14:paraId="6D589FDB"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基金管理人、基金托管人应当建立健全信息披露管理制度，指定专门部门及高级管理人员负责管理信息披露事务。</w:t>
      </w:r>
    </w:p>
    <w:p w14:paraId="7BF9733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基金信息披露义务人公开披露基金信息，应当符合中国证监会相关基金信息披露内容与格式准则等法规的规定。</w:t>
      </w:r>
    </w:p>
    <w:p w14:paraId="2BC50887"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40E4E1E8"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基金管理人、基金托管人应当在规定报刊中选择一家报刊披露本基金信息。基金管理人、基金托管人应当向中国证监会基金电子披露网站报送拟披露的基金信息，并保证相关报送信息的真实、准确、完整、及时。</w:t>
      </w:r>
    </w:p>
    <w:p w14:paraId="27BB6A5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基金管理人、基金托管人除依法在规定媒介上披露信息外，还可以根据需要在其他公共媒介披露信息，但是其他公共媒介不得早于规定媒介披露信息，并且在不同媒介上披露同一信息的内容应当一致。</w:t>
      </w:r>
    </w:p>
    <w:p w14:paraId="5BEB0BAE" w14:textId="77777777" w:rsidR="00B67C49" w:rsidRDefault="00000000">
      <w:pPr>
        <w:autoSpaceDE w:val="0"/>
        <w:autoSpaceDN w:val="0"/>
        <w:spacing w:line="360" w:lineRule="auto"/>
        <w:ind w:firstLineChars="200" w:firstLine="480"/>
        <w:textAlignment w:val="bottom"/>
        <w:rPr>
          <w:bCs/>
          <w:sz w:val="24"/>
        </w:rPr>
      </w:pPr>
      <w:r>
        <w:rPr>
          <w:rFonts w:hint="eastAsia"/>
          <w:bCs/>
          <w:sz w:val="24"/>
        </w:rPr>
        <w:lastRenderedPageBreak/>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32BF30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rFonts w:hint="eastAsia"/>
          <w:bCs/>
          <w:sz w:val="24"/>
        </w:rPr>
        <w:t>年。</w:t>
      </w:r>
    </w:p>
    <w:p w14:paraId="2816D45E"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七、信息披露文件的存放与查阅</w:t>
      </w:r>
    </w:p>
    <w:p w14:paraId="0EDDF3EA"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依法必须披露的信息发布后，基金管理人、基金托管人应当按照相关法律法规规定将信息置备于公司住所，供社会公众查阅、复制。</w:t>
      </w:r>
    </w:p>
    <w:p w14:paraId="73E322B5" w14:textId="77777777" w:rsidR="00B67C49" w:rsidRDefault="00000000">
      <w:pPr>
        <w:autoSpaceDE w:val="0"/>
        <w:autoSpaceDN w:val="0"/>
        <w:spacing w:line="360" w:lineRule="auto"/>
        <w:ind w:firstLineChars="200" w:firstLine="480"/>
        <w:textAlignment w:val="bottom"/>
        <w:rPr>
          <w:bCs/>
          <w:sz w:val="24"/>
        </w:rPr>
      </w:pPr>
      <w:r>
        <w:rPr>
          <w:rFonts w:hint="eastAsia"/>
          <w:bCs/>
          <w:sz w:val="24"/>
        </w:rPr>
        <w:t>八、暂停或延迟信息披露的情形</w:t>
      </w:r>
    </w:p>
    <w:p w14:paraId="6BB77DA0" w14:textId="77777777" w:rsidR="00B67C49" w:rsidRDefault="00000000">
      <w:pPr>
        <w:autoSpaceDE w:val="0"/>
        <w:autoSpaceDN w:val="0"/>
        <w:spacing w:line="360" w:lineRule="auto"/>
        <w:ind w:firstLineChars="200" w:firstLine="480"/>
        <w:textAlignment w:val="bottom"/>
        <w:rPr>
          <w:bCs/>
          <w:sz w:val="24"/>
        </w:rPr>
      </w:pPr>
      <w:r>
        <w:rPr>
          <w:rFonts w:hint="eastAsia"/>
          <w:bCs/>
          <w:sz w:val="24"/>
        </w:rPr>
        <w:t>1</w:t>
      </w:r>
      <w:r>
        <w:rPr>
          <w:rFonts w:hint="eastAsia"/>
          <w:bCs/>
          <w:sz w:val="24"/>
        </w:rPr>
        <w:t>、不可抗力；</w:t>
      </w:r>
    </w:p>
    <w:p w14:paraId="795B5756" w14:textId="77777777" w:rsidR="00B67C49" w:rsidRDefault="00000000">
      <w:pPr>
        <w:spacing w:line="360" w:lineRule="auto"/>
        <w:ind w:firstLineChars="200" w:firstLine="480"/>
        <w:rPr>
          <w:bCs/>
          <w:sz w:val="24"/>
        </w:rPr>
      </w:pPr>
      <w:r>
        <w:rPr>
          <w:bCs/>
          <w:sz w:val="24"/>
        </w:rPr>
        <w:t>2</w:t>
      </w:r>
      <w:r>
        <w:rPr>
          <w:bCs/>
          <w:sz w:val="24"/>
        </w:rPr>
        <w:t>、</w:t>
      </w:r>
      <w:r>
        <w:rPr>
          <w:rFonts w:hint="eastAsia"/>
          <w:bCs/>
          <w:sz w:val="24"/>
        </w:rPr>
        <w:t>发生暂停估值的情形；</w:t>
      </w:r>
    </w:p>
    <w:p w14:paraId="403273F4" w14:textId="77777777" w:rsidR="00B67C49" w:rsidRDefault="00000000">
      <w:pPr>
        <w:autoSpaceDE w:val="0"/>
        <w:autoSpaceDN w:val="0"/>
        <w:spacing w:line="360" w:lineRule="auto"/>
        <w:ind w:firstLineChars="200" w:firstLine="480"/>
        <w:textAlignment w:val="bottom"/>
        <w:rPr>
          <w:bCs/>
          <w:sz w:val="24"/>
        </w:rPr>
      </w:pPr>
      <w:r>
        <w:rPr>
          <w:bCs/>
          <w:sz w:val="24"/>
        </w:rPr>
        <w:t>3</w:t>
      </w:r>
      <w:r>
        <w:rPr>
          <w:rFonts w:hint="eastAsia"/>
          <w:bCs/>
          <w:sz w:val="24"/>
        </w:rPr>
        <w:t>、法律法规、中国证监会规定或基金合同认定的其他情形。</w:t>
      </w:r>
    </w:p>
    <w:p w14:paraId="6A973F44" w14:textId="77777777" w:rsidR="00B67C49" w:rsidRDefault="00000000">
      <w:pPr>
        <w:autoSpaceDE w:val="0"/>
        <w:autoSpaceDN w:val="0"/>
        <w:spacing w:line="360" w:lineRule="auto"/>
        <w:ind w:firstLineChars="200" w:firstLine="480"/>
        <w:textAlignment w:val="bottom"/>
        <w:rPr>
          <w:bCs/>
          <w:sz w:val="24"/>
        </w:rPr>
      </w:pPr>
      <w:r>
        <w:rPr>
          <w:rFonts w:hint="eastAsia"/>
          <w:bCs/>
          <w:sz w:val="24"/>
        </w:rPr>
        <w:t>九、本基金信息披露事项以法律法规规定及本章节约定的内容为准。</w:t>
      </w:r>
    </w:p>
    <w:p w14:paraId="4762F58F" w14:textId="77777777" w:rsidR="00B67C49" w:rsidRDefault="00B67C49">
      <w:pPr>
        <w:autoSpaceDE w:val="0"/>
        <w:autoSpaceDN w:val="0"/>
        <w:spacing w:line="360" w:lineRule="auto"/>
        <w:ind w:firstLineChars="200" w:firstLine="480"/>
        <w:textAlignment w:val="bottom"/>
        <w:rPr>
          <w:bCs/>
          <w:sz w:val="24"/>
        </w:rPr>
      </w:pPr>
    </w:p>
    <w:p w14:paraId="3A735155" w14:textId="77777777" w:rsidR="00B67C49" w:rsidRDefault="00000000">
      <w:pPr>
        <w:pStyle w:val="1"/>
        <w:spacing w:before="240" w:after="240"/>
        <w:jc w:val="center"/>
        <w:rPr>
          <w:rFonts w:cs="Arial"/>
          <w:b w:val="0"/>
          <w:sz w:val="30"/>
          <w:szCs w:val="30"/>
        </w:rPr>
      </w:pPr>
      <w:r>
        <w:rPr>
          <w:bCs/>
        </w:rPr>
        <w:br w:type="page"/>
      </w:r>
      <w:bookmarkStart w:id="329" w:name="_Toc119568472"/>
      <w:bookmarkStart w:id="330" w:name="_Toc16224"/>
      <w:bookmarkStart w:id="331" w:name="_Toc49433828"/>
      <w:bookmarkStart w:id="332" w:name="_Toc63866832"/>
      <w:bookmarkStart w:id="333" w:name="_Toc68266303"/>
      <w:r>
        <w:rPr>
          <w:rFonts w:cs="Arial" w:hint="eastAsia"/>
          <w:sz w:val="30"/>
          <w:szCs w:val="30"/>
        </w:rPr>
        <w:lastRenderedPageBreak/>
        <w:t xml:space="preserve">第十六部分 </w:t>
      </w:r>
      <w:proofErr w:type="gramStart"/>
      <w:r>
        <w:rPr>
          <w:rFonts w:cs="Arial" w:hint="eastAsia"/>
          <w:sz w:val="30"/>
          <w:szCs w:val="30"/>
        </w:rPr>
        <w:t>侧袋机制</w:t>
      </w:r>
      <w:bookmarkEnd w:id="329"/>
      <w:bookmarkEnd w:id="330"/>
      <w:bookmarkEnd w:id="331"/>
      <w:bookmarkEnd w:id="332"/>
      <w:bookmarkEnd w:id="333"/>
      <w:proofErr w:type="gramEnd"/>
    </w:p>
    <w:p w14:paraId="7503F04F"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一、</w:t>
      </w:r>
      <w:proofErr w:type="gramStart"/>
      <w:r>
        <w:rPr>
          <w:rFonts w:cs="Arial" w:hint="eastAsia"/>
          <w:color w:val="000000"/>
          <w:sz w:val="24"/>
        </w:rPr>
        <w:t>侧袋机制</w:t>
      </w:r>
      <w:proofErr w:type="gramEnd"/>
      <w:r>
        <w:rPr>
          <w:rFonts w:cs="Arial" w:hint="eastAsia"/>
          <w:color w:val="000000"/>
          <w:sz w:val="24"/>
        </w:rPr>
        <w:t>的实施条件</w:t>
      </w:r>
    </w:p>
    <w:p w14:paraId="3326FD03"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cs="Arial" w:hint="eastAsia"/>
          <w:color w:val="000000"/>
          <w:sz w:val="24"/>
        </w:rPr>
        <w:t>启用侧袋机制</w:t>
      </w:r>
      <w:proofErr w:type="gramEnd"/>
      <w:r>
        <w:rPr>
          <w:rFonts w:cs="Arial" w:hint="eastAsia"/>
          <w:color w:val="000000"/>
          <w:sz w:val="24"/>
        </w:rPr>
        <w:t>，无需召开基金份额持有人大会审议。</w:t>
      </w:r>
    </w:p>
    <w:p w14:paraId="79C52EBC"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基金管理人应当在启用</w:t>
      </w:r>
      <w:proofErr w:type="gramStart"/>
      <w:r>
        <w:rPr>
          <w:rFonts w:cs="Arial" w:hint="eastAsia"/>
          <w:color w:val="000000"/>
          <w:sz w:val="24"/>
        </w:rPr>
        <w:t>侧袋机制</w:t>
      </w:r>
      <w:proofErr w:type="gramEnd"/>
      <w:r>
        <w:rPr>
          <w:rFonts w:cs="Arial" w:hint="eastAsia"/>
          <w:color w:val="000000"/>
          <w:sz w:val="24"/>
        </w:rPr>
        <w:t>后及时发布临时公告，并及时聘请</w:t>
      </w:r>
      <w:proofErr w:type="gramStart"/>
      <w:r>
        <w:rPr>
          <w:rFonts w:cs="Arial" w:hint="eastAsia"/>
          <w:color w:val="000000"/>
          <w:sz w:val="24"/>
        </w:rPr>
        <w:t>侧袋机制</w:t>
      </w:r>
      <w:proofErr w:type="gramEnd"/>
      <w:r>
        <w:rPr>
          <w:rFonts w:cs="Arial" w:hint="eastAsia"/>
          <w:color w:val="000000"/>
          <w:sz w:val="24"/>
        </w:rPr>
        <w:t>启用日发表意见且符合《中华人民共和国证券法》规定的会计师事务所进行审计并披露专项审计意见。</w:t>
      </w:r>
    </w:p>
    <w:p w14:paraId="1C9EC98D"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二、实施</w:t>
      </w:r>
      <w:proofErr w:type="gramStart"/>
      <w:r>
        <w:rPr>
          <w:rFonts w:cs="Arial" w:hint="eastAsia"/>
          <w:color w:val="000000"/>
          <w:sz w:val="24"/>
        </w:rPr>
        <w:t>侧袋机制</w:t>
      </w:r>
      <w:proofErr w:type="gramEnd"/>
      <w:r>
        <w:rPr>
          <w:rFonts w:cs="Arial" w:hint="eastAsia"/>
          <w:color w:val="000000"/>
          <w:sz w:val="24"/>
        </w:rPr>
        <w:t>期间基金份额的申购与赎回</w:t>
      </w:r>
    </w:p>
    <w:p w14:paraId="12A6E564"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、启用</w:t>
      </w:r>
      <w:proofErr w:type="gramStart"/>
      <w:r>
        <w:rPr>
          <w:rFonts w:cs="Arial" w:hint="eastAsia"/>
          <w:color w:val="000000"/>
          <w:sz w:val="24"/>
        </w:rPr>
        <w:t>侧袋机制</w:t>
      </w:r>
      <w:proofErr w:type="gramEnd"/>
      <w:r>
        <w:rPr>
          <w:rFonts w:cs="Arial" w:hint="eastAsia"/>
          <w:color w:val="000000"/>
          <w:sz w:val="24"/>
        </w:rPr>
        <w:t>当日，基金登记机构以基金份额持有人的原有账户份额为基础，确认</w:t>
      </w:r>
      <w:proofErr w:type="gramStart"/>
      <w:r>
        <w:rPr>
          <w:rFonts w:cs="Arial" w:hint="eastAsia"/>
          <w:color w:val="000000"/>
          <w:sz w:val="24"/>
        </w:rPr>
        <w:t>相应侧袋账户</w:t>
      </w:r>
      <w:proofErr w:type="gramEnd"/>
      <w:r>
        <w:rPr>
          <w:rFonts w:cs="Arial" w:hint="eastAsia"/>
          <w:color w:val="000000"/>
          <w:sz w:val="24"/>
        </w:rPr>
        <w:t>基金份额持有人名册和份额；当日收到的申购申请，按照启用</w:t>
      </w:r>
      <w:proofErr w:type="gramStart"/>
      <w:r>
        <w:rPr>
          <w:rFonts w:cs="Arial" w:hint="eastAsia"/>
          <w:color w:val="000000"/>
          <w:sz w:val="24"/>
        </w:rPr>
        <w:t>侧袋机制</w:t>
      </w:r>
      <w:proofErr w:type="gramEnd"/>
      <w:r>
        <w:rPr>
          <w:rFonts w:cs="Arial" w:hint="eastAsia"/>
          <w:color w:val="000000"/>
          <w:sz w:val="24"/>
        </w:rPr>
        <w:t>后</w:t>
      </w:r>
      <w:proofErr w:type="gramStart"/>
      <w:r>
        <w:rPr>
          <w:rFonts w:cs="Arial" w:hint="eastAsia"/>
          <w:color w:val="000000"/>
          <w:sz w:val="24"/>
        </w:rPr>
        <w:t>的主袋账户</w:t>
      </w:r>
      <w:proofErr w:type="gramEnd"/>
      <w:r>
        <w:rPr>
          <w:rFonts w:cs="Arial" w:hint="eastAsia"/>
          <w:color w:val="000000"/>
          <w:sz w:val="24"/>
        </w:rPr>
        <w:t>份额办理；当日收到的赎回申请，仅</w:t>
      </w:r>
      <w:proofErr w:type="gramStart"/>
      <w:r>
        <w:rPr>
          <w:rFonts w:cs="Arial" w:hint="eastAsia"/>
          <w:color w:val="000000"/>
          <w:sz w:val="24"/>
        </w:rPr>
        <w:t>办理主袋账户</w:t>
      </w:r>
      <w:proofErr w:type="gramEnd"/>
      <w:r>
        <w:rPr>
          <w:rFonts w:cs="Arial" w:hint="eastAsia"/>
          <w:color w:val="000000"/>
          <w:sz w:val="24"/>
        </w:rPr>
        <w:t>的赎回申请并支付赎回款项。</w:t>
      </w:r>
    </w:p>
    <w:p w14:paraId="27BAE587"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、实施</w:t>
      </w:r>
      <w:proofErr w:type="gramStart"/>
      <w:r>
        <w:rPr>
          <w:rFonts w:cs="Arial" w:hint="eastAsia"/>
          <w:color w:val="000000"/>
          <w:sz w:val="24"/>
        </w:rPr>
        <w:t>侧袋机制</w:t>
      </w:r>
      <w:proofErr w:type="gramEnd"/>
      <w:r>
        <w:rPr>
          <w:rFonts w:cs="Arial" w:hint="eastAsia"/>
          <w:color w:val="000000"/>
          <w:sz w:val="24"/>
        </w:rPr>
        <w:t>期间，基金管理人</w:t>
      </w:r>
      <w:proofErr w:type="gramStart"/>
      <w:r>
        <w:rPr>
          <w:rFonts w:cs="Arial" w:hint="eastAsia"/>
          <w:color w:val="000000"/>
          <w:sz w:val="24"/>
        </w:rPr>
        <w:t>应对侧袋账户</w:t>
      </w:r>
      <w:proofErr w:type="gramEnd"/>
      <w:r>
        <w:rPr>
          <w:rFonts w:cs="Arial" w:hint="eastAsia"/>
          <w:color w:val="000000"/>
          <w:sz w:val="24"/>
        </w:rPr>
        <w:t>份额实行独立管理，</w:t>
      </w:r>
      <w:proofErr w:type="gramStart"/>
      <w:r>
        <w:rPr>
          <w:rFonts w:cs="Arial" w:hint="eastAsia"/>
          <w:color w:val="000000"/>
          <w:sz w:val="24"/>
        </w:rPr>
        <w:t>主袋账户</w:t>
      </w:r>
      <w:proofErr w:type="gramEnd"/>
      <w:r>
        <w:rPr>
          <w:rFonts w:cs="Arial" w:hint="eastAsia"/>
          <w:color w:val="000000"/>
          <w:sz w:val="24"/>
        </w:rPr>
        <w:t>沿用</w:t>
      </w:r>
      <w:proofErr w:type="gramStart"/>
      <w:r>
        <w:rPr>
          <w:rFonts w:cs="Arial" w:hint="eastAsia"/>
          <w:color w:val="000000"/>
          <w:sz w:val="24"/>
        </w:rPr>
        <w:t>原基金</w:t>
      </w:r>
      <w:proofErr w:type="gramEnd"/>
      <w:r>
        <w:rPr>
          <w:rFonts w:cs="Arial" w:hint="eastAsia"/>
          <w:color w:val="000000"/>
          <w:sz w:val="24"/>
        </w:rPr>
        <w:t>代码，</w:t>
      </w:r>
      <w:proofErr w:type="gramStart"/>
      <w:r>
        <w:rPr>
          <w:rFonts w:cs="Arial" w:hint="eastAsia"/>
          <w:color w:val="000000"/>
          <w:sz w:val="24"/>
        </w:rPr>
        <w:t>侧袋账户</w:t>
      </w:r>
      <w:proofErr w:type="gramEnd"/>
      <w:r>
        <w:rPr>
          <w:rFonts w:cs="Arial" w:hint="eastAsia"/>
          <w:color w:val="000000"/>
          <w:sz w:val="24"/>
        </w:rPr>
        <w:t>使用独立的基金代码。基金管理人不</w:t>
      </w:r>
      <w:proofErr w:type="gramStart"/>
      <w:r>
        <w:rPr>
          <w:rFonts w:cs="Arial" w:hint="eastAsia"/>
          <w:color w:val="000000"/>
          <w:sz w:val="24"/>
        </w:rPr>
        <w:t>办理侧袋账户</w:t>
      </w:r>
      <w:proofErr w:type="gramEnd"/>
      <w:r>
        <w:rPr>
          <w:rFonts w:cs="Arial" w:hint="eastAsia"/>
          <w:color w:val="000000"/>
          <w:sz w:val="24"/>
        </w:rPr>
        <w:t>份额的申购、赎回和转换；同时，基金管理人按照基金合同和招募说明书的约定</w:t>
      </w:r>
      <w:proofErr w:type="gramStart"/>
      <w:r>
        <w:rPr>
          <w:rFonts w:cs="Arial" w:hint="eastAsia"/>
          <w:color w:val="000000"/>
          <w:sz w:val="24"/>
        </w:rPr>
        <w:t>办理主袋账户</w:t>
      </w:r>
      <w:proofErr w:type="gramEnd"/>
      <w:r>
        <w:rPr>
          <w:rFonts w:cs="Arial" w:hint="eastAsia"/>
          <w:color w:val="000000"/>
          <w:sz w:val="24"/>
        </w:rPr>
        <w:t>份额的赎回，并</w:t>
      </w:r>
      <w:proofErr w:type="gramStart"/>
      <w:r>
        <w:rPr>
          <w:rFonts w:cs="Arial" w:hint="eastAsia"/>
          <w:color w:val="000000"/>
          <w:sz w:val="24"/>
        </w:rPr>
        <w:t>根据主袋账户</w:t>
      </w:r>
      <w:proofErr w:type="gramEnd"/>
      <w:r>
        <w:rPr>
          <w:rFonts w:cs="Arial" w:hint="eastAsia"/>
          <w:color w:val="000000"/>
          <w:sz w:val="24"/>
        </w:rPr>
        <w:t>运作情况确定是否暂停申购，具体事项届时将由基金管理人在相关公告中规定。</w:t>
      </w:r>
    </w:p>
    <w:p w14:paraId="4804285C"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、基金管理人应</w:t>
      </w:r>
      <w:proofErr w:type="gramStart"/>
      <w:r>
        <w:rPr>
          <w:rFonts w:cs="Arial" w:hint="eastAsia"/>
          <w:color w:val="000000"/>
          <w:sz w:val="24"/>
        </w:rPr>
        <w:t>按照主袋账户</w:t>
      </w:r>
      <w:proofErr w:type="gramEnd"/>
      <w:r>
        <w:rPr>
          <w:rFonts w:cs="Arial" w:hint="eastAsia"/>
          <w:color w:val="000000"/>
          <w:sz w:val="24"/>
        </w:rPr>
        <w:t>的份额净值</w:t>
      </w:r>
      <w:proofErr w:type="gramStart"/>
      <w:r>
        <w:rPr>
          <w:rFonts w:cs="Arial" w:hint="eastAsia"/>
          <w:color w:val="000000"/>
          <w:sz w:val="24"/>
        </w:rPr>
        <w:t>办理主袋账户</w:t>
      </w:r>
      <w:proofErr w:type="gramEnd"/>
      <w:r>
        <w:rPr>
          <w:rFonts w:cs="Arial" w:hint="eastAsia"/>
          <w:color w:val="000000"/>
          <w:sz w:val="24"/>
        </w:rPr>
        <w:t>份额的申购和赎回。本招募说明书“基金份额的申购与赎回”部分的申购、赎回规定</w:t>
      </w:r>
      <w:proofErr w:type="gramStart"/>
      <w:r>
        <w:rPr>
          <w:rFonts w:cs="Arial" w:hint="eastAsia"/>
          <w:color w:val="000000"/>
          <w:sz w:val="24"/>
        </w:rPr>
        <w:t>适用于主袋账户</w:t>
      </w:r>
      <w:proofErr w:type="gramEnd"/>
      <w:r>
        <w:rPr>
          <w:rFonts w:cs="Arial" w:hint="eastAsia"/>
          <w:color w:val="000000"/>
          <w:sz w:val="24"/>
        </w:rPr>
        <w:t>份额。巨额赎回按照单个开放</w:t>
      </w:r>
      <w:proofErr w:type="gramStart"/>
      <w:r>
        <w:rPr>
          <w:rFonts w:cs="Arial" w:hint="eastAsia"/>
          <w:color w:val="000000"/>
          <w:sz w:val="24"/>
        </w:rPr>
        <w:t>日内主袋账户</w:t>
      </w:r>
      <w:proofErr w:type="gramEnd"/>
      <w:r>
        <w:rPr>
          <w:rFonts w:cs="Arial" w:hint="eastAsia"/>
          <w:color w:val="000000"/>
          <w:sz w:val="24"/>
        </w:rPr>
        <w:t>份额净赎回申请超过前一开放日</w:t>
      </w:r>
      <w:proofErr w:type="gramStart"/>
      <w:r>
        <w:rPr>
          <w:rFonts w:cs="Arial" w:hint="eastAsia"/>
          <w:color w:val="000000"/>
          <w:sz w:val="24"/>
        </w:rPr>
        <w:t>的主袋账户</w:t>
      </w:r>
      <w:proofErr w:type="gramEnd"/>
      <w:r>
        <w:rPr>
          <w:rFonts w:cs="Arial" w:hint="eastAsia"/>
          <w:color w:val="000000"/>
          <w:sz w:val="24"/>
        </w:rPr>
        <w:t>总份额的</w:t>
      </w:r>
      <w:r>
        <w:rPr>
          <w:rFonts w:cs="Arial" w:hint="eastAsia"/>
          <w:color w:val="000000"/>
          <w:sz w:val="24"/>
        </w:rPr>
        <w:t>10%</w:t>
      </w:r>
      <w:r>
        <w:rPr>
          <w:rFonts w:cs="Arial" w:hint="eastAsia"/>
          <w:color w:val="000000"/>
          <w:sz w:val="24"/>
        </w:rPr>
        <w:t>认定。</w:t>
      </w:r>
    </w:p>
    <w:p w14:paraId="628D33BA"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三、实施</w:t>
      </w:r>
      <w:proofErr w:type="gramStart"/>
      <w:r>
        <w:rPr>
          <w:rFonts w:cs="Arial" w:hint="eastAsia"/>
          <w:color w:val="000000"/>
          <w:sz w:val="24"/>
        </w:rPr>
        <w:t>侧袋机制</w:t>
      </w:r>
      <w:proofErr w:type="gramEnd"/>
      <w:r>
        <w:rPr>
          <w:rFonts w:cs="Arial" w:hint="eastAsia"/>
          <w:color w:val="000000"/>
          <w:sz w:val="24"/>
        </w:rPr>
        <w:t>期间的基金投资及业绩</w:t>
      </w:r>
    </w:p>
    <w:p w14:paraId="5E064C65" w14:textId="77777777" w:rsidR="00B67C49"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实施期间，招募说明书“基金的投资”部分约定的投资组合比例、投资策略、组合限制、业绩比较基准、风险收益特征等约定仅</w:t>
      </w:r>
      <w:proofErr w:type="gramStart"/>
      <w:r>
        <w:rPr>
          <w:rFonts w:cs="Arial" w:hint="eastAsia"/>
          <w:color w:val="000000"/>
          <w:sz w:val="24"/>
        </w:rPr>
        <w:t>适用于主袋账户</w:t>
      </w:r>
      <w:proofErr w:type="gramEnd"/>
      <w:r>
        <w:rPr>
          <w:rFonts w:cs="Arial" w:hint="eastAsia"/>
          <w:color w:val="000000"/>
          <w:sz w:val="24"/>
        </w:rPr>
        <w:t>。基金管理人计算各项投资运作指标和基金业绩指标时仅需</w:t>
      </w:r>
      <w:proofErr w:type="gramStart"/>
      <w:r>
        <w:rPr>
          <w:rFonts w:cs="Arial" w:hint="eastAsia"/>
          <w:color w:val="000000"/>
          <w:sz w:val="24"/>
        </w:rPr>
        <w:t>考虑主袋账户</w:t>
      </w:r>
      <w:proofErr w:type="gramEnd"/>
      <w:r>
        <w:rPr>
          <w:rFonts w:cs="Arial" w:hint="eastAsia"/>
          <w:color w:val="000000"/>
          <w:sz w:val="24"/>
        </w:rPr>
        <w:t>资产。</w:t>
      </w:r>
    </w:p>
    <w:p w14:paraId="32ADB920"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基金管理人原则上应当在</w:t>
      </w:r>
      <w:proofErr w:type="gramStart"/>
      <w:r>
        <w:rPr>
          <w:rFonts w:cs="Arial" w:hint="eastAsia"/>
          <w:color w:val="000000"/>
          <w:sz w:val="24"/>
        </w:rPr>
        <w:t>侧袋机制</w:t>
      </w:r>
      <w:proofErr w:type="gramEnd"/>
      <w:r>
        <w:rPr>
          <w:rFonts w:cs="Arial" w:hint="eastAsia"/>
          <w:color w:val="000000"/>
          <w:sz w:val="24"/>
        </w:rPr>
        <w:t>启用后</w:t>
      </w:r>
      <w:r>
        <w:rPr>
          <w:rFonts w:cs="Arial" w:hint="eastAsia"/>
          <w:color w:val="000000"/>
          <w:sz w:val="24"/>
        </w:rPr>
        <w:t>20</w:t>
      </w:r>
      <w:r>
        <w:rPr>
          <w:rFonts w:cs="Arial" w:hint="eastAsia"/>
          <w:color w:val="000000"/>
          <w:sz w:val="24"/>
        </w:rPr>
        <w:t>个交易日内完成</w:t>
      </w:r>
      <w:proofErr w:type="gramStart"/>
      <w:r>
        <w:rPr>
          <w:rFonts w:cs="Arial" w:hint="eastAsia"/>
          <w:color w:val="000000"/>
          <w:sz w:val="24"/>
        </w:rPr>
        <w:t>对主袋账户</w:t>
      </w:r>
      <w:proofErr w:type="gramEnd"/>
      <w:r>
        <w:rPr>
          <w:rFonts w:cs="Arial" w:hint="eastAsia"/>
          <w:color w:val="000000"/>
          <w:sz w:val="24"/>
        </w:rPr>
        <w:t>投资</w:t>
      </w:r>
      <w:r>
        <w:rPr>
          <w:rFonts w:cs="Arial" w:hint="eastAsia"/>
          <w:color w:val="000000"/>
          <w:sz w:val="24"/>
        </w:rPr>
        <w:lastRenderedPageBreak/>
        <w:t>组合的调整，因资产流动性受限等中国证监会规定的情形除外。</w:t>
      </w:r>
    </w:p>
    <w:p w14:paraId="4DA3D2D2"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基金管理人不得</w:t>
      </w:r>
      <w:proofErr w:type="gramStart"/>
      <w:r>
        <w:rPr>
          <w:rFonts w:cs="Arial" w:hint="eastAsia"/>
          <w:color w:val="000000"/>
          <w:sz w:val="24"/>
        </w:rPr>
        <w:t>在侧袋账户</w:t>
      </w:r>
      <w:proofErr w:type="gramEnd"/>
      <w:r>
        <w:rPr>
          <w:rFonts w:cs="Arial" w:hint="eastAsia"/>
          <w:color w:val="000000"/>
          <w:sz w:val="24"/>
        </w:rPr>
        <w:t>中进行除特定资产处置变现以外的其他投资操作。</w:t>
      </w:r>
    </w:p>
    <w:p w14:paraId="20DBA619" w14:textId="77777777" w:rsidR="00B67C49"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实施期间，基金管理人、基金服务机构在计算基金业绩相关指标时仅</w:t>
      </w:r>
      <w:proofErr w:type="gramStart"/>
      <w:r>
        <w:rPr>
          <w:rFonts w:cs="Arial" w:hint="eastAsia"/>
          <w:color w:val="000000"/>
          <w:sz w:val="24"/>
        </w:rPr>
        <w:t>考虑主袋账户</w:t>
      </w:r>
      <w:proofErr w:type="gramEnd"/>
      <w:r>
        <w:rPr>
          <w:rFonts w:cs="Arial" w:hint="eastAsia"/>
          <w:color w:val="000000"/>
          <w:sz w:val="24"/>
        </w:rPr>
        <w:t>资产，</w:t>
      </w:r>
      <w:proofErr w:type="gramStart"/>
      <w:r>
        <w:rPr>
          <w:rFonts w:cs="Arial" w:hint="eastAsia"/>
          <w:color w:val="000000"/>
          <w:sz w:val="24"/>
        </w:rPr>
        <w:t>分割侧袋账户</w:t>
      </w:r>
      <w:proofErr w:type="gramEnd"/>
      <w:r>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257FBE76"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四、实施</w:t>
      </w:r>
      <w:proofErr w:type="gramStart"/>
      <w:r>
        <w:rPr>
          <w:rFonts w:cs="Arial" w:hint="eastAsia"/>
          <w:color w:val="000000"/>
          <w:sz w:val="24"/>
        </w:rPr>
        <w:t>侧袋机制</w:t>
      </w:r>
      <w:proofErr w:type="gramEnd"/>
      <w:r>
        <w:rPr>
          <w:rFonts w:cs="Arial" w:hint="eastAsia"/>
          <w:color w:val="000000"/>
          <w:sz w:val="24"/>
        </w:rPr>
        <w:t>期间的基金估值与会计核算</w:t>
      </w:r>
    </w:p>
    <w:p w14:paraId="30BA833E"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的，基金管理人和基金托管人</w:t>
      </w:r>
      <w:proofErr w:type="gramStart"/>
      <w:r>
        <w:rPr>
          <w:rFonts w:cs="Arial" w:hint="eastAsia"/>
          <w:color w:val="000000"/>
          <w:sz w:val="24"/>
        </w:rPr>
        <w:t>应对主袋账户</w:t>
      </w:r>
      <w:proofErr w:type="gramEnd"/>
      <w:r>
        <w:rPr>
          <w:rFonts w:cs="Arial" w:hint="eastAsia"/>
          <w:color w:val="000000"/>
          <w:sz w:val="24"/>
        </w:rPr>
        <w:t>资产进行估值并</w:t>
      </w:r>
      <w:proofErr w:type="gramStart"/>
      <w:r>
        <w:rPr>
          <w:rFonts w:cs="Arial" w:hint="eastAsia"/>
          <w:color w:val="000000"/>
          <w:sz w:val="24"/>
        </w:rPr>
        <w:t>披露主袋账户</w:t>
      </w:r>
      <w:proofErr w:type="gramEnd"/>
      <w:r>
        <w:rPr>
          <w:rFonts w:cs="Arial" w:hint="eastAsia"/>
          <w:color w:val="000000"/>
          <w:sz w:val="24"/>
        </w:rPr>
        <w:t>的基金净值信息，暂停</w:t>
      </w:r>
      <w:proofErr w:type="gramStart"/>
      <w:r>
        <w:rPr>
          <w:rFonts w:cs="Arial" w:hint="eastAsia"/>
          <w:color w:val="000000"/>
          <w:sz w:val="24"/>
        </w:rPr>
        <w:t>披露侧袋账户</w:t>
      </w:r>
      <w:proofErr w:type="gramEnd"/>
      <w:r>
        <w:rPr>
          <w:rFonts w:cs="Arial" w:hint="eastAsia"/>
          <w:color w:val="000000"/>
          <w:sz w:val="24"/>
        </w:rPr>
        <w:t>的基金净值信息。</w:t>
      </w:r>
      <w:proofErr w:type="gramStart"/>
      <w:r>
        <w:rPr>
          <w:rFonts w:cs="Arial" w:hint="eastAsia"/>
          <w:color w:val="000000"/>
          <w:sz w:val="24"/>
        </w:rPr>
        <w:t>侧袋机制</w:t>
      </w:r>
      <w:proofErr w:type="gramEnd"/>
      <w:r>
        <w:rPr>
          <w:rFonts w:cs="Arial" w:hint="eastAsia"/>
          <w:color w:val="000000"/>
          <w:sz w:val="24"/>
        </w:rPr>
        <w:t>实施期间，基金管理人</w:t>
      </w:r>
      <w:proofErr w:type="gramStart"/>
      <w:r>
        <w:rPr>
          <w:rFonts w:cs="Arial" w:hint="eastAsia"/>
          <w:color w:val="000000"/>
          <w:sz w:val="24"/>
        </w:rPr>
        <w:t>应对侧袋账户</w:t>
      </w:r>
      <w:proofErr w:type="gramEnd"/>
      <w:r>
        <w:rPr>
          <w:rFonts w:cs="Arial" w:hint="eastAsia"/>
          <w:color w:val="000000"/>
          <w:sz w:val="24"/>
        </w:rPr>
        <w:t>单独设置账套，实行独立核算。如果本基金同时存在</w:t>
      </w:r>
      <w:proofErr w:type="gramStart"/>
      <w:r>
        <w:rPr>
          <w:rFonts w:cs="Arial" w:hint="eastAsia"/>
          <w:color w:val="000000"/>
          <w:sz w:val="24"/>
        </w:rPr>
        <w:t>多个侧袋账户</w:t>
      </w:r>
      <w:proofErr w:type="gramEnd"/>
      <w:r>
        <w:rPr>
          <w:rFonts w:cs="Arial" w:hint="eastAsia"/>
          <w:color w:val="000000"/>
          <w:sz w:val="24"/>
        </w:rPr>
        <w:t>，</w:t>
      </w:r>
      <w:proofErr w:type="gramStart"/>
      <w:r>
        <w:rPr>
          <w:rFonts w:cs="Arial" w:hint="eastAsia"/>
          <w:color w:val="000000"/>
          <w:sz w:val="24"/>
        </w:rPr>
        <w:t>不同侧袋账户</w:t>
      </w:r>
      <w:proofErr w:type="gramEnd"/>
      <w:r>
        <w:rPr>
          <w:rFonts w:cs="Arial" w:hint="eastAsia"/>
          <w:color w:val="000000"/>
          <w:sz w:val="24"/>
        </w:rPr>
        <w:t>应分开进行核算。</w:t>
      </w:r>
      <w:proofErr w:type="gramStart"/>
      <w:r>
        <w:rPr>
          <w:rFonts w:cs="Arial" w:hint="eastAsia"/>
          <w:color w:val="000000"/>
          <w:sz w:val="24"/>
        </w:rPr>
        <w:t>侧袋账户</w:t>
      </w:r>
      <w:proofErr w:type="gramEnd"/>
      <w:r>
        <w:rPr>
          <w:rFonts w:cs="Arial" w:hint="eastAsia"/>
          <w:color w:val="000000"/>
          <w:sz w:val="24"/>
        </w:rPr>
        <w:t>的会计核算应符合《企业会计准则》的相关要求。</w:t>
      </w:r>
    </w:p>
    <w:p w14:paraId="7E49BB36"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五、实施</w:t>
      </w:r>
      <w:proofErr w:type="gramStart"/>
      <w:r>
        <w:rPr>
          <w:rFonts w:cs="Arial" w:hint="eastAsia"/>
          <w:color w:val="000000"/>
          <w:sz w:val="24"/>
        </w:rPr>
        <w:t>侧袋机制</w:t>
      </w:r>
      <w:proofErr w:type="gramEnd"/>
      <w:r>
        <w:rPr>
          <w:rFonts w:cs="Arial" w:hint="eastAsia"/>
          <w:color w:val="000000"/>
          <w:sz w:val="24"/>
        </w:rPr>
        <w:t>期间的基金费用</w:t>
      </w:r>
    </w:p>
    <w:p w14:paraId="6D9FF0B7"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本基金实施</w:t>
      </w:r>
      <w:proofErr w:type="gramStart"/>
      <w:r>
        <w:rPr>
          <w:rFonts w:cs="Arial" w:hint="eastAsia"/>
          <w:color w:val="000000"/>
          <w:sz w:val="24"/>
        </w:rPr>
        <w:t>侧袋机制</w:t>
      </w:r>
      <w:proofErr w:type="gramEnd"/>
      <w:r>
        <w:rPr>
          <w:rFonts w:cs="Arial" w:hint="eastAsia"/>
          <w:color w:val="000000"/>
          <w:sz w:val="24"/>
        </w:rPr>
        <w:t>的，</w:t>
      </w:r>
      <w:proofErr w:type="gramStart"/>
      <w:r>
        <w:rPr>
          <w:rFonts w:cs="Arial" w:hint="eastAsia"/>
          <w:color w:val="000000"/>
          <w:sz w:val="24"/>
        </w:rPr>
        <w:t>主袋账户</w:t>
      </w:r>
      <w:proofErr w:type="gramEnd"/>
      <w:r>
        <w:rPr>
          <w:rFonts w:cs="Arial" w:hint="eastAsia"/>
          <w:color w:val="000000"/>
          <w:sz w:val="24"/>
        </w:rPr>
        <w:t>的管理费和托管费</w:t>
      </w:r>
      <w:proofErr w:type="gramStart"/>
      <w:r>
        <w:rPr>
          <w:rFonts w:cs="Arial" w:hint="eastAsia"/>
          <w:color w:val="000000"/>
          <w:sz w:val="24"/>
        </w:rPr>
        <w:t>按主袋账户</w:t>
      </w:r>
      <w:proofErr w:type="gramEnd"/>
      <w:r>
        <w:rPr>
          <w:rFonts w:cs="Arial" w:hint="eastAsia"/>
          <w:color w:val="000000"/>
          <w:sz w:val="24"/>
        </w:rPr>
        <w:t>基金资产净值作为基数计提；</w:t>
      </w:r>
      <w:proofErr w:type="gramStart"/>
      <w:r>
        <w:rPr>
          <w:rFonts w:cs="Arial" w:hint="eastAsia"/>
          <w:color w:val="000000"/>
          <w:sz w:val="24"/>
        </w:rPr>
        <w:t>主袋账户</w:t>
      </w:r>
      <w:proofErr w:type="gramEnd"/>
      <w:r>
        <w:rPr>
          <w:rFonts w:cs="Arial" w:hint="eastAsia"/>
          <w:color w:val="000000"/>
          <w:sz w:val="24"/>
        </w:rPr>
        <w:t>的</w:t>
      </w:r>
      <w:r>
        <w:rPr>
          <w:rFonts w:cs="Arial" w:hint="eastAsia"/>
          <w:color w:val="000000"/>
          <w:sz w:val="24"/>
        </w:rPr>
        <w:t>C</w:t>
      </w:r>
      <w:r>
        <w:rPr>
          <w:rFonts w:cs="Arial" w:hint="eastAsia"/>
          <w:color w:val="000000"/>
          <w:sz w:val="24"/>
        </w:rPr>
        <w:t>类基金份额的销售服务费仍</w:t>
      </w:r>
      <w:proofErr w:type="gramStart"/>
      <w:r>
        <w:rPr>
          <w:rFonts w:cs="Arial" w:hint="eastAsia"/>
          <w:color w:val="000000"/>
          <w:sz w:val="24"/>
        </w:rPr>
        <w:t>按主袋账户</w:t>
      </w:r>
      <w:proofErr w:type="gramEnd"/>
      <w:r>
        <w:rPr>
          <w:rFonts w:cs="Arial" w:hint="eastAsia"/>
          <w:color w:val="000000"/>
          <w:sz w:val="24"/>
        </w:rPr>
        <w:t>C</w:t>
      </w:r>
      <w:r>
        <w:rPr>
          <w:rFonts w:cs="Arial" w:hint="eastAsia"/>
          <w:color w:val="000000"/>
          <w:sz w:val="24"/>
        </w:rPr>
        <w:t>类基金份额的基金资产净值作为基数计提。</w:t>
      </w:r>
      <w:proofErr w:type="gramStart"/>
      <w:r>
        <w:rPr>
          <w:rFonts w:cs="Arial" w:hint="eastAsia"/>
          <w:color w:val="000000"/>
          <w:sz w:val="24"/>
        </w:rPr>
        <w:t>与侧袋账户</w:t>
      </w:r>
      <w:proofErr w:type="gramEnd"/>
      <w:r>
        <w:rPr>
          <w:rFonts w:cs="Arial" w:hint="eastAsia"/>
          <w:color w:val="000000"/>
          <w:sz w:val="24"/>
        </w:rPr>
        <w:t>有关的费用可</w:t>
      </w:r>
      <w:proofErr w:type="gramStart"/>
      <w:r>
        <w:rPr>
          <w:rFonts w:cs="Arial" w:hint="eastAsia"/>
          <w:color w:val="000000"/>
          <w:sz w:val="24"/>
        </w:rPr>
        <w:t>从侧袋账户</w:t>
      </w:r>
      <w:proofErr w:type="gramEnd"/>
      <w:r>
        <w:rPr>
          <w:rFonts w:cs="Arial" w:hint="eastAsia"/>
          <w:color w:val="000000"/>
          <w:sz w:val="24"/>
        </w:rPr>
        <w:t>中列支，但应</w:t>
      </w:r>
      <w:proofErr w:type="gramStart"/>
      <w:r>
        <w:rPr>
          <w:rFonts w:cs="Arial" w:hint="eastAsia"/>
          <w:color w:val="000000"/>
          <w:sz w:val="24"/>
        </w:rPr>
        <w:t>待侧袋</w:t>
      </w:r>
      <w:proofErr w:type="gramEnd"/>
      <w:r>
        <w:rPr>
          <w:rFonts w:cs="Arial" w:hint="eastAsia"/>
          <w:color w:val="000000"/>
          <w:sz w:val="24"/>
        </w:rPr>
        <w:t>账户资产变现后方可列支，有关费用可酌情收取或减免，但不得收取管理费，其他费用详见相关公告的规定。因启用</w:t>
      </w:r>
      <w:proofErr w:type="gramStart"/>
      <w:r>
        <w:rPr>
          <w:rFonts w:cs="Arial" w:hint="eastAsia"/>
          <w:color w:val="000000"/>
          <w:sz w:val="24"/>
        </w:rPr>
        <w:t>侧袋机制</w:t>
      </w:r>
      <w:proofErr w:type="gramEnd"/>
      <w:r>
        <w:rPr>
          <w:rFonts w:cs="Arial" w:hint="eastAsia"/>
          <w:color w:val="000000"/>
          <w:sz w:val="24"/>
        </w:rPr>
        <w:t>产生的咨询、审计费用等由基金管理人承担。</w:t>
      </w:r>
    </w:p>
    <w:p w14:paraId="2BE27E1D"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六、</w:t>
      </w:r>
      <w:proofErr w:type="gramStart"/>
      <w:r>
        <w:rPr>
          <w:rFonts w:cs="Arial" w:hint="eastAsia"/>
          <w:color w:val="000000"/>
          <w:sz w:val="24"/>
        </w:rPr>
        <w:t>侧袋账户</w:t>
      </w:r>
      <w:proofErr w:type="gramEnd"/>
      <w:r>
        <w:rPr>
          <w:rFonts w:cs="Arial" w:hint="eastAsia"/>
          <w:color w:val="000000"/>
          <w:sz w:val="24"/>
        </w:rPr>
        <w:t>中特定资产的处置变现和支付</w:t>
      </w:r>
    </w:p>
    <w:p w14:paraId="2B0CEC16"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Pr>
          <w:rFonts w:cs="Arial" w:hint="eastAsia"/>
          <w:color w:val="000000"/>
          <w:sz w:val="24"/>
        </w:rPr>
        <w:t>向侧袋账户</w:t>
      </w:r>
      <w:proofErr w:type="gramEnd"/>
      <w:r>
        <w:rPr>
          <w:rFonts w:cs="Arial" w:hint="eastAsia"/>
          <w:color w:val="000000"/>
          <w:sz w:val="24"/>
        </w:rPr>
        <w:t>份额持有人支付对应变现款项。</w:t>
      </w:r>
    </w:p>
    <w:p w14:paraId="29C9E1C2" w14:textId="77777777" w:rsidR="00B67C49"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w:t>
      </w:r>
      <w:proofErr w:type="gramStart"/>
      <w:r>
        <w:rPr>
          <w:rFonts w:cs="Arial" w:hint="eastAsia"/>
          <w:color w:val="000000"/>
          <w:sz w:val="24"/>
        </w:rPr>
        <w:t>无论侧袋账户</w:t>
      </w:r>
      <w:proofErr w:type="gramEnd"/>
      <w:r>
        <w:rPr>
          <w:rFonts w:cs="Arial" w:hint="eastAsia"/>
          <w:color w:val="000000"/>
          <w:sz w:val="24"/>
        </w:rPr>
        <w:t>资产是否全部完成变现，基金管理人都应当及时</w:t>
      </w:r>
      <w:proofErr w:type="gramStart"/>
      <w:r>
        <w:rPr>
          <w:rFonts w:cs="Arial" w:hint="eastAsia"/>
          <w:color w:val="000000"/>
          <w:sz w:val="24"/>
        </w:rPr>
        <w:t>向侧袋账户</w:t>
      </w:r>
      <w:proofErr w:type="gramEnd"/>
      <w:r>
        <w:rPr>
          <w:rFonts w:cs="Arial" w:hint="eastAsia"/>
          <w:color w:val="000000"/>
          <w:sz w:val="24"/>
        </w:rPr>
        <w:t>全部份额持有人支付已变现部分对应的款项。</w:t>
      </w:r>
      <w:proofErr w:type="gramStart"/>
      <w:r>
        <w:rPr>
          <w:rFonts w:cs="Arial" w:hint="eastAsia"/>
          <w:color w:val="000000"/>
          <w:sz w:val="24"/>
        </w:rPr>
        <w:t>若侧袋</w:t>
      </w:r>
      <w:proofErr w:type="gramEnd"/>
      <w:r>
        <w:rPr>
          <w:rFonts w:cs="Arial" w:hint="eastAsia"/>
          <w:color w:val="000000"/>
          <w:sz w:val="24"/>
        </w:rPr>
        <w:t>账户资产无法一次性完成处置变现，基金管理人在每次处置变现后均应按照相关法律法规要求及时发布临时公告。</w:t>
      </w:r>
    </w:p>
    <w:p w14:paraId="40E69A2E" w14:textId="77777777" w:rsidR="00B67C49"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侧袋账户</w:t>
      </w:r>
      <w:proofErr w:type="gramEnd"/>
      <w:r>
        <w:rPr>
          <w:rFonts w:cs="Arial" w:hint="eastAsia"/>
          <w:color w:val="000000"/>
          <w:sz w:val="24"/>
        </w:rPr>
        <w:t>资产全部完成变现并终止</w:t>
      </w:r>
      <w:proofErr w:type="gramStart"/>
      <w:r>
        <w:rPr>
          <w:rFonts w:cs="Arial" w:hint="eastAsia"/>
          <w:color w:val="000000"/>
          <w:sz w:val="24"/>
        </w:rPr>
        <w:t>侧袋机制</w:t>
      </w:r>
      <w:proofErr w:type="gramEnd"/>
      <w:r>
        <w:rPr>
          <w:rFonts w:cs="Arial" w:hint="eastAsia"/>
          <w:color w:val="000000"/>
          <w:sz w:val="24"/>
        </w:rPr>
        <w:t>后，基金管理人应及时聘请符合《中华人民共和国证券法》规定的会计师事务所进行审计并披露专项审计意见。</w:t>
      </w:r>
    </w:p>
    <w:p w14:paraId="69B5B438" w14:textId="77777777" w:rsidR="00B67C49"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lastRenderedPageBreak/>
        <w:t>侧袋账户</w:t>
      </w:r>
      <w:proofErr w:type="gramEnd"/>
      <w:r>
        <w:rPr>
          <w:rFonts w:cs="Arial" w:hint="eastAsia"/>
          <w:color w:val="000000"/>
          <w:sz w:val="24"/>
        </w:rPr>
        <w:t>资产完全清算后，基金管理人应</w:t>
      </w:r>
      <w:proofErr w:type="gramStart"/>
      <w:r>
        <w:rPr>
          <w:rFonts w:cs="Arial" w:hint="eastAsia"/>
          <w:color w:val="000000"/>
          <w:sz w:val="24"/>
        </w:rPr>
        <w:t>注销侧袋账户</w:t>
      </w:r>
      <w:proofErr w:type="gramEnd"/>
      <w:r>
        <w:rPr>
          <w:rFonts w:cs="Arial" w:hint="eastAsia"/>
          <w:color w:val="000000"/>
          <w:sz w:val="24"/>
        </w:rPr>
        <w:t>。</w:t>
      </w:r>
    </w:p>
    <w:p w14:paraId="7ACFBC8E"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七、</w:t>
      </w:r>
      <w:proofErr w:type="gramStart"/>
      <w:r>
        <w:rPr>
          <w:rFonts w:cs="Arial" w:hint="eastAsia"/>
          <w:color w:val="000000"/>
          <w:sz w:val="24"/>
        </w:rPr>
        <w:t>侧袋机制</w:t>
      </w:r>
      <w:proofErr w:type="gramEnd"/>
      <w:r>
        <w:rPr>
          <w:rFonts w:cs="Arial" w:hint="eastAsia"/>
          <w:color w:val="000000"/>
          <w:sz w:val="24"/>
        </w:rPr>
        <w:t>的信息披露</w:t>
      </w:r>
    </w:p>
    <w:p w14:paraId="0E81893A"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1</w:t>
      </w:r>
      <w:r>
        <w:rPr>
          <w:rFonts w:cs="Arial" w:hint="eastAsia"/>
          <w:color w:val="000000"/>
          <w:sz w:val="24"/>
        </w:rPr>
        <w:t>、临时公告</w:t>
      </w:r>
    </w:p>
    <w:p w14:paraId="1A7A3071"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在</w:t>
      </w:r>
      <w:proofErr w:type="gramStart"/>
      <w:r>
        <w:rPr>
          <w:rFonts w:cs="Arial" w:hint="eastAsia"/>
          <w:color w:val="000000"/>
          <w:sz w:val="24"/>
        </w:rPr>
        <w:t>启用侧袋机制</w:t>
      </w:r>
      <w:proofErr w:type="gramEnd"/>
      <w:r>
        <w:rPr>
          <w:rFonts w:cs="Arial" w:hint="eastAsia"/>
          <w:color w:val="000000"/>
          <w:sz w:val="24"/>
        </w:rPr>
        <w:t>、处置特定资产、终止</w:t>
      </w:r>
      <w:proofErr w:type="gramStart"/>
      <w:r>
        <w:rPr>
          <w:rFonts w:cs="Arial" w:hint="eastAsia"/>
          <w:color w:val="000000"/>
          <w:sz w:val="24"/>
        </w:rPr>
        <w:t>侧袋机制</w:t>
      </w:r>
      <w:proofErr w:type="gramEnd"/>
      <w:r>
        <w:rPr>
          <w:rFonts w:cs="Arial" w:hint="eastAsia"/>
          <w:color w:val="000000"/>
          <w:sz w:val="24"/>
        </w:rPr>
        <w:t>以及发生其他可能对投资者利益产生重大影响的事项后基金管理人应及时发布临时公告。</w:t>
      </w:r>
    </w:p>
    <w:p w14:paraId="5CA125A2"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2</w:t>
      </w:r>
      <w:r>
        <w:rPr>
          <w:rFonts w:cs="Arial" w:hint="eastAsia"/>
          <w:color w:val="000000"/>
          <w:sz w:val="24"/>
        </w:rPr>
        <w:t>、基金净值信息</w:t>
      </w:r>
    </w:p>
    <w:p w14:paraId="2D2D95BD"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基金管理人应按照招募说明书“基金的信息披露”部分规定的基金净值信息披露方式和频率</w:t>
      </w:r>
      <w:proofErr w:type="gramStart"/>
      <w:r>
        <w:rPr>
          <w:rFonts w:cs="Arial" w:hint="eastAsia"/>
          <w:color w:val="000000"/>
          <w:sz w:val="24"/>
        </w:rPr>
        <w:t>披露主袋账户</w:t>
      </w:r>
      <w:proofErr w:type="gramEnd"/>
      <w:r>
        <w:rPr>
          <w:rFonts w:cs="Arial" w:hint="eastAsia"/>
          <w:color w:val="000000"/>
          <w:sz w:val="24"/>
        </w:rPr>
        <w:t>份额的基金份额净值和基金份额累计净值。实施</w:t>
      </w:r>
      <w:proofErr w:type="gramStart"/>
      <w:r>
        <w:rPr>
          <w:rFonts w:cs="Arial" w:hint="eastAsia"/>
          <w:color w:val="000000"/>
          <w:sz w:val="24"/>
        </w:rPr>
        <w:t>侧袋机制</w:t>
      </w:r>
      <w:proofErr w:type="gramEnd"/>
      <w:r>
        <w:rPr>
          <w:rFonts w:cs="Arial" w:hint="eastAsia"/>
          <w:color w:val="000000"/>
          <w:sz w:val="24"/>
        </w:rPr>
        <w:t>期间，本基金暂停</w:t>
      </w:r>
      <w:proofErr w:type="gramStart"/>
      <w:r>
        <w:rPr>
          <w:rFonts w:cs="Arial" w:hint="eastAsia"/>
          <w:color w:val="000000"/>
          <w:sz w:val="24"/>
        </w:rPr>
        <w:t>披露侧袋账户</w:t>
      </w:r>
      <w:proofErr w:type="gramEnd"/>
      <w:r>
        <w:rPr>
          <w:rFonts w:cs="Arial" w:hint="eastAsia"/>
          <w:color w:val="000000"/>
          <w:sz w:val="24"/>
        </w:rPr>
        <w:t>的基金净值信息。</w:t>
      </w:r>
    </w:p>
    <w:p w14:paraId="48D63DFD"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3</w:t>
      </w:r>
      <w:r>
        <w:rPr>
          <w:rFonts w:cs="Arial" w:hint="eastAsia"/>
          <w:color w:val="000000"/>
          <w:sz w:val="24"/>
        </w:rPr>
        <w:t>、定期报告</w:t>
      </w:r>
    </w:p>
    <w:p w14:paraId="5E14F3F1" w14:textId="77777777" w:rsidR="00B67C49" w:rsidRDefault="00000000">
      <w:pPr>
        <w:autoSpaceDE w:val="0"/>
        <w:autoSpaceDN w:val="0"/>
        <w:adjustRightInd w:val="0"/>
        <w:spacing w:line="360" w:lineRule="auto"/>
        <w:ind w:firstLineChars="200" w:firstLine="480"/>
        <w:rPr>
          <w:rFonts w:cs="Arial"/>
          <w:color w:val="000000"/>
          <w:sz w:val="24"/>
        </w:rPr>
      </w:pPr>
      <w:proofErr w:type="gramStart"/>
      <w:r>
        <w:rPr>
          <w:rFonts w:cs="Arial" w:hint="eastAsia"/>
          <w:color w:val="000000"/>
          <w:sz w:val="24"/>
        </w:rPr>
        <w:t>侧袋机制</w:t>
      </w:r>
      <w:proofErr w:type="gramEnd"/>
      <w:r>
        <w:rPr>
          <w:rFonts w:cs="Arial" w:hint="eastAsia"/>
          <w:color w:val="000000"/>
          <w:sz w:val="24"/>
        </w:rPr>
        <w:t>实施期间，基金管理人应当在基金定期报告中披露报告期</w:t>
      </w:r>
      <w:proofErr w:type="gramStart"/>
      <w:r>
        <w:rPr>
          <w:rFonts w:cs="Arial" w:hint="eastAsia"/>
          <w:color w:val="000000"/>
          <w:sz w:val="24"/>
        </w:rPr>
        <w:t>内侧袋</w:t>
      </w:r>
      <w:proofErr w:type="gramEnd"/>
      <w:r>
        <w:rPr>
          <w:rFonts w:cs="Arial" w:hint="eastAsia"/>
          <w:color w:val="000000"/>
          <w:sz w:val="24"/>
        </w:rPr>
        <w:t>账户相关信息，基金定期报告中的基金会计报表仅需</w:t>
      </w:r>
      <w:proofErr w:type="gramStart"/>
      <w:r>
        <w:rPr>
          <w:rFonts w:cs="Arial" w:hint="eastAsia"/>
          <w:color w:val="000000"/>
          <w:sz w:val="24"/>
        </w:rPr>
        <w:t>针对主袋账户</w:t>
      </w:r>
      <w:proofErr w:type="gramEnd"/>
      <w:r>
        <w:rPr>
          <w:rFonts w:cs="Arial" w:hint="eastAsia"/>
          <w:color w:val="000000"/>
          <w:sz w:val="24"/>
        </w:rPr>
        <w:t>进行编制。</w:t>
      </w:r>
      <w:proofErr w:type="gramStart"/>
      <w:r>
        <w:rPr>
          <w:rFonts w:cs="Arial" w:hint="eastAsia"/>
          <w:color w:val="000000"/>
          <w:sz w:val="24"/>
        </w:rPr>
        <w:t>侧袋账户</w:t>
      </w:r>
      <w:proofErr w:type="gramEnd"/>
      <w:r>
        <w:rPr>
          <w:rFonts w:cs="Arial" w:hint="eastAsia"/>
          <w:color w:val="000000"/>
          <w:sz w:val="24"/>
        </w:rPr>
        <w:t>相关信息在定期报告中单独进行披露。会计师事务所对基金年度报告进行审计时，应对报告期内基金</w:t>
      </w:r>
      <w:proofErr w:type="gramStart"/>
      <w:r>
        <w:rPr>
          <w:rFonts w:cs="Arial" w:hint="eastAsia"/>
          <w:color w:val="000000"/>
          <w:sz w:val="24"/>
        </w:rPr>
        <w:t>侧袋机制</w:t>
      </w:r>
      <w:proofErr w:type="gramEnd"/>
      <w:r>
        <w:rPr>
          <w:rFonts w:cs="Arial" w:hint="eastAsia"/>
          <w:color w:val="000000"/>
          <w:sz w:val="24"/>
        </w:rPr>
        <w:t>运行相关的会计核算和年度报告披露，执行适当程序并发表审计意见。</w:t>
      </w:r>
    </w:p>
    <w:p w14:paraId="64DF4701" w14:textId="77777777" w:rsidR="00B67C49" w:rsidRDefault="00000000">
      <w:pPr>
        <w:autoSpaceDE w:val="0"/>
        <w:autoSpaceDN w:val="0"/>
        <w:adjustRightInd w:val="0"/>
        <w:spacing w:line="360" w:lineRule="auto"/>
        <w:ind w:firstLineChars="200" w:firstLine="480"/>
        <w:rPr>
          <w:rFonts w:cs="Arial"/>
          <w:color w:val="000000"/>
          <w:sz w:val="24"/>
        </w:rPr>
      </w:pPr>
      <w:r>
        <w:rPr>
          <w:rFonts w:cs="Arial" w:hint="eastAsia"/>
          <w:color w:val="000000"/>
          <w:sz w:val="24"/>
        </w:rPr>
        <w:t>八、本部</w:t>
      </w:r>
      <w:proofErr w:type="gramStart"/>
      <w:r>
        <w:rPr>
          <w:rFonts w:cs="Arial" w:hint="eastAsia"/>
          <w:color w:val="000000"/>
          <w:sz w:val="24"/>
        </w:rPr>
        <w:t>分关于侧袋机制</w:t>
      </w:r>
      <w:proofErr w:type="gramEnd"/>
      <w:r>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Pr>
          <w:rFonts w:cs="Arial" w:hint="eastAsia"/>
          <w:color w:val="000000"/>
          <w:sz w:val="24"/>
        </w:rPr>
        <w:t>侧袋机制</w:t>
      </w:r>
      <w:proofErr w:type="gramEnd"/>
      <w:r>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061ECA27" w14:textId="77777777" w:rsidR="00B67C49" w:rsidRDefault="00B67C49">
      <w:pPr>
        <w:autoSpaceDE w:val="0"/>
        <w:autoSpaceDN w:val="0"/>
        <w:adjustRightInd w:val="0"/>
        <w:spacing w:line="360" w:lineRule="auto"/>
        <w:ind w:firstLineChars="200" w:firstLine="480"/>
        <w:rPr>
          <w:rFonts w:cs="Arial"/>
          <w:color w:val="000000"/>
          <w:sz w:val="24"/>
        </w:rPr>
        <w:sectPr w:rsidR="00B67C49" w:rsidSect="00D84CBD">
          <w:headerReference w:type="even" r:id="rId57"/>
          <w:headerReference w:type="default" r:id="rId58"/>
          <w:footerReference w:type="default" r:id="rId59"/>
          <w:headerReference w:type="first" r:id="rId60"/>
          <w:footerReference w:type="first" r:id="rId61"/>
          <w:pgSz w:w="11907" w:h="16840"/>
          <w:pgMar w:top="1440" w:right="1559" w:bottom="1440" w:left="1797" w:header="907" w:footer="964" w:gutter="0"/>
          <w:pgNumType w:chapStyle="1"/>
          <w:cols w:space="425"/>
          <w:titlePg/>
          <w:docGrid w:type="lines" w:linePitch="312"/>
        </w:sectPr>
      </w:pPr>
    </w:p>
    <w:p w14:paraId="663DF25D" w14:textId="77777777" w:rsidR="00B67C49" w:rsidRDefault="00B67C49">
      <w:pPr>
        <w:widowControl/>
        <w:jc w:val="left"/>
        <w:rPr>
          <w:bCs/>
          <w:sz w:val="24"/>
        </w:rPr>
      </w:pPr>
    </w:p>
    <w:p w14:paraId="7187BC77" w14:textId="77777777" w:rsidR="00B67C49" w:rsidRDefault="00000000">
      <w:pPr>
        <w:pStyle w:val="1"/>
        <w:jc w:val="center"/>
        <w:rPr>
          <w:sz w:val="30"/>
          <w:szCs w:val="30"/>
        </w:rPr>
      </w:pPr>
      <w:bookmarkStart w:id="334" w:name="_Toc263092324"/>
      <w:bookmarkStart w:id="335" w:name="_Toc416264552"/>
      <w:bookmarkStart w:id="336" w:name="_Toc119568473"/>
      <w:bookmarkStart w:id="337" w:name="_Toc21073398"/>
      <w:bookmarkStart w:id="338" w:name="_Toc147463125"/>
      <w:bookmarkStart w:id="339" w:name="_Toc214873605"/>
      <w:bookmarkStart w:id="340" w:name="_Toc12357178"/>
      <w:bookmarkStart w:id="341" w:name="_Toc68266304"/>
      <w:bookmarkStart w:id="342" w:name="_Toc92662708"/>
      <w:bookmarkStart w:id="343" w:name="_Toc93226150"/>
      <w:bookmarkStart w:id="344" w:name="_Toc23859"/>
      <w:bookmarkStart w:id="345" w:name="_Toc1043"/>
      <w:bookmarkStart w:id="346" w:name="_Toc28961"/>
      <w:bookmarkStart w:id="347" w:name="_Toc18747"/>
      <w:bookmarkStart w:id="348" w:name="_Toc128310500"/>
      <w:bookmarkStart w:id="349" w:name="_Toc18007"/>
      <w:bookmarkStart w:id="350" w:name="_Toc139991747"/>
      <w:bookmarkStart w:id="351" w:name="_Toc29695"/>
      <w:bookmarkStart w:id="352" w:name="_Toc21206"/>
      <w:bookmarkStart w:id="353" w:name="_Toc10894"/>
      <w:bookmarkStart w:id="354" w:name="_Toc141703897"/>
      <w:bookmarkStart w:id="355" w:name="_Toc17499"/>
      <w:bookmarkStart w:id="356" w:name="_Toc13255"/>
      <w:bookmarkStart w:id="357" w:name="_Toc352229763"/>
      <w:bookmarkStart w:id="358" w:name="_Toc31736"/>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Pr>
          <w:rFonts w:hint="eastAsia"/>
          <w:sz w:val="30"/>
          <w:szCs w:val="30"/>
        </w:rPr>
        <w:t>第十七部分</w:t>
      </w:r>
      <w:r>
        <w:rPr>
          <w:sz w:val="30"/>
          <w:szCs w:val="30"/>
        </w:rPr>
        <w:t xml:space="preserve">  </w:t>
      </w:r>
      <w:r>
        <w:rPr>
          <w:rFonts w:hint="eastAsia"/>
          <w:sz w:val="30"/>
          <w:szCs w:val="30"/>
        </w:rPr>
        <w:t>风险揭示</w:t>
      </w:r>
      <w:bookmarkEnd w:id="334"/>
      <w:bookmarkEnd w:id="335"/>
      <w:bookmarkEnd w:id="336"/>
      <w:bookmarkEnd w:id="337"/>
      <w:bookmarkEnd w:id="338"/>
      <w:bookmarkEnd w:id="339"/>
      <w:bookmarkEnd w:id="340"/>
      <w:bookmarkEnd w:id="341"/>
    </w:p>
    <w:p w14:paraId="7F560388"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Times New Roman" w:hint="eastAsia"/>
          <w:sz w:val="24"/>
          <w:szCs w:val="24"/>
        </w:rPr>
        <w:t>一、投资于本基金的主要风险</w:t>
      </w:r>
    </w:p>
    <w:p w14:paraId="21D28499"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、市场风险</w:t>
      </w:r>
    </w:p>
    <w:p w14:paraId="2435B5BB"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证券市场价格受到各种因素的影响，导致基金收益水平变化而产生风险，主要包括：</w:t>
      </w:r>
    </w:p>
    <w:p w14:paraId="3B8979BC"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1</w:t>
      </w:r>
      <w:r>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241000FB"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2</w:t>
      </w:r>
      <w:r>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1502754D"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3</w:t>
      </w:r>
      <w:r>
        <w:rPr>
          <w:rFonts w:asciiTheme="minorEastAsia" w:hAnsiTheme="minorEastAsia" w:cs="Arial" w:hint="eastAsia"/>
          <w:bCs/>
          <w:sz w:val="24"/>
          <w:szCs w:val="24"/>
        </w:rPr>
        <w:t>）利率风险。金融市场利率的波动会导致证券市场价格和收益率的变动。</w:t>
      </w:r>
    </w:p>
    <w:p w14:paraId="1A5AD5D4"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4</w:t>
      </w:r>
      <w:r>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29C9EB1A"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w:t>
      </w:r>
      <w:r>
        <w:rPr>
          <w:rFonts w:asciiTheme="minorEastAsia" w:hAnsiTheme="minorEastAsia" w:cs="Arial"/>
          <w:bCs/>
          <w:sz w:val="24"/>
          <w:szCs w:val="24"/>
        </w:rPr>
        <w:t>5</w:t>
      </w:r>
      <w:r>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424D0A0E"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、信用风险</w:t>
      </w:r>
    </w:p>
    <w:p w14:paraId="20878B1D"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0AF08AB7"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、流动性风险</w:t>
      </w:r>
    </w:p>
    <w:p w14:paraId="49064447"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07641AB"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（1）拟投资市场、行业及资产的流动性风险评估</w:t>
      </w:r>
    </w:p>
    <w:p w14:paraId="23C209DA"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存托凭证、债券和货币市场工具等），同时本基金基于分散投资的原则在行业和个</w:t>
      </w:r>
      <w:proofErr w:type="gramStart"/>
      <w:r>
        <w:rPr>
          <w:rFonts w:asciiTheme="minorEastAsia" w:hAnsiTheme="minorEastAsia" w:cs="Arial" w:hint="eastAsia"/>
          <w:bCs/>
          <w:sz w:val="24"/>
          <w:szCs w:val="24"/>
        </w:rPr>
        <w:t>券</w:t>
      </w:r>
      <w:proofErr w:type="gramEnd"/>
      <w:r>
        <w:rPr>
          <w:rFonts w:asciiTheme="minorEastAsia" w:hAnsiTheme="minorEastAsia" w:cs="Arial" w:hint="eastAsia"/>
          <w:bCs/>
          <w:sz w:val="24"/>
          <w:szCs w:val="24"/>
        </w:rPr>
        <w:t>方面未有高集中度的特征，综合评估在正常市场环境下本基金的流动性风险适中。</w:t>
      </w:r>
    </w:p>
    <w:p w14:paraId="6600A3AB"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 xml:space="preserve">（2）巨额赎回情形下的流动性风险管理措施 </w:t>
      </w:r>
    </w:p>
    <w:p w14:paraId="4193CF28"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5E7F0AEB"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（3）实施备用的流动性风险管理工具的情形、程序及对投资者的潜在影响</w:t>
      </w:r>
    </w:p>
    <w:p w14:paraId="4AD2CDF6"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1434221F" w14:textId="77777777" w:rsidR="00B67C49"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（4）实施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对投资者的影响</w:t>
      </w:r>
    </w:p>
    <w:p w14:paraId="2F0DCB3E" w14:textId="77777777" w:rsidR="00B67C49" w:rsidRDefault="00000000">
      <w:pPr>
        <w:adjustRightInd w:val="0"/>
        <w:snapToGrid w:val="0"/>
        <w:spacing w:line="360" w:lineRule="auto"/>
        <w:ind w:firstLineChars="200" w:firstLine="480"/>
        <w:rPr>
          <w:rFonts w:ascii="宋体" w:hAnsi="宋体" w:cs="Arial"/>
          <w:kern w:val="0"/>
          <w:sz w:val="24"/>
          <w:szCs w:val="24"/>
        </w:rPr>
      </w:pP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是一种流动性风险管理工具，是将特定资产分离</w:t>
      </w:r>
      <w:proofErr w:type="gramStart"/>
      <w:r>
        <w:rPr>
          <w:rFonts w:ascii="宋体" w:hAnsi="宋体" w:cs="Arial" w:hint="eastAsia"/>
          <w:kern w:val="0"/>
          <w:sz w:val="24"/>
          <w:szCs w:val="24"/>
        </w:rPr>
        <w:t>至专门的侧袋</w:t>
      </w:r>
      <w:proofErr w:type="gramEnd"/>
      <w:r>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份额将停止披露基金份额净值，并不得办理申购、赎回和转换，</w:t>
      </w:r>
      <w:proofErr w:type="gramStart"/>
      <w:r>
        <w:rPr>
          <w:rFonts w:ascii="宋体" w:hAnsi="宋体" w:cs="Arial" w:hint="eastAsia"/>
          <w:kern w:val="0"/>
          <w:sz w:val="24"/>
          <w:szCs w:val="24"/>
        </w:rPr>
        <w:t>仅主袋</w:t>
      </w:r>
      <w:proofErr w:type="gramEnd"/>
      <w:r>
        <w:rPr>
          <w:rFonts w:ascii="宋体" w:hAnsi="宋体" w:cs="Arial" w:hint="eastAsia"/>
          <w:kern w:val="0"/>
          <w:sz w:val="24"/>
          <w:szCs w:val="24"/>
        </w:rPr>
        <w:t>账户份额按规定开放赎回，因此启用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时持有基金份额的持有人将在启用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后同时</w:t>
      </w:r>
      <w:proofErr w:type="gramStart"/>
      <w:r>
        <w:rPr>
          <w:rFonts w:ascii="宋体" w:hAnsi="宋体" w:cs="Arial" w:hint="eastAsia"/>
          <w:kern w:val="0"/>
          <w:sz w:val="24"/>
          <w:szCs w:val="24"/>
        </w:rPr>
        <w:t>拥有主袋账户</w:t>
      </w:r>
      <w:proofErr w:type="gramEnd"/>
      <w:r>
        <w:rPr>
          <w:rFonts w:ascii="宋体" w:hAnsi="宋体" w:cs="Arial" w:hint="eastAsia"/>
          <w:kern w:val="0"/>
          <w:sz w:val="24"/>
          <w:szCs w:val="24"/>
        </w:rPr>
        <w:t>份额和</w:t>
      </w:r>
      <w:proofErr w:type="gramStart"/>
      <w:r>
        <w:rPr>
          <w:rFonts w:ascii="宋体" w:hAnsi="宋体" w:cs="Arial" w:hint="eastAsia"/>
          <w:kern w:val="0"/>
          <w:sz w:val="24"/>
          <w:szCs w:val="24"/>
        </w:rPr>
        <w:t>侧袋</w:t>
      </w:r>
      <w:proofErr w:type="gramEnd"/>
      <w:r>
        <w:rPr>
          <w:rFonts w:ascii="宋体" w:hAnsi="宋体" w:cs="Arial" w:hint="eastAsia"/>
          <w:kern w:val="0"/>
          <w:sz w:val="24"/>
          <w:szCs w:val="24"/>
        </w:rPr>
        <w:t>账户份额，</w:t>
      </w:r>
      <w:proofErr w:type="gramStart"/>
      <w:r>
        <w:rPr>
          <w:rFonts w:ascii="宋体" w:hAnsi="宋体" w:cs="Arial" w:hint="eastAsia"/>
          <w:kern w:val="0"/>
          <w:sz w:val="24"/>
          <w:szCs w:val="24"/>
        </w:rPr>
        <w:t>侧袋账户</w:t>
      </w:r>
      <w:proofErr w:type="gramEnd"/>
      <w:r>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时的特定资产的估值，基金份额持有人可能因此面临损失。</w:t>
      </w:r>
    </w:p>
    <w:p w14:paraId="3F3AC40B" w14:textId="77777777" w:rsidR="00B67C49"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t>期间，基金管理人计算各项投资运作指标和基金业绩指标时</w:t>
      </w:r>
      <w:proofErr w:type="gramStart"/>
      <w:r>
        <w:rPr>
          <w:rFonts w:ascii="宋体" w:hAnsi="宋体" w:cs="Arial" w:hint="eastAsia"/>
          <w:kern w:val="0"/>
          <w:sz w:val="24"/>
          <w:szCs w:val="24"/>
        </w:rPr>
        <w:t>以主袋账户</w:t>
      </w:r>
      <w:proofErr w:type="gramEnd"/>
      <w:r>
        <w:rPr>
          <w:rFonts w:ascii="宋体" w:hAnsi="宋体" w:cs="Arial" w:hint="eastAsia"/>
          <w:kern w:val="0"/>
          <w:sz w:val="24"/>
          <w:szCs w:val="24"/>
        </w:rPr>
        <w:t>资产为基准，不</w:t>
      </w:r>
      <w:proofErr w:type="gramStart"/>
      <w:r>
        <w:rPr>
          <w:rFonts w:ascii="宋体" w:hAnsi="宋体" w:cs="Arial" w:hint="eastAsia"/>
          <w:kern w:val="0"/>
          <w:sz w:val="24"/>
          <w:szCs w:val="24"/>
        </w:rPr>
        <w:t>反映侧袋账户</w:t>
      </w:r>
      <w:proofErr w:type="gramEnd"/>
      <w:r>
        <w:rPr>
          <w:rFonts w:ascii="宋体" w:hAnsi="宋体" w:cs="Arial" w:hint="eastAsia"/>
          <w:kern w:val="0"/>
          <w:sz w:val="24"/>
          <w:szCs w:val="24"/>
        </w:rPr>
        <w:t>特定资产的真实价值及变化情况。本基金不</w:t>
      </w:r>
      <w:proofErr w:type="gramStart"/>
      <w:r>
        <w:rPr>
          <w:rFonts w:ascii="宋体" w:hAnsi="宋体" w:cs="Arial" w:hint="eastAsia"/>
          <w:kern w:val="0"/>
          <w:sz w:val="24"/>
          <w:szCs w:val="24"/>
        </w:rPr>
        <w:t>披露侧袋账户</w:t>
      </w:r>
      <w:proofErr w:type="gramEnd"/>
      <w:r>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4C7FAE84" w14:textId="77777777" w:rsidR="00B67C49" w:rsidRDefault="00000000">
      <w:pPr>
        <w:adjustRightInd w:val="0"/>
        <w:snapToGrid w:val="0"/>
        <w:spacing w:line="360" w:lineRule="auto"/>
        <w:ind w:firstLineChars="200" w:firstLine="480"/>
        <w:rPr>
          <w:rFonts w:ascii="宋体" w:hAnsi="宋体" w:cs="Arial"/>
          <w:kern w:val="0"/>
          <w:sz w:val="24"/>
          <w:szCs w:val="24"/>
        </w:rPr>
      </w:pPr>
      <w:r>
        <w:rPr>
          <w:rFonts w:ascii="宋体" w:hAnsi="宋体" w:cs="Arial" w:hint="eastAsia"/>
          <w:kern w:val="0"/>
          <w:sz w:val="24"/>
          <w:szCs w:val="24"/>
        </w:rPr>
        <w:t>基金管理人将</w:t>
      </w:r>
      <w:proofErr w:type="gramStart"/>
      <w:r>
        <w:rPr>
          <w:rFonts w:ascii="宋体" w:hAnsi="宋体" w:cs="Arial" w:hint="eastAsia"/>
          <w:kern w:val="0"/>
          <w:sz w:val="24"/>
          <w:szCs w:val="24"/>
        </w:rPr>
        <w:t>根据主袋账户</w:t>
      </w:r>
      <w:proofErr w:type="gramEnd"/>
      <w:r>
        <w:rPr>
          <w:rFonts w:ascii="宋体" w:hAnsi="宋体" w:cs="Arial" w:hint="eastAsia"/>
          <w:kern w:val="0"/>
          <w:sz w:val="24"/>
          <w:szCs w:val="24"/>
        </w:rPr>
        <w:t>运作情况合理确定申购政策，因此实施</w:t>
      </w:r>
      <w:proofErr w:type="gramStart"/>
      <w:r>
        <w:rPr>
          <w:rFonts w:ascii="宋体" w:hAnsi="宋体" w:cs="Arial" w:hint="eastAsia"/>
          <w:kern w:val="0"/>
          <w:sz w:val="24"/>
          <w:szCs w:val="24"/>
        </w:rPr>
        <w:t>侧袋机制</w:t>
      </w:r>
      <w:proofErr w:type="gramEnd"/>
      <w:r>
        <w:rPr>
          <w:rFonts w:ascii="宋体" w:hAnsi="宋体" w:cs="Arial" w:hint="eastAsia"/>
          <w:kern w:val="0"/>
          <w:sz w:val="24"/>
          <w:szCs w:val="24"/>
        </w:rPr>
        <w:lastRenderedPageBreak/>
        <w:t>后主袋账户份额存在暂停申购的可能。</w:t>
      </w:r>
    </w:p>
    <w:p w14:paraId="5956D398"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4</w:t>
      </w:r>
      <w:r>
        <w:rPr>
          <w:rFonts w:asciiTheme="minorEastAsia" w:hAnsiTheme="minorEastAsia" w:cs="Arial" w:hint="eastAsia"/>
          <w:bCs/>
          <w:sz w:val="24"/>
          <w:szCs w:val="24"/>
        </w:rPr>
        <w:t>、操作风险</w:t>
      </w:r>
    </w:p>
    <w:p w14:paraId="73005FA8"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Pr>
          <w:rFonts w:asciiTheme="minorEastAsia" w:hAnsiTheme="minorEastAsia" w:cs="Arial"/>
          <w:bCs/>
          <w:sz w:val="24"/>
          <w:szCs w:val="24"/>
        </w:rPr>
        <w:t>IT</w:t>
      </w:r>
      <w:r>
        <w:rPr>
          <w:rFonts w:asciiTheme="minorEastAsia" w:hAnsiTheme="minorEastAsia" w:cs="Arial" w:hint="eastAsia"/>
          <w:bCs/>
          <w:sz w:val="24"/>
          <w:szCs w:val="24"/>
        </w:rPr>
        <w:t>系统故障等风险。</w:t>
      </w:r>
    </w:p>
    <w:p w14:paraId="7062B061"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5</w:t>
      </w:r>
      <w:r>
        <w:rPr>
          <w:rFonts w:asciiTheme="minorEastAsia" w:hAnsiTheme="minorEastAsia" w:cs="Arial" w:hint="eastAsia"/>
          <w:bCs/>
          <w:sz w:val="24"/>
          <w:szCs w:val="24"/>
        </w:rPr>
        <w:t>、管理风险</w:t>
      </w:r>
    </w:p>
    <w:p w14:paraId="15157F4A"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74C0EBB5"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6</w:t>
      </w: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w:t>
      </w:r>
    </w:p>
    <w:p w14:paraId="281F76F1"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合</w:t>
      </w:r>
      <w:proofErr w:type="gramStart"/>
      <w:r>
        <w:rPr>
          <w:rFonts w:asciiTheme="minorEastAsia" w:hAnsiTheme="minorEastAsia" w:cs="Arial" w:hint="eastAsia"/>
          <w:bCs/>
          <w:sz w:val="24"/>
          <w:szCs w:val="24"/>
        </w:rPr>
        <w:t>规</w:t>
      </w:r>
      <w:proofErr w:type="gramEnd"/>
      <w:r>
        <w:rPr>
          <w:rFonts w:asciiTheme="minorEastAsia" w:hAnsiTheme="minorEastAsia" w:cs="Arial" w:hint="eastAsia"/>
          <w:bCs/>
          <w:sz w:val="24"/>
          <w:szCs w:val="24"/>
        </w:rPr>
        <w:t>风险指基金管理或运作过程中，违反国家法律、法规的规定，或者违反《基金合同》有关规定的风险。</w:t>
      </w:r>
    </w:p>
    <w:p w14:paraId="5A22BC83"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二、投资于本基金的特有风险</w:t>
      </w:r>
    </w:p>
    <w:p w14:paraId="01A6D9F1"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790398B0"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2</w:t>
      </w:r>
      <w:r>
        <w:rPr>
          <w:rFonts w:asciiTheme="minorEastAsia" w:hAnsiTheme="minorEastAsia" w:cs="Arial" w:hint="eastAsia"/>
          <w:bCs/>
          <w:sz w:val="24"/>
          <w:szCs w:val="24"/>
        </w:rPr>
        <w:t>、股指期货、国债期货等金融衍生</w:t>
      </w:r>
      <w:proofErr w:type="gramStart"/>
      <w:r>
        <w:rPr>
          <w:rFonts w:asciiTheme="minorEastAsia" w:hAnsiTheme="minorEastAsia" w:cs="Arial" w:hint="eastAsia"/>
          <w:bCs/>
          <w:sz w:val="24"/>
          <w:szCs w:val="24"/>
        </w:rPr>
        <w:t>品投资</w:t>
      </w:r>
      <w:proofErr w:type="gramEnd"/>
      <w:r>
        <w:rPr>
          <w:rFonts w:asciiTheme="minorEastAsia" w:hAnsiTheme="minorEastAsia" w:cs="Arial" w:hint="eastAsia"/>
          <w:bCs/>
          <w:sz w:val="24"/>
          <w:szCs w:val="24"/>
        </w:rPr>
        <w:t>风险</w:t>
      </w:r>
    </w:p>
    <w:p w14:paraId="1A05833D"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Pr>
          <w:rFonts w:asciiTheme="minorEastAsia" w:hAnsiTheme="minorEastAsia" w:cs="Arial" w:hint="eastAsia"/>
          <w:bCs/>
          <w:sz w:val="24"/>
          <w:szCs w:val="24"/>
        </w:rPr>
        <w:t>衍生品需承受</w:t>
      </w:r>
      <w:proofErr w:type="gramEnd"/>
      <w:r>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60887E5F"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6F64D9BA"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lastRenderedPageBreak/>
        <w:t>3、资产支持证券投资风险</w:t>
      </w:r>
    </w:p>
    <w:p w14:paraId="0B019EE6"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本基金投资资产支持证券，资产支持证券（ABS）或资产支持票据（ABN）是一种债券性质的金融工具，其向投资者支付的本息来自于基础资产</w:t>
      </w:r>
      <w:proofErr w:type="gramStart"/>
      <w:r>
        <w:rPr>
          <w:rFonts w:asciiTheme="minorEastAsia" w:hAnsiTheme="minorEastAsia" w:cs="Arial" w:hint="eastAsia"/>
          <w:bCs/>
          <w:sz w:val="24"/>
          <w:szCs w:val="24"/>
        </w:rPr>
        <w:t>池产生</w:t>
      </w:r>
      <w:proofErr w:type="gramEnd"/>
      <w:r>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Pr>
          <w:rFonts w:asciiTheme="minorEastAsia" w:hAnsiTheme="minorEastAsia" w:cs="Arial" w:hint="eastAsia"/>
          <w:bCs/>
          <w:sz w:val="24"/>
          <w:szCs w:val="24"/>
        </w:rPr>
        <w:t>资产池所产生</w:t>
      </w:r>
      <w:proofErr w:type="gramEnd"/>
      <w:r>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58398770"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4、股票期权投资风险</w:t>
      </w:r>
    </w:p>
    <w:p w14:paraId="320DC222"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54DD6226"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5、存托凭证投资风险</w:t>
      </w:r>
    </w:p>
    <w:p w14:paraId="4C0B36CD"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Pr>
          <w:rFonts w:asciiTheme="minorEastAsia" w:hAnsiTheme="minorEastAsia" w:cs="Arial" w:hint="eastAsia"/>
          <w:bCs/>
          <w:sz w:val="24"/>
          <w:szCs w:val="24"/>
        </w:rPr>
        <w:t>托协议</w:t>
      </w:r>
      <w:proofErr w:type="gramEnd"/>
      <w:r>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65423EFF"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三、其他风险</w:t>
      </w:r>
    </w:p>
    <w:p w14:paraId="3977A563"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1</w:t>
      </w:r>
      <w:r>
        <w:rPr>
          <w:rFonts w:asciiTheme="minorEastAsia" w:hAnsiTheme="minorEastAsia" w:cs="Arial" w:hint="eastAsia"/>
          <w:bCs/>
          <w:sz w:val="24"/>
          <w:szCs w:val="24"/>
        </w:rPr>
        <w:t>、技术风险</w:t>
      </w:r>
    </w:p>
    <w:p w14:paraId="3E109E42"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1E9414E8"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lastRenderedPageBreak/>
        <w:t>2</w:t>
      </w:r>
      <w:r>
        <w:rPr>
          <w:rFonts w:asciiTheme="minorEastAsia" w:hAnsiTheme="minorEastAsia" w:cs="Arial" w:hint="eastAsia"/>
          <w:bCs/>
          <w:sz w:val="24"/>
          <w:szCs w:val="24"/>
        </w:rPr>
        <w:t>、法律风险</w:t>
      </w:r>
    </w:p>
    <w:p w14:paraId="31F2D456"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由于法律法规方面的原因，某些市场行为受到限制或合同不能正常执行，导致基金资产的损失。</w:t>
      </w:r>
    </w:p>
    <w:p w14:paraId="4BC8A8BB"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bCs/>
          <w:sz w:val="24"/>
          <w:szCs w:val="24"/>
        </w:rPr>
        <w:t>3</w:t>
      </w:r>
      <w:r>
        <w:rPr>
          <w:rFonts w:asciiTheme="minorEastAsia" w:hAnsiTheme="minorEastAsia" w:cs="Arial" w:hint="eastAsia"/>
          <w:bCs/>
          <w:sz w:val="24"/>
          <w:szCs w:val="24"/>
        </w:rPr>
        <w:t>、其他风险</w:t>
      </w:r>
    </w:p>
    <w:p w14:paraId="6BFDDE54" w14:textId="77777777" w:rsidR="00B67C49" w:rsidRDefault="00000000">
      <w:pPr>
        <w:adjustRightInd w:val="0"/>
        <w:snapToGrid w:val="0"/>
        <w:spacing w:line="360" w:lineRule="auto"/>
        <w:ind w:firstLineChars="200" w:firstLine="480"/>
        <w:rPr>
          <w:rFonts w:asciiTheme="minorEastAsia" w:hAnsiTheme="minorEastAsia" w:cs="Arial"/>
          <w:bCs/>
          <w:sz w:val="24"/>
          <w:szCs w:val="24"/>
        </w:rPr>
      </w:pPr>
      <w:r>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054738E7" w14:textId="77777777" w:rsidR="00B67C49" w:rsidRDefault="00000000">
      <w:pPr>
        <w:widowControl/>
        <w:spacing w:line="360" w:lineRule="auto"/>
        <w:ind w:firstLine="420"/>
        <w:jc w:val="left"/>
        <w:rPr>
          <w:rFonts w:asciiTheme="minorEastAsia" w:hAnsiTheme="minorEastAsia" w:cs="Arial"/>
          <w:bCs/>
          <w:sz w:val="24"/>
          <w:szCs w:val="24"/>
        </w:rPr>
      </w:pPr>
      <w:r>
        <w:rPr>
          <w:rFonts w:asciiTheme="minorEastAsia" w:hAnsiTheme="minorEastAsia" w:cs="Arial"/>
          <w:bCs/>
          <w:sz w:val="24"/>
          <w:szCs w:val="24"/>
        </w:rPr>
        <w:t>4、基金管理人职责终止风险</w:t>
      </w:r>
    </w:p>
    <w:p w14:paraId="72F25AC1" w14:textId="77777777" w:rsidR="00B67C49" w:rsidRDefault="00000000">
      <w:pPr>
        <w:widowControl/>
        <w:spacing w:line="360" w:lineRule="auto"/>
        <w:ind w:firstLine="420"/>
        <w:jc w:val="left"/>
        <w:rPr>
          <w:rFonts w:asciiTheme="minorEastAsia" w:hAnsiTheme="minorEastAsia" w:cs="Arial"/>
          <w:bCs/>
          <w:sz w:val="24"/>
          <w:szCs w:val="24"/>
        </w:rPr>
        <w:sectPr w:rsidR="00B67C49" w:rsidSect="00D84CBD">
          <w:headerReference w:type="even" r:id="rId62"/>
          <w:headerReference w:type="default" r:id="rId63"/>
          <w:footerReference w:type="default" r:id="rId64"/>
          <w:headerReference w:type="first" r:id="rId65"/>
          <w:pgSz w:w="11906" w:h="16838"/>
          <w:pgMar w:top="1440" w:right="1800" w:bottom="1440" w:left="1800" w:header="851" w:footer="992" w:gutter="0"/>
          <w:pgNumType w:chapStyle="1"/>
          <w:cols w:space="720"/>
          <w:docGrid w:type="lines" w:linePitch="312"/>
        </w:sectPr>
      </w:pPr>
      <w:r>
        <w:rPr>
          <w:rFonts w:asciiTheme="minorEastAsia" w:hAnsiTheme="minorEastAsia" w:cs="Arial" w:hint="eastAsia"/>
          <w:bCs/>
          <w:sz w:val="24"/>
          <w:szCs w:val="24"/>
        </w:rPr>
        <w:t>因违法经营或者出现重大风险等情况，可能发生基金管理人被依法取消基金管理资格或依法解散、被依法撤销或者被依法宣告破产等情况。在基金管理人职责终止情况下，投资者面临基金管理人变更或基金合同终止的风险。基金管理人职责终止，涉及基金管理人、临时基金管理人、</w:t>
      </w:r>
      <w:proofErr w:type="gramStart"/>
      <w:r>
        <w:rPr>
          <w:rFonts w:asciiTheme="minorEastAsia" w:hAnsiTheme="minorEastAsia" w:cs="Arial" w:hint="eastAsia"/>
          <w:bCs/>
          <w:sz w:val="24"/>
          <w:szCs w:val="24"/>
        </w:rPr>
        <w:t>新任基金</w:t>
      </w:r>
      <w:proofErr w:type="gramEnd"/>
      <w:r>
        <w:rPr>
          <w:rFonts w:asciiTheme="minorEastAsia" w:hAnsiTheme="minorEastAsia" w:cs="Arial" w:hint="eastAsia"/>
          <w:bCs/>
          <w:sz w:val="24"/>
          <w:szCs w:val="24"/>
        </w:rPr>
        <w:t>管理人之间责任划分的，相关基金管理人对各自履职行为依法承担责任。</w:t>
      </w:r>
    </w:p>
    <w:p w14:paraId="56908F67" w14:textId="77777777" w:rsidR="00B67C49" w:rsidRDefault="00000000">
      <w:pPr>
        <w:pStyle w:val="1"/>
        <w:ind w:firstLine="600"/>
        <w:jc w:val="center"/>
      </w:pPr>
      <w:bookmarkStart w:id="359" w:name="_Toc68266305"/>
      <w:bookmarkStart w:id="360" w:name="_Toc119568474"/>
      <w:r>
        <w:rPr>
          <w:rFonts w:hint="eastAsia"/>
          <w:sz w:val="30"/>
          <w:szCs w:val="30"/>
        </w:rPr>
        <w:lastRenderedPageBreak/>
        <w:t>第十八部分</w:t>
      </w:r>
      <w:r>
        <w:rPr>
          <w:sz w:val="30"/>
          <w:szCs w:val="30"/>
        </w:rPr>
        <w:t xml:space="preserve">  </w:t>
      </w:r>
      <w:bookmarkEnd w:id="342"/>
      <w:bookmarkEnd w:id="343"/>
      <w:r>
        <w:rPr>
          <w:rFonts w:hint="eastAsia"/>
          <w:sz w:val="30"/>
          <w:szCs w:val="30"/>
        </w:rPr>
        <w:t>基金合同的变更、终止与基金财产的清算</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02DA54D6" w14:textId="77777777" w:rsidR="00B67C49" w:rsidRDefault="00000000">
      <w:pPr>
        <w:autoSpaceDE w:val="0"/>
        <w:autoSpaceDN w:val="0"/>
        <w:spacing w:line="360" w:lineRule="auto"/>
        <w:ind w:firstLineChars="200" w:firstLine="480"/>
        <w:textAlignment w:val="bottom"/>
        <w:rPr>
          <w:bCs/>
          <w:sz w:val="24"/>
        </w:rPr>
      </w:pPr>
      <w:bookmarkStart w:id="361" w:name="_Toc79392639"/>
      <w:bookmarkStart w:id="362" w:name="_Toc11802"/>
      <w:bookmarkStart w:id="363" w:name="_Toc3056"/>
      <w:bookmarkStart w:id="364" w:name="_Toc21351"/>
      <w:bookmarkStart w:id="365" w:name="_Toc31866"/>
      <w:bookmarkStart w:id="366" w:name="_Toc8512"/>
      <w:bookmarkStart w:id="367" w:name="_Toc1421"/>
      <w:bookmarkStart w:id="368" w:name="_Toc12028"/>
      <w:bookmarkStart w:id="369" w:name="_Toc1173"/>
      <w:bookmarkStart w:id="370" w:name="_Toc29289"/>
      <w:bookmarkStart w:id="371" w:name="_Toc352229764"/>
      <w:bookmarkStart w:id="372" w:name="_Toc11049"/>
      <w:bookmarkStart w:id="373" w:name="_Toc93226151"/>
      <w:bookmarkStart w:id="374" w:name="_Toc193"/>
      <w:bookmarkStart w:id="375" w:name="_Toc141703898"/>
      <w:bookmarkStart w:id="376" w:name="_Toc128310501"/>
      <w:bookmarkStart w:id="377" w:name="_Toc139991748"/>
      <w:bookmarkStart w:id="378" w:name="_Toc92662709"/>
      <w:r>
        <w:rPr>
          <w:bCs/>
          <w:sz w:val="24"/>
        </w:rPr>
        <w:t>一、《基金合同》的变更</w:t>
      </w:r>
      <w:bookmarkEnd w:id="361"/>
    </w:p>
    <w:p w14:paraId="0CF5573C" w14:textId="77777777" w:rsidR="00B67C49" w:rsidRDefault="00000000">
      <w:pPr>
        <w:autoSpaceDE w:val="0"/>
        <w:autoSpaceDN w:val="0"/>
        <w:spacing w:line="360" w:lineRule="auto"/>
        <w:ind w:firstLineChars="200" w:firstLine="480"/>
        <w:textAlignment w:val="bottom"/>
        <w:rPr>
          <w:bCs/>
          <w:sz w:val="24"/>
        </w:rPr>
      </w:pPr>
      <w:r>
        <w:rPr>
          <w:bCs/>
          <w:sz w:val="24"/>
        </w:rPr>
        <w:t>1</w:t>
      </w:r>
      <w:r>
        <w:rPr>
          <w:bCs/>
          <w:sz w:val="24"/>
        </w:rPr>
        <w:t>、变更基金合同</w:t>
      </w:r>
      <w:r>
        <w:rPr>
          <w:rFonts w:hint="eastAsia"/>
          <w:bCs/>
          <w:sz w:val="24"/>
        </w:rPr>
        <w:t>涉及</w:t>
      </w:r>
      <w:r>
        <w:rPr>
          <w:bCs/>
          <w:sz w:val="24"/>
        </w:rPr>
        <w:t>法律法规规定或</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B2042D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 xml:space="preserve"> </w:t>
      </w:r>
      <w:r>
        <w:rPr>
          <w:bCs/>
          <w:sz w:val="24"/>
        </w:rPr>
        <w:t>2</w:t>
      </w:r>
      <w:r>
        <w:rPr>
          <w:bCs/>
          <w:sz w:val="24"/>
        </w:rPr>
        <w:t>、关于《基金合同》变更的基金份额持有人大会决议</w:t>
      </w:r>
      <w:r>
        <w:rPr>
          <w:rFonts w:hint="eastAsia"/>
          <w:bCs/>
          <w:sz w:val="24"/>
        </w:rPr>
        <w:t>自表决通过之日起生效，并</w:t>
      </w:r>
      <w:proofErr w:type="gramStart"/>
      <w:r>
        <w:rPr>
          <w:rFonts w:hint="eastAsia"/>
          <w:bCs/>
          <w:sz w:val="24"/>
        </w:rPr>
        <w:t>自决议</w:t>
      </w:r>
      <w:proofErr w:type="gramEnd"/>
      <w:r>
        <w:rPr>
          <w:rFonts w:hint="eastAsia"/>
          <w:bCs/>
          <w:sz w:val="24"/>
        </w:rPr>
        <w:t>生效后依照《信息披露办法》的有关规定在</w:t>
      </w:r>
      <w:r>
        <w:rPr>
          <w:bCs/>
          <w:sz w:val="24"/>
        </w:rPr>
        <w:t>规定媒介公告。</w:t>
      </w:r>
    </w:p>
    <w:p w14:paraId="5FB0D263" w14:textId="77777777" w:rsidR="00B67C49" w:rsidRDefault="00000000">
      <w:pPr>
        <w:autoSpaceDE w:val="0"/>
        <w:autoSpaceDN w:val="0"/>
        <w:spacing w:line="360" w:lineRule="auto"/>
        <w:ind w:firstLineChars="200" w:firstLine="480"/>
        <w:textAlignment w:val="bottom"/>
        <w:rPr>
          <w:bCs/>
          <w:sz w:val="24"/>
        </w:rPr>
      </w:pPr>
      <w:r>
        <w:rPr>
          <w:bCs/>
          <w:sz w:val="24"/>
        </w:rPr>
        <w:t>二、《基金合同》的终止事由</w:t>
      </w:r>
    </w:p>
    <w:p w14:paraId="1D841BE6" w14:textId="77777777" w:rsidR="00B67C49" w:rsidRDefault="00000000">
      <w:pPr>
        <w:autoSpaceDE w:val="0"/>
        <w:autoSpaceDN w:val="0"/>
        <w:spacing w:line="360" w:lineRule="auto"/>
        <w:ind w:firstLineChars="200" w:firstLine="480"/>
        <w:textAlignment w:val="bottom"/>
        <w:rPr>
          <w:bCs/>
          <w:sz w:val="24"/>
        </w:rPr>
      </w:pPr>
      <w:r>
        <w:rPr>
          <w:bCs/>
          <w:sz w:val="24"/>
        </w:rPr>
        <w:t>有下列情形之一的，</w:t>
      </w:r>
      <w:r>
        <w:rPr>
          <w:rFonts w:hint="eastAsia"/>
          <w:bCs/>
          <w:sz w:val="24"/>
        </w:rPr>
        <w:t>经履行相关程序后，</w:t>
      </w:r>
      <w:r>
        <w:rPr>
          <w:bCs/>
          <w:sz w:val="24"/>
        </w:rPr>
        <w:t>《基金合同》应当终止：</w:t>
      </w:r>
    </w:p>
    <w:p w14:paraId="702F0AA9" w14:textId="77777777" w:rsidR="00B67C49" w:rsidRDefault="00000000">
      <w:pPr>
        <w:autoSpaceDE w:val="0"/>
        <w:autoSpaceDN w:val="0"/>
        <w:spacing w:line="360" w:lineRule="auto"/>
        <w:ind w:firstLineChars="200" w:firstLine="480"/>
        <w:textAlignment w:val="bottom"/>
        <w:rPr>
          <w:bCs/>
          <w:sz w:val="24"/>
        </w:rPr>
      </w:pPr>
      <w:r>
        <w:rPr>
          <w:bCs/>
          <w:sz w:val="24"/>
        </w:rPr>
        <w:t>1</w:t>
      </w:r>
      <w:r>
        <w:rPr>
          <w:bCs/>
          <w:sz w:val="24"/>
        </w:rPr>
        <w:t>、基金份额持有人大会决定终止的；</w:t>
      </w:r>
    </w:p>
    <w:p w14:paraId="57B8F9DE" w14:textId="77777777" w:rsidR="00B67C49" w:rsidRDefault="00000000">
      <w:pPr>
        <w:autoSpaceDE w:val="0"/>
        <w:autoSpaceDN w:val="0"/>
        <w:spacing w:line="360" w:lineRule="auto"/>
        <w:ind w:firstLineChars="200" w:firstLine="480"/>
        <w:textAlignment w:val="bottom"/>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6E5698E1" w14:textId="77777777" w:rsidR="00B67C49" w:rsidRDefault="00000000">
      <w:pPr>
        <w:autoSpaceDE w:val="0"/>
        <w:autoSpaceDN w:val="0"/>
        <w:spacing w:line="360" w:lineRule="auto"/>
        <w:ind w:firstLineChars="200" w:firstLine="480"/>
        <w:textAlignment w:val="bottom"/>
        <w:rPr>
          <w:bCs/>
          <w:sz w:val="24"/>
        </w:rPr>
      </w:pPr>
      <w:r>
        <w:rPr>
          <w:rFonts w:hint="eastAsia"/>
          <w:bCs/>
          <w:sz w:val="24"/>
        </w:rPr>
        <w:t>3</w:t>
      </w:r>
      <w:r>
        <w:rPr>
          <w:bCs/>
          <w:sz w:val="24"/>
        </w:rPr>
        <w:t>、《基金合同》约定的其他情形；</w:t>
      </w:r>
    </w:p>
    <w:p w14:paraId="0B33EAC6" w14:textId="77777777" w:rsidR="00B67C49" w:rsidRDefault="00000000">
      <w:pPr>
        <w:autoSpaceDE w:val="0"/>
        <w:autoSpaceDN w:val="0"/>
        <w:spacing w:line="360" w:lineRule="auto"/>
        <w:ind w:firstLineChars="200" w:firstLine="480"/>
        <w:textAlignment w:val="bottom"/>
        <w:rPr>
          <w:bCs/>
          <w:sz w:val="24"/>
        </w:rPr>
      </w:pPr>
      <w:r>
        <w:rPr>
          <w:rFonts w:hint="eastAsia"/>
          <w:bCs/>
          <w:sz w:val="24"/>
        </w:rPr>
        <w:t>4</w:t>
      </w:r>
      <w:r>
        <w:rPr>
          <w:bCs/>
          <w:sz w:val="24"/>
        </w:rPr>
        <w:t>、相关法律法规和中国证监会规定的其他情况。</w:t>
      </w:r>
    </w:p>
    <w:p w14:paraId="61C26B4B" w14:textId="77777777" w:rsidR="00B67C49" w:rsidRDefault="00000000">
      <w:pPr>
        <w:autoSpaceDE w:val="0"/>
        <w:autoSpaceDN w:val="0"/>
        <w:spacing w:line="360" w:lineRule="auto"/>
        <w:ind w:firstLineChars="200" w:firstLine="480"/>
        <w:textAlignment w:val="bottom"/>
        <w:rPr>
          <w:bCs/>
          <w:sz w:val="24"/>
        </w:rPr>
      </w:pPr>
      <w:r>
        <w:rPr>
          <w:bCs/>
          <w:sz w:val="24"/>
        </w:rPr>
        <w:t>三、基金财产的清算</w:t>
      </w:r>
    </w:p>
    <w:p w14:paraId="7A9B1361" w14:textId="77777777" w:rsidR="00B67C49" w:rsidRDefault="00000000">
      <w:pPr>
        <w:autoSpaceDE w:val="0"/>
        <w:autoSpaceDN w:val="0"/>
        <w:spacing w:line="360" w:lineRule="auto"/>
        <w:ind w:firstLineChars="200" w:firstLine="480"/>
        <w:textAlignment w:val="bottom"/>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w:t>
      </w:r>
      <w:r>
        <w:rPr>
          <w:rFonts w:hint="eastAsia"/>
          <w:bCs/>
          <w:sz w:val="24"/>
        </w:rPr>
        <w:t>或临时基金管理人</w:t>
      </w:r>
      <w:r>
        <w:rPr>
          <w:bCs/>
          <w:sz w:val="24"/>
        </w:rPr>
        <w:t>组织基金财产清算小组并在中国证监会的监督下进行基金清算。</w:t>
      </w:r>
    </w:p>
    <w:p w14:paraId="2A436919" w14:textId="77777777" w:rsidR="00B67C49" w:rsidRDefault="00000000">
      <w:pPr>
        <w:autoSpaceDE w:val="0"/>
        <w:autoSpaceDN w:val="0"/>
        <w:spacing w:line="360" w:lineRule="auto"/>
        <w:ind w:firstLineChars="200" w:firstLine="480"/>
        <w:textAlignment w:val="bottom"/>
        <w:rPr>
          <w:bCs/>
          <w:sz w:val="24"/>
        </w:rPr>
      </w:pPr>
      <w:r>
        <w:rPr>
          <w:bCs/>
          <w:sz w:val="24"/>
        </w:rPr>
        <w:t>2</w:t>
      </w:r>
      <w:r>
        <w:rPr>
          <w:bCs/>
          <w:sz w:val="24"/>
        </w:rPr>
        <w:t>、基金财产清算小组组成：基金财产清算小组成员由基金管理人</w:t>
      </w:r>
      <w:r>
        <w:rPr>
          <w:rFonts w:hint="eastAsia"/>
          <w:bCs/>
          <w:sz w:val="24"/>
        </w:rPr>
        <w:t>或临时基金管理人</w:t>
      </w:r>
      <w:r>
        <w:rPr>
          <w:bCs/>
          <w:sz w:val="24"/>
        </w:rPr>
        <w:t>、基金托管人、</w:t>
      </w:r>
      <w:r>
        <w:rPr>
          <w:rFonts w:hint="eastAsia"/>
          <w:bCs/>
          <w:sz w:val="24"/>
        </w:rPr>
        <w:t>符合《中华人民共和国证券法》规定</w:t>
      </w:r>
      <w:r>
        <w:rPr>
          <w:bCs/>
          <w:sz w:val="24"/>
        </w:rPr>
        <w:t>的注册会计师、律师以及中国证监会指定的人员组成。基金财产清算小组可以聘用必要的工作人员。</w:t>
      </w:r>
    </w:p>
    <w:p w14:paraId="7723BD78" w14:textId="77777777" w:rsidR="00B67C49" w:rsidRDefault="00000000">
      <w:pPr>
        <w:autoSpaceDE w:val="0"/>
        <w:autoSpaceDN w:val="0"/>
        <w:spacing w:line="360" w:lineRule="auto"/>
        <w:ind w:firstLineChars="200" w:firstLine="480"/>
        <w:textAlignment w:val="bottom"/>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3128992F" w14:textId="77777777" w:rsidR="00B67C49" w:rsidRDefault="00000000">
      <w:pPr>
        <w:autoSpaceDE w:val="0"/>
        <w:autoSpaceDN w:val="0"/>
        <w:spacing w:line="360" w:lineRule="auto"/>
        <w:ind w:firstLineChars="200" w:firstLine="480"/>
        <w:textAlignment w:val="bottom"/>
        <w:rPr>
          <w:bCs/>
          <w:sz w:val="24"/>
        </w:rPr>
      </w:pPr>
      <w:r>
        <w:rPr>
          <w:bCs/>
          <w:sz w:val="24"/>
        </w:rPr>
        <w:t>4</w:t>
      </w:r>
      <w:r>
        <w:rPr>
          <w:bCs/>
          <w:sz w:val="24"/>
        </w:rPr>
        <w:t>、基金财产清算程序：</w:t>
      </w:r>
    </w:p>
    <w:p w14:paraId="7D896BD3" w14:textId="77777777" w:rsidR="00B67C49" w:rsidRDefault="00000000">
      <w:pPr>
        <w:autoSpaceDE w:val="0"/>
        <w:autoSpaceDN w:val="0"/>
        <w:spacing w:line="360" w:lineRule="auto"/>
        <w:ind w:firstLineChars="200" w:firstLine="480"/>
        <w:textAlignment w:val="bottom"/>
        <w:rPr>
          <w:bCs/>
          <w:sz w:val="24"/>
        </w:rPr>
      </w:pPr>
      <w:r>
        <w:rPr>
          <w:bCs/>
          <w:sz w:val="24"/>
        </w:rPr>
        <w:t>（</w:t>
      </w:r>
      <w:r>
        <w:rPr>
          <w:bCs/>
          <w:sz w:val="24"/>
        </w:rPr>
        <w:t>1</w:t>
      </w:r>
      <w:r>
        <w:rPr>
          <w:bCs/>
          <w:sz w:val="24"/>
        </w:rPr>
        <w:t>）《基金合同》终止情形出现时，由基金财产清算小组统一接管基金；</w:t>
      </w:r>
    </w:p>
    <w:p w14:paraId="1BFA6FFF" w14:textId="77777777" w:rsidR="00B67C49" w:rsidRDefault="00000000">
      <w:pPr>
        <w:autoSpaceDE w:val="0"/>
        <w:autoSpaceDN w:val="0"/>
        <w:spacing w:line="360" w:lineRule="auto"/>
        <w:ind w:firstLineChars="200" w:firstLine="480"/>
        <w:textAlignment w:val="bottom"/>
        <w:rPr>
          <w:bCs/>
          <w:sz w:val="24"/>
        </w:rPr>
      </w:pPr>
      <w:r>
        <w:rPr>
          <w:bCs/>
          <w:sz w:val="24"/>
        </w:rPr>
        <w:t>（</w:t>
      </w:r>
      <w:r>
        <w:rPr>
          <w:bCs/>
          <w:sz w:val="24"/>
        </w:rPr>
        <w:t>2</w:t>
      </w:r>
      <w:r>
        <w:rPr>
          <w:bCs/>
          <w:sz w:val="24"/>
        </w:rPr>
        <w:t>）对基金财产和债权债务进行清理和确认；</w:t>
      </w:r>
    </w:p>
    <w:p w14:paraId="71A7444E" w14:textId="77777777" w:rsidR="00B67C49" w:rsidRDefault="00000000">
      <w:pPr>
        <w:autoSpaceDE w:val="0"/>
        <w:autoSpaceDN w:val="0"/>
        <w:spacing w:line="360" w:lineRule="auto"/>
        <w:ind w:firstLineChars="200" w:firstLine="480"/>
        <w:textAlignment w:val="bottom"/>
        <w:rPr>
          <w:bCs/>
          <w:sz w:val="24"/>
        </w:rPr>
      </w:pPr>
      <w:r>
        <w:rPr>
          <w:bCs/>
          <w:sz w:val="24"/>
        </w:rPr>
        <w:t>（</w:t>
      </w:r>
      <w:r>
        <w:rPr>
          <w:bCs/>
          <w:sz w:val="24"/>
        </w:rPr>
        <w:t>3</w:t>
      </w:r>
      <w:r>
        <w:rPr>
          <w:bCs/>
          <w:sz w:val="24"/>
        </w:rPr>
        <w:t>）对基金财产进行估值和变现；</w:t>
      </w:r>
    </w:p>
    <w:p w14:paraId="38F446CB" w14:textId="77777777" w:rsidR="00B67C49" w:rsidRDefault="00000000">
      <w:pPr>
        <w:autoSpaceDE w:val="0"/>
        <w:autoSpaceDN w:val="0"/>
        <w:spacing w:line="360" w:lineRule="auto"/>
        <w:ind w:firstLineChars="200" w:firstLine="480"/>
        <w:textAlignment w:val="bottom"/>
        <w:rPr>
          <w:bCs/>
          <w:sz w:val="24"/>
        </w:rPr>
      </w:pPr>
      <w:r>
        <w:rPr>
          <w:bCs/>
          <w:sz w:val="24"/>
        </w:rPr>
        <w:t>（</w:t>
      </w:r>
      <w:r>
        <w:rPr>
          <w:bCs/>
          <w:sz w:val="24"/>
        </w:rPr>
        <w:t>4</w:t>
      </w:r>
      <w:r>
        <w:rPr>
          <w:bCs/>
          <w:sz w:val="24"/>
        </w:rPr>
        <w:t>）制作清算报告；</w:t>
      </w:r>
    </w:p>
    <w:p w14:paraId="0E4CA74D" w14:textId="77777777" w:rsidR="00B67C49" w:rsidRDefault="00000000">
      <w:pPr>
        <w:autoSpaceDE w:val="0"/>
        <w:autoSpaceDN w:val="0"/>
        <w:spacing w:line="360" w:lineRule="auto"/>
        <w:ind w:firstLineChars="200" w:firstLine="480"/>
        <w:textAlignment w:val="bottom"/>
        <w:rPr>
          <w:bCs/>
          <w:sz w:val="24"/>
        </w:rPr>
      </w:pPr>
      <w:r>
        <w:rPr>
          <w:bCs/>
          <w:sz w:val="24"/>
        </w:rPr>
        <w:lastRenderedPageBreak/>
        <w:t>（</w:t>
      </w:r>
      <w:r>
        <w:rPr>
          <w:bCs/>
          <w:sz w:val="24"/>
        </w:rPr>
        <w:t>5</w:t>
      </w:r>
      <w:r>
        <w:rPr>
          <w:bCs/>
          <w:sz w:val="24"/>
        </w:rPr>
        <w:t>）聘请符合《中华人民共和国证券法》规定</w:t>
      </w:r>
      <w:r>
        <w:rPr>
          <w:rFonts w:hint="eastAsia"/>
          <w:bCs/>
          <w:sz w:val="24"/>
        </w:rPr>
        <w:t>的</w:t>
      </w:r>
      <w:r>
        <w:rPr>
          <w:bCs/>
          <w:sz w:val="24"/>
        </w:rPr>
        <w:t>会计师事务所对清算报告进行外部审计，聘请律师事务所对清算报告出具法律意见书；</w:t>
      </w:r>
    </w:p>
    <w:p w14:paraId="2DBAE860" w14:textId="77777777" w:rsidR="00B67C49" w:rsidRDefault="00000000">
      <w:pPr>
        <w:autoSpaceDE w:val="0"/>
        <w:autoSpaceDN w:val="0"/>
        <w:spacing w:line="360" w:lineRule="auto"/>
        <w:ind w:firstLineChars="200" w:firstLine="480"/>
        <w:textAlignment w:val="bottom"/>
        <w:rPr>
          <w:bCs/>
          <w:sz w:val="24"/>
        </w:rPr>
      </w:pPr>
      <w:r>
        <w:rPr>
          <w:bCs/>
          <w:sz w:val="24"/>
        </w:rPr>
        <w:t>（</w:t>
      </w:r>
      <w:r>
        <w:rPr>
          <w:bCs/>
          <w:sz w:val="24"/>
        </w:rPr>
        <w:t>6</w:t>
      </w:r>
      <w:r>
        <w:rPr>
          <w:bCs/>
          <w:sz w:val="24"/>
        </w:rPr>
        <w:t>）将清算报告报中国证监会备案并公告</w:t>
      </w:r>
      <w:r>
        <w:rPr>
          <w:rFonts w:hint="eastAsia"/>
          <w:bCs/>
          <w:sz w:val="24"/>
        </w:rPr>
        <w:t>；</w:t>
      </w:r>
    </w:p>
    <w:p w14:paraId="76717593" w14:textId="77777777" w:rsidR="00B67C49" w:rsidRDefault="00000000">
      <w:pPr>
        <w:autoSpaceDE w:val="0"/>
        <w:autoSpaceDN w:val="0"/>
        <w:spacing w:line="360" w:lineRule="auto"/>
        <w:ind w:firstLineChars="200" w:firstLine="480"/>
        <w:textAlignment w:val="bottom"/>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79B88C46" w14:textId="77777777" w:rsidR="00B67C49" w:rsidRDefault="00000000">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但因本基金所持证券的流动性受到限制而不能及时变现的，清算期限可相应顺延</w:t>
      </w:r>
      <w:r>
        <w:rPr>
          <w:bCs/>
          <w:sz w:val="24"/>
        </w:rPr>
        <w:t>。</w:t>
      </w:r>
    </w:p>
    <w:p w14:paraId="37EA4DA5" w14:textId="77777777" w:rsidR="00B67C49" w:rsidRDefault="00000000">
      <w:pPr>
        <w:autoSpaceDE w:val="0"/>
        <w:autoSpaceDN w:val="0"/>
        <w:spacing w:line="360" w:lineRule="auto"/>
        <w:ind w:firstLineChars="200" w:firstLine="480"/>
        <w:textAlignment w:val="bottom"/>
        <w:rPr>
          <w:bCs/>
          <w:sz w:val="24"/>
        </w:rPr>
      </w:pPr>
      <w:r>
        <w:rPr>
          <w:bCs/>
          <w:sz w:val="24"/>
        </w:rPr>
        <w:t>四、清算费用</w:t>
      </w:r>
    </w:p>
    <w:p w14:paraId="32B1824B" w14:textId="77777777" w:rsidR="00B67C49" w:rsidRDefault="00000000">
      <w:pPr>
        <w:autoSpaceDE w:val="0"/>
        <w:autoSpaceDN w:val="0"/>
        <w:spacing w:line="360" w:lineRule="auto"/>
        <w:ind w:firstLineChars="200" w:firstLine="480"/>
        <w:textAlignment w:val="bottom"/>
        <w:rPr>
          <w:bCs/>
          <w:sz w:val="24"/>
        </w:rPr>
      </w:pPr>
      <w:r>
        <w:rPr>
          <w:bCs/>
          <w:sz w:val="24"/>
        </w:rPr>
        <w:t>清算费用是指基金财产清算小组在进行基金清算过程中发生的所有合理费用，清算费用由基金财产清算小组优先从基金财产中支付。</w:t>
      </w:r>
    </w:p>
    <w:p w14:paraId="5EE0386F" w14:textId="77777777" w:rsidR="00B67C49" w:rsidRDefault="00000000">
      <w:pPr>
        <w:autoSpaceDE w:val="0"/>
        <w:autoSpaceDN w:val="0"/>
        <w:spacing w:line="360" w:lineRule="auto"/>
        <w:ind w:firstLineChars="200" w:firstLine="480"/>
        <w:textAlignment w:val="bottom"/>
        <w:rPr>
          <w:bCs/>
          <w:sz w:val="24"/>
        </w:rPr>
      </w:pPr>
      <w:r>
        <w:rPr>
          <w:bCs/>
          <w:sz w:val="24"/>
        </w:rPr>
        <w:t>五、基金财产清算剩余资产的分配</w:t>
      </w:r>
    </w:p>
    <w:p w14:paraId="5AE1D536" w14:textId="77777777" w:rsidR="00B67C49" w:rsidRDefault="00000000">
      <w:pPr>
        <w:autoSpaceDE w:val="0"/>
        <w:autoSpaceDN w:val="0"/>
        <w:spacing w:line="360" w:lineRule="auto"/>
        <w:ind w:firstLineChars="200" w:firstLine="480"/>
        <w:textAlignment w:val="bottom"/>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4BD5F1F" w14:textId="77777777" w:rsidR="00B67C49" w:rsidRDefault="00000000">
      <w:pPr>
        <w:autoSpaceDE w:val="0"/>
        <w:autoSpaceDN w:val="0"/>
        <w:spacing w:line="360" w:lineRule="auto"/>
        <w:ind w:firstLineChars="200" w:firstLine="480"/>
        <w:textAlignment w:val="bottom"/>
        <w:rPr>
          <w:bCs/>
          <w:sz w:val="24"/>
        </w:rPr>
      </w:pPr>
      <w:r>
        <w:rPr>
          <w:bCs/>
          <w:sz w:val="24"/>
        </w:rPr>
        <w:t>六、基金财产清算的公告</w:t>
      </w:r>
    </w:p>
    <w:p w14:paraId="0FF6EE53" w14:textId="77777777" w:rsidR="00B67C49" w:rsidRDefault="00000000">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Pr>
          <w:rFonts w:hint="eastAsia"/>
          <w:bCs/>
          <w:sz w:val="24"/>
        </w:rPr>
        <w:t>符合</w:t>
      </w:r>
      <w:proofErr w:type="gramEnd"/>
      <w:r>
        <w:rPr>
          <w:rFonts w:hint="eastAsia"/>
          <w:bCs/>
          <w:sz w:val="24"/>
        </w:rPr>
        <w:t>《中华人民共和国证券法》规定的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Pr>
          <w:bCs/>
          <w:sz w:val="24"/>
        </w:rPr>
        <w:t>规定</w:t>
      </w:r>
      <w:r>
        <w:rPr>
          <w:rFonts w:hint="eastAsia"/>
          <w:bCs/>
          <w:sz w:val="24"/>
        </w:rPr>
        <w:t>网站上，并将清算报告提示性公告登载在规定报刊上</w:t>
      </w:r>
      <w:r>
        <w:rPr>
          <w:bCs/>
          <w:sz w:val="24"/>
        </w:rPr>
        <w:t>。</w:t>
      </w:r>
    </w:p>
    <w:p w14:paraId="0F219343" w14:textId="77777777" w:rsidR="00B67C49" w:rsidRDefault="00000000">
      <w:pPr>
        <w:autoSpaceDE w:val="0"/>
        <w:autoSpaceDN w:val="0"/>
        <w:spacing w:line="360" w:lineRule="auto"/>
        <w:ind w:firstLineChars="200" w:firstLine="480"/>
        <w:textAlignment w:val="bottom"/>
        <w:rPr>
          <w:bCs/>
          <w:sz w:val="24"/>
        </w:rPr>
      </w:pPr>
      <w:r>
        <w:rPr>
          <w:bCs/>
          <w:sz w:val="24"/>
        </w:rPr>
        <w:t>七、基金财产清算账册及文件的保存</w:t>
      </w:r>
    </w:p>
    <w:p w14:paraId="161B3228" w14:textId="77777777" w:rsidR="00B67C49" w:rsidRDefault="00000000">
      <w:pPr>
        <w:adjustRightInd w:val="0"/>
        <w:snapToGrid w:val="0"/>
        <w:spacing w:line="360" w:lineRule="auto"/>
        <w:ind w:firstLineChars="200" w:firstLine="480"/>
        <w:rPr>
          <w:rFonts w:asciiTheme="minorEastAsia" w:hAnsiTheme="minorEastAsia" w:cs="Times New Roman"/>
          <w:sz w:val="24"/>
          <w:szCs w:val="24"/>
        </w:rPr>
      </w:pPr>
      <w:r>
        <w:rPr>
          <w:bCs/>
          <w:sz w:val="24"/>
        </w:rPr>
        <w:t>基金财产清算账册及有关文件由基金托管人保存，保存期限不低于法律法规</w:t>
      </w:r>
      <w:r>
        <w:rPr>
          <w:rFonts w:hint="eastAsia"/>
          <w:bCs/>
          <w:sz w:val="24"/>
        </w:rPr>
        <w:t>规定</w:t>
      </w:r>
      <w:r>
        <w:rPr>
          <w:bCs/>
          <w:sz w:val="24"/>
        </w:rPr>
        <w:t>的最低期限。</w:t>
      </w:r>
      <w:r>
        <w:rPr>
          <w:rFonts w:asciiTheme="minorEastAsia" w:hAnsiTheme="minorEastAsia" w:cs="Times New Roman"/>
          <w:sz w:val="24"/>
          <w:szCs w:val="24"/>
        </w:rPr>
        <w:br w:type="page"/>
      </w:r>
    </w:p>
    <w:p w14:paraId="2C5FE094" w14:textId="77777777" w:rsidR="00B67C49" w:rsidRDefault="00B67C49">
      <w:pPr>
        <w:adjustRightInd w:val="0"/>
        <w:snapToGrid w:val="0"/>
        <w:spacing w:line="360" w:lineRule="auto"/>
        <w:ind w:firstLineChars="200" w:firstLine="480"/>
        <w:rPr>
          <w:rFonts w:asciiTheme="minorEastAsia" w:hAnsiTheme="minorEastAsia" w:cs="Times New Roman"/>
          <w:sz w:val="24"/>
          <w:szCs w:val="24"/>
        </w:rPr>
      </w:pPr>
    </w:p>
    <w:p w14:paraId="75376282" w14:textId="77777777" w:rsidR="00B67C49" w:rsidRDefault="00000000">
      <w:pPr>
        <w:pStyle w:val="1"/>
        <w:jc w:val="center"/>
        <w:rPr>
          <w:sz w:val="30"/>
          <w:szCs w:val="30"/>
        </w:rPr>
      </w:pPr>
      <w:bookmarkStart w:id="379" w:name="_Toc214873607"/>
      <w:bookmarkStart w:id="380" w:name="_Toc263092326"/>
      <w:bookmarkStart w:id="381" w:name="_Toc416264553"/>
      <w:bookmarkStart w:id="382" w:name="_Toc119568475"/>
      <w:bookmarkStart w:id="383" w:name="_Toc139991749"/>
      <w:bookmarkStart w:id="384" w:name="_Toc29891"/>
      <w:bookmarkStart w:id="385" w:name="_Toc22978"/>
      <w:bookmarkStart w:id="386" w:name="_Toc11113"/>
      <w:bookmarkStart w:id="387" w:name="_Toc123102466"/>
      <w:bookmarkStart w:id="388" w:name="_Toc27464"/>
      <w:bookmarkStart w:id="389" w:name="_Toc141703899"/>
      <w:bookmarkStart w:id="390" w:name="_Toc352229765"/>
      <w:bookmarkStart w:id="391" w:name="_Toc6237"/>
      <w:bookmarkStart w:id="392" w:name="_Toc25647"/>
      <w:bookmarkStart w:id="393" w:name="_Toc7170"/>
      <w:bookmarkStart w:id="394" w:name="_Toc123051465"/>
      <w:bookmarkStart w:id="395" w:name="_Toc8049"/>
      <w:bookmarkStart w:id="396" w:name="_Toc98560364"/>
      <w:bookmarkStart w:id="397" w:name="_Toc123112247"/>
      <w:bookmarkStart w:id="398" w:name="_Toc8059"/>
      <w:bookmarkStart w:id="399" w:name="_Toc9005"/>
      <w:bookmarkStart w:id="400" w:name="_Toc10006"/>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Pr>
          <w:rFonts w:hint="eastAsia"/>
          <w:sz w:val="30"/>
          <w:szCs w:val="30"/>
        </w:rPr>
        <w:t>第十九部分</w:t>
      </w:r>
      <w:r>
        <w:rPr>
          <w:sz w:val="30"/>
          <w:szCs w:val="30"/>
        </w:rPr>
        <w:t xml:space="preserve">  </w:t>
      </w:r>
      <w:r>
        <w:rPr>
          <w:rFonts w:hint="eastAsia"/>
          <w:sz w:val="30"/>
          <w:szCs w:val="30"/>
        </w:rPr>
        <w:t>基金合同的内容摘要</w:t>
      </w:r>
      <w:bookmarkEnd w:id="379"/>
      <w:bookmarkEnd w:id="380"/>
      <w:bookmarkEnd w:id="381"/>
      <w:bookmarkEnd w:id="382"/>
    </w:p>
    <w:p w14:paraId="68CAFFC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一、基金份额持有人、基金管理人和基金托管人的权利、义务</w:t>
      </w:r>
    </w:p>
    <w:p w14:paraId="4EC3342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w:t>
      </w:r>
      <w:r>
        <w:rPr>
          <w:rFonts w:asciiTheme="minorEastAsia" w:hAnsiTheme="minorEastAsia" w:cs="Times New Roman" w:hint="eastAsia"/>
          <w:bCs/>
          <w:sz w:val="24"/>
          <w:szCs w:val="24"/>
        </w:rPr>
        <w:tab/>
        <w:t>基金管理人的权利与义务</w:t>
      </w:r>
    </w:p>
    <w:p w14:paraId="31B4CB9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1、根据《基金法》、《运作办法》及其他有关规定，基金管理人的权利包括但不限于：</w:t>
      </w:r>
    </w:p>
    <w:p w14:paraId="7FF2DFE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w:t>
      </w:r>
    </w:p>
    <w:p w14:paraId="23858E4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（2）自《基金合同》生效之日起，根据法律法规和《基金合同》独立运用并管理基金财产；</w:t>
      </w:r>
    </w:p>
    <w:p w14:paraId="55AFBA9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（3）依照《基金合同》收取基金管理费以及法律法规规定或中国证监会批准的其他费用；</w:t>
      </w:r>
    </w:p>
    <w:p w14:paraId="5197192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（4）销售基金份额；</w:t>
      </w:r>
    </w:p>
    <w:p w14:paraId="2CAD2AF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（5）按照规定召集基金份额持有人大会；</w:t>
      </w:r>
    </w:p>
    <w:p w14:paraId="0A55FCE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1FD3119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（7）在基金托管人更换时，提名新的基金托管人；</w:t>
      </w:r>
    </w:p>
    <w:p w14:paraId="7F569D2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（8）选择、更换基金销售机构，对基金销售机构的相关行为进行监督和处理； </w:t>
      </w:r>
    </w:p>
    <w:p w14:paraId="38D6DB9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（9）担任或委托其他符合条件的机构担任基金登记机构办理基金登记业务并获得《基金合同》规定的费用； </w:t>
      </w:r>
    </w:p>
    <w:p w14:paraId="25B24F2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（10）依据《基金合同》及有关法律规定决定基金收益的分配方案；</w:t>
      </w:r>
      <w:r>
        <w:rPr>
          <w:rFonts w:asciiTheme="minorEastAsia" w:hAnsiTheme="minorEastAsia" w:cs="Times New Roman" w:hint="eastAsia"/>
          <w:bCs/>
          <w:sz w:val="24"/>
          <w:szCs w:val="24"/>
        </w:rPr>
        <w:tab/>
      </w:r>
    </w:p>
    <w:p w14:paraId="4492455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 xml:space="preserve">（11）在《基金合同》约定的范围内，拒绝或暂停受理申购、赎回或转换申请； </w:t>
      </w:r>
    </w:p>
    <w:p w14:paraId="3A7B9FE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（12）依照法律法规为基金的利益对被投资公司行使股东权利，为基金的利益行使因基金财产投资于证券所产生的权利；</w:t>
      </w:r>
      <w:r>
        <w:rPr>
          <w:rFonts w:asciiTheme="minorEastAsia" w:hAnsiTheme="minorEastAsia" w:cs="Times New Roman" w:hint="eastAsia"/>
          <w:bCs/>
          <w:sz w:val="24"/>
          <w:szCs w:val="24"/>
        </w:rPr>
        <w:tab/>
      </w:r>
    </w:p>
    <w:p w14:paraId="33B1633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（13）在法律法规允许的前提下，为基金的利益依法为基金进行融资；</w:t>
      </w:r>
    </w:p>
    <w:p w14:paraId="37370A3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（14）以基金管理人的名义，代表基金份额持有人的利益行使诉讼权利或者实施其他法律行为；</w:t>
      </w:r>
      <w:r>
        <w:rPr>
          <w:rFonts w:asciiTheme="minorEastAsia" w:hAnsiTheme="minorEastAsia" w:cs="Times New Roman" w:hint="eastAsia"/>
          <w:bCs/>
          <w:sz w:val="24"/>
          <w:szCs w:val="24"/>
        </w:rPr>
        <w:tab/>
      </w:r>
    </w:p>
    <w:p w14:paraId="558FE1C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（15）选择、更换律师事务所、会计师事务所、证券/期货经纪商或其他为基金提供服务的外部机构；</w:t>
      </w:r>
      <w:r>
        <w:rPr>
          <w:rFonts w:asciiTheme="minorEastAsia" w:hAnsiTheme="minorEastAsia" w:cs="Times New Roman" w:hint="eastAsia"/>
          <w:bCs/>
          <w:sz w:val="24"/>
          <w:szCs w:val="24"/>
        </w:rPr>
        <w:tab/>
      </w:r>
    </w:p>
    <w:p w14:paraId="0BD49A0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（16）在符合有关法律、法规的前提下，制订和调整有关基金认购、申购、赎回、转换、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过户、转托管和收益分配等的业务规则；</w:t>
      </w:r>
    </w:p>
    <w:p w14:paraId="7625F47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（17）法律法规及中国证监会规定的和《基金合同》约定的其他权利。</w:t>
      </w:r>
    </w:p>
    <w:p w14:paraId="2920E8C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2、根据《基金法》、《运作办法》及其他有关规定，基金管理人的义务包括但不限于：</w:t>
      </w:r>
    </w:p>
    <w:p w14:paraId="6E8EE8E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（1）依法募集资金，办理或者委托经中国证监会认定的其他机构代为办理基金份额的发售、申购、赎回和登记事宜；</w:t>
      </w:r>
    </w:p>
    <w:p w14:paraId="7B89616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（2）办理基金备案手续；</w:t>
      </w:r>
    </w:p>
    <w:p w14:paraId="606B49F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（3）自《基金合同》生效之日起,以诚实信用、谨慎勤勉的原则管理和运用基金财产；</w:t>
      </w:r>
    </w:p>
    <w:p w14:paraId="0F0191E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（4）配备足够的具有专业资格的人员进行基金投资分析、决策，以专业化的经营方式管理和运作基金财产；</w:t>
      </w:r>
    </w:p>
    <w:p w14:paraId="4A47FAF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（5）建立健全内部风险控制、监察与稽核、财务管理及人事管理等制度，保证所管理的基金财产和基金管理人的财产相互</w:t>
      </w:r>
      <w:proofErr w:type="gramStart"/>
      <w:r>
        <w:rPr>
          <w:rFonts w:asciiTheme="minorEastAsia" w:hAnsiTheme="minorEastAsia" w:cs="Times New Roman" w:hint="eastAsia"/>
          <w:bCs/>
          <w:sz w:val="24"/>
          <w:szCs w:val="24"/>
        </w:rPr>
        <w:t>独立,</w:t>
      </w:r>
      <w:proofErr w:type="gramEnd"/>
      <w:r>
        <w:rPr>
          <w:rFonts w:asciiTheme="minorEastAsia" w:hAnsiTheme="minorEastAsia" w:cs="Times New Roman" w:hint="eastAsia"/>
          <w:bCs/>
          <w:sz w:val="24"/>
          <w:szCs w:val="24"/>
        </w:rPr>
        <w:t>对所管理的不同基金分别管理，分别记账，进行证券投资；</w:t>
      </w:r>
    </w:p>
    <w:p w14:paraId="4674266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（6）除依据《基金法》、《基金合同》及其他有关规定外,不得利用基金财产为自己及任何第三人谋取利益，不得委托第三人运作基金财产；</w:t>
      </w:r>
    </w:p>
    <w:p w14:paraId="70F2389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（7）依法接受基金托管人的监督；</w:t>
      </w:r>
    </w:p>
    <w:p w14:paraId="1772371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（8）采取适当合理的措施使计算基金份额认购、申购、赎回和注销价格的方法符合《基金合同》等法律文件的规定，按有关规定计算并公告基金净值信息，确定基金份额申购、赎回的价格；</w:t>
      </w:r>
    </w:p>
    <w:p w14:paraId="13B89B1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（9）进行基金会计核算并编制基金财务会计报告；</w:t>
      </w:r>
    </w:p>
    <w:p w14:paraId="2C2389F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（10）编制季度报告、中期报告和年度报告；</w:t>
      </w:r>
    </w:p>
    <w:p w14:paraId="6A71A2AC"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（11）严格按照《基金法》、《基金合同》及其他有关规定，履行信息披露及报告义务；</w:t>
      </w:r>
    </w:p>
    <w:p w14:paraId="247A92A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（12）保守基金商业秘密，不泄露基金投资计划、投资意向等。除《基金法》、《基金合同》及其他有关规定另有规定外，在基金信息公开披露前应予保密，不</w:t>
      </w:r>
      <w:r>
        <w:rPr>
          <w:rFonts w:asciiTheme="minorEastAsia" w:hAnsiTheme="minorEastAsia" w:cs="Times New Roman" w:hint="eastAsia"/>
          <w:bCs/>
          <w:sz w:val="24"/>
          <w:szCs w:val="24"/>
        </w:rPr>
        <w:lastRenderedPageBreak/>
        <w:t>向他人泄露，但依法向监管机构、司法机关及审计、法律等外部专业顾问提供的除外；</w:t>
      </w:r>
    </w:p>
    <w:p w14:paraId="0D59C9CC"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（13）按《基金合同》的约定确定基金收益分配方案，及时向基金份额持有人分配基金收益；</w:t>
      </w:r>
    </w:p>
    <w:p w14:paraId="489F4D8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（14）按规定受理申购与赎回申请，及时、足额支付赎回款项；</w:t>
      </w:r>
    </w:p>
    <w:p w14:paraId="226D491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（15）依据《基金法》、《基金合同》及其他有关规定召集基金份额持有人大会或配合基金托管人、基金份额持有人依法召集基金份额持有人大会；</w:t>
      </w:r>
    </w:p>
    <w:p w14:paraId="559AFC6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（16）按规定保存基金财产管理业务活动的会计账册、报表、记录和其他相关资料，保存期限不低于法律法规规定的最低期限；</w:t>
      </w:r>
    </w:p>
    <w:p w14:paraId="35D1187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31A35C8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（18）组织并参加基金财产清算小组,参与基金财产的保管、清理、估价、变现和分配；</w:t>
      </w:r>
    </w:p>
    <w:p w14:paraId="63225B3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（19）面临解散、依法被撤销或者被依法宣告破产时，及时报告中国证监会并通知基金托管人；</w:t>
      </w:r>
    </w:p>
    <w:p w14:paraId="381276E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（20）因违反《基金合同》导致基金财产的损失或损害基金份额持有人合法权益时，应当承担赔偿责任，其赔偿责任不因其退任而免除；</w:t>
      </w:r>
    </w:p>
    <w:p w14:paraId="3768EDB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（21）监督基金托管人按法律法规和《基金合同》规定履行自己的义务，基金托管人违反《基金合同》造成基金财产损失时，基金管理人应为基金份额持有人利益向基金托管人追偿；</w:t>
      </w:r>
    </w:p>
    <w:p w14:paraId="4F743EE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（22）当基金管理人将其义务委托第三方处理时，应当对第三方处理有关基金事务的行为承担责任；</w:t>
      </w:r>
    </w:p>
    <w:p w14:paraId="399CF67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（23）以基金管理人名义，代表基金份额持有人利益行使诉讼权利或实施其他法律行为；</w:t>
      </w:r>
      <w:r>
        <w:rPr>
          <w:rFonts w:asciiTheme="minorEastAsia" w:hAnsiTheme="minorEastAsia" w:cs="Times New Roman" w:hint="eastAsia"/>
          <w:bCs/>
          <w:sz w:val="24"/>
          <w:szCs w:val="24"/>
        </w:rPr>
        <w:tab/>
      </w:r>
    </w:p>
    <w:p w14:paraId="55A7D39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226D806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（25）执行生效的基金份额持有人大会的决议；</w:t>
      </w:r>
    </w:p>
    <w:p w14:paraId="5DE3D7D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（26）建立并保存基金份额持有人名册；</w:t>
      </w:r>
    </w:p>
    <w:p w14:paraId="08DD416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（27）法律法规及中国证监会规定的和《基金合同》约定的其他义务。</w:t>
      </w:r>
    </w:p>
    <w:p w14:paraId="2B23F46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w:t>
      </w:r>
      <w:r>
        <w:rPr>
          <w:rFonts w:asciiTheme="minorEastAsia" w:hAnsiTheme="minorEastAsia" w:cs="Times New Roman" w:hint="eastAsia"/>
          <w:bCs/>
          <w:sz w:val="24"/>
          <w:szCs w:val="24"/>
        </w:rPr>
        <w:tab/>
        <w:t>基金托管人的权利与义务</w:t>
      </w:r>
    </w:p>
    <w:p w14:paraId="1D62D16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1、根据《基金法》、《运作办法》及其他有关规定，基金托管人的权利包括但不限于：</w:t>
      </w:r>
    </w:p>
    <w:p w14:paraId="7309388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（1）自《基金合同》生效之日起，依法</w:t>
      </w:r>
      <w:proofErr w:type="gramStart"/>
      <w:r>
        <w:rPr>
          <w:rFonts w:asciiTheme="minorEastAsia" w:hAnsiTheme="minorEastAsia" w:cs="Times New Roman" w:hint="eastAsia"/>
          <w:bCs/>
          <w:sz w:val="24"/>
          <w:szCs w:val="24"/>
        </w:rPr>
        <w:t>律法规</w:t>
      </w:r>
      <w:proofErr w:type="gramEnd"/>
      <w:r>
        <w:rPr>
          <w:rFonts w:asciiTheme="minorEastAsia" w:hAnsiTheme="minorEastAsia" w:cs="Times New Roman" w:hint="eastAsia"/>
          <w:bCs/>
          <w:sz w:val="24"/>
          <w:szCs w:val="24"/>
        </w:rPr>
        <w:t>和《基金合同》的规定安全保管基金财产；</w:t>
      </w:r>
    </w:p>
    <w:p w14:paraId="43CAB5D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（2）依《基金合同》约定获得基金托管费以及法律法规规定或监管部门批准的其他费用；</w:t>
      </w:r>
    </w:p>
    <w:p w14:paraId="52AFADE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8AEA5B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（4）根据相关市场规则，为基金开设托管账户、证券账户及其他投资所需账户，为基金办理证券、期货交易资金清算；</w:t>
      </w:r>
    </w:p>
    <w:p w14:paraId="1F177B6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（5）提议召开或召集基金份额持有人大会；</w:t>
      </w:r>
    </w:p>
    <w:p w14:paraId="62E5DAC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（6）在基金管理人更换时，提名新的基金管理人；</w:t>
      </w:r>
    </w:p>
    <w:p w14:paraId="2708207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（7）法律法规及中国证监会规定的和《基金合同》约定的其他权利。</w:t>
      </w:r>
    </w:p>
    <w:p w14:paraId="7DD2A3A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2、根据《基金法》、《运作办法》及其他有关规定，基金托管人的义务包括但不限于：</w:t>
      </w:r>
    </w:p>
    <w:p w14:paraId="14DD853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（1）以诚实信用、勤勉尽责的原则持有并安全保管基金财产；</w:t>
      </w:r>
    </w:p>
    <w:p w14:paraId="114BEAA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（2）设立专门的基金托管部门，具有符合要求的营业场所，配备足够的、合格的熟悉基金托管业务的专职人员，负责基金财产托管事宜；</w:t>
      </w:r>
    </w:p>
    <w:p w14:paraId="28756BB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BB353E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（4）除依据《基金法》、《基金合同》、《托管协议》及其他有关规定外，不得利用基金财产为自己及任何第三人谋取利益，不得委托第三人托管基金财产；</w:t>
      </w:r>
    </w:p>
    <w:p w14:paraId="69A5C23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（5）保管由基金管理人代表基金签订的与基金有关的重大合同及有关凭证；</w:t>
      </w:r>
    </w:p>
    <w:p w14:paraId="1719A6C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（6）按规定开设基金财产的托管账户和证券账户等投资所需账户，按照《基金合同》、《托管协议》的约定，根据基金管理人的投资指令，及时办理清算、交割事宜；</w:t>
      </w:r>
    </w:p>
    <w:p w14:paraId="4E1F18F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1A0DE0A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（8）复核、审查基金管理人计算的基金资产净值、基金份额净值、基金份额申购、赎回价格；</w:t>
      </w:r>
    </w:p>
    <w:p w14:paraId="2170122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（9）办理与基金托管业务活动有关的信息披露事项；</w:t>
      </w:r>
    </w:p>
    <w:p w14:paraId="63743CF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7D53229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（11）保存基金托管业务活动的记录、账册、报表和其他相关资料不低于法律法规规定的最低期限；</w:t>
      </w:r>
    </w:p>
    <w:p w14:paraId="796420A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（12）从基金管理人或其委托的登记机构处接收并保存基金份额持有人名册；</w:t>
      </w:r>
    </w:p>
    <w:p w14:paraId="1144858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（13）按规定制作相关账册并与基金管理人核对；</w:t>
      </w:r>
    </w:p>
    <w:p w14:paraId="0CC23E3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（14）依据基金管理人的指令或有关规定向基金份额持有人支付基金收益和赎回款项；</w:t>
      </w:r>
    </w:p>
    <w:p w14:paraId="12D99F1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（15）依据《基金法》、《基金合同》及其他有关规定，召集基金份额持有人大会或配合基金管理人、基金份额持有人依法召集基金份额持有人大会；</w:t>
      </w:r>
    </w:p>
    <w:p w14:paraId="41B930C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（16）按照法律法规和《基金合同》及《托管协议》的规定监督基金管理人的投资运作；</w:t>
      </w:r>
    </w:p>
    <w:p w14:paraId="789088E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（17）参加基金财产清算小组，参与基金财产的保管、清理、估价、变现和分配；</w:t>
      </w:r>
    </w:p>
    <w:p w14:paraId="5BE0B42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（18）面临解散、依法被撤销或者被依法宣告破产时，及时报告中国证监会，并通知基金管理人；</w:t>
      </w:r>
    </w:p>
    <w:p w14:paraId="566BF27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（19）因违反《基金合同》及《托管协议》导致基金财产损失时，应承担赔偿责任，其赔偿责任不因其退任而免除；</w:t>
      </w:r>
    </w:p>
    <w:p w14:paraId="064299B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（20）按规定监督基金管理人按法律法规和《基金合同》规定履行自己的义务，基金管理人因违反《基金合同》造成基金财产损失时，应为基金份额持有人利益向基金管理人追偿；</w:t>
      </w:r>
    </w:p>
    <w:p w14:paraId="440F3E4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（21）执行生效的基金份额持有人大会的决议；</w:t>
      </w:r>
    </w:p>
    <w:p w14:paraId="17D4B98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（22）法律法规及中国证监会规定的和《基金合同》约定的其他义务。</w:t>
      </w:r>
    </w:p>
    <w:p w14:paraId="56DE4F6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（三）基金份额持有人的权利与义务</w:t>
      </w:r>
    </w:p>
    <w:p w14:paraId="2999EB3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基金投资者持有本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份额的行为即视为对《基金合同》的承认和接受，基金投资者</w:t>
      </w:r>
      <w:proofErr w:type="gramStart"/>
      <w:r>
        <w:rPr>
          <w:rFonts w:asciiTheme="minorEastAsia" w:hAnsiTheme="minorEastAsia" w:cs="Times New Roman" w:hint="eastAsia"/>
          <w:bCs/>
          <w:sz w:val="24"/>
          <w:szCs w:val="24"/>
        </w:rPr>
        <w:t>自依据</w:t>
      </w:r>
      <w:proofErr w:type="gramEnd"/>
      <w:r>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10E1053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除法律法规另有规定或基金合同另有约定外，同一类别每份基金份额具有同等的合法权益。</w:t>
      </w:r>
    </w:p>
    <w:p w14:paraId="23926C0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1、根据《基金法》、《运作办法》及其他有关规定，基金份额持有人的权利包括但不限于：</w:t>
      </w:r>
    </w:p>
    <w:p w14:paraId="4346CF8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（1）分享基金财产收益；</w:t>
      </w:r>
    </w:p>
    <w:p w14:paraId="0E93AA5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（2）参与分配清算后的剩余基金财产；</w:t>
      </w:r>
    </w:p>
    <w:p w14:paraId="51F96AB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（3）依照法律及基金合同的约定转让或者申请赎回其持有的基金份额；</w:t>
      </w:r>
    </w:p>
    <w:p w14:paraId="6880F74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（4）按照规定要求召开基金份额持有人大会或者召集基金份额持有人大会；</w:t>
      </w:r>
    </w:p>
    <w:p w14:paraId="369A589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（5）出席或者委派代表出席基金份额持有人大会，对基金份额持有人大会审议事项行使表决权；</w:t>
      </w:r>
    </w:p>
    <w:p w14:paraId="5A45B33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（6）查阅或者复制公开披露的基金信息资料；</w:t>
      </w:r>
    </w:p>
    <w:p w14:paraId="3EF8D8F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（7）监督基金管理人的投资运作；</w:t>
      </w:r>
    </w:p>
    <w:p w14:paraId="6BA9287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（8）对基金管理人、基金托管人、基金服务机构损害其合法权益的行为依法提起诉讼或仲裁；</w:t>
      </w:r>
    </w:p>
    <w:p w14:paraId="538347A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（9）法律法规及中国证监会规定的和《基金合同》约定的其他权利。</w:t>
      </w:r>
    </w:p>
    <w:p w14:paraId="6E60E8CC"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2、根据《基金法》、《运作办法》及其他有关规定，基金份额持有人的义务包括但不限于：</w:t>
      </w:r>
    </w:p>
    <w:p w14:paraId="16CFC21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（1）认真阅读并遵守《基金合同》、招募说明书等信息披露文件；</w:t>
      </w:r>
    </w:p>
    <w:p w14:paraId="3B568A8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（2）了解所投资基金产品，了解自身风险承受能力，自主判断基金的投资价值，自主做出投资决策，自行承担投资风险；</w:t>
      </w:r>
    </w:p>
    <w:p w14:paraId="020C6B0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（3）关注基金信息披露，及时行使权利和履行义务；</w:t>
      </w:r>
    </w:p>
    <w:p w14:paraId="3171CDAC"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（4）交纳基金认购、申购款项及法律法规和《基金合同》所规定的费用；</w:t>
      </w:r>
    </w:p>
    <w:p w14:paraId="75EBFDD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（5）在其持有的基金份额范围内，承担基金亏损或者《基金合同》终止的有限责任；</w:t>
      </w:r>
    </w:p>
    <w:p w14:paraId="79757D4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（6）不从事任何有损基金及其他《基金合同》当事人合法权益的活动；</w:t>
      </w:r>
    </w:p>
    <w:p w14:paraId="2B54609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（7）执行生效的基金份额持有人大会的决议；</w:t>
      </w:r>
    </w:p>
    <w:p w14:paraId="5F0B540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（8）返还在基金交易过程中因任何原因获得的不当得利；</w:t>
      </w:r>
    </w:p>
    <w:p w14:paraId="50A481F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bCs/>
          <w:sz w:val="24"/>
          <w:szCs w:val="24"/>
        </w:rPr>
        <w:t>（</w:t>
      </w:r>
      <w:r>
        <w:rPr>
          <w:rFonts w:asciiTheme="minorEastAsia" w:hAnsiTheme="minorEastAsia" w:cs="Times New Roman" w:hint="eastAsia"/>
          <w:bCs/>
          <w:sz w:val="24"/>
          <w:szCs w:val="24"/>
        </w:rPr>
        <w:t>9）遵守基金管理人、基金托管人、销售机构和登记机构的相关交易及业务规则；</w:t>
      </w:r>
    </w:p>
    <w:p w14:paraId="5219C0C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（10）提供基金管理人和监管机构依法要求提供的信息，以及不时的更新和补充，并保证其真实性；</w:t>
      </w:r>
    </w:p>
    <w:p w14:paraId="4104B3E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w:t>
      </w:r>
      <w:r>
        <w:rPr>
          <w:rFonts w:asciiTheme="minorEastAsia" w:hAnsiTheme="minorEastAsia" w:cs="Times New Roman"/>
          <w:bCs/>
          <w:sz w:val="24"/>
          <w:szCs w:val="24"/>
        </w:rPr>
        <w:t>11</w:t>
      </w:r>
      <w:r>
        <w:rPr>
          <w:rFonts w:asciiTheme="minorEastAsia" w:hAnsiTheme="minorEastAsia" w:cs="Times New Roman" w:hint="eastAsia"/>
          <w:bCs/>
          <w:sz w:val="24"/>
          <w:szCs w:val="24"/>
        </w:rPr>
        <w:t>）法律法规及中国证监会规定的和《基金合同》约定的其他义务。</w:t>
      </w:r>
    </w:p>
    <w:p w14:paraId="6C75C40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二、基金份额持有人大会召集、议事及表决的程序和规则</w:t>
      </w:r>
    </w:p>
    <w:p w14:paraId="7CEE6C6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除法律法规另有规定或基金合同另有约定外，基金份额持有人持有的每一基金份额拥有平等的投票权。</w:t>
      </w:r>
    </w:p>
    <w:p w14:paraId="61C285C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本</w:t>
      </w:r>
      <w:proofErr w:type="gramStart"/>
      <w:r>
        <w:rPr>
          <w:rFonts w:asciiTheme="minorEastAsia" w:hAnsiTheme="minorEastAsia" w:cs="Times New Roman" w:hint="eastAsia"/>
          <w:bCs/>
          <w:sz w:val="24"/>
          <w:szCs w:val="24"/>
        </w:rPr>
        <w:t>基金基金</w:t>
      </w:r>
      <w:proofErr w:type="gramEnd"/>
      <w:r>
        <w:rPr>
          <w:rFonts w:asciiTheme="minorEastAsia" w:hAnsiTheme="minorEastAsia" w:cs="Times New Roman" w:hint="eastAsia"/>
          <w:bCs/>
          <w:sz w:val="24"/>
          <w:szCs w:val="24"/>
        </w:rPr>
        <w:t>份额持有人大会不设立日常机构。</w:t>
      </w:r>
    </w:p>
    <w:p w14:paraId="7E944BE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（一）召开事由</w:t>
      </w:r>
    </w:p>
    <w:p w14:paraId="1A31113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1、除法律法规、中国证监会另有规定或基金合同另有约定的以外，当出现或需要决定下列事由之一的，应当召开基金份额持有人大会：</w:t>
      </w:r>
    </w:p>
    <w:p w14:paraId="676D863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（1）终止基金合同；</w:t>
      </w:r>
    </w:p>
    <w:p w14:paraId="6FC246F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（2）更换基金管理人；</w:t>
      </w:r>
    </w:p>
    <w:p w14:paraId="0B2955E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（3）更换基金托管人；</w:t>
      </w:r>
    </w:p>
    <w:p w14:paraId="4BD19FF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（4）转换基金运作方式；</w:t>
      </w:r>
    </w:p>
    <w:p w14:paraId="43F1A14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（5）调整基金管理人、基金托管人的报酬标准或提高销售服务费率；</w:t>
      </w:r>
    </w:p>
    <w:p w14:paraId="27C56B5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（6）变更基金类别；</w:t>
      </w:r>
    </w:p>
    <w:p w14:paraId="5BB3280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（7）本基金与其他基金的合并；</w:t>
      </w:r>
    </w:p>
    <w:p w14:paraId="03130BA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（8）变更基金投资目标、范围或策略；</w:t>
      </w:r>
    </w:p>
    <w:p w14:paraId="0CB1E1B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（9）变更基金份额持有人大会程序；</w:t>
      </w:r>
    </w:p>
    <w:p w14:paraId="1F2D65E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（10）基金管理人或基金托管人要求召开基金份额持有人大会；</w:t>
      </w:r>
    </w:p>
    <w:p w14:paraId="2BAC1F4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（11）单独或合计持有本基金总份额10%以上（含10%）基金份额的基金份额持有人（以基金管理人收到提议当日的基金份额计算，下同）就同一事项书面要求召开基金份额持有人大会；</w:t>
      </w:r>
    </w:p>
    <w:p w14:paraId="053826B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（12）对基金合同当事人权利和义务产生重大影响的其他事项；</w:t>
      </w:r>
    </w:p>
    <w:p w14:paraId="5631323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（13）法律法规、《基金合同》或中国证监会规定的其他应当召开基金份额持有人大会的事项。</w:t>
      </w:r>
    </w:p>
    <w:p w14:paraId="386095B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6C5BE63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（1）法律法规要求增加的基金费用的收取；</w:t>
      </w:r>
    </w:p>
    <w:p w14:paraId="1C9BC54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（2）在法律法规和《基金合同》规定的范围内调整本基金的申购费率、调低赎回费率、调低销售服务费率或变更收费方式；</w:t>
      </w:r>
    </w:p>
    <w:p w14:paraId="1EEC84B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w:t>
      </w:r>
      <w:proofErr w:type="gramStart"/>
      <w:r>
        <w:rPr>
          <w:rFonts w:asciiTheme="minorEastAsia" w:hAnsiTheme="minorEastAsia" w:cs="Times New Roman" w:hint="eastAsia"/>
          <w:bCs/>
          <w:sz w:val="24"/>
          <w:szCs w:val="24"/>
        </w:rPr>
        <w:t>因相应</w:t>
      </w:r>
      <w:proofErr w:type="gramEnd"/>
      <w:r>
        <w:rPr>
          <w:rFonts w:asciiTheme="minorEastAsia" w:hAnsiTheme="minorEastAsia" w:cs="Times New Roman" w:hint="eastAsia"/>
          <w:bCs/>
          <w:sz w:val="24"/>
          <w:szCs w:val="24"/>
        </w:rPr>
        <w:t>的法律法规发生变动而应当对《基金合同》进行修改；</w:t>
      </w:r>
    </w:p>
    <w:p w14:paraId="72AC62B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（4）对《基金合同》的修改对基金份额持有人利益无实质性不利影响或修改不涉及《基金合同》当事人权利义务关系发生重大变化；</w:t>
      </w:r>
    </w:p>
    <w:p w14:paraId="5A5387C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（5）增加新的基金份额类别或者停止现有基金份额类别的销售等，或对基金份额分类办法及规则进行调整；</w:t>
      </w:r>
    </w:p>
    <w:p w14:paraId="518BD46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（6）基金管理人、销售机构、登记机构调整有关基金认购、申购、赎回、转换、</w:t>
      </w:r>
      <w:proofErr w:type="gramStart"/>
      <w:r>
        <w:rPr>
          <w:rFonts w:asciiTheme="minorEastAsia" w:hAnsiTheme="minorEastAsia" w:cs="Times New Roman" w:hint="eastAsia"/>
          <w:bCs/>
          <w:sz w:val="24"/>
          <w:szCs w:val="24"/>
        </w:rPr>
        <w:t>非交易</w:t>
      </w:r>
      <w:proofErr w:type="gramEnd"/>
      <w:r>
        <w:rPr>
          <w:rFonts w:asciiTheme="minorEastAsia" w:hAnsiTheme="minorEastAsia" w:cs="Times New Roman" w:hint="eastAsia"/>
          <w:bCs/>
          <w:sz w:val="24"/>
          <w:szCs w:val="24"/>
        </w:rPr>
        <w:t>过户、转托管等业务的规则；</w:t>
      </w:r>
    </w:p>
    <w:p w14:paraId="7C602C5C"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（7）在法律法规允许的情况下，且在对现有基金份额持有人利益无实质性不利影响的前提下，推出新业务或服务；</w:t>
      </w:r>
    </w:p>
    <w:p w14:paraId="1092C76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（8）按照法律法规和《基金合同》规定不需召开基金份额持有人大会的其他情形。</w:t>
      </w:r>
    </w:p>
    <w:p w14:paraId="69F959C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（二）会议召集人及召集方式</w:t>
      </w:r>
    </w:p>
    <w:p w14:paraId="1DF5A4B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1、除法律法规规定或《基金合同》另有约定外，基金份额持有人大会由基金管理人召集；</w:t>
      </w:r>
    </w:p>
    <w:p w14:paraId="73BE067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2、基金管理人未按规定召集或不能召集时，由基金托管人召集；</w:t>
      </w:r>
    </w:p>
    <w:p w14:paraId="5C0B876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4155874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的基金份额持有人仍认为有必要召开的，应当向基金托管人提出书面提议。基金托管人应当自收到书面提议之日起10日内决定是否召集，并书面告知提出提议的基金份额持有人代表和基金管理人；基金托管人决定召集的，应当自出具书面决定之日起60日内召开并告知基金管理人，基金管理人应当配合；</w:t>
      </w:r>
    </w:p>
    <w:p w14:paraId="09329B7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7583B9D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6、基金份额持有人会议的召集人负责选择确定开会时间、地点、方式和权益登记日。</w:t>
      </w:r>
    </w:p>
    <w:p w14:paraId="597D461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（三）召开基金份额持有人大会的通知时间、通知内容、通知方式</w:t>
      </w:r>
    </w:p>
    <w:p w14:paraId="35F7E50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1、召开基金份额持有人大会，召集人应于会议召开前30日，依据有关规定进行公告。基金份额持有人大会通知应至少载明以下内容：</w:t>
      </w:r>
    </w:p>
    <w:p w14:paraId="02195E1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（1）会议召开的时间、地点和会议形式；</w:t>
      </w:r>
    </w:p>
    <w:p w14:paraId="223B3C1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（2）会议</w:t>
      </w:r>
      <w:proofErr w:type="gramStart"/>
      <w:r>
        <w:rPr>
          <w:rFonts w:asciiTheme="minorEastAsia" w:hAnsiTheme="minorEastAsia" w:cs="Times New Roman" w:hint="eastAsia"/>
          <w:bCs/>
          <w:sz w:val="24"/>
          <w:szCs w:val="24"/>
        </w:rPr>
        <w:t>拟审议</w:t>
      </w:r>
      <w:proofErr w:type="gramEnd"/>
      <w:r>
        <w:rPr>
          <w:rFonts w:asciiTheme="minorEastAsia" w:hAnsiTheme="minorEastAsia" w:cs="Times New Roman" w:hint="eastAsia"/>
          <w:bCs/>
          <w:sz w:val="24"/>
          <w:szCs w:val="24"/>
        </w:rPr>
        <w:t>的事项、议事程序和表决方式；</w:t>
      </w:r>
    </w:p>
    <w:p w14:paraId="557D573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（3）有权出席基金份额持有人大会的基金份额持有人的权益登记日；</w:t>
      </w:r>
    </w:p>
    <w:p w14:paraId="4487921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（4）授权委托证明的内容要求（包括但不限于代理人身份，代理权限和代理有效期限等）、送达时间和地点；</w:t>
      </w:r>
    </w:p>
    <w:p w14:paraId="1FFBCC7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（5）会务常设联系人姓名及联系电话；</w:t>
      </w:r>
    </w:p>
    <w:p w14:paraId="19E03B8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（6）出席会议者必须准备的文件和必须履行的手续；</w:t>
      </w:r>
    </w:p>
    <w:p w14:paraId="4A58E11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（7）召集人需要通知的其他事项。</w:t>
      </w:r>
    </w:p>
    <w:p w14:paraId="4EC025E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C7A834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rFonts w:asciiTheme="minorEastAsia" w:hAnsiTheme="minorEastAsia" w:cs="Times New Roman" w:hint="eastAsia"/>
          <w:bCs/>
          <w:sz w:val="24"/>
          <w:szCs w:val="24"/>
        </w:rPr>
        <w:t>拒不派</w:t>
      </w:r>
      <w:proofErr w:type="gramEnd"/>
      <w:r>
        <w:rPr>
          <w:rFonts w:asciiTheme="minorEastAsia" w:hAnsiTheme="minorEastAsia" w:cs="Times New Roman" w:hint="eastAsia"/>
          <w:bCs/>
          <w:sz w:val="24"/>
          <w:szCs w:val="24"/>
        </w:rPr>
        <w:t>代表对表决意见的计票进行监督的，不影响表决意见的计票效力。</w:t>
      </w:r>
    </w:p>
    <w:p w14:paraId="430C1B4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（四）基金份额持有人出席会议的方式</w:t>
      </w:r>
    </w:p>
    <w:p w14:paraId="427E773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08B124D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0EDF497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712094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（2）经核对，汇总到会者出示的在权益登记日持有基金份额的凭证显示，有效的基金份额不少于本基金在权益登记日基金总份额的二分之一（含二分之一）。</w:t>
      </w:r>
    </w:p>
    <w:p w14:paraId="79FB120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若到会者在权益登记日代表的有效的基金份额少于本基金在权益登记日基金总份额的二分之一，召集人可以在原公告的基金份额持有人大会召开时间的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2FF0897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通讯开会系指基金份额持有人将其对表决事项的投票以书面形式或会议通知载明的其他方式在表决截止日以前送达至召集人指定的地址或系统。通讯开会应以书面方式或会议通知载明的其他方式进行表决。</w:t>
      </w:r>
    </w:p>
    <w:p w14:paraId="39D56C5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在同时符合以下条件时，通讯开会的方式视为有效：</w:t>
      </w:r>
    </w:p>
    <w:p w14:paraId="4BA96F7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（1）会议召集人按《基金合同》约定公布会议通知后，在2个工作日内连续公布相关提示性公告；</w:t>
      </w:r>
    </w:p>
    <w:p w14:paraId="3E24F9D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B92C63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（3）本人直接出具表决意见或授权他人代表出具表决意见的，基金份额持有人所持有的基金份额不小于在权益登记日基金总份额的二分之一（含二分之一）；</w:t>
      </w:r>
    </w:p>
    <w:p w14:paraId="38CAFC8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人直接出具表决意见或授权他人代表出具表决意见的基金份额持有人所持有的基金份额小于在权益登记日基金总份额的二分之一，召集人可以在原公告的基金份额持有人大会召开时间的3个月以后、6个月以内，就原定审议事项重新召集基金份额持有人大会。重新召集的基金份额持有人大会应当有代表三分之一以上（含三分之一）基金份额的持有人直接出具表决意见或授权他人代表出具表决意见；</w:t>
      </w:r>
    </w:p>
    <w:p w14:paraId="5E46AAF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上述第（3）项中直接出具表决意见的基金份额持有人或受托代表他人出具表决意见的代理人，同时提交的持有基金份额的凭证、受托出具表决意见的代理人出具的委托人持有基金份额的凭证及委托人的代理投票授权委托证明符合法律法规、《基金合同》和会议通知的规定，并与基金登记机构记录相符。</w:t>
      </w:r>
    </w:p>
    <w:p w14:paraId="581ADE5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3、在法律法规和监管机关允许的情况下，本基金的基金份额持有人亦可采用其他非书面方式授权其代理人出席基金份额持有人大会并行使表决权，具体方式由会议召集人确定并在会议通知中列明。</w:t>
      </w:r>
    </w:p>
    <w:p w14:paraId="19CF8F9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在会议召开方式上，本基金亦可采用其他非现场方式或者以现场方式与非现场方式相结合的方式召开基金份额持有人大会，会议程序比照现场开会和通讯方式开会的程序进行，具体方式由会议召集人确定并在会议通知中列明。</w:t>
      </w:r>
    </w:p>
    <w:p w14:paraId="4AC33B6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（五）议事内容与程序</w:t>
      </w:r>
    </w:p>
    <w:p w14:paraId="3ECA280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1、议事内容及提案权</w:t>
      </w:r>
    </w:p>
    <w:p w14:paraId="6C6E269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58CBB32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19A54E9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基金份额持有人大会不得对未事先公告的议事内容进行表决。</w:t>
      </w:r>
    </w:p>
    <w:p w14:paraId="75C3D14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2、议事程序</w:t>
      </w:r>
    </w:p>
    <w:p w14:paraId="743FE73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5295BD6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二分之一以上（含二分之一）选举产生一名基金份额持有人作为该次基金份额持有人大会的主持人。基金管理人和基金托管人拒不出席或主持基金份额持有人大会，不影响基金份额持有人大会</w:t>
      </w:r>
      <w:proofErr w:type="gramStart"/>
      <w:r>
        <w:rPr>
          <w:rFonts w:asciiTheme="minorEastAsia" w:hAnsiTheme="minorEastAsia" w:cs="Times New Roman" w:hint="eastAsia"/>
          <w:bCs/>
          <w:sz w:val="24"/>
          <w:szCs w:val="24"/>
        </w:rPr>
        <w:t>作出</w:t>
      </w:r>
      <w:proofErr w:type="gramEnd"/>
      <w:r>
        <w:rPr>
          <w:rFonts w:asciiTheme="minorEastAsia" w:hAnsiTheme="minorEastAsia" w:cs="Times New Roman" w:hint="eastAsia"/>
          <w:bCs/>
          <w:sz w:val="24"/>
          <w:szCs w:val="24"/>
        </w:rPr>
        <w:t>的决议的效力。</w:t>
      </w:r>
    </w:p>
    <w:p w14:paraId="55913BC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会议召集人应当制作出席会议人员的签名册。签名</w:t>
      </w:r>
      <w:proofErr w:type="gramStart"/>
      <w:r>
        <w:rPr>
          <w:rFonts w:asciiTheme="minorEastAsia" w:hAnsiTheme="minorEastAsia" w:cs="Times New Roman" w:hint="eastAsia"/>
          <w:bCs/>
          <w:sz w:val="24"/>
          <w:szCs w:val="24"/>
        </w:rPr>
        <w:t>册</w:t>
      </w:r>
      <w:proofErr w:type="gramEnd"/>
      <w:r>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FAFA6E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50A1A7D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在通讯开会的情况下，首先由召集人提前30日公布提案，在所通知的表决截止日期后2个工作日内在公证机关监督下由召集人统计全部有效表决，在公证机关监督下形成决议。</w:t>
      </w:r>
    </w:p>
    <w:p w14:paraId="64B062A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（六）表决</w:t>
      </w:r>
    </w:p>
    <w:p w14:paraId="5DC59D6C"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基金份额持有人所持每份基金份额有一票表决权。</w:t>
      </w:r>
    </w:p>
    <w:p w14:paraId="013522A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基金份额持有人大会决议分为一般决议和特别决议：</w:t>
      </w:r>
    </w:p>
    <w:p w14:paraId="6E7E77F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04CE2EA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特别决议，特别决议应当经参加大会的基金份额持有人或其代理人所持表决权的三分之二以上（含三分之二）通过方可做出。除法律法规、中国证监会另有规定或基金合同另有约定的以外，转换基金运作方式、更换基金管理人或者基金托管人、终止《基金合同》、本基金与其他基金合并以特别决议通过方为有效。</w:t>
      </w:r>
    </w:p>
    <w:p w14:paraId="74DFB65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基金份额持有人大会采取记名方式进行投票表决。</w:t>
      </w:r>
    </w:p>
    <w:p w14:paraId="45624DD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采取通讯方式进行表决时，除非在计票时监督员及公证机关均认为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表决意见的基金份额持有人所代表的基金份额总数。</w:t>
      </w:r>
    </w:p>
    <w:p w14:paraId="67511A3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基金份额持有人大会的各项提案或同一项提案内并列的各项议题应当分开审议、逐项表决。</w:t>
      </w:r>
    </w:p>
    <w:p w14:paraId="2D681D3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（七）计票</w:t>
      </w:r>
    </w:p>
    <w:p w14:paraId="0E35309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1、现场开会</w:t>
      </w:r>
    </w:p>
    <w:p w14:paraId="29956BB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rFonts w:asciiTheme="minorEastAsia" w:hAnsiTheme="minorEastAsia" w:cs="Times New Roman" w:hint="eastAsia"/>
          <w:bCs/>
          <w:sz w:val="24"/>
          <w:szCs w:val="24"/>
        </w:rPr>
        <w:t>或大会</w:t>
      </w:r>
      <w:proofErr w:type="gramEnd"/>
      <w:r>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w:t>
      </w:r>
      <w:r>
        <w:rPr>
          <w:rFonts w:asciiTheme="minorEastAsia" w:hAnsiTheme="minorEastAsia" w:cs="Times New Roman" w:hint="eastAsia"/>
          <w:bCs/>
          <w:sz w:val="24"/>
          <w:szCs w:val="24"/>
        </w:rPr>
        <w:lastRenderedPageBreak/>
        <w:t>后宣布在出席会议的基金份额持有人中选举三名基金份额持有人代表担任监票人。基金管理人或基金托管人不出席大会的，不影响计票的效力。</w:t>
      </w:r>
    </w:p>
    <w:p w14:paraId="64513B8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（2）监票人应当在基金份额持有人表决后立即进行清点并由大会主持人当场公布计票结果。</w:t>
      </w:r>
    </w:p>
    <w:p w14:paraId="1B661FF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（3）如果会议主持人或基金份额持有人或代理人对于提交的表决结果有异议，可以在宣布表决结果后立即对所投票</w:t>
      </w:r>
      <w:proofErr w:type="gramStart"/>
      <w:r>
        <w:rPr>
          <w:rFonts w:asciiTheme="minorEastAsia" w:hAnsiTheme="minorEastAsia" w:cs="Times New Roman" w:hint="eastAsia"/>
          <w:bCs/>
          <w:sz w:val="24"/>
          <w:szCs w:val="24"/>
        </w:rPr>
        <w:t>数要求</w:t>
      </w:r>
      <w:proofErr w:type="gramEnd"/>
      <w:r>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37E4D96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（4）计票过程应由公证机关予以公证,基金管理人或基金托管人拒不出席大会的，不影响计票的效力。</w:t>
      </w:r>
    </w:p>
    <w:p w14:paraId="61748D9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2、通讯开会</w:t>
      </w:r>
    </w:p>
    <w:p w14:paraId="4F67F56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rFonts w:asciiTheme="minorEastAsia" w:hAnsiTheme="minorEastAsia" w:cs="Times New Roman" w:hint="eastAsia"/>
          <w:bCs/>
          <w:sz w:val="24"/>
          <w:szCs w:val="24"/>
        </w:rPr>
        <w:t>人拒派</w:t>
      </w:r>
      <w:proofErr w:type="gramEnd"/>
      <w:r>
        <w:rPr>
          <w:rFonts w:asciiTheme="minorEastAsia" w:hAnsiTheme="minorEastAsia" w:cs="Times New Roman" w:hint="eastAsia"/>
          <w:bCs/>
          <w:sz w:val="24"/>
          <w:szCs w:val="24"/>
        </w:rPr>
        <w:t>代表对表决意见的计票进行监督的，不影响计票和表决结果。</w:t>
      </w:r>
    </w:p>
    <w:p w14:paraId="623D4DD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（八）生效与公告</w:t>
      </w:r>
    </w:p>
    <w:p w14:paraId="64DF6B5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基金份额持有人大会的决议，召集人应当自通过之日起5日内报中国证监会备案。</w:t>
      </w:r>
    </w:p>
    <w:p w14:paraId="6A260B0C"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基金份额持有人大会的决议自表决通过之日起生效。</w:t>
      </w:r>
    </w:p>
    <w:p w14:paraId="5082C3C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份额持有人大会决议自生效之日起依照《信息披露办法》的有关规定在规定媒介上公告。如果采用通讯方式进行表决，在公告基金份额持有人大会决议时，必须将公证书全文、公证机构、公证员姓名等一同公告。</w:t>
      </w:r>
    </w:p>
    <w:p w14:paraId="439D326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00A4AC5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（九）实施</w:t>
      </w: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期间基金份额持有人大会的特殊约定</w:t>
      </w:r>
    </w:p>
    <w:p w14:paraId="4873205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若本基金</w:t>
      </w:r>
      <w:proofErr w:type="gramStart"/>
      <w:r>
        <w:rPr>
          <w:rFonts w:asciiTheme="minorEastAsia" w:hAnsiTheme="minorEastAsia" w:cs="Times New Roman" w:hint="eastAsia"/>
          <w:bCs/>
          <w:sz w:val="24"/>
          <w:szCs w:val="24"/>
        </w:rPr>
        <w:t>实施侧袋机制</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则相关</w:t>
      </w:r>
      <w:proofErr w:type="gramEnd"/>
      <w:r>
        <w:rPr>
          <w:rFonts w:asciiTheme="minorEastAsia" w:hAnsiTheme="minorEastAsia" w:cs="Times New Roman" w:hint="eastAsia"/>
          <w:bCs/>
          <w:sz w:val="24"/>
          <w:szCs w:val="24"/>
        </w:rPr>
        <w:t>基金份额或表决权的比例</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w:t>
      </w:r>
      <w:proofErr w:type="gramStart"/>
      <w:r>
        <w:rPr>
          <w:rFonts w:asciiTheme="minorEastAsia" w:hAnsiTheme="minorEastAsia" w:cs="Times New Roman" w:hint="eastAsia"/>
          <w:bCs/>
          <w:sz w:val="24"/>
          <w:szCs w:val="24"/>
        </w:rPr>
        <w:t>人和侧袋份额</w:t>
      </w:r>
      <w:proofErr w:type="gramEnd"/>
      <w:r>
        <w:rPr>
          <w:rFonts w:asciiTheme="minorEastAsia" w:hAnsiTheme="minorEastAsia" w:cs="Times New Roman" w:hint="eastAsia"/>
          <w:bCs/>
          <w:sz w:val="24"/>
          <w:szCs w:val="24"/>
        </w:rPr>
        <w:t>持有人分别持有或代表的基金份额或表决权符合该等比例，但</w:t>
      </w:r>
      <w:proofErr w:type="gramStart"/>
      <w:r>
        <w:rPr>
          <w:rFonts w:asciiTheme="minorEastAsia" w:hAnsiTheme="minorEastAsia" w:cs="Times New Roman" w:hint="eastAsia"/>
          <w:bCs/>
          <w:sz w:val="24"/>
          <w:szCs w:val="24"/>
        </w:rPr>
        <w:t>若相关</w:t>
      </w:r>
      <w:proofErr w:type="gramEnd"/>
      <w:r>
        <w:rPr>
          <w:rFonts w:asciiTheme="minorEastAsia" w:hAnsiTheme="minorEastAsia" w:cs="Times New Roman" w:hint="eastAsia"/>
          <w:bCs/>
          <w:sz w:val="24"/>
          <w:szCs w:val="24"/>
        </w:rPr>
        <w:lastRenderedPageBreak/>
        <w:t>基金份额持有人大会召集和审议事项不</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的，则仅</w:t>
      </w:r>
      <w:proofErr w:type="gramStart"/>
      <w:r>
        <w:rPr>
          <w:rFonts w:asciiTheme="minorEastAsia" w:hAnsiTheme="minorEastAsia" w:cs="Times New Roman" w:hint="eastAsia"/>
          <w:bCs/>
          <w:sz w:val="24"/>
          <w:szCs w:val="24"/>
        </w:rPr>
        <w:t>指主袋份额</w:t>
      </w:r>
      <w:proofErr w:type="gramEnd"/>
      <w:r>
        <w:rPr>
          <w:rFonts w:asciiTheme="minorEastAsia" w:hAnsiTheme="minorEastAsia" w:cs="Times New Roman" w:hint="eastAsia"/>
          <w:bCs/>
          <w:sz w:val="24"/>
          <w:szCs w:val="24"/>
        </w:rPr>
        <w:t>持有人持有或代表的基金份额或表决权符合该等比例：</w:t>
      </w:r>
    </w:p>
    <w:p w14:paraId="03ABF0E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1、基金份额持有人行使提议权、召集权、提名权所需单独或合计代表相关基金份额10%以上（含10%）；</w:t>
      </w:r>
    </w:p>
    <w:p w14:paraId="7645068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2、现场开会的到会者在权益登记日代表的基金份额不少于本基金在权益登记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5117A57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3、通讯开会的直接出具表决意见或授权他人代表出具表决意见的基金份额持有人所持有的基金份额不小于在权益登记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基金份额的二分之一（含二分之一）；</w:t>
      </w:r>
    </w:p>
    <w:p w14:paraId="133359A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w:t>
      </w:r>
      <w:proofErr w:type="gramStart"/>
      <w:r>
        <w:rPr>
          <w:rFonts w:asciiTheme="minorEastAsia" w:hAnsiTheme="minorEastAsia" w:cs="Times New Roman" w:hint="eastAsia"/>
          <w:bCs/>
          <w:sz w:val="24"/>
          <w:szCs w:val="24"/>
        </w:rPr>
        <w:t>若参</w:t>
      </w:r>
      <w:proofErr w:type="gramEnd"/>
      <w:r>
        <w:rPr>
          <w:rFonts w:asciiTheme="minorEastAsia" w:hAnsiTheme="minorEastAsia" w:cs="Times New Roman" w:hint="eastAsia"/>
          <w:bCs/>
          <w:sz w:val="24"/>
          <w:szCs w:val="24"/>
        </w:rPr>
        <w:t>与基金份额持有人大会投票的基金份额持有人所持有的基金份额小于在权益登记</w:t>
      </w:r>
      <w:proofErr w:type="gramStart"/>
      <w:r>
        <w:rPr>
          <w:rFonts w:asciiTheme="minorEastAsia" w:hAnsiTheme="minorEastAsia" w:cs="Times New Roman" w:hint="eastAsia"/>
          <w:bCs/>
          <w:sz w:val="24"/>
          <w:szCs w:val="24"/>
        </w:rPr>
        <w:t>日相关</w:t>
      </w:r>
      <w:proofErr w:type="gramEnd"/>
      <w:r>
        <w:rPr>
          <w:rFonts w:asciiTheme="minorEastAsia" w:hAnsiTheme="minorEastAsia" w:cs="Times New Roman" w:hint="eastAsia"/>
          <w:bCs/>
          <w:sz w:val="24"/>
          <w:szCs w:val="24"/>
        </w:rPr>
        <w:t>基金份额的二分之一，召集人在原公告的基金份额持有人大会召开时间的3个月以后、6个月以内就原定审议事项重新召集的基金份额持有人大会应当有代表三分之一以上（含三分之一）相关基金份额的持有人参与或授权他人参与基金份额持有人大会投票；</w:t>
      </w:r>
    </w:p>
    <w:p w14:paraId="34029DC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5、现场开会由出席大会的基金份额持有人和代理人所持表决权的二分之一以上（含二分之一）选举产生一名基金份额持有人作为该次基金份额持有人大会的主持人；</w:t>
      </w:r>
    </w:p>
    <w:p w14:paraId="636BB3C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6、一般决议须经参加大会的基金份额持有人或其代理人所持表决权的二分之一以上（含二分之一）通过；</w:t>
      </w:r>
    </w:p>
    <w:p w14:paraId="35DCED5A"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7、特别决议应当经参加大会的基金份额持有人或其代理人所持表决权的三分之二以上（含三分之二）通过。</w:t>
      </w:r>
    </w:p>
    <w:p w14:paraId="778A6C8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实施期间，基金份额持有人大会审议事项</w:t>
      </w:r>
      <w:proofErr w:type="gramStart"/>
      <w:r>
        <w:rPr>
          <w:rFonts w:asciiTheme="minorEastAsia" w:hAnsiTheme="minorEastAsia" w:cs="Times New Roman" w:hint="eastAsia"/>
          <w:bCs/>
          <w:sz w:val="24"/>
          <w:szCs w:val="24"/>
        </w:rPr>
        <w:t>涉及主袋账户</w:t>
      </w:r>
      <w:proofErr w:type="gramEnd"/>
      <w:r>
        <w:rPr>
          <w:rFonts w:asciiTheme="minorEastAsia" w:hAnsiTheme="minorEastAsia" w:cs="Times New Roman" w:hint="eastAsia"/>
          <w:bCs/>
          <w:sz w:val="24"/>
          <w:szCs w:val="24"/>
        </w:rPr>
        <w:t>和</w:t>
      </w:r>
      <w:proofErr w:type="gramStart"/>
      <w:r>
        <w:rPr>
          <w:rFonts w:asciiTheme="minorEastAsia" w:hAnsiTheme="minorEastAsia" w:cs="Times New Roman" w:hint="eastAsia"/>
          <w:bCs/>
          <w:sz w:val="24"/>
          <w:szCs w:val="24"/>
        </w:rPr>
        <w:t>侧袋</w:t>
      </w:r>
      <w:proofErr w:type="gramEnd"/>
      <w:r>
        <w:rPr>
          <w:rFonts w:asciiTheme="minorEastAsia" w:hAnsiTheme="minorEastAsia" w:cs="Times New Roman" w:hint="eastAsia"/>
          <w:bCs/>
          <w:sz w:val="24"/>
          <w:szCs w:val="24"/>
        </w:rPr>
        <w:t>账户的，应分别</w:t>
      </w:r>
      <w:proofErr w:type="gramStart"/>
      <w:r>
        <w:rPr>
          <w:rFonts w:asciiTheme="minorEastAsia" w:hAnsiTheme="minorEastAsia" w:cs="Times New Roman" w:hint="eastAsia"/>
          <w:bCs/>
          <w:sz w:val="24"/>
          <w:szCs w:val="24"/>
        </w:rPr>
        <w:t>由主袋账户</w:t>
      </w:r>
      <w:proofErr w:type="gramEnd"/>
      <w:r>
        <w:rPr>
          <w:rFonts w:asciiTheme="minorEastAsia" w:hAnsiTheme="minorEastAsia" w:cs="Times New Roman" w:hint="eastAsia"/>
          <w:bCs/>
          <w:sz w:val="24"/>
          <w:szCs w:val="24"/>
        </w:rPr>
        <w:t>、</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的基金份额持有人进行表决，同</w:t>
      </w:r>
      <w:proofErr w:type="gramStart"/>
      <w:r>
        <w:rPr>
          <w:rFonts w:asciiTheme="minorEastAsia" w:hAnsiTheme="minorEastAsia" w:cs="Times New Roman" w:hint="eastAsia"/>
          <w:bCs/>
          <w:sz w:val="24"/>
          <w:szCs w:val="24"/>
        </w:rPr>
        <w:t>一主侧袋账户</w:t>
      </w:r>
      <w:proofErr w:type="gramEnd"/>
      <w:r>
        <w:rPr>
          <w:rFonts w:asciiTheme="minorEastAsia" w:hAnsiTheme="minorEastAsia" w:cs="Times New Roman" w:hint="eastAsia"/>
          <w:bCs/>
          <w:sz w:val="24"/>
          <w:szCs w:val="24"/>
        </w:rPr>
        <w:t>内的每份基金份额具有平等的表决权。表决事项未</w:t>
      </w:r>
      <w:proofErr w:type="gramStart"/>
      <w:r>
        <w:rPr>
          <w:rFonts w:asciiTheme="minorEastAsia" w:hAnsiTheme="minorEastAsia" w:cs="Times New Roman" w:hint="eastAsia"/>
          <w:bCs/>
          <w:sz w:val="24"/>
          <w:szCs w:val="24"/>
        </w:rPr>
        <w:t>涉及侧袋账户</w:t>
      </w:r>
      <w:proofErr w:type="gramEnd"/>
      <w:r>
        <w:rPr>
          <w:rFonts w:asciiTheme="minorEastAsia" w:hAnsiTheme="minorEastAsia" w:cs="Times New Roman" w:hint="eastAsia"/>
          <w:bCs/>
          <w:sz w:val="24"/>
          <w:szCs w:val="24"/>
        </w:rPr>
        <w:t>的，</w:t>
      </w:r>
      <w:proofErr w:type="gramStart"/>
      <w:r>
        <w:rPr>
          <w:rFonts w:asciiTheme="minorEastAsia" w:hAnsiTheme="minorEastAsia" w:cs="Times New Roman" w:hint="eastAsia"/>
          <w:bCs/>
          <w:sz w:val="24"/>
          <w:szCs w:val="24"/>
        </w:rPr>
        <w:t>侧袋账户</w:t>
      </w:r>
      <w:proofErr w:type="gramEnd"/>
      <w:r>
        <w:rPr>
          <w:rFonts w:asciiTheme="minorEastAsia" w:hAnsiTheme="minorEastAsia" w:cs="Times New Roman" w:hint="eastAsia"/>
          <w:bCs/>
          <w:sz w:val="24"/>
          <w:szCs w:val="24"/>
        </w:rPr>
        <w:t>份额无表决权。</w:t>
      </w:r>
    </w:p>
    <w:p w14:paraId="1472B19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proofErr w:type="gramStart"/>
      <w:r>
        <w:rPr>
          <w:rFonts w:asciiTheme="minorEastAsia" w:hAnsiTheme="minorEastAsia" w:cs="Times New Roman" w:hint="eastAsia"/>
          <w:bCs/>
          <w:sz w:val="24"/>
          <w:szCs w:val="24"/>
        </w:rPr>
        <w:t>侧袋机制</w:t>
      </w:r>
      <w:proofErr w:type="gramEnd"/>
      <w:r>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0F14B8F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（十）本部</w:t>
      </w:r>
      <w:proofErr w:type="gramStart"/>
      <w:r>
        <w:rPr>
          <w:rFonts w:asciiTheme="minorEastAsia" w:hAnsiTheme="minorEastAsia" w:cs="Times New Roman" w:hint="eastAsia"/>
          <w:bCs/>
          <w:sz w:val="24"/>
          <w:szCs w:val="24"/>
        </w:rPr>
        <w:t>分关于</w:t>
      </w:r>
      <w:proofErr w:type="gramEnd"/>
      <w:r>
        <w:rPr>
          <w:rFonts w:asciiTheme="minorEastAsia" w:hAnsiTheme="minorEastAsia" w:cs="Times New Roman" w:hint="eastAsia"/>
          <w:bCs/>
          <w:sz w:val="24"/>
          <w:szCs w:val="24"/>
        </w:rPr>
        <w:t>基金份额持有人大会召开事由、召开条件、议事程序、表决条件等规定，凡是直接引用法律法规或监管规则的部分，如将来法律法规或监</w:t>
      </w:r>
      <w:r>
        <w:rPr>
          <w:rFonts w:asciiTheme="minorEastAsia" w:hAnsiTheme="minorEastAsia" w:cs="Times New Roman" w:hint="eastAsia"/>
          <w:bCs/>
          <w:sz w:val="24"/>
          <w:szCs w:val="24"/>
        </w:rPr>
        <w:lastRenderedPageBreak/>
        <w:t>管规则修改导致相关内容被取消或变更的，基金管理人提前公告后，可直接对本部分内容进行修改和调整，无需召开基金份额持有人大会审议。</w:t>
      </w:r>
    </w:p>
    <w:p w14:paraId="2908A8E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三、基金合同解除和终止的事由、程序以及基金财产清算方式</w:t>
      </w:r>
    </w:p>
    <w:p w14:paraId="4C44A99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（一）《基金合同》的变更</w:t>
      </w:r>
    </w:p>
    <w:p w14:paraId="0129FEF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1、变更基金合同涉及法律法规规定或本基金合同约定应经基金份额持有人大会决议通过的事项的，应召</w:t>
      </w:r>
      <w:proofErr w:type="gramStart"/>
      <w:r>
        <w:rPr>
          <w:rFonts w:asciiTheme="minorEastAsia" w:hAnsiTheme="minorEastAsia" w:cs="Times New Roman" w:hint="eastAsia"/>
          <w:bCs/>
          <w:sz w:val="24"/>
          <w:szCs w:val="24"/>
        </w:rPr>
        <w:t>开基金</w:t>
      </w:r>
      <w:proofErr w:type="gramEnd"/>
      <w:r>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4327E52F"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2、关于《基金合同》变更的基金份额持有人大会决议自表决通过之日起生效，并</w:t>
      </w:r>
      <w:proofErr w:type="gramStart"/>
      <w:r>
        <w:rPr>
          <w:rFonts w:asciiTheme="minorEastAsia" w:hAnsiTheme="minorEastAsia" w:cs="Times New Roman" w:hint="eastAsia"/>
          <w:bCs/>
          <w:sz w:val="24"/>
          <w:szCs w:val="24"/>
        </w:rPr>
        <w:t>自决议</w:t>
      </w:r>
      <w:proofErr w:type="gramEnd"/>
      <w:r>
        <w:rPr>
          <w:rFonts w:asciiTheme="minorEastAsia" w:hAnsiTheme="minorEastAsia" w:cs="Times New Roman" w:hint="eastAsia"/>
          <w:bCs/>
          <w:sz w:val="24"/>
          <w:szCs w:val="24"/>
        </w:rPr>
        <w:t>生效后依照《信息披露办法》的有关规定在规定媒介公告。</w:t>
      </w:r>
    </w:p>
    <w:p w14:paraId="6C901B8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（二）《基金合同》的终止事由</w:t>
      </w:r>
    </w:p>
    <w:p w14:paraId="6F7D257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有下列情形之一的，经履行相关程序后，《基金合同》应当终止：</w:t>
      </w:r>
    </w:p>
    <w:p w14:paraId="2F1255C4"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1、基金份额持有人大会决定终止的；</w:t>
      </w:r>
    </w:p>
    <w:p w14:paraId="6D71017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2、基金管理人、基金托管人职责终止，在6个月内没有新基金管理人、新基金托管人承接的；</w:t>
      </w:r>
    </w:p>
    <w:p w14:paraId="23521417"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3、《基金合同》约定的其他情形；</w:t>
      </w:r>
    </w:p>
    <w:p w14:paraId="1ED9728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4、相关法律法规和中国证监会规定的其他情况。</w:t>
      </w:r>
    </w:p>
    <w:p w14:paraId="170B530D"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（三）基金财产的清算</w:t>
      </w:r>
    </w:p>
    <w:p w14:paraId="287DE16E"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1、基金财产清算小组：自出现《基金合同》终止事由之日起30个工作日内成立清算小组，基金管理人或临时基金管理人组织基金财产清算小组并在中国证监会的监督下进行基金清算。</w:t>
      </w:r>
    </w:p>
    <w:p w14:paraId="003E0C4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6769FF65"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3、基金财产清算小组职责：基金财产清算小组负责基金财产的保管、清理、估价、变现和分配。基金财产清算小组可以依法进行必要的民事活动。</w:t>
      </w:r>
    </w:p>
    <w:p w14:paraId="6877AC58"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4、基金财产清算程序：</w:t>
      </w:r>
    </w:p>
    <w:p w14:paraId="521B8E5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（1）《基金合同》终止情形出现时，由基金财产清算小组统一接管基金；</w:t>
      </w:r>
    </w:p>
    <w:p w14:paraId="0630D92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（2）对基金财产和债权债务进行清理和确认；</w:t>
      </w:r>
    </w:p>
    <w:p w14:paraId="1B0696F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lastRenderedPageBreak/>
        <w:t>（3）对基金财产进行估值和变现；</w:t>
      </w:r>
    </w:p>
    <w:p w14:paraId="66D947C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（4）制作清算报告；</w:t>
      </w:r>
    </w:p>
    <w:p w14:paraId="38A2BDC3"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（5）聘请会计师事务所对清算报告进行外部审计，聘请律师事务所对清算报告出具法律意见书；</w:t>
      </w:r>
    </w:p>
    <w:p w14:paraId="5656A4F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（6）将清算报告报中国证监会备案并公告；</w:t>
      </w:r>
    </w:p>
    <w:p w14:paraId="5503DB1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（7）对基金剩余财产进行分配。</w:t>
      </w:r>
    </w:p>
    <w:p w14:paraId="0FF809A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5、基金财产清算的期限为6个月，但因本基金所持证券的流动性受到限制而不能及时变现的，清算期限可相应顺延。</w:t>
      </w:r>
    </w:p>
    <w:p w14:paraId="3995E890"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（四）清算费用</w:t>
      </w:r>
    </w:p>
    <w:p w14:paraId="4707A0F2"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0AB64C7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（五）基金财产清算剩余资产的分配</w:t>
      </w:r>
    </w:p>
    <w:p w14:paraId="0E9F4D71"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106A98FB"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（六）基金财产清算的公告</w:t>
      </w:r>
    </w:p>
    <w:p w14:paraId="647BA01C"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清算过程中的有关重大事项须及时公告；基金财产清算报告</w:t>
      </w:r>
      <w:proofErr w:type="gramStart"/>
      <w:r>
        <w:rPr>
          <w:rFonts w:asciiTheme="minorEastAsia" w:hAnsiTheme="minorEastAsia" w:cs="Times New Roman" w:hint="eastAsia"/>
          <w:bCs/>
          <w:sz w:val="24"/>
          <w:szCs w:val="24"/>
        </w:rPr>
        <w:t>经符合</w:t>
      </w:r>
      <w:proofErr w:type="gramEnd"/>
      <w:r>
        <w:rPr>
          <w:rFonts w:asciiTheme="minorEastAsia" w:hAnsiTheme="minorEastAsia" w:cs="Times New Roman" w:hint="eastAsia"/>
          <w:bCs/>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75BA4496"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（七）基金财产清算账册及文件的保存</w:t>
      </w:r>
    </w:p>
    <w:p w14:paraId="05E61659" w14:textId="77777777" w:rsidR="00B67C49" w:rsidRDefault="00000000">
      <w:pPr>
        <w:widowControl/>
        <w:spacing w:line="360" w:lineRule="auto"/>
        <w:ind w:firstLineChars="200" w:firstLine="480"/>
        <w:jc w:val="left"/>
        <w:rPr>
          <w:rFonts w:asciiTheme="minorEastAsia" w:hAnsiTheme="minorEastAsia" w:cs="Times New Roman"/>
          <w:bCs/>
          <w:sz w:val="24"/>
          <w:szCs w:val="24"/>
        </w:rPr>
      </w:pPr>
      <w:r>
        <w:rPr>
          <w:rFonts w:asciiTheme="minorEastAsia" w:hAnsiTheme="minorEastAsia" w:cs="Times New Roman" w:hint="eastAsia"/>
          <w:bCs/>
          <w:sz w:val="24"/>
          <w:szCs w:val="24"/>
        </w:rPr>
        <w:t>基金财产清算账册及有关文件由基金托管人保存，保存期限不低于法律法规规定的最低期限。</w:t>
      </w:r>
    </w:p>
    <w:p w14:paraId="66F3FE84" w14:textId="77777777" w:rsidR="00B67C49" w:rsidRDefault="00000000">
      <w:pPr>
        <w:widowControl/>
        <w:jc w:val="left"/>
        <w:rPr>
          <w:rFonts w:asciiTheme="minorEastAsia" w:hAnsiTheme="minorEastAsia" w:cs="Times New Roman"/>
          <w:bCs/>
          <w:sz w:val="24"/>
          <w:szCs w:val="24"/>
        </w:rPr>
      </w:pPr>
      <w:r>
        <w:rPr>
          <w:rFonts w:asciiTheme="minorEastAsia" w:hAnsiTheme="minorEastAsia" w:cs="Times New Roman"/>
          <w:bCs/>
          <w:sz w:val="24"/>
          <w:szCs w:val="24"/>
        </w:rPr>
        <w:br w:type="page"/>
      </w:r>
    </w:p>
    <w:p w14:paraId="3977F1E8" w14:textId="77777777" w:rsidR="00B67C49" w:rsidRDefault="00000000">
      <w:pPr>
        <w:pStyle w:val="1"/>
        <w:jc w:val="center"/>
        <w:rPr>
          <w:sz w:val="30"/>
          <w:szCs w:val="30"/>
        </w:rPr>
      </w:pPr>
      <w:bookmarkStart w:id="401" w:name="_Toc416264554"/>
      <w:bookmarkStart w:id="402" w:name="_Toc119568476"/>
      <w:bookmarkStart w:id="403" w:name="_Toc263092327"/>
      <w:bookmarkStart w:id="404" w:name="_Toc214873614"/>
      <w:bookmarkStart w:id="405" w:name="_Toc68266307"/>
      <w:bookmarkStart w:id="406" w:name="_Toc13398"/>
      <w:bookmarkStart w:id="407" w:name="_Toc27058"/>
      <w:bookmarkStart w:id="408" w:name="_Toc9708"/>
      <w:bookmarkStart w:id="409" w:name="_Toc12191"/>
      <w:bookmarkStart w:id="410" w:name="_Toc141703901"/>
      <w:bookmarkStart w:id="411" w:name="_Toc123102467"/>
      <w:bookmarkStart w:id="412" w:name="_Toc139991750"/>
      <w:bookmarkStart w:id="413" w:name="_Toc7367"/>
      <w:bookmarkStart w:id="414" w:name="_Toc48649720"/>
      <w:bookmarkStart w:id="415" w:name="_Toc98560365"/>
      <w:bookmarkStart w:id="416" w:name="_Toc123112248"/>
      <w:bookmarkStart w:id="417" w:name="_Toc123051466"/>
      <w:bookmarkStart w:id="418" w:name="_Toc23166"/>
      <w:bookmarkStart w:id="419" w:name="_Toc352229766"/>
      <w:bookmarkStart w:id="420" w:name="_Toc79392641"/>
      <w:bookmarkStart w:id="421" w:name="_Toc21240"/>
      <w:bookmarkStart w:id="422" w:name="_Toc8710"/>
      <w:bookmarkStart w:id="423" w:name="_Toc28549"/>
      <w:bookmarkStart w:id="424" w:name="_Toc23022"/>
      <w:bookmarkStart w:id="425" w:name="_Toc30645"/>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Pr>
          <w:rFonts w:hint="eastAsia"/>
          <w:sz w:val="30"/>
          <w:szCs w:val="30"/>
        </w:rPr>
        <w:lastRenderedPageBreak/>
        <w:t>第二十部分</w:t>
      </w:r>
      <w:r>
        <w:rPr>
          <w:sz w:val="30"/>
          <w:szCs w:val="30"/>
        </w:rPr>
        <w:t xml:space="preserve">  </w:t>
      </w:r>
      <w:r>
        <w:rPr>
          <w:rFonts w:hint="eastAsia"/>
          <w:sz w:val="30"/>
          <w:szCs w:val="30"/>
        </w:rPr>
        <w:t>基金托管协议的内容摘要</w:t>
      </w:r>
      <w:bookmarkEnd w:id="401"/>
      <w:bookmarkEnd w:id="402"/>
      <w:bookmarkEnd w:id="403"/>
      <w:bookmarkEnd w:id="404"/>
      <w:bookmarkEnd w:id="405"/>
    </w:p>
    <w:p w14:paraId="498836F5" w14:textId="77777777" w:rsidR="00B67C49"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托管协议当事人</w:t>
      </w:r>
    </w:p>
    <w:p w14:paraId="09B14181"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（一）基金管理人（或简称“管理人”）</w:t>
      </w:r>
    </w:p>
    <w:p w14:paraId="702AA5F0"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名称：富荣基金管理有限公司</w:t>
      </w:r>
    </w:p>
    <w:p w14:paraId="2F2CCB3E"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住所：</w:t>
      </w:r>
      <w:r>
        <w:rPr>
          <w:rFonts w:asciiTheme="minorEastAsia" w:hAnsiTheme="minorEastAsia" w:hint="eastAsia"/>
          <w:kern w:val="0"/>
          <w:sz w:val="24"/>
        </w:rPr>
        <w:t>广东省广州市南沙区横</w:t>
      </w:r>
      <w:proofErr w:type="gramStart"/>
      <w:r>
        <w:rPr>
          <w:rFonts w:asciiTheme="minorEastAsia" w:hAnsiTheme="minorEastAsia" w:hint="eastAsia"/>
          <w:kern w:val="0"/>
          <w:sz w:val="24"/>
        </w:rPr>
        <w:t>沥</w:t>
      </w:r>
      <w:proofErr w:type="gramEnd"/>
      <w:r>
        <w:rPr>
          <w:rFonts w:asciiTheme="minorEastAsia" w:hAnsiTheme="minorEastAsia" w:hint="eastAsia"/>
          <w:kern w:val="0"/>
          <w:sz w:val="24"/>
        </w:rPr>
        <w:t>镇汇通二街2号3110房</w:t>
      </w:r>
    </w:p>
    <w:p w14:paraId="647DE875" w14:textId="77777777" w:rsidR="00B67C49" w:rsidRDefault="00000000">
      <w:pPr>
        <w:adjustRightInd w:val="0"/>
        <w:snapToGrid w:val="0"/>
        <w:spacing w:line="360" w:lineRule="auto"/>
        <w:ind w:left="840" w:hanging="420"/>
        <w:rPr>
          <w:rFonts w:asciiTheme="minorEastAsia" w:hAnsiTheme="minorEastAsia" w:cs="Times New Roman"/>
          <w:kern w:val="0"/>
          <w:sz w:val="24"/>
          <w:szCs w:val="24"/>
        </w:rPr>
      </w:pPr>
      <w:r>
        <w:rPr>
          <w:rFonts w:asciiTheme="minorEastAsia" w:hAnsiTheme="minorEastAsia" w:cs="Arial" w:hint="eastAsia"/>
          <w:kern w:val="0"/>
          <w:sz w:val="24"/>
          <w:szCs w:val="24"/>
        </w:rPr>
        <w:t>办公地址：广东省</w:t>
      </w:r>
      <w:r>
        <w:rPr>
          <w:rFonts w:asciiTheme="minorEastAsia" w:hAnsiTheme="minorEastAsia" w:cs="Times New Roman" w:hint="eastAsia"/>
          <w:kern w:val="0"/>
          <w:sz w:val="24"/>
          <w:szCs w:val="24"/>
        </w:rPr>
        <w:t>深圳市福田区八卦四路52号安吉尔大厦24层</w:t>
      </w:r>
    </w:p>
    <w:p w14:paraId="4D4BAFAA"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法定代表人：王亦伟</w:t>
      </w:r>
    </w:p>
    <w:p w14:paraId="6B9EDA75"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成立时间：2016年1月25日</w:t>
      </w:r>
      <w:r>
        <w:rPr>
          <w:rFonts w:asciiTheme="minorEastAsia" w:hAnsiTheme="minorEastAsia" w:cs="Arial" w:hint="eastAsia"/>
          <w:kern w:val="0"/>
          <w:sz w:val="24"/>
          <w:szCs w:val="24"/>
        </w:rPr>
        <w:tab/>
      </w:r>
    </w:p>
    <w:p w14:paraId="482FA234"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批准设立机关：中国证监会</w:t>
      </w:r>
    </w:p>
    <w:p w14:paraId="666E8DB7"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批准设立文号：证监许可【2015】3118号</w:t>
      </w:r>
    </w:p>
    <w:p w14:paraId="3A3F83BE"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经营范围：基金销售;基金募集;特定客户资产管理业务以及中国证监会许可的其他业务;资产管理（不含许可审批项目）</w:t>
      </w:r>
    </w:p>
    <w:p w14:paraId="31ADD6D5"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注册资本：</w:t>
      </w:r>
      <w:r>
        <w:rPr>
          <w:rFonts w:asciiTheme="minorEastAsia" w:hAnsiTheme="minorEastAsia" w:cs="Arial"/>
          <w:kern w:val="0"/>
          <w:sz w:val="24"/>
          <w:szCs w:val="24"/>
        </w:rPr>
        <w:t>2</w:t>
      </w:r>
      <w:r>
        <w:rPr>
          <w:rFonts w:asciiTheme="minorEastAsia" w:hAnsiTheme="minorEastAsia" w:cs="Arial" w:hint="eastAsia"/>
          <w:kern w:val="0"/>
          <w:sz w:val="24"/>
          <w:szCs w:val="24"/>
        </w:rPr>
        <w:t>亿元人民币</w:t>
      </w:r>
    </w:p>
    <w:p w14:paraId="751775CE"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组织形式：有限责任公司</w:t>
      </w:r>
    </w:p>
    <w:p w14:paraId="200F442B"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存续期间：永续经营</w:t>
      </w:r>
    </w:p>
    <w:p w14:paraId="04B6E17E" w14:textId="77777777" w:rsidR="00B67C49" w:rsidRDefault="00000000">
      <w:pPr>
        <w:adjustRightInd w:val="0"/>
        <w:snapToGrid w:val="0"/>
        <w:spacing w:line="360" w:lineRule="auto"/>
        <w:ind w:left="840" w:hanging="420"/>
        <w:rPr>
          <w:rFonts w:asciiTheme="minorEastAsia" w:hAnsiTheme="minorEastAsia" w:cs="Arial"/>
          <w:kern w:val="0"/>
          <w:sz w:val="24"/>
          <w:szCs w:val="24"/>
        </w:rPr>
      </w:pPr>
      <w:r>
        <w:rPr>
          <w:rFonts w:asciiTheme="minorEastAsia" w:hAnsiTheme="minorEastAsia" w:cs="Arial" w:hint="eastAsia"/>
          <w:kern w:val="0"/>
          <w:sz w:val="24"/>
          <w:szCs w:val="24"/>
        </w:rPr>
        <w:t>（二）基金托管人</w:t>
      </w:r>
    </w:p>
    <w:p w14:paraId="76F55744"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名称：国泰君安证券股份有限公司</w:t>
      </w:r>
    </w:p>
    <w:p w14:paraId="3D21CA42"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住所：中国（上海）自由贸易试验区商城路618号</w:t>
      </w:r>
    </w:p>
    <w:p w14:paraId="545917DF"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办公地址：上海市静安区新闸路669号19层</w:t>
      </w:r>
    </w:p>
    <w:p w14:paraId="78F5B44E"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法定代表人：贺青</w:t>
      </w:r>
    </w:p>
    <w:p w14:paraId="0512FC91"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成立时间：1999年8月18日</w:t>
      </w:r>
    </w:p>
    <w:p w14:paraId="446FED44"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批准设立机关：中国证监会</w:t>
      </w:r>
    </w:p>
    <w:p w14:paraId="14EE1216"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批准设立文号：证监机构字[1999]77号</w:t>
      </w:r>
    </w:p>
    <w:p w14:paraId="0C389B4E"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组织形式：股份有限公司</w:t>
      </w:r>
    </w:p>
    <w:p w14:paraId="72AAB37C"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注册资本：890794.7万元人民币</w:t>
      </w:r>
    </w:p>
    <w:p w14:paraId="19B48613"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存续期间：持续经营</w:t>
      </w:r>
    </w:p>
    <w:p w14:paraId="3D883B47"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基金托管业务批准文号：证监许可[2014]511号</w:t>
      </w:r>
    </w:p>
    <w:p w14:paraId="2E56EB5C"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 xml:space="preserve">联系人：【丛艳】 </w:t>
      </w:r>
    </w:p>
    <w:p w14:paraId="578FF6B9" w14:textId="77777777" w:rsidR="00B67C49" w:rsidRDefault="00000000">
      <w:pPr>
        <w:adjustRightInd w:val="0"/>
        <w:snapToGrid w:val="0"/>
        <w:spacing w:line="360" w:lineRule="auto"/>
        <w:ind w:firstLineChars="200" w:firstLine="480"/>
        <w:rPr>
          <w:rFonts w:ascii="宋体" w:hAnsi="宋体"/>
          <w:color w:val="000000"/>
          <w:sz w:val="24"/>
        </w:rPr>
      </w:pPr>
      <w:r>
        <w:rPr>
          <w:rFonts w:ascii="宋体" w:hAnsi="宋体" w:hint="eastAsia"/>
          <w:color w:val="000000"/>
          <w:sz w:val="24"/>
        </w:rPr>
        <w:t>联系电话：021-38676666</w:t>
      </w:r>
    </w:p>
    <w:p w14:paraId="48F8E9ED" w14:textId="77777777" w:rsidR="00B67C49" w:rsidRDefault="00B67C49">
      <w:pPr>
        <w:adjustRightInd w:val="0"/>
        <w:snapToGrid w:val="0"/>
        <w:spacing w:line="360" w:lineRule="auto"/>
        <w:ind w:firstLineChars="200" w:firstLine="480"/>
        <w:rPr>
          <w:rFonts w:ascii="宋体" w:hAnsi="宋体"/>
          <w:color w:val="000000"/>
          <w:sz w:val="24"/>
        </w:rPr>
      </w:pPr>
    </w:p>
    <w:p w14:paraId="10331752" w14:textId="77777777" w:rsidR="00B67C49"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基金托管人对基金管理人的业务监督和核查</w:t>
      </w:r>
    </w:p>
    <w:p w14:paraId="13125FB0"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（一）基金托管人对基金管理人的投资行为行使监督权</w:t>
      </w:r>
    </w:p>
    <w:p w14:paraId="42ED8D92"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1、基金托管人根据有关法律法规的规定及《基金合同》和本协议的约定，对基金的投资范围、投资对象进行监督。</w:t>
      </w:r>
    </w:p>
    <w:p w14:paraId="2E5D0171"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范围为具有良好流动性的金融工具，包括国内依法发行上市的股票（含主板、创业板及其他经中国证监会允许投资的股票）、存托凭证、债券（包括国债、央行票据、金融债券、企业债券、公司债券、中期票据、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、超短期融资</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但须符合中国证监会相关规定)。</w:t>
      </w:r>
    </w:p>
    <w:p w14:paraId="410D1901"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本基金将根据法律法规的规定参与融资业务。</w:t>
      </w:r>
    </w:p>
    <w:p w14:paraId="2E8503BF"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3FED7BB2"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的投资组合比例为：股票资产占基金资产的比例为60%-95%。每个交易日日终在扣除股指期货、国债期货、股票期权合约需缴纳的交易保证金以后，基金保留的现金或投资于到期日在一年以内的政府债券的比例合计不低于基金资产净值的5%，本基金所指的现金不包括结算备付金、存出保证金、应收申购款等。股指期货、国债期货、股票期权及其他金融工具的投资比例依照法律法规或监管机构的规定执行。</w:t>
      </w:r>
    </w:p>
    <w:p w14:paraId="14AF362E"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20BE4660"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2、基金托管人根据有关法律法规的规定及《基金合同》和本协议的约定，对基金投资、融资比例进行监督。</w:t>
      </w:r>
    </w:p>
    <w:p w14:paraId="3E9E852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 xml:space="preserve">（1）根据法律法规的规定及《基金合同》的约定，本基金投资组合遵循以下投资限制：  </w:t>
      </w:r>
    </w:p>
    <w:p w14:paraId="6267E0F1"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1）股票资产占基金资产的比例为60%-95%；</w:t>
      </w:r>
    </w:p>
    <w:p w14:paraId="462D765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2）每个交易日日终在扣除国债期货、股指期货、股票期权合约需缴纳的交</w:t>
      </w:r>
      <w:r>
        <w:rPr>
          <w:rFonts w:asciiTheme="minorEastAsia" w:hAnsiTheme="minorEastAsia" w:cs="Arial" w:hint="eastAsia"/>
          <w:color w:val="000000"/>
          <w:sz w:val="24"/>
          <w:szCs w:val="24"/>
        </w:rPr>
        <w:lastRenderedPageBreak/>
        <w:t>易保证金后，本基金保持不低于基金资产净值5%的现金或者到期日在一年以内的政府债券，其中，现金不包括结算备付金、存出保证金、应收申购款等；</w:t>
      </w:r>
    </w:p>
    <w:p w14:paraId="5921939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3）本基金持有一家公司发行的证券，其市值不超过基金资产净值的10％；</w:t>
      </w:r>
    </w:p>
    <w:p w14:paraId="7827D33B"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4）本基金管理人管理的全部基金持有一家公司发行的证券，不超过该证券的10％；</w:t>
      </w:r>
    </w:p>
    <w:p w14:paraId="2ADF744C"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5）本基金投资于同一原始权益人的各类资产支持证券的比例，不得超过基金资产净值的10%；</w:t>
      </w:r>
    </w:p>
    <w:p w14:paraId="597D56CF"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6）本基金持有的全部资产支持证券，其市值不得超过基金资产净值的20%；</w:t>
      </w:r>
    </w:p>
    <w:p w14:paraId="38781CD0"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7）本基金持有的同一(指同一信用级别)资产支持证券的比例，不得超过该资产支持证券规模的10%；</w:t>
      </w:r>
    </w:p>
    <w:p w14:paraId="72F63AB1"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8）本基金管理人管理的全部证券投资基金投资于同一原始权益人的各类资产支持证券，不得超过其各类资产支持证券合计规模的10%；</w:t>
      </w:r>
    </w:p>
    <w:p w14:paraId="6B367E0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248EAC57"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10）基金财产参与股票发行申购，本基金所申报的金额不超过本基金的总资产，本基金所申报的股票数量不超过拟发行股票公司本次发行股票的总量；</w:t>
      </w:r>
    </w:p>
    <w:p w14:paraId="10764393"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240B1A32"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12）本基金参与股指期货、国债期货交易依据下列标准建构组合：</w:t>
      </w:r>
    </w:p>
    <w:p w14:paraId="58F8C80E"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5B1F9D65"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②在任何交易日日终，持有的买入股指期货合约价值，不得超过基金资产净值的10%；在任何交易日日终，持有的买入国债期货合约价值，不得超过基金资产净值的15%；</w:t>
      </w:r>
    </w:p>
    <w:p w14:paraId="66E62380"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③在任何交易日日终，持有的卖出股指期货合约价值不得超过基金持有的股票总市值的20%；在任何交易日日终，持有的卖出国债期货合约价值不得超过基</w:t>
      </w:r>
      <w:r>
        <w:rPr>
          <w:rFonts w:asciiTheme="minorEastAsia" w:hAnsiTheme="minorEastAsia" w:cs="Arial" w:hint="eastAsia"/>
          <w:color w:val="000000"/>
          <w:sz w:val="24"/>
          <w:szCs w:val="24"/>
        </w:rPr>
        <w:lastRenderedPageBreak/>
        <w:t>金持有的债券总市值的30%；</w:t>
      </w:r>
    </w:p>
    <w:p w14:paraId="25ECD05A"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0901C0E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⑤本基金在任何交易日内交易（不包括平仓）的股指期货合约的成交金额不得超过上一交易日基金资产净值的20%；本基金在任何交易日内交易（不包括平仓）的国债期货合约的成交金额不得超过上一交易日基金资产净值的30%；</w:t>
      </w:r>
    </w:p>
    <w:p w14:paraId="2352E85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3EA90E54"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14）基金资产总值不得超过基金资产净值的140%；</w:t>
      </w:r>
    </w:p>
    <w:p w14:paraId="76977E7C"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CDC5050"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16）本基金主动投资于流动性受限资产的市值合计不得超过基金资产净值的15%；</w:t>
      </w:r>
    </w:p>
    <w:p w14:paraId="1B01CAE2"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2ED0EDF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17）本基金与私募类</w:t>
      </w:r>
      <w:proofErr w:type="gramStart"/>
      <w:r>
        <w:rPr>
          <w:rFonts w:asciiTheme="minorEastAsia" w:hAnsiTheme="minorEastAsia" w:cs="Arial" w:hint="eastAsia"/>
          <w:color w:val="000000"/>
          <w:sz w:val="24"/>
          <w:szCs w:val="24"/>
        </w:rPr>
        <w:t>证券资管产品</w:t>
      </w:r>
      <w:proofErr w:type="gramEnd"/>
      <w:r>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2045B024"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18）本基金参与股票期权交易的，需遵守下列投资比例限制：</w:t>
      </w:r>
    </w:p>
    <w:p w14:paraId="2C830A47"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①本基金因未平仓的期权合约支付和收取的权利金总额不得超过基金资产净值的10%；</w:t>
      </w:r>
    </w:p>
    <w:p w14:paraId="3A2E1E49"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164C9DDB"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③本基金未平仓的期权合约面值不得超过基金资产净值的20%。其中，合约</w:t>
      </w:r>
      <w:r>
        <w:rPr>
          <w:rFonts w:asciiTheme="minorEastAsia" w:hAnsiTheme="minorEastAsia" w:cs="Arial" w:hint="eastAsia"/>
          <w:color w:val="000000"/>
          <w:sz w:val="24"/>
          <w:szCs w:val="24"/>
        </w:rPr>
        <w:lastRenderedPageBreak/>
        <w:t>面值按照行权价乘以合约乘数计算；</w:t>
      </w:r>
    </w:p>
    <w:p w14:paraId="14508B0A"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19</w:t>
      </w:r>
      <w:r>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70F2C61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20</w:t>
      </w:r>
      <w:r>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）本基金参与融资的，每个交易日日终，本基金持有的融资买入股票与其他有价证券市值之和，不得超过基金资产净值的95%；</w:t>
      </w:r>
    </w:p>
    <w:p w14:paraId="2CA72B51"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21</w:t>
      </w:r>
      <w:r>
        <w:rPr>
          <w:rFonts w:asciiTheme="minorEastAsia" w:hAnsiTheme="minorEastAsia" w:cs="Arial" w:hint="eastAsia"/>
          <w:color w:val="000000"/>
          <w:sz w:val="24"/>
          <w:szCs w:val="24"/>
        </w:rPr>
        <w:t>）法律法规及中国证监会规定的和《基金合同》约定的其他投资限制。</w:t>
      </w:r>
    </w:p>
    <w:p w14:paraId="243581BE"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除上述第2）、9）、13）、16）、17）项另有约定外，因证券、期货市场波动、证券发行人合并、基金规模变动等基金管理人之外的因素致使基金投资比例不符合上述规定投资比例的，基金管理人应当在10个交易日内进行调整，但中国证监会规定的特殊情形除外。</w:t>
      </w:r>
    </w:p>
    <w:p w14:paraId="33BF1C28"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当自基金合同生效之日起6个月内使基金的投资组合比例符合基金合同的有关约定。在此期间，基金的投资范围、投资策略应当符合基金合同的约定。基金托管人对基金的投资的监督与检查自基金合同生效之日起开始。</w:t>
      </w:r>
    </w:p>
    <w:p w14:paraId="45A804F8"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59D3812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基金托管人依照上述规定对本基金的投资组合限制及调整期限进行监督。</w:t>
      </w:r>
    </w:p>
    <w:p w14:paraId="220E6D97"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3、基金托管人根据有关法律、法规的规定及基金合同和本协议的约定，对基金投资禁止行为进行监督。基金财产不得用于下列投资或者活动。</w:t>
      </w:r>
    </w:p>
    <w:p w14:paraId="1E8F0B15"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（1）承销证券；</w:t>
      </w:r>
    </w:p>
    <w:p w14:paraId="70A8D435"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（2）违反规定向他人贷款或者提供担保；</w:t>
      </w:r>
    </w:p>
    <w:p w14:paraId="17E1DC35"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（3）从事承担无限责任的投资；</w:t>
      </w:r>
    </w:p>
    <w:p w14:paraId="4EC9A6E8"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（4）买卖其他基金份额，但是中国证监会另有规定的除外；</w:t>
      </w:r>
    </w:p>
    <w:p w14:paraId="29150154"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（5）向基金管理人、基金托管人出资；</w:t>
      </w:r>
    </w:p>
    <w:p w14:paraId="25E0AE5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（6）从事内幕交易、操纵证券交易价格及其他不正当的证券交易活动；</w:t>
      </w:r>
    </w:p>
    <w:p w14:paraId="378CE34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（7）法律、行政法规和中国证监会规定禁止的其他活动。</w:t>
      </w:r>
    </w:p>
    <w:p w14:paraId="32F7B997"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w:t>
      </w:r>
      <w:r>
        <w:rPr>
          <w:rFonts w:asciiTheme="minorEastAsia" w:hAnsiTheme="minorEastAsia" w:cs="Arial" w:hint="eastAsia"/>
          <w:color w:val="000000"/>
          <w:sz w:val="24"/>
          <w:szCs w:val="24"/>
        </w:rPr>
        <w:lastRenderedPageBreak/>
        <w:t>法规予以披露。重大关联交易应提交基金管理人董事会审议，并经过三分之二以上的独立董事通过。基金管理人董事会应至少每半年对关联交易事项进行审查。</w:t>
      </w:r>
    </w:p>
    <w:p w14:paraId="6497A26E"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283F483A"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4、基金托管人根据有关法律、法规规定及基金合同和本协议约定，对基金管理人参与银行间债券市场进行监督。</w:t>
      </w:r>
    </w:p>
    <w:p w14:paraId="1EC2B2F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2E594630"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31E674B5"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基金管理人应定期【（每半年）】和不定期对银行间市场现券及回购交易对手的名单进行更新。基金托管人在收到名单后【2】</w:t>
      </w:r>
      <w:proofErr w:type="gramStart"/>
      <w:r>
        <w:rPr>
          <w:rFonts w:asciiTheme="minorEastAsia" w:hAnsiTheme="minorEastAsia" w:cs="Arial" w:hint="eastAsia"/>
          <w:color w:val="000000"/>
          <w:sz w:val="24"/>
          <w:szCs w:val="24"/>
        </w:rPr>
        <w:t>个</w:t>
      </w:r>
      <w:proofErr w:type="gramEnd"/>
      <w:r>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7118125A"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基金管理人应当负责向相关责任人追偿。基金托管人不承担由此造成的任何法律责任及损失。</w:t>
      </w:r>
    </w:p>
    <w:p w14:paraId="4384F54A"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5EC2F59E"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5、基金托管人根据有关法律、法规的规定及基金合同和本协议的约定，对基金管理人选择存款银行进行监督。</w:t>
      </w:r>
    </w:p>
    <w:p w14:paraId="78559127"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w:t>
      </w:r>
      <w:r>
        <w:rPr>
          <w:rFonts w:asciiTheme="minorEastAsia" w:hAnsiTheme="minorEastAsia" w:cs="Arial" w:hint="eastAsia"/>
          <w:color w:val="000000"/>
          <w:sz w:val="24"/>
          <w:szCs w:val="24"/>
        </w:rPr>
        <w:lastRenderedPageBreak/>
        <w:t>前提供的对手名单进行投资。基金管理人超越名单范围进行投资的，基金托管人应及时提醒基金管理人，但基金托管人不承担由此造成的任何损失和责任。</w:t>
      </w:r>
    </w:p>
    <w:p w14:paraId="05AE6E72"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本基金投资银行存款应符合如下规定：</w:t>
      </w:r>
    </w:p>
    <w:p w14:paraId="0FCFC6D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（1）基金管理人、基金托管人应当与存款银行建立定期对账机制，确保基金银行存款业务账目及核算的真实、准确。</w:t>
      </w:r>
    </w:p>
    <w:p w14:paraId="310BB4CB"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29239A4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（3）基金托管人应加强对基金银行存款业务的监督与核查，严格审查、复核相关协议、账户资料、投资指令、存款证实书等有关文件，切实履行托管职责。</w:t>
      </w:r>
    </w:p>
    <w:p w14:paraId="55E34B8C"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（4）基金管理人与基金托管人在开展基金存款业务时，应严格遵守《基金法》、《运作办法》等有关法律、法规，以及国家有关账户管理、利率管理、支付结算等的各项规定。</w:t>
      </w:r>
    </w:p>
    <w:p w14:paraId="0BD60FF5"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2E2ED22B"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6、基金托管人根据有关法律法规的规定及《基金合同》的约定，对基金管理人投资流通受限证券进行监督。</w:t>
      </w:r>
    </w:p>
    <w:p w14:paraId="55417CE2"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4C60CBF5"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Pr>
          <w:rFonts w:asciiTheme="minorEastAsia" w:hAnsiTheme="minorEastAsia" w:cs="Arial" w:hint="eastAsia"/>
          <w:color w:val="000000"/>
          <w:sz w:val="24"/>
          <w:szCs w:val="24"/>
        </w:rPr>
        <w:t>券</w:t>
      </w:r>
      <w:proofErr w:type="gramEnd"/>
      <w:r>
        <w:rPr>
          <w:rFonts w:asciiTheme="minorEastAsia" w:hAnsiTheme="minorEastAsia" w:cs="Arial" w:hint="eastAsia"/>
          <w:color w:val="000000"/>
          <w:sz w:val="24"/>
          <w:szCs w:val="24"/>
        </w:rPr>
        <w:t>等流通受限证券。本基金不投资有</w:t>
      </w:r>
      <w:proofErr w:type="gramStart"/>
      <w:r>
        <w:rPr>
          <w:rFonts w:asciiTheme="minorEastAsia" w:hAnsiTheme="minorEastAsia" w:cs="Arial" w:hint="eastAsia"/>
          <w:color w:val="000000"/>
          <w:sz w:val="24"/>
          <w:szCs w:val="24"/>
        </w:rPr>
        <w:t>锁定期但锁定</w:t>
      </w:r>
      <w:proofErr w:type="gramEnd"/>
      <w:r>
        <w:rPr>
          <w:rFonts w:asciiTheme="minorEastAsia" w:hAnsiTheme="minorEastAsia" w:cs="Arial" w:hint="eastAsia"/>
          <w:color w:val="000000"/>
          <w:sz w:val="24"/>
          <w:szCs w:val="24"/>
        </w:rPr>
        <w:t>期不明确的证券。</w:t>
      </w:r>
    </w:p>
    <w:p w14:paraId="387D5863"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本基金投资的流通受限证券限于可由中国证券登记结算有限责任公司或中</w:t>
      </w:r>
      <w:r>
        <w:rPr>
          <w:rFonts w:asciiTheme="minorEastAsia" w:hAnsiTheme="minorEastAsia" w:cs="Arial" w:hint="eastAsia"/>
          <w:color w:val="000000"/>
          <w:sz w:val="24"/>
          <w:szCs w:val="24"/>
        </w:rPr>
        <w:lastRenderedPageBreak/>
        <w:t>央国债登记结算有限责任公司、银行间市场清算所股份有限公司负责登记和存管，并可在证券交易所或全国银行间债券市场交易的证券。</w:t>
      </w:r>
    </w:p>
    <w:p w14:paraId="3BB4946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19ADDD01"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本基金投资流通受限证券，不得预付任何形式的保证金。</w:t>
      </w:r>
    </w:p>
    <w:p w14:paraId="3E0441EF"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44624E1B"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Pr>
          <w:rFonts w:asciiTheme="minorEastAsia" w:hAnsiTheme="minorEastAsia" w:cs="Arial" w:hint="eastAsia"/>
          <w:color w:val="000000"/>
          <w:sz w:val="24"/>
          <w:szCs w:val="24"/>
        </w:rPr>
        <w:t>人原因</w:t>
      </w:r>
      <w:proofErr w:type="gramEnd"/>
      <w:r>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0A5B4B50"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6B64E5F2"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1）中国证监会批准发行非公开发行股票的批准文件。</w:t>
      </w:r>
    </w:p>
    <w:p w14:paraId="18D6635C"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2）非公开发行股票有关发行数量、发行价格、锁定期等发行资料。</w:t>
      </w:r>
    </w:p>
    <w:p w14:paraId="73AE905E"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3）非公开发行股票发行人与中国证券登记结算有限责任公司或中央国债登记结算有限责任公司签订的证券登记及服务协议。</w:t>
      </w:r>
    </w:p>
    <w:p w14:paraId="0AE55F16"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4）基金拟认购的数量、价格、总成本、账面价值。</w:t>
      </w:r>
    </w:p>
    <w:p w14:paraId="1C7D8910"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基金管理人应在本基金投资非公开发行股票后两个交易日内，在中国证监会规定媒介披露所投资非公开发行股票的名称、数量、总成本、账面价值，以及总成本和账面价值占基金资产净值的比例、锁定期等信息。</w:t>
      </w:r>
    </w:p>
    <w:p w14:paraId="16FFFBE3"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756EFB78"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（5）基金托管人根据有关规定有权对基金管理人进行以下事项监督：</w:t>
      </w:r>
    </w:p>
    <w:p w14:paraId="3DB219CA"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1）本基金投资流通受限证券时的法律法规遵守情况。</w:t>
      </w:r>
    </w:p>
    <w:p w14:paraId="74942323"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2）在基金投资流通受限证券管理工作方面有关制度、流动性风险处置预案的建立与完善情况。</w:t>
      </w:r>
    </w:p>
    <w:p w14:paraId="7214DDD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3）有关比例限制的执行情况。</w:t>
      </w:r>
    </w:p>
    <w:p w14:paraId="259053B5"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4）信息披露情况。</w:t>
      </w:r>
    </w:p>
    <w:p w14:paraId="2CE81A4D"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（6）相关法律法规对基金投资流通受限证券有新规定的，从其规定。</w:t>
      </w:r>
    </w:p>
    <w:p w14:paraId="5F45C3C1"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7、基金托管人根据有关法律、法规的规定及基金合同和本协议的约定，对基金管理人产品禁投池进行监督。</w:t>
      </w:r>
    </w:p>
    <w:p w14:paraId="12739D68"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向基金托管人提供符合法律、法规及行业标准的基金禁投池清单。基金托管人在收到名单后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Pr>
          <w:rFonts w:asciiTheme="minorEastAsia" w:hAnsiTheme="minorEastAsia" w:cs="Arial" w:hint="eastAsia"/>
          <w:color w:val="000000"/>
          <w:sz w:val="24"/>
          <w:szCs w:val="24"/>
        </w:rPr>
        <w:t>前基金</w:t>
      </w:r>
      <w:proofErr w:type="gramEnd"/>
      <w:r>
        <w:rPr>
          <w:rFonts w:asciiTheme="minorEastAsia" w:hAnsiTheme="minorEastAsia" w:cs="Arial" w:hint="eastAsia"/>
          <w:color w:val="000000"/>
          <w:sz w:val="24"/>
          <w:szCs w:val="24"/>
        </w:rPr>
        <w:t>托管人仍</w:t>
      </w:r>
      <w:proofErr w:type="gramStart"/>
      <w:r>
        <w:rPr>
          <w:rFonts w:asciiTheme="minorEastAsia" w:hAnsiTheme="minorEastAsia" w:cs="Arial" w:hint="eastAsia"/>
          <w:color w:val="000000"/>
          <w:sz w:val="24"/>
          <w:szCs w:val="24"/>
        </w:rPr>
        <w:t>按原禁投池</w:t>
      </w:r>
      <w:proofErr w:type="gramEnd"/>
      <w:r>
        <w:rPr>
          <w:rFonts w:asciiTheme="minorEastAsia" w:hAnsiTheme="minorEastAsia" w:cs="Arial" w:hint="eastAsia"/>
          <w:color w:val="000000"/>
          <w:sz w:val="24"/>
          <w:szCs w:val="24"/>
        </w:rPr>
        <w:t>清单进行监督。</w:t>
      </w:r>
    </w:p>
    <w:p w14:paraId="786A4D89"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212D67CC"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65F3CDA8"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三）基金管理人应积极配合和协助基金托管人的监督和核查，在规定时间内答复并改正，就基金托管人的合理疑义进行解释或举证。对基金托管人按照法规要求需向中国证监会报送基金监督报告的，基金管理人应积极配合提供相关数据资料和制度等。</w:t>
      </w:r>
    </w:p>
    <w:p w14:paraId="552589FC"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lastRenderedPageBreak/>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合理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1C2B6E3A"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若基金</w:t>
      </w:r>
      <w:proofErr w:type="gramEnd"/>
      <w:r>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49306D34"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61DA3E54"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color w:val="000000"/>
          <w:sz w:val="24"/>
          <w:szCs w:val="24"/>
        </w:rPr>
        <w:t>（</w:t>
      </w:r>
      <w:r>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Pr>
          <w:rFonts w:asciiTheme="minorEastAsia" w:hAnsiTheme="minorEastAsia" w:cs="Arial" w:hint="eastAsia"/>
          <w:color w:val="000000"/>
          <w:sz w:val="24"/>
          <w:szCs w:val="24"/>
        </w:rPr>
        <w:t>启用侧袋机制</w:t>
      </w:r>
      <w:proofErr w:type="gramEnd"/>
      <w:r>
        <w:rPr>
          <w:rFonts w:asciiTheme="minorEastAsia" w:hAnsiTheme="minorEastAsia" w:cs="Arial" w:hint="eastAsia"/>
          <w:color w:val="000000"/>
          <w:sz w:val="24"/>
          <w:szCs w:val="24"/>
        </w:rPr>
        <w:t>，无需召开基金份额持有人大会审议。</w:t>
      </w:r>
    </w:p>
    <w:p w14:paraId="0C95FF93"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侧袋机制</w:t>
      </w:r>
      <w:proofErr w:type="gramEnd"/>
      <w:r>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Pr>
          <w:rFonts w:asciiTheme="minorEastAsia" w:hAnsiTheme="minorEastAsia" w:cs="Arial" w:hint="eastAsia"/>
          <w:color w:val="000000"/>
          <w:sz w:val="24"/>
          <w:szCs w:val="24"/>
        </w:rPr>
        <w:t>适用于主袋账户</w:t>
      </w:r>
      <w:proofErr w:type="gramEnd"/>
      <w:r>
        <w:rPr>
          <w:rFonts w:asciiTheme="minorEastAsia" w:hAnsiTheme="minorEastAsia" w:cs="Arial" w:hint="eastAsia"/>
          <w:color w:val="000000"/>
          <w:sz w:val="24"/>
          <w:szCs w:val="24"/>
        </w:rPr>
        <w:t>。</w:t>
      </w:r>
    </w:p>
    <w:p w14:paraId="717A62D2"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proofErr w:type="gramStart"/>
      <w:r>
        <w:rPr>
          <w:rFonts w:asciiTheme="minorEastAsia" w:hAnsiTheme="minorEastAsia" w:cs="Arial" w:hint="eastAsia"/>
          <w:color w:val="000000"/>
          <w:sz w:val="24"/>
          <w:szCs w:val="24"/>
        </w:rPr>
        <w:t>侧袋账户</w:t>
      </w:r>
      <w:proofErr w:type="gramEnd"/>
      <w:r>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7F2E09DF" w14:textId="77777777" w:rsidR="00B67C49" w:rsidRDefault="00000000">
      <w:pPr>
        <w:adjustRightInd w:val="0"/>
        <w:snapToGrid w:val="0"/>
        <w:spacing w:line="360" w:lineRule="auto"/>
        <w:ind w:firstLineChars="200" w:firstLine="480"/>
        <w:rPr>
          <w:rFonts w:asciiTheme="minorEastAsia" w:hAnsiTheme="minorEastAsia" w:cs="Arial"/>
          <w:color w:val="000000"/>
          <w:sz w:val="24"/>
          <w:szCs w:val="24"/>
        </w:rPr>
      </w:pPr>
      <w:r>
        <w:rPr>
          <w:rFonts w:asciiTheme="minorEastAsia" w:hAnsiTheme="minorEastAsia" w:cs="Arial" w:hint="eastAsia"/>
          <w:color w:val="000000"/>
          <w:sz w:val="24"/>
          <w:szCs w:val="24"/>
        </w:rPr>
        <w:t>基金托管人依照相关法律法规的规定以及基金合同和招募说明书的约定，对侧</w:t>
      </w:r>
      <w:proofErr w:type="gramStart"/>
      <w:r>
        <w:rPr>
          <w:rFonts w:asciiTheme="minorEastAsia" w:hAnsiTheme="minorEastAsia" w:cs="Arial" w:hint="eastAsia"/>
          <w:color w:val="000000"/>
          <w:sz w:val="24"/>
          <w:szCs w:val="24"/>
        </w:rPr>
        <w:t>袋机制</w:t>
      </w:r>
      <w:proofErr w:type="gramEnd"/>
      <w:r>
        <w:rPr>
          <w:rFonts w:asciiTheme="minorEastAsia" w:hAnsiTheme="minorEastAsia" w:cs="Arial" w:hint="eastAsia"/>
          <w:color w:val="000000"/>
          <w:sz w:val="24"/>
          <w:szCs w:val="24"/>
        </w:rPr>
        <w:t xml:space="preserve">启用、特定资产处置和信息披露等方面进行复核和监督。  </w:t>
      </w:r>
    </w:p>
    <w:p w14:paraId="243DAC52" w14:textId="77777777" w:rsidR="00B67C49"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基金管理人对基金托管人的业务核查</w:t>
      </w:r>
    </w:p>
    <w:p w14:paraId="6D088673"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根据《基金法》及其他有关法规、《基金合同》和本协议规定，基金管理人对基金托管人履行托管职责的情况进行核查，核查事项包括但不限于基金托管人</w:t>
      </w:r>
      <w:r>
        <w:rPr>
          <w:rFonts w:ascii="宋体" w:hAnsi="宋体" w:hint="eastAsia"/>
          <w:sz w:val="24"/>
          <w:szCs w:val="24"/>
        </w:rPr>
        <w:lastRenderedPageBreak/>
        <w:t>是否安全保管基金财产、开立基金财产的银行存款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7B1AE09C"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Pr>
          <w:rFonts w:ascii="宋体" w:hAnsi="宋体" w:hint="eastAsia"/>
          <w:sz w:val="24"/>
          <w:szCs w:val="24"/>
        </w:rPr>
        <w:t>供基金</w:t>
      </w:r>
      <w:proofErr w:type="gramEnd"/>
      <w:r>
        <w:rPr>
          <w:rFonts w:ascii="宋体" w:hAnsi="宋体" w:hint="eastAsia"/>
          <w:sz w:val="24"/>
          <w:szCs w:val="24"/>
        </w:rPr>
        <w:t>管理人核查托管财产的完整性和真实性，在规定时间内答复并改正。</w:t>
      </w:r>
    </w:p>
    <w:p w14:paraId="5127C42C"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D9D9D6E"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22AD6FD0" w14:textId="77777777" w:rsidR="00B67C49" w:rsidRDefault="00B67C49">
      <w:pPr>
        <w:spacing w:line="360" w:lineRule="auto"/>
        <w:ind w:firstLineChars="200" w:firstLine="480"/>
        <w:rPr>
          <w:rFonts w:ascii="宋体" w:hAnsi="宋体"/>
          <w:sz w:val="24"/>
          <w:szCs w:val="24"/>
        </w:rPr>
      </w:pPr>
    </w:p>
    <w:p w14:paraId="72A732EF" w14:textId="77777777" w:rsidR="00B67C49"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基金财产的保管</w:t>
      </w:r>
    </w:p>
    <w:p w14:paraId="1359F9C1"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（一）基金财产保管的原则</w:t>
      </w:r>
    </w:p>
    <w:p w14:paraId="7DCF2F8F"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1、基金托管人应安全保管基金财产，未经基金管理人的指令，不得自行运用、处分、分配基金的任何资产。</w:t>
      </w:r>
    </w:p>
    <w:p w14:paraId="106087F9"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2、基金财产应独立于基金管理人、基金托管人、证券经纪机构的固有财产。</w:t>
      </w:r>
    </w:p>
    <w:p w14:paraId="624D1B38"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3、基金托管人按照规定开立基金财产的银行存款账户、证券账户、债券托管账户等投资所需账户。</w:t>
      </w:r>
    </w:p>
    <w:p w14:paraId="431A2349"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4、基金托管人对所托管的不同基金财产分别设置账户，与基金托管人的其</w:t>
      </w:r>
      <w:r>
        <w:rPr>
          <w:rFonts w:ascii="宋体" w:hAnsi="宋体" w:hint="eastAsia"/>
          <w:sz w:val="24"/>
          <w:szCs w:val="24"/>
        </w:rPr>
        <w:lastRenderedPageBreak/>
        <w:t>他业务和其他基金的托管业务实行严格的分账管理，确保基金财产的完整和独立。</w:t>
      </w:r>
    </w:p>
    <w:p w14:paraId="5CC88F98"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15399F86"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6、除依据法律法规和《基金合同》的规定外，基金托管人不得委托第三人托管基金财产。</w:t>
      </w:r>
    </w:p>
    <w:p w14:paraId="5EA9A155"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（二）基金募集资产的验证</w:t>
      </w:r>
    </w:p>
    <w:p w14:paraId="2C9F28ED"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70F1C6EA"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募集期满之日起10日内，募集的基金份额总额、基金募集金额、基金份额持有人人数符合《基金法》、《运作办法》等有关规定后，由基金管理人聘请符合《中华人民共和国证券法》规定的会计师事务所进行验资，出具验资报告，出具的验资报告应由参加验资的2名以上（含2名）中国注册会计师签字有效。验资完成，基金管理人应将募集到的全部资金存入基金托管人为基金开立的基金银行存款账户中，基金托管人在收到资金当日出具相关证明文件。</w:t>
      </w:r>
    </w:p>
    <w:p w14:paraId="0668EF67"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（三）基金的银行存款账户的开立和管理</w:t>
      </w:r>
    </w:p>
    <w:p w14:paraId="02B50795"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1、基金托管人应负责本基金银行存款账户的开立和管理。</w:t>
      </w:r>
    </w:p>
    <w:p w14:paraId="75F08557"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2、基金托管人以本基金的名义在商业银行开立基金的银行存款账户，并根据中国人民银行规定计息。本基金的银行预留印鉴由基金托管</w:t>
      </w:r>
      <w:proofErr w:type="gramStart"/>
      <w:r>
        <w:rPr>
          <w:rFonts w:ascii="宋体" w:hAnsi="宋体" w:hint="eastAsia"/>
          <w:sz w:val="24"/>
          <w:szCs w:val="24"/>
        </w:rPr>
        <w:t>人制</w:t>
      </w:r>
      <w:proofErr w:type="gramEnd"/>
      <w:r>
        <w:rPr>
          <w:rFonts w:ascii="宋体" w:hAnsi="宋体" w:hint="eastAsia"/>
          <w:sz w:val="24"/>
          <w:szCs w:val="24"/>
        </w:rPr>
        <w:t>作、保管和使用。本基金的一切货币收支活动，包括但不限于投资、支付赎回金额、支付基金收益，均需通过本基金的银行存款账户进行。</w:t>
      </w:r>
    </w:p>
    <w:p w14:paraId="27384CE0"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35E9F7EE"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4、基金托管人可以通过申请开通本基金银行账户的企业网上银行业务进行资金支付，并使用企业网上银行（简称“网银”）办理托管资产的资金结算汇划</w:t>
      </w:r>
      <w:r>
        <w:rPr>
          <w:rFonts w:ascii="宋体" w:hAnsi="宋体" w:hint="eastAsia"/>
          <w:sz w:val="24"/>
          <w:szCs w:val="24"/>
        </w:rPr>
        <w:lastRenderedPageBreak/>
        <w:t>业务。</w:t>
      </w:r>
    </w:p>
    <w:p w14:paraId="6BD93508"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5、基金银行存款账户的管理应符合法律、法规以及银行业监督管理机构的其他规定。</w:t>
      </w:r>
    </w:p>
    <w:p w14:paraId="06D4705E"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（四）基金的证券交收账户和资金交收账户的开立和管理</w:t>
      </w:r>
    </w:p>
    <w:p w14:paraId="1EE76E63"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基金托管人以基金托管人和本基金联名的方式在中国证券登记结算有限责任公司开立证券账户。</w:t>
      </w:r>
    </w:p>
    <w:p w14:paraId="2F829432"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3F7C1FE6"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基金管理人不得对基金证券交收账户、资金交收账户进行证券的超卖或超买。</w:t>
      </w:r>
    </w:p>
    <w:p w14:paraId="17E09D50"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（五）债券托管账户的开立和管理</w:t>
      </w:r>
    </w:p>
    <w:p w14:paraId="1EFFC8FA"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55CDDA2A"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2、基金管理人代表基金对外签订中国银行间债券市场回购交易主协议。</w:t>
      </w:r>
    </w:p>
    <w:p w14:paraId="553751B3"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（六）其他账户的开立和管理</w:t>
      </w:r>
    </w:p>
    <w:p w14:paraId="46463511"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0E6E9C61"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法律法规等有关规定对相关账户的开立和管理另有规定的，从其规定办理。</w:t>
      </w:r>
    </w:p>
    <w:p w14:paraId="4471E87D"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（七）基金财产投资的有关实物证券、银行存款定期存单等有价凭证的保管</w:t>
      </w:r>
    </w:p>
    <w:p w14:paraId="60F0E68A"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14C921E3"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银行存款定期存单等有价凭证由基金托管人负责保管。</w:t>
      </w:r>
    </w:p>
    <w:p w14:paraId="0325CE92"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（八）与基金财产有关的重大合同的保管</w:t>
      </w:r>
    </w:p>
    <w:p w14:paraId="5C7266FE"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15个工作日内通过专人送达、挂号邮寄等安全方式将合同原件送达基金托管人处。合同的保管期限按照国家有关规定执行。</w:t>
      </w:r>
    </w:p>
    <w:p w14:paraId="2BE601B5"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对于无法取得二份以上的正本的，基金管理人应向基金托管人提供与原件核对一致后加盖授权业务章的合同扫描件或传真件，未经双方协商或未在合同约定范围内，合同原件不得转移。</w:t>
      </w:r>
    </w:p>
    <w:p w14:paraId="31DC48A8"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因基金管理人未按本协议约定及时向基金托管人送达重大合同原件或扫描件或传真件导致的法律责任，基金托管人不予承担。</w:t>
      </w:r>
    </w:p>
    <w:p w14:paraId="6ADC2EF1" w14:textId="77777777" w:rsidR="00B67C49" w:rsidRDefault="00B67C49">
      <w:pPr>
        <w:spacing w:line="360" w:lineRule="auto"/>
        <w:ind w:firstLineChars="200" w:firstLine="480"/>
        <w:rPr>
          <w:rFonts w:ascii="宋体" w:hAnsi="宋体"/>
          <w:sz w:val="24"/>
          <w:szCs w:val="24"/>
        </w:rPr>
      </w:pPr>
    </w:p>
    <w:p w14:paraId="1C01D28F" w14:textId="77777777" w:rsidR="00B67C49"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基金资产净值计算和会计核算</w:t>
      </w:r>
    </w:p>
    <w:p w14:paraId="0CF766E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（一）基金资产净值及各类基金份额的基金份额净值的计算与复核</w:t>
      </w:r>
    </w:p>
    <w:p w14:paraId="0A348E08"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基金资产净值是指基金资产总值减去负债后的价值。</w:t>
      </w:r>
    </w:p>
    <w:p w14:paraId="1D398D0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应每工作日对基金资产估值。但基金管理人根据法律法规或基金合同的规定暂停估值时除外。估值原则应符合《基金合同》、《中国证监会关于证券投资基金估值业务的指导意见》、《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0.0001元，小数点后第5位四舍五入，由此产生的收益或损失由基金财产承担。基金管理人可以设立大额赎回情形下的净值精度应急调整机制。国家另有规定的，从其规定。基金管理人</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规定对外公布。</w:t>
      </w:r>
    </w:p>
    <w:p w14:paraId="43E3B090"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本基金按以下方法估值： </w:t>
      </w:r>
    </w:p>
    <w:p w14:paraId="10F9638D"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1、证券交易所上市的有价证券的估值</w:t>
      </w:r>
    </w:p>
    <w:p w14:paraId="4A6CC687"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A090C9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583618F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68701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（4）交易所上市交易的可转换债券以每日收盘价作为估值全价；</w:t>
      </w:r>
    </w:p>
    <w:p w14:paraId="77A1945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Pr>
          <w:rFonts w:asciiTheme="minorEastAsia" w:hAnsiTheme="minorEastAsia" w:cs="Arial"/>
          <w:sz w:val="24"/>
          <w:szCs w:val="24"/>
        </w:rPr>
        <w:t>；</w:t>
      </w:r>
    </w:p>
    <w:p w14:paraId="0CC5F52E"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215B922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2、处于未上市期间的有价证券应区分如下情况处理：</w:t>
      </w:r>
    </w:p>
    <w:p w14:paraId="51026444"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（1）送股、转增股、配股和公开增发的新股，按估值日在证券交易所挂牌的同一股票的估值方法估值；该日无交易的，以最近一日的市价（收盘价）估值；</w:t>
      </w:r>
    </w:p>
    <w:p w14:paraId="63CD61D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（2）首次公开发行未上市的股票、债券，采用估值技术确定公允价值，在估值技术难以可靠计量公允价值的情况下，按成本估值；</w:t>
      </w:r>
    </w:p>
    <w:p w14:paraId="592F467A"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（3）流通受限的股票，包括非公开发行股票、首次公开发行股票时公司股东公开发售股份、通过大宗交易取得的带限售期的股票等（不包括停牌、新发行未上市、回购交易中的质押</w:t>
      </w:r>
      <w:proofErr w:type="gramStart"/>
      <w:r>
        <w:rPr>
          <w:rFonts w:asciiTheme="minorEastAsia" w:hAnsiTheme="minorEastAsia" w:cs="Arial" w:hint="eastAsia"/>
          <w:sz w:val="24"/>
          <w:szCs w:val="24"/>
        </w:rPr>
        <w:t>券</w:t>
      </w:r>
      <w:proofErr w:type="gramEnd"/>
      <w:r>
        <w:rPr>
          <w:rFonts w:asciiTheme="minorEastAsia" w:hAnsiTheme="minorEastAsia" w:cs="Arial" w:hint="eastAsia"/>
          <w:sz w:val="24"/>
          <w:szCs w:val="24"/>
        </w:rPr>
        <w:t>等流通受限股票），按监管机构或行业协会有关规定确定公允价值。</w:t>
      </w:r>
    </w:p>
    <w:p w14:paraId="05AF9A34"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3、全国银行间债券市场交易的债券、资产支持证券等固定收益品种，以第三方估值机构提供的价格数据估值。</w:t>
      </w:r>
    </w:p>
    <w:p w14:paraId="3CBB753D"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4、同一证券同时在两个或两个以上市场交易的，按证券所处的市场分别估值。</w:t>
      </w:r>
    </w:p>
    <w:p w14:paraId="7E8D6F69"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5、本基金投资国债期货合约、股指期货合约、股票期权合约，一般以估值当日结算价进行估值，估值当日无结算价的，且最近交易日后经济环境未发生重大变化的，采用最近交易日结算价估值。</w:t>
      </w:r>
    </w:p>
    <w:p w14:paraId="12F80F93"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6</w:t>
      </w:r>
      <w:r>
        <w:rPr>
          <w:rFonts w:asciiTheme="minorEastAsia" w:hAnsiTheme="minorEastAsia" w:cs="Arial" w:hint="eastAsia"/>
          <w:sz w:val="24"/>
          <w:szCs w:val="24"/>
        </w:rPr>
        <w:t>、本基金投资存托凭证的估值核算，依照境内上市交易的股票执行。</w:t>
      </w:r>
    </w:p>
    <w:p w14:paraId="517A3AC4"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7</w:t>
      </w:r>
      <w:r>
        <w:rPr>
          <w:rFonts w:asciiTheme="minorEastAsia" w:hAnsiTheme="minorEastAsia" w:cs="Arial" w:hint="eastAsia"/>
          <w:sz w:val="24"/>
          <w:szCs w:val="24"/>
        </w:rPr>
        <w:t>、其他资产按法律法规或监管机构有关规定进行估值。</w:t>
      </w:r>
    </w:p>
    <w:p w14:paraId="592D4C2A"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8</w:t>
      </w:r>
      <w:r>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39CFD4B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t>9</w:t>
      </w:r>
      <w:r>
        <w:rPr>
          <w:rFonts w:asciiTheme="minorEastAsia" w:hAnsiTheme="minorEastAsia" w:cs="Arial" w:hint="eastAsia"/>
          <w:sz w:val="24"/>
          <w:szCs w:val="24"/>
        </w:rPr>
        <w:t>、当本基金发生大额申购或赎回情形时，基金管理人可以对本基金采用摆动定价机制，以确保基金估值的公平性。</w:t>
      </w:r>
    </w:p>
    <w:p w14:paraId="7520CBDE"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r>
        <w:rPr>
          <w:rFonts w:asciiTheme="minorEastAsia" w:hAnsiTheme="minorEastAsia" w:cs="Arial" w:hint="eastAsia"/>
          <w:sz w:val="24"/>
          <w:szCs w:val="24"/>
        </w:rPr>
        <w:t>、相关法律法规以及监管部门有强制规定的，从其规定。如有新增事项，按国家最新规定估值。</w:t>
      </w:r>
    </w:p>
    <w:p w14:paraId="0639FDDC"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79CC9E49"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Pr>
          <w:rFonts w:asciiTheme="minorEastAsia" w:hAnsiTheme="minorEastAsia" w:cs="Arial" w:hint="eastAsia"/>
          <w:sz w:val="24"/>
          <w:szCs w:val="24"/>
        </w:rPr>
        <w:t>主责任</w:t>
      </w:r>
      <w:proofErr w:type="gramEnd"/>
      <w:r>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39E14DA8"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（二）估值错误处理</w:t>
      </w:r>
    </w:p>
    <w:p w14:paraId="136CF8AE"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基金管理人和基金托管人将采取必要、适当、合理的措施确保基金资产估值</w:t>
      </w:r>
      <w:r>
        <w:rPr>
          <w:rFonts w:asciiTheme="minorEastAsia" w:hAnsiTheme="minorEastAsia" w:cs="Arial" w:hint="eastAsia"/>
          <w:sz w:val="24"/>
          <w:szCs w:val="24"/>
        </w:rPr>
        <w:lastRenderedPageBreak/>
        <w:t>的准确性、及时性。当任一类基金份额净值小数点后4位以内（含第4位）发生估值错误时，视为该类基金份额净值错误。</w:t>
      </w:r>
    </w:p>
    <w:p w14:paraId="568CEC19"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基金合同的当事人应按照以下约定处理：</w:t>
      </w:r>
    </w:p>
    <w:p w14:paraId="774A607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1、估值错误类型</w:t>
      </w:r>
    </w:p>
    <w:p w14:paraId="7B635F7D"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本基金运作过程中，如果由于基金管理人或基金托管人、或登记机构、或证券经纪机构、 或销售机构、或投资人自身的过错造成估值错误，导致其他当事人遭受损失的，过错的责任人应当对由于该估值错误遭受损失当事人（“受损方”）的直接损失按下述“估值错误处理原则”给予赔偿，承担赔偿责任。</w:t>
      </w:r>
    </w:p>
    <w:p w14:paraId="2E53295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47658383"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2、估值错误处理原则</w:t>
      </w:r>
    </w:p>
    <w:p w14:paraId="1C73061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03BC8CFA"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（2）估值错误的责任方对有关当事人的直接损失负责，不对间接损失负责，并且仅对估值错误的有关直接当事人负责，不对第三方负责。</w:t>
      </w:r>
    </w:p>
    <w:p w14:paraId="7378FB47"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（3）因估值错误而获得不当得利的当事人负有及时返还不当得利的义务。但估值错误责任方仍应对估值错误负责。如果由于获得不当得利的当事人</w:t>
      </w:r>
      <w:proofErr w:type="gramStart"/>
      <w:r>
        <w:rPr>
          <w:rFonts w:asciiTheme="minorEastAsia" w:hAnsiTheme="minorEastAsia" w:cs="Arial" w:hint="eastAsia"/>
          <w:sz w:val="24"/>
          <w:szCs w:val="24"/>
        </w:rPr>
        <w:t>不</w:t>
      </w:r>
      <w:proofErr w:type="gramEnd"/>
      <w:r>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34CD64C"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（4）估值错误调整采用尽量恢复至假设未发生估值错误的正确情形的方式。</w:t>
      </w:r>
    </w:p>
    <w:p w14:paraId="35C5CCB2"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3、估值错误处理程序</w:t>
      </w:r>
    </w:p>
    <w:p w14:paraId="004A8D28"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估值错误被发现后，有关的当事人应当及时进行处理，处理的程序如下：</w:t>
      </w:r>
    </w:p>
    <w:p w14:paraId="4715DC6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（1）查明估值错误发生的原因，列明所有的当事人，并根据估值错误发生的原因确定估值错误的责任方；</w:t>
      </w:r>
    </w:p>
    <w:p w14:paraId="2CB4F69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（2）根据估值错误处理原则或当事人协商的方法对因估值错误造成的损失进行评估；</w:t>
      </w:r>
    </w:p>
    <w:p w14:paraId="3565F127"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（3）根据估值错误处理原则或当事人协商的方法由估值错误的责任方进行更正和赔偿损失；</w:t>
      </w:r>
    </w:p>
    <w:p w14:paraId="22E1324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（4）根据估值错误处理的方法，需要修改基金份额登记机构交易数据的，由基金份额登记机构进行更正，并就估值错误的更正向有关当事人进行确认。</w:t>
      </w:r>
    </w:p>
    <w:p w14:paraId="34525763"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4、基金份额净值估值错误处理的方法如下：</w:t>
      </w:r>
    </w:p>
    <w:p w14:paraId="55EF2E08"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（1）基金份额净值计算出现错误时，基金管理人应当立即予以纠正，通报基金托管人，并采取合理的措施防止损失进一步扩大。</w:t>
      </w:r>
    </w:p>
    <w:p w14:paraId="53C5C42B"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（2）错误偏差达到某类基金份额净值的0.25%时，基金管理人应当通报基金托管人并报中国证监会备案；错误偏差达到某类基金份额净值的0.5%时，基金管理人应当公告，并报中国证监会备案。</w:t>
      </w:r>
    </w:p>
    <w:p w14:paraId="65038899"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（3）前述内容如法律法规或监管机关另有规定的，从其规定处理。</w:t>
      </w:r>
    </w:p>
    <w:p w14:paraId="539C53C3"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（三）暂停估值的情形</w:t>
      </w:r>
    </w:p>
    <w:p w14:paraId="2F46352F"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1、基金投资所涉及的证券/期货交易市场遇法定节假日或因其他原因暂停营业时；</w:t>
      </w:r>
    </w:p>
    <w:p w14:paraId="337321A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2、因不可抗力或其他情形致使基金管理人、基金托管人无法准确评估基金资产价值时；</w:t>
      </w:r>
    </w:p>
    <w:p w14:paraId="62DE7B0D"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3、当特定资产占前一估值日基金资产净值50%以上的，经与基金托管人协商确认后，基金管理人应当暂停基金估值；</w:t>
      </w:r>
    </w:p>
    <w:p w14:paraId="0C237FD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4、法律法规、中国证监会和基金合同认定的其它情形。</w:t>
      </w:r>
    </w:p>
    <w:p w14:paraId="48EBED9D"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（四）基金会计制度</w:t>
      </w:r>
    </w:p>
    <w:p w14:paraId="1E0774B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按国家有关部门制定的会计制度执行。</w:t>
      </w:r>
    </w:p>
    <w:p w14:paraId="1F1500F9"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（五）基金账册的建立</w:t>
      </w:r>
    </w:p>
    <w:p w14:paraId="03D3134C"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5397FEFC"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lastRenderedPageBreak/>
        <w:t>（六）会计数据和财务指标的核对</w:t>
      </w:r>
    </w:p>
    <w:p w14:paraId="091DE21E"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双方</w:t>
      </w:r>
      <w:proofErr w:type="gramStart"/>
      <w:r>
        <w:rPr>
          <w:rFonts w:asciiTheme="minorEastAsia" w:hAnsiTheme="minorEastAsia" w:cs="Arial" w:hint="eastAsia"/>
          <w:sz w:val="24"/>
          <w:szCs w:val="24"/>
        </w:rPr>
        <w:t>应每个</w:t>
      </w:r>
      <w:proofErr w:type="gramEnd"/>
      <w:r>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信息的计算和公告的，以基金管理人的账册为准。</w:t>
      </w:r>
    </w:p>
    <w:p w14:paraId="5A7840D5"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（七）基金定期报告的编制和复核</w:t>
      </w:r>
    </w:p>
    <w:p w14:paraId="525C247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基金财务报表由基金管理人和基金托管人每</w:t>
      </w:r>
      <w:proofErr w:type="gramStart"/>
      <w:r>
        <w:rPr>
          <w:rFonts w:asciiTheme="minorEastAsia" w:hAnsiTheme="minorEastAsia" w:cs="Arial" w:hint="eastAsia"/>
          <w:sz w:val="24"/>
          <w:szCs w:val="24"/>
        </w:rPr>
        <w:t>月分别独立</w:t>
      </w:r>
      <w:proofErr w:type="gramEnd"/>
      <w:r>
        <w:rPr>
          <w:rFonts w:asciiTheme="minorEastAsia" w:hAnsiTheme="minorEastAsia" w:cs="Arial" w:hint="eastAsia"/>
          <w:sz w:val="24"/>
          <w:szCs w:val="24"/>
        </w:rPr>
        <w:t>编制。月度报表的编制，应于每月终了后5个工作日内完成。定期报告文件应按中国证监会的要求公告。季度报表的编制，应于每季度终了后15个工作日内完成；《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6个月结束后的两个月内公告；年度报告在会计年度结束后三个月内公告。</w:t>
      </w:r>
    </w:p>
    <w:p w14:paraId="33EFB116"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在月度报表完成当日，以约定方式将有关报表提供基金托管人；基金托管人在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Pr>
          <w:rFonts w:asciiTheme="minorEastAsia" w:hAnsiTheme="minorEastAsia" w:cs="Arial" w:hint="eastAsia"/>
          <w:sz w:val="24"/>
          <w:szCs w:val="24"/>
        </w:rPr>
        <w:t>于应当</w:t>
      </w:r>
      <w:proofErr w:type="gramEnd"/>
      <w:r>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0D697A41" w14:textId="77777777" w:rsidR="00B67C49" w:rsidRDefault="00000000">
      <w:pPr>
        <w:adjustRightInd w:val="0"/>
        <w:snapToGrid w:val="0"/>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基金托管人在对财务报表、季度报告、中期报告或年度报告复核完毕后，可以出具复核确认书（盖章）、进行电子确认或以其他双方约定的方式确认，以</w:t>
      </w:r>
      <w:proofErr w:type="gramStart"/>
      <w:r>
        <w:rPr>
          <w:rFonts w:asciiTheme="minorEastAsia" w:hAnsiTheme="minorEastAsia" w:cs="Arial" w:hint="eastAsia"/>
          <w:sz w:val="24"/>
          <w:szCs w:val="24"/>
        </w:rPr>
        <w:t>备</w:t>
      </w:r>
      <w:r>
        <w:rPr>
          <w:rFonts w:asciiTheme="minorEastAsia" w:hAnsiTheme="minorEastAsia" w:cs="Arial" w:hint="eastAsia"/>
          <w:sz w:val="24"/>
          <w:szCs w:val="24"/>
        </w:rPr>
        <w:lastRenderedPageBreak/>
        <w:t>有权</w:t>
      </w:r>
      <w:proofErr w:type="gramEnd"/>
      <w:r>
        <w:rPr>
          <w:rFonts w:asciiTheme="minorEastAsia" w:hAnsiTheme="minorEastAsia" w:cs="Arial" w:hint="eastAsia"/>
          <w:sz w:val="24"/>
          <w:szCs w:val="24"/>
        </w:rPr>
        <w:t>机构对相关文件审核检查</w:t>
      </w:r>
    </w:p>
    <w:p w14:paraId="2283BA40" w14:textId="77777777" w:rsidR="00B67C49" w:rsidRDefault="00B67C49">
      <w:pPr>
        <w:adjustRightInd w:val="0"/>
        <w:snapToGrid w:val="0"/>
        <w:spacing w:line="360" w:lineRule="auto"/>
        <w:ind w:firstLineChars="200" w:firstLine="480"/>
        <w:rPr>
          <w:rFonts w:asciiTheme="minorEastAsia" w:hAnsiTheme="minorEastAsia" w:cs="Arial"/>
          <w:sz w:val="24"/>
          <w:szCs w:val="24"/>
        </w:rPr>
      </w:pPr>
    </w:p>
    <w:p w14:paraId="328CEA4A" w14:textId="77777777" w:rsidR="00B67C49"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基金份额持有人名册的保管</w:t>
      </w:r>
    </w:p>
    <w:p w14:paraId="6304E5D5"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4DF20B1F"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份额持有人名册，包括基金募集期结束时的基金份额持有人名册、基金权益登记日的基金份额持有人名册、基金份额持有人大会权益登记日的基金份额持有人名册、每年最后一个交易日的基金份额持有人名册，由基金登记机构负责编制和保管，并对基金份额持有人名册的真实性、完整性和准确性负责。</w:t>
      </w:r>
    </w:p>
    <w:p w14:paraId="59A18FEF"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基金管理人应根据基金托管人的要求定期和不定期向基金托管人提供基金份额持有人名册。</w:t>
      </w:r>
    </w:p>
    <w:p w14:paraId="261B9E57"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（一）基金管理人于《基金合同》生效日及《基金合同》终止日后10个工作日内向基金托管人提供由登记机构编制的基金份额持有人名册；</w:t>
      </w:r>
    </w:p>
    <w:p w14:paraId="0C963345"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（二）基金管理人于基金份额持有人大会权益登记日后5个工作日内向基金托管人提供由登记机构编制的基金份额持有人名册；</w:t>
      </w:r>
    </w:p>
    <w:p w14:paraId="7939925D"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（三）基金管理人于每年最后一个交易日后10个工作日内向基金托管人提供由登记机构编制的基金份额持有人名册；</w:t>
      </w:r>
    </w:p>
    <w:p w14:paraId="30B0F1BF"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0F36FEE3"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托管人以电子版形式妥善保管基金份额持有人名册，并定期刻成光盘备份，保存期限不低于法律法规规定的最低期限。基金托管人不得将所保管的基金份额持有人名册用于基金托管业务以外的其他用途，并应遵守保密义务。</w:t>
      </w:r>
      <w:proofErr w:type="gramStart"/>
      <w:r>
        <w:rPr>
          <w:rFonts w:ascii="宋体" w:hAnsi="宋体" w:hint="eastAsia"/>
          <w:sz w:val="24"/>
          <w:szCs w:val="24"/>
        </w:rPr>
        <w:t>若基金</w:t>
      </w:r>
      <w:proofErr w:type="gramEnd"/>
      <w:r>
        <w:rPr>
          <w:rFonts w:ascii="宋体" w:hAnsi="宋体" w:hint="eastAsia"/>
          <w:sz w:val="24"/>
          <w:szCs w:val="24"/>
        </w:rPr>
        <w:t>管理人或基金托管人由于自身原因无法妥善保管基金份额持有人名册，应按有关法规规定各自承担相应的责任。</w:t>
      </w:r>
    </w:p>
    <w:p w14:paraId="4BDCFD6A" w14:textId="77777777" w:rsidR="00B67C49" w:rsidRDefault="00B67C49">
      <w:pPr>
        <w:spacing w:line="360" w:lineRule="auto"/>
        <w:ind w:firstLineChars="200" w:firstLine="480"/>
        <w:rPr>
          <w:rFonts w:ascii="宋体" w:hAnsi="宋体"/>
          <w:sz w:val="24"/>
          <w:szCs w:val="24"/>
        </w:rPr>
      </w:pPr>
    </w:p>
    <w:p w14:paraId="77F2B920" w14:textId="77777777" w:rsidR="00B67C49"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争议解决方式</w:t>
      </w:r>
    </w:p>
    <w:p w14:paraId="35B4F6DD" w14:textId="77777777" w:rsidR="00B67C49"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w:t>
      </w:r>
      <w:r>
        <w:rPr>
          <w:rFonts w:ascii="宋体" w:hAnsi="宋体" w:hint="eastAsia"/>
          <w:sz w:val="24"/>
          <w:szCs w:val="24"/>
        </w:rPr>
        <w:lastRenderedPageBreak/>
        <w:t>裁规则进行仲裁，仲裁的地点为上海市，仲裁裁决是终局的，并对相关各方当事人均有约束力。除非仲裁裁决另有规定，仲裁费用由败诉方承担。</w:t>
      </w:r>
    </w:p>
    <w:p w14:paraId="7A6F4809" w14:textId="77777777" w:rsidR="00B67C49"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1A2B739D" w14:textId="77777777" w:rsidR="00B67C49" w:rsidRDefault="00000000">
      <w:pPr>
        <w:adjustRightInd w:val="0"/>
        <w:snapToGrid w:val="0"/>
        <w:spacing w:line="360" w:lineRule="auto"/>
        <w:ind w:firstLineChars="200" w:firstLine="480"/>
        <w:rPr>
          <w:rFonts w:ascii="宋体" w:hAnsi="宋体"/>
          <w:sz w:val="24"/>
          <w:szCs w:val="24"/>
        </w:rPr>
      </w:pPr>
      <w:r>
        <w:rPr>
          <w:rFonts w:ascii="宋体" w:hAnsi="宋体" w:hint="eastAsia"/>
          <w:sz w:val="24"/>
          <w:szCs w:val="24"/>
        </w:rPr>
        <w:t>本协议受中华人民共和国法律（为本协议之目的，不包括香港、澳门特别行政区及台湾地区法律）管辖并从其解释。</w:t>
      </w:r>
    </w:p>
    <w:p w14:paraId="0FFF08B5" w14:textId="77777777" w:rsidR="00B67C49" w:rsidRDefault="00000000">
      <w:pPr>
        <w:pStyle w:val="aff1"/>
        <w:numPr>
          <w:ilvl w:val="0"/>
          <w:numId w:val="4"/>
        </w:numPr>
        <w:tabs>
          <w:tab w:val="left" w:pos="851"/>
        </w:tabs>
        <w:adjustRightInd w:val="0"/>
        <w:snapToGrid w:val="0"/>
        <w:spacing w:line="360" w:lineRule="auto"/>
        <w:ind w:firstLineChars="0"/>
        <w:outlineLvl w:val="1"/>
        <w:rPr>
          <w:rFonts w:asciiTheme="minorEastAsia" w:hAnsiTheme="minorEastAsia" w:cs="Arial"/>
          <w:b/>
          <w:sz w:val="24"/>
          <w:szCs w:val="24"/>
        </w:rPr>
      </w:pPr>
      <w:r>
        <w:rPr>
          <w:rFonts w:asciiTheme="minorEastAsia" w:hAnsiTheme="minorEastAsia" w:cs="Arial" w:hint="eastAsia"/>
          <w:b/>
          <w:sz w:val="24"/>
          <w:szCs w:val="24"/>
        </w:rPr>
        <w:t>基金托管协议的变更、终止与基金财产的清算</w:t>
      </w:r>
    </w:p>
    <w:p w14:paraId="45FDC3D9"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（一）基金托管协议的变更</w:t>
      </w:r>
    </w:p>
    <w:p w14:paraId="334F293C"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本协议双方当事人经协商一致，可以对协议进行修改。修改后的新协议，其内容不得与《基金合同》的规定有任何冲突，并报中国证监会备案。</w:t>
      </w:r>
    </w:p>
    <w:p w14:paraId="7EEDAE9F"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（二）基金托管协议的终止</w:t>
      </w:r>
    </w:p>
    <w:p w14:paraId="7F510311"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1、《基金合同》终止；</w:t>
      </w:r>
    </w:p>
    <w:p w14:paraId="61EFA660"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2、基金托管人解散、依法被撤销、破产，被依法取消基金托管资格或因其他事由造成其他基金托管人接管基金财产；</w:t>
      </w:r>
    </w:p>
    <w:p w14:paraId="41CE8CD0"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3、基金管理人解散、依法被撤销、破产，被依法取消基金管理资格或因其他事由造成其他基金管理人接管基金管理权；</w:t>
      </w:r>
    </w:p>
    <w:p w14:paraId="2BFCDC88"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4、发生《基金法》、《销售办法》、《运作办法》或其他法律、法规规定的终止事项。</w:t>
      </w:r>
    </w:p>
    <w:p w14:paraId="1EA52680"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（三）基金财产的清算</w:t>
      </w:r>
    </w:p>
    <w:p w14:paraId="40C2AEDA"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1、基金财产清算小组：自出现《基金合同》终止事由之日起30个工作日内成立清算小组，基金管理人或临时基金管理人组织基金财产清算小组并在中国证监会的监督下进行基金清算。</w:t>
      </w:r>
    </w:p>
    <w:p w14:paraId="07BABD70"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2、基金财产清算小组组成：基金财产清算小组成员由基金管理人或临时基金管理人、基金托管人、符合《中华人民共和国证券法》规定的注册会计师、律师以及中国证监会指定的人员组成。基金财产清算小组可以聘用必要的工作人员。</w:t>
      </w:r>
    </w:p>
    <w:p w14:paraId="220215CE"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3、基金财产清算小组职责：基金财产清算小组负责基金财产的保管、清理、估价、变现和分配。基金财产清算小组可以依法进行必要的民事活动。</w:t>
      </w:r>
    </w:p>
    <w:p w14:paraId="450B4871"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4、基金财产清算程序：</w:t>
      </w:r>
    </w:p>
    <w:p w14:paraId="5CE6F143"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（1）《基金合同》终止情形出现时，由基金财产清算小组统一接管基金；</w:t>
      </w:r>
    </w:p>
    <w:p w14:paraId="22C28BDB"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lastRenderedPageBreak/>
        <w:t>（2）对基金财产和债权债务进行清理和确认；</w:t>
      </w:r>
    </w:p>
    <w:p w14:paraId="1C7C1558"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（3）对基金财产进行估值和变现；</w:t>
      </w:r>
    </w:p>
    <w:p w14:paraId="5F4BA111"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（4）制作清算报告；</w:t>
      </w:r>
    </w:p>
    <w:p w14:paraId="736EE9AE"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（5）聘请会计师事务所对清算报告进行外部审计，聘请律师事务所对清算报告出具法律意见书；</w:t>
      </w:r>
    </w:p>
    <w:p w14:paraId="0107B69E"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（6）将清算报告报中国证监会备案并公告；</w:t>
      </w:r>
    </w:p>
    <w:p w14:paraId="1FF58F5C"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（7）对基金剩余财产进行分配。</w:t>
      </w:r>
    </w:p>
    <w:p w14:paraId="2A898C99"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5、基金财产清算的期限为6个月，但因本基金所持证券的流动性受到限制而不能及时变现的，清算期限可相应顺延。</w:t>
      </w:r>
    </w:p>
    <w:p w14:paraId="79E39631"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6、清算费用</w:t>
      </w:r>
    </w:p>
    <w:p w14:paraId="2B05DEBC"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清算费用是指基金财产清算小组在进行基金清算过程中发生的所有合理费用，清算费用由基金财产清算小组优先从基金财产中支付。</w:t>
      </w:r>
    </w:p>
    <w:p w14:paraId="1B3E9702"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7、基金财产清算剩余资产的分配</w:t>
      </w:r>
    </w:p>
    <w:p w14:paraId="4B33F0DB"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22ABE630"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8、基金财产清算的公告</w:t>
      </w:r>
    </w:p>
    <w:p w14:paraId="37AA971B"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清算过程中的有关重大事项须及时公告；基金财产清算报告</w:t>
      </w:r>
      <w:proofErr w:type="gramStart"/>
      <w:r>
        <w:rPr>
          <w:rFonts w:ascii="宋体" w:hAnsi="宋体" w:hint="eastAsia"/>
          <w:sz w:val="24"/>
          <w:szCs w:val="24"/>
        </w:rPr>
        <w:t>经符合</w:t>
      </w:r>
      <w:proofErr w:type="gramEnd"/>
      <w:r>
        <w:rPr>
          <w:rFonts w:ascii="宋体" w:hAnsi="宋体" w:hint="eastAsia"/>
          <w:sz w:val="24"/>
          <w:szCs w:val="24"/>
        </w:rPr>
        <w:t>《中华人民共和国证券法》规定的会计师事务所审计并由律师事务所出具法律意见书后报中国证监会备案并公告。基金财产清算公告于基金财产清算报告报中国证监会备案后5个工作日内由基金财产清算小组进行公告，基金财产清算小组应当将清算报告登载在规定网站上，并将清算报告提示性公告登载在规定报刊上。</w:t>
      </w:r>
    </w:p>
    <w:p w14:paraId="2673AE38"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9、基金财产清算账册及文件的保存</w:t>
      </w:r>
    </w:p>
    <w:p w14:paraId="3EEF51CB" w14:textId="77777777" w:rsidR="00B67C49" w:rsidRDefault="00000000">
      <w:pPr>
        <w:spacing w:line="360" w:lineRule="auto"/>
        <w:ind w:firstLineChars="200" w:firstLine="480"/>
        <w:rPr>
          <w:rFonts w:ascii="宋体" w:hAnsi="宋体"/>
          <w:sz w:val="24"/>
          <w:szCs w:val="24"/>
        </w:rPr>
      </w:pPr>
      <w:r>
        <w:rPr>
          <w:rFonts w:ascii="宋体" w:hAnsi="宋体" w:hint="eastAsia"/>
          <w:sz w:val="24"/>
          <w:szCs w:val="24"/>
        </w:rPr>
        <w:t>基金财产清算账册及有关文件由基金托管人保存，保存期限不低于法律法规规定的最低期限。</w:t>
      </w:r>
    </w:p>
    <w:p w14:paraId="7E219C1A" w14:textId="77777777" w:rsidR="00B67C49" w:rsidRDefault="00000000">
      <w:pPr>
        <w:widowControl/>
        <w:jc w:val="left"/>
        <w:rPr>
          <w:rFonts w:ascii="宋体" w:hAnsi="宋体"/>
          <w:sz w:val="24"/>
          <w:szCs w:val="24"/>
        </w:rPr>
      </w:pPr>
      <w:r>
        <w:rPr>
          <w:rFonts w:ascii="宋体" w:hAnsi="宋体"/>
          <w:sz w:val="24"/>
          <w:szCs w:val="24"/>
        </w:rPr>
        <w:br w:type="page"/>
      </w:r>
    </w:p>
    <w:p w14:paraId="6A6E9CF6" w14:textId="77777777" w:rsidR="00B67C49" w:rsidRDefault="00000000">
      <w:pPr>
        <w:pStyle w:val="1"/>
        <w:jc w:val="center"/>
        <w:rPr>
          <w:sz w:val="30"/>
          <w:szCs w:val="30"/>
        </w:rPr>
      </w:pPr>
      <w:bookmarkStart w:id="426" w:name="_Toc68266308"/>
      <w:bookmarkStart w:id="427" w:name="_Toc119568477"/>
      <w:bookmarkStart w:id="428" w:name="_Toc21073396"/>
      <w:bookmarkStart w:id="429" w:name="_Toc214873621"/>
      <w:bookmarkStart w:id="430" w:name="_Toc12357176"/>
      <w:bookmarkStart w:id="431" w:name="_Toc263092328"/>
      <w:bookmarkStart w:id="432" w:name="_Toc416264555"/>
      <w:bookmarkStart w:id="433" w:name="_Toc147463123"/>
      <w:bookmarkStart w:id="434" w:name="_Toc139991751"/>
      <w:bookmarkStart w:id="435" w:name="_Toc23999"/>
      <w:bookmarkStart w:id="436" w:name="_Toc123051467"/>
      <w:bookmarkStart w:id="437" w:name="_Toc1790"/>
      <w:bookmarkStart w:id="438" w:name="_Toc3319"/>
      <w:bookmarkStart w:id="439" w:name="_Toc98560366"/>
      <w:bookmarkStart w:id="440" w:name="_Toc6202"/>
      <w:bookmarkStart w:id="441" w:name="_Toc141703902"/>
      <w:bookmarkStart w:id="442" w:name="_Toc123112249"/>
      <w:bookmarkStart w:id="443" w:name="_Toc30350"/>
      <w:bookmarkStart w:id="444" w:name="_Toc352229767"/>
      <w:bookmarkStart w:id="445" w:name="_Toc21983"/>
      <w:bookmarkStart w:id="446" w:name="_Toc25651"/>
      <w:bookmarkStart w:id="447" w:name="_Toc123102468"/>
      <w:bookmarkStart w:id="448" w:name="_Toc24923"/>
      <w:bookmarkStart w:id="449" w:name="_Toc6110"/>
      <w:bookmarkStart w:id="450" w:name="_Toc7288"/>
      <w:bookmarkStart w:id="451" w:name="_Toc8636"/>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Pr>
          <w:rFonts w:hint="eastAsia"/>
          <w:sz w:val="30"/>
          <w:szCs w:val="30"/>
        </w:rPr>
        <w:lastRenderedPageBreak/>
        <w:t>第二十一部分</w:t>
      </w:r>
      <w:r>
        <w:rPr>
          <w:sz w:val="30"/>
          <w:szCs w:val="30"/>
        </w:rPr>
        <w:t xml:space="preserve">  </w:t>
      </w:r>
      <w:r>
        <w:rPr>
          <w:rFonts w:hint="eastAsia"/>
          <w:sz w:val="30"/>
          <w:szCs w:val="30"/>
        </w:rPr>
        <w:t>对基金份额持有人的服务</w:t>
      </w:r>
      <w:bookmarkEnd w:id="426"/>
      <w:bookmarkEnd w:id="427"/>
    </w:p>
    <w:p w14:paraId="30886B99"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C94AB70"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（一）电话人工咨询服务</w:t>
      </w:r>
    </w:p>
    <w:p w14:paraId="6E81E63D"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086AAA6C"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（二）自助查询服务</w:t>
      </w:r>
    </w:p>
    <w:p w14:paraId="7F18B93D"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7287485A"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（三）邮件咨询服务</w:t>
      </w:r>
    </w:p>
    <w:p w14:paraId="4AEF93D0"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64067AC9"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（四）免费信息订阅服务</w:t>
      </w:r>
    </w:p>
    <w:p w14:paraId="67A16442"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35901FC1"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（五）资料邮寄服务</w:t>
      </w:r>
    </w:p>
    <w:p w14:paraId="751EF88A"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4031C6A3"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（六）客户投诉受理服务</w:t>
      </w:r>
    </w:p>
    <w:p w14:paraId="509E2279"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投资人可以通过客服热线、书信、电子邮件等渠道，对基金管理人和销售机构所提供的服务进行投诉。</w:t>
      </w:r>
    </w:p>
    <w:p w14:paraId="5D9D4BD4"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对于工作日期间受理的投诉，以“及时回复”为处理原则，对于不能及时回复的投诉，基金管理人承诺在 3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工作日之内对基金投资人的投诉做出回复。</w:t>
      </w:r>
      <w:r>
        <w:rPr>
          <w:rFonts w:asciiTheme="minorEastAsia" w:hAnsiTheme="minorEastAsia" w:cs="Arial" w:hint="eastAsia"/>
          <w:sz w:val="24"/>
          <w:szCs w:val="24"/>
        </w:rPr>
        <w:lastRenderedPageBreak/>
        <w:t xml:space="preserve">对于非工作日提出的投诉，基金管理人将在顺延到下 1 </w:t>
      </w:r>
      <w:proofErr w:type="gramStart"/>
      <w:r>
        <w:rPr>
          <w:rFonts w:asciiTheme="minorEastAsia" w:hAnsiTheme="minorEastAsia" w:cs="Arial" w:hint="eastAsia"/>
          <w:sz w:val="24"/>
          <w:szCs w:val="24"/>
        </w:rPr>
        <w:t>个</w:t>
      </w:r>
      <w:proofErr w:type="gramEnd"/>
      <w:r>
        <w:rPr>
          <w:rFonts w:asciiTheme="minorEastAsia" w:hAnsiTheme="minorEastAsia" w:cs="Arial" w:hint="eastAsia"/>
          <w:sz w:val="24"/>
          <w:szCs w:val="24"/>
        </w:rPr>
        <w:t>工作日进行回复。</w:t>
      </w:r>
    </w:p>
    <w:p w14:paraId="7672F5FB"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 xml:space="preserve">（七）基金管理人联系方式 </w:t>
      </w:r>
    </w:p>
    <w:p w14:paraId="33538297"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基金管理人网址： www.furamc.com.cn</w:t>
      </w:r>
    </w:p>
    <w:p w14:paraId="25C59D9E"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电子信箱：service@furamc.com.cn</w:t>
      </w:r>
    </w:p>
    <w:p w14:paraId="293C8A2C"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客服热线：4006855600</w:t>
      </w:r>
    </w:p>
    <w:p w14:paraId="128D704F"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客户服务部门地址：</w:t>
      </w:r>
      <w:r>
        <w:rPr>
          <w:rFonts w:asciiTheme="minorEastAsia" w:hAnsiTheme="minorEastAsia" w:cs="Times New Roman" w:hint="eastAsia"/>
          <w:kern w:val="0"/>
          <w:sz w:val="24"/>
          <w:szCs w:val="24"/>
        </w:rPr>
        <w:t>深圳市福田区八卦四路52号安吉尔大厦24层</w:t>
      </w:r>
      <w:r>
        <w:rPr>
          <w:rFonts w:asciiTheme="minorEastAsia" w:hAnsiTheme="minorEastAsia" w:cs="Arial" w:hint="eastAsia"/>
          <w:sz w:val="24"/>
          <w:szCs w:val="24"/>
        </w:rPr>
        <w:t>，富荣基金管理有限公司客户服务部门（收）</w:t>
      </w:r>
    </w:p>
    <w:p w14:paraId="571A54A0"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邮编：518038</w:t>
      </w:r>
    </w:p>
    <w:p w14:paraId="282D545F" w14:textId="77777777" w:rsidR="00B67C49" w:rsidRDefault="00000000">
      <w:pPr>
        <w:spacing w:line="360" w:lineRule="auto"/>
        <w:ind w:firstLineChars="200" w:firstLine="480"/>
        <w:rPr>
          <w:rFonts w:asciiTheme="minorEastAsia" w:hAnsiTheme="minorEastAsia" w:cs="Arial"/>
          <w:sz w:val="24"/>
          <w:szCs w:val="24"/>
        </w:rPr>
      </w:pPr>
      <w:r>
        <w:rPr>
          <w:rFonts w:asciiTheme="minorEastAsia" w:hAnsiTheme="minorEastAsia" w:cs="Arial" w:hint="eastAsia"/>
          <w:sz w:val="24"/>
          <w:szCs w:val="24"/>
        </w:rPr>
        <w:t>（八）如本招募说明书存在任何您/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无法理解的内容，请通过</w:t>
      </w:r>
      <w:proofErr w:type="gramStart"/>
      <w:r>
        <w:rPr>
          <w:rFonts w:asciiTheme="minorEastAsia" w:hAnsiTheme="minorEastAsia" w:cs="Arial" w:hint="eastAsia"/>
          <w:sz w:val="24"/>
          <w:szCs w:val="24"/>
        </w:rPr>
        <w:t>上述联系</w:t>
      </w:r>
      <w:proofErr w:type="gramEnd"/>
      <w:r>
        <w:rPr>
          <w:rFonts w:asciiTheme="minorEastAsia" w:hAnsiTheme="minorEastAsia" w:cs="Arial" w:hint="eastAsia"/>
          <w:sz w:val="24"/>
          <w:szCs w:val="24"/>
        </w:rPr>
        <w:t>方式联系基金管理人。</w:t>
      </w:r>
      <w:proofErr w:type="gramStart"/>
      <w:r>
        <w:rPr>
          <w:rFonts w:asciiTheme="minorEastAsia" w:hAnsiTheme="minorEastAsia" w:cs="Arial" w:hint="eastAsia"/>
          <w:sz w:val="24"/>
          <w:szCs w:val="24"/>
        </w:rPr>
        <w:t>请确保</w:t>
      </w:r>
      <w:proofErr w:type="gramEnd"/>
      <w:r>
        <w:rPr>
          <w:rFonts w:asciiTheme="minorEastAsia" w:hAnsiTheme="minorEastAsia" w:cs="Arial" w:hint="eastAsia"/>
          <w:sz w:val="24"/>
          <w:szCs w:val="24"/>
        </w:rPr>
        <w:t>投资前，您/</w:t>
      </w:r>
      <w:proofErr w:type="gramStart"/>
      <w:r>
        <w:rPr>
          <w:rFonts w:asciiTheme="minorEastAsia" w:hAnsiTheme="minorEastAsia" w:cs="Arial" w:hint="eastAsia"/>
          <w:sz w:val="24"/>
          <w:szCs w:val="24"/>
        </w:rPr>
        <w:t>贵机构</w:t>
      </w:r>
      <w:proofErr w:type="gramEnd"/>
      <w:r>
        <w:rPr>
          <w:rFonts w:asciiTheme="minorEastAsia" w:hAnsiTheme="minorEastAsia" w:cs="Arial" w:hint="eastAsia"/>
          <w:sz w:val="24"/>
          <w:szCs w:val="24"/>
        </w:rPr>
        <w:t>已经全面理解了本招募说明书</w:t>
      </w:r>
      <w:r>
        <w:rPr>
          <w:rFonts w:asciiTheme="minorEastAsia" w:hAnsiTheme="minorEastAsia" w:cs="Arial"/>
          <w:sz w:val="24"/>
          <w:szCs w:val="24"/>
        </w:rPr>
        <w:t>。</w:t>
      </w:r>
    </w:p>
    <w:p w14:paraId="6E0A769C" w14:textId="77777777" w:rsidR="00B67C49" w:rsidRDefault="00000000">
      <w:pPr>
        <w:pStyle w:val="1"/>
        <w:jc w:val="center"/>
        <w:rPr>
          <w:rFonts w:asciiTheme="minorEastAsia" w:eastAsiaTheme="minorEastAsia" w:hAnsiTheme="minorEastAsia"/>
          <w:sz w:val="30"/>
          <w:szCs w:val="30"/>
        </w:rPr>
      </w:pPr>
      <w:r>
        <w:rPr>
          <w:rFonts w:asciiTheme="minorEastAsia" w:hAnsiTheme="minorEastAsia"/>
          <w:szCs w:val="24"/>
        </w:rPr>
        <w:br w:type="page"/>
      </w:r>
      <w:bookmarkStart w:id="452" w:name="_Toc520207207"/>
      <w:bookmarkStart w:id="453" w:name="_Toc521338342"/>
      <w:bookmarkStart w:id="454" w:name="_Toc256666929"/>
      <w:bookmarkStart w:id="455" w:name="_Toc30359"/>
      <w:bookmarkStart w:id="456" w:name="_Toc119568478"/>
      <w:bookmarkStart w:id="457" w:name="_Toc256666809"/>
      <w:bookmarkStart w:id="458" w:name="_Toc482624810"/>
      <w:r>
        <w:rPr>
          <w:rFonts w:asciiTheme="minorEastAsia" w:eastAsiaTheme="minorEastAsia" w:hAnsiTheme="minorEastAsia" w:hint="eastAsia"/>
          <w:sz w:val="30"/>
          <w:szCs w:val="30"/>
        </w:rPr>
        <w:lastRenderedPageBreak/>
        <w:t>第二十二部分  其他应披露事项</w:t>
      </w:r>
      <w:bookmarkEnd w:id="452"/>
      <w:bookmarkEnd w:id="453"/>
      <w:bookmarkEnd w:id="454"/>
      <w:bookmarkEnd w:id="455"/>
      <w:bookmarkEnd w:id="456"/>
      <w:bookmarkEnd w:id="457"/>
      <w:bookmarkEnd w:id="458"/>
    </w:p>
    <w:tbl>
      <w:tblPr>
        <w:tblW w:w="87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17"/>
        <w:gridCol w:w="5708"/>
        <w:gridCol w:w="2230"/>
      </w:tblGrid>
      <w:tr w:rsidR="00B67C49" w14:paraId="37EBA70F" w14:textId="77777777">
        <w:trPr>
          <w:trHeight w:val="20"/>
        </w:trPr>
        <w:tc>
          <w:tcPr>
            <w:tcW w:w="817" w:type="dxa"/>
            <w:tcBorders>
              <w:top w:val="single" w:sz="4" w:space="0" w:color="auto"/>
              <w:left w:val="single" w:sz="4" w:space="0" w:color="auto"/>
              <w:bottom w:val="single" w:sz="4" w:space="0" w:color="auto"/>
              <w:right w:val="single" w:sz="4" w:space="0" w:color="auto"/>
            </w:tcBorders>
            <w:shd w:val="clear" w:color="auto" w:fill="auto"/>
          </w:tcPr>
          <w:p w14:paraId="22751E0F" w14:textId="77777777" w:rsidR="00B67C49" w:rsidRDefault="00000000">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5708" w:type="dxa"/>
            <w:tcBorders>
              <w:top w:val="single" w:sz="4" w:space="0" w:color="auto"/>
              <w:left w:val="single" w:sz="4" w:space="0" w:color="auto"/>
              <w:bottom w:val="single" w:sz="4" w:space="0" w:color="auto"/>
              <w:right w:val="single" w:sz="4" w:space="0" w:color="auto"/>
            </w:tcBorders>
            <w:shd w:val="clear" w:color="auto" w:fill="auto"/>
          </w:tcPr>
          <w:p w14:paraId="020EE1C5" w14:textId="77777777" w:rsidR="00B67C49" w:rsidRDefault="00000000">
            <w:pPr>
              <w:jc w:val="center"/>
              <w:rPr>
                <w:rFonts w:asciiTheme="minorEastAsia" w:hAnsiTheme="minorEastAsia" w:cs="Arial"/>
                <w:sz w:val="24"/>
                <w:szCs w:val="24"/>
              </w:rPr>
            </w:pPr>
            <w:r>
              <w:rPr>
                <w:rFonts w:asciiTheme="minorEastAsia" w:hAnsiTheme="minorEastAsia" w:cs="Arial" w:hint="eastAsia"/>
                <w:sz w:val="24"/>
                <w:szCs w:val="24"/>
              </w:rPr>
              <w:t>公告事项</w:t>
            </w:r>
          </w:p>
        </w:tc>
        <w:tc>
          <w:tcPr>
            <w:tcW w:w="2230" w:type="dxa"/>
            <w:tcBorders>
              <w:top w:val="single" w:sz="4" w:space="0" w:color="auto"/>
              <w:left w:val="single" w:sz="4" w:space="0" w:color="auto"/>
              <w:bottom w:val="single" w:sz="4" w:space="0" w:color="auto"/>
              <w:right w:val="single" w:sz="4" w:space="0" w:color="auto"/>
            </w:tcBorders>
            <w:shd w:val="clear" w:color="auto" w:fill="auto"/>
          </w:tcPr>
          <w:p w14:paraId="0FF7FE83" w14:textId="77777777" w:rsidR="00B67C49" w:rsidRDefault="00000000">
            <w:pPr>
              <w:jc w:val="center"/>
              <w:rPr>
                <w:rFonts w:asciiTheme="minorEastAsia" w:hAnsiTheme="minorEastAsia" w:cs="Arial"/>
                <w:sz w:val="24"/>
                <w:szCs w:val="24"/>
              </w:rPr>
            </w:pPr>
            <w:r>
              <w:rPr>
                <w:rFonts w:asciiTheme="minorEastAsia" w:hAnsiTheme="minorEastAsia" w:cs="Arial" w:hint="eastAsia"/>
                <w:sz w:val="24"/>
                <w:szCs w:val="24"/>
              </w:rPr>
              <w:t>披露日期</w:t>
            </w:r>
          </w:p>
        </w:tc>
      </w:tr>
      <w:tr w:rsidR="00B67C49" w14:paraId="2EBC87DE" w14:textId="77777777">
        <w:trPr>
          <w:trHeight w:val="20"/>
        </w:trPr>
        <w:tc>
          <w:tcPr>
            <w:tcW w:w="817" w:type="dxa"/>
            <w:shd w:val="clear" w:color="auto" w:fill="auto"/>
          </w:tcPr>
          <w:p w14:paraId="6674AF28"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p>
        </w:tc>
        <w:tc>
          <w:tcPr>
            <w:tcW w:w="5708" w:type="dxa"/>
            <w:shd w:val="clear" w:color="auto" w:fill="auto"/>
            <w:vAlign w:val="bottom"/>
          </w:tcPr>
          <w:p w14:paraId="25708107"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2022</w:t>
            </w:r>
            <w:r>
              <w:rPr>
                <w:rFonts w:asciiTheme="minorEastAsia" w:hAnsiTheme="minorEastAsia" w:cs="Arial" w:hint="eastAsia"/>
                <w:sz w:val="24"/>
                <w:szCs w:val="24"/>
              </w:rPr>
              <w:t>年第</w:t>
            </w:r>
            <w:r>
              <w:rPr>
                <w:rFonts w:asciiTheme="minorEastAsia" w:hAnsiTheme="minorEastAsia" w:cs="Arial"/>
                <w:sz w:val="24"/>
                <w:szCs w:val="24"/>
              </w:rPr>
              <w:t>3</w:t>
            </w:r>
            <w:r>
              <w:rPr>
                <w:rFonts w:asciiTheme="minorEastAsia" w:hAnsiTheme="minorEastAsia" w:cs="Arial" w:hint="eastAsia"/>
                <w:sz w:val="24"/>
                <w:szCs w:val="24"/>
              </w:rPr>
              <w:t>季度报告提示性公告</w:t>
            </w:r>
          </w:p>
        </w:tc>
        <w:tc>
          <w:tcPr>
            <w:tcW w:w="2230" w:type="dxa"/>
            <w:shd w:val="clear" w:color="auto" w:fill="auto"/>
            <w:vAlign w:val="center"/>
          </w:tcPr>
          <w:p w14:paraId="6812A7CE"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10</w:t>
            </w:r>
            <w:r>
              <w:rPr>
                <w:rFonts w:asciiTheme="minorEastAsia" w:hAnsiTheme="minorEastAsia" w:cs="Arial" w:hint="eastAsia"/>
                <w:sz w:val="24"/>
                <w:szCs w:val="24"/>
              </w:rPr>
              <w:t>月</w:t>
            </w:r>
            <w:r>
              <w:rPr>
                <w:rFonts w:asciiTheme="minorEastAsia" w:hAnsiTheme="minorEastAsia" w:cs="Arial"/>
                <w:sz w:val="24"/>
                <w:szCs w:val="24"/>
              </w:rPr>
              <w:t>26</w:t>
            </w:r>
            <w:r>
              <w:rPr>
                <w:rFonts w:asciiTheme="minorEastAsia" w:hAnsiTheme="minorEastAsia" w:cs="Arial" w:hint="eastAsia"/>
                <w:sz w:val="24"/>
                <w:szCs w:val="24"/>
              </w:rPr>
              <w:t>日</w:t>
            </w:r>
          </w:p>
        </w:tc>
      </w:tr>
      <w:tr w:rsidR="00B67C49" w14:paraId="19D2A13D" w14:textId="77777777">
        <w:trPr>
          <w:trHeight w:val="20"/>
        </w:trPr>
        <w:tc>
          <w:tcPr>
            <w:tcW w:w="817" w:type="dxa"/>
            <w:shd w:val="clear" w:color="auto" w:fill="auto"/>
          </w:tcPr>
          <w:p w14:paraId="11B5170F"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2</w:t>
            </w:r>
          </w:p>
        </w:tc>
        <w:tc>
          <w:tcPr>
            <w:tcW w:w="5708" w:type="dxa"/>
            <w:shd w:val="clear" w:color="auto" w:fill="auto"/>
            <w:vAlign w:val="bottom"/>
          </w:tcPr>
          <w:p w14:paraId="6B4251E5"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富荣基金管理有限公司关于旗下基金新增九州证券股份有限公司为销售机构、开通基金定期定额投资业务和基金转换业务并参加申购及定期定额投资申购费率优惠活动的公告</w:t>
            </w:r>
          </w:p>
        </w:tc>
        <w:tc>
          <w:tcPr>
            <w:tcW w:w="2230" w:type="dxa"/>
            <w:shd w:val="clear" w:color="auto" w:fill="auto"/>
            <w:vAlign w:val="center"/>
          </w:tcPr>
          <w:p w14:paraId="6A4CA7EA"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10</w:t>
            </w:r>
            <w:r>
              <w:rPr>
                <w:rFonts w:asciiTheme="minorEastAsia" w:hAnsiTheme="minorEastAsia" w:cs="Arial" w:hint="eastAsia"/>
                <w:sz w:val="24"/>
                <w:szCs w:val="24"/>
              </w:rPr>
              <w:t>月</w:t>
            </w:r>
            <w:r>
              <w:rPr>
                <w:rFonts w:asciiTheme="minorEastAsia" w:hAnsiTheme="minorEastAsia" w:cs="Arial"/>
                <w:sz w:val="24"/>
                <w:szCs w:val="24"/>
              </w:rPr>
              <w:t>26</w:t>
            </w:r>
            <w:r>
              <w:rPr>
                <w:rFonts w:asciiTheme="minorEastAsia" w:hAnsiTheme="minorEastAsia" w:cs="Arial" w:hint="eastAsia"/>
                <w:sz w:val="24"/>
                <w:szCs w:val="24"/>
              </w:rPr>
              <w:t>日</w:t>
            </w:r>
          </w:p>
        </w:tc>
      </w:tr>
      <w:tr w:rsidR="00B67C49" w14:paraId="5EAAD3F2" w14:textId="77777777">
        <w:trPr>
          <w:trHeight w:val="20"/>
        </w:trPr>
        <w:tc>
          <w:tcPr>
            <w:tcW w:w="817" w:type="dxa"/>
            <w:shd w:val="clear" w:color="auto" w:fill="auto"/>
          </w:tcPr>
          <w:p w14:paraId="408063D9"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3</w:t>
            </w:r>
          </w:p>
        </w:tc>
        <w:tc>
          <w:tcPr>
            <w:tcW w:w="5708" w:type="dxa"/>
            <w:shd w:val="clear" w:color="auto" w:fill="auto"/>
            <w:vAlign w:val="bottom"/>
          </w:tcPr>
          <w:p w14:paraId="188348A3"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2230" w:type="dxa"/>
            <w:shd w:val="clear" w:color="auto" w:fill="auto"/>
            <w:vAlign w:val="center"/>
          </w:tcPr>
          <w:p w14:paraId="7F864FA8"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23</w:t>
            </w:r>
            <w:r>
              <w:rPr>
                <w:rFonts w:asciiTheme="minorEastAsia" w:hAnsiTheme="minorEastAsia" w:cs="Arial" w:hint="eastAsia"/>
                <w:sz w:val="24"/>
                <w:szCs w:val="24"/>
              </w:rPr>
              <w:t>日</w:t>
            </w:r>
          </w:p>
        </w:tc>
      </w:tr>
      <w:tr w:rsidR="00B67C49" w14:paraId="33CFDB5F" w14:textId="77777777">
        <w:trPr>
          <w:trHeight w:val="20"/>
        </w:trPr>
        <w:tc>
          <w:tcPr>
            <w:tcW w:w="817" w:type="dxa"/>
            <w:shd w:val="clear" w:color="auto" w:fill="auto"/>
          </w:tcPr>
          <w:p w14:paraId="5A91C4C0"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4</w:t>
            </w:r>
          </w:p>
        </w:tc>
        <w:tc>
          <w:tcPr>
            <w:tcW w:w="5708" w:type="dxa"/>
            <w:shd w:val="clear" w:color="auto" w:fill="auto"/>
            <w:vAlign w:val="bottom"/>
          </w:tcPr>
          <w:p w14:paraId="2535F1C9"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富荣基金管理有限公司关于旗下基金新增海通证券股份有限公司为销售机构、开通基金定期定额投资业务和基金转换业务并参加申购及定期定额投资申购费率优惠活动的公告</w:t>
            </w:r>
          </w:p>
        </w:tc>
        <w:tc>
          <w:tcPr>
            <w:tcW w:w="2230" w:type="dxa"/>
            <w:shd w:val="clear" w:color="auto" w:fill="auto"/>
            <w:vAlign w:val="center"/>
          </w:tcPr>
          <w:p w14:paraId="21898569"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11</w:t>
            </w:r>
            <w:r>
              <w:rPr>
                <w:rFonts w:asciiTheme="minorEastAsia" w:hAnsiTheme="minorEastAsia" w:cs="Arial" w:hint="eastAsia"/>
                <w:sz w:val="24"/>
                <w:szCs w:val="24"/>
              </w:rPr>
              <w:t>月</w:t>
            </w:r>
            <w:r>
              <w:rPr>
                <w:rFonts w:asciiTheme="minorEastAsia" w:hAnsiTheme="minorEastAsia" w:cs="Arial"/>
                <w:sz w:val="24"/>
                <w:szCs w:val="24"/>
              </w:rPr>
              <w:t>24</w:t>
            </w:r>
            <w:r>
              <w:rPr>
                <w:rFonts w:asciiTheme="minorEastAsia" w:hAnsiTheme="minorEastAsia" w:cs="Arial" w:hint="eastAsia"/>
                <w:sz w:val="24"/>
                <w:szCs w:val="24"/>
              </w:rPr>
              <w:t>日</w:t>
            </w:r>
          </w:p>
        </w:tc>
      </w:tr>
      <w:tr w:rsidR="00B67C49" w14:paraId="0D1CE051" w14:textId="77777777">
        <w:trPr>
          <w:trHeight w:val="20"/>
        </w:trPr>
        <w:tc>
          <w:tcPr>
            <w:tcW w:w="817" w:type="dxa"/>
            <w:shd w:val="clear" w:color="auto" w:fill="auto"/>
          </w:tcPr>
          <w:p w14:paraId="481F9744"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5</w:t>
            </w:r>
          </w:p>
        </w:tc>
        <w:tc>
          <w:tcPr>
            <w:tcW w:w="5708" w:type="dxa"/>
            <w:shd w:val="clear" w:color="auto" w:fill="auto"/>
            <w:vAlign w:val="bottom"/>
          </w:tcPr>
          <w:p w14:paraId="7EFAD7AD"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富荣基金管理有限公司关于旗下基金新增华金证券股份有限公司为销售机构、开通基金定期定额投资业务和基金转换业务并参加申购及定期定额投资申购费率优惠活动的公告</w:t>
            </w:r>
          </w:p>
        </w:tc>
        <w:tc>
          <w:tcPr>
            <w:tcW w:w="2230" w:type="dxa"/>
            <w:shd w:val="clear" w:color="auto" w:fill="auto"/>
            <w:vAlign w:val="center"/>
          </w:tcPr>
          <w:p w14:paraId="78310F17"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2022</w:t>
            </w:r>
            <w:r>
              <w:rPr>
                <w:rFonts w:asciiTheme="minorEastAsia" w:hAnsiTheme="minorEastAsia" w:cs="Arial" w:hint="eastAsia"/>
                <w:sz w:val="24"/>
                <w:szCs w:val="24"/>
              </w:rPr>
              <w:t>年</w:t>
            </w:r>
            <w:r>
              <w:rPr>
                <w:rFonts w:asciiTheme="minorEastAsia" w:hAnsiTheme="minorEastAsia" w:cs="Arial"/>
                <w:sz w:val="24"/>
                <w:szCs w:val="24"/>
              </w:rPr>
              <w:t>12</w:t>
            </w:r>
            <w:r>
              <w:rPr>
                <w:rFonts w:asciiTheme="minorEastAsia" w:hAnsiTheme="minorEastAsia" w:cs="Arial" w:hint="eastAsia"/>
                <w:sz w:val="24"/>
                <w:szCs w:val="24"/>
              </w:rPr>
              <w:t>月</w:t>
            </w:r>
            <w:r>
              <w:rPr>
                <w:rFonts w:asciiTheme="minorEastAsia" w:hAnsiTheme="minorEastAsia" w:cs="Arial"/>
                <w:sz w:val="24"/>
                <w:szCs w:val="24"/>
              </w:rPr>
              <w:t>12</w:t>
            </w:r>
            <w:r>
              <w:rPr>
                <w:rFonts w:asciiTheme="minorEastAsia" w:hAnsiTheme="minorEastAsia" w:cs="Arial" w:hint="eastAsia"/>
                <w:sz w:val="24"/>
                <w:szCs w:val="24"/>
              </w:rPr>
              <w:t>日</w:t>
            </w:r>
          </w:p>
        </w:tc>
      </w:tr>
      <w:tr w:rsidR="00B67C49" w14:paraId="09F9ADD2" w14:textId="77777777">
        <w:trPr>
          <w:trHeight w:val="20"/>
        </w:trPr>
        <w:tc>
          <w:tcPr>
            <w:tcW w:w="817" w:type="dxa"/>
            <w:shd w:val="clear" w:color="auto" w:fill="auto"/>
          </w:tcPr>
          <w:p w14:paraId="27D639C0"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6</w:t>
            </w:r>
          </w:p>
        </w:tc>
        <w:tc>
          <w:tcPr>
            <w:tcW w:w="5708" w:type="dxa"/>
            <w:shd w:val="clear" w:color="auto" w:fill="auto"/>
            <w:vAlign w:val="bottom"/>
          </w:tcPr>
          <w:p w14:paraId="607248AC"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2022</w:t>
            </w:r>
            <w:r>
              <w:rPr>
                <w:rFonts w:asciiTheme="minorEastAsia" w:hAnsiTheme="minorEastAsia" w:cs="Arial" w:hint="eastAsia"/>
                <w:sz w:val="24"/>
                <w:szCs w:val="24"/>
              </w:rPr>
              <w:t>年第</w:t>
            </w:r>
            <w:r>
              <w:rPr>
                <w:rFonts w:asciiTheme="minorEastAsia" w:hAnsiTheme="minorEastAsia" w:cs="Arial"/>
                <w:sz w:val="24"/>
                <w:szCs w:val="24"/>
              </w:rPr>
              <w:t>4</w:t>
            </w:r>
            <w:r>
              <w:rPr>
                <w:rFonts w:asciiTheme="minorEastAsia" w:hAnsiTheme="minorEastAsia" w:cs="Arial" w:hint="eastAsia"/>
                <w:sz w:val="24"/>
                <w:szCs w:val="24"/>
              </w:rPr>
              <w:t>季度报告提示性公告</w:t>
            </w:r>
          </w:p>
        </w:tc>
        <w:tc>
          <w:tcPr>
            <w:tcW w:w="2230" w:type="dxa"/>
            <w:shd w:val="clear" w:color="auto" w:fill="auto"/>
            <w:vAlign w:val="center"/>
          </w:tcPr>
          <w:p w14:paraId="1B5AEB18"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1</w:t>
            </w:r>
            <w:r>
              <w:rPr>
                <w:rFonts w:asciiTheme="minorEastAsia" w:hAnsiTheme="minorEastAsia" w:cs="Arial" w:hint="eastAsia"/>
                <w:sz w:val="24"/>
                <w:szCs w:val="24"/>
              </w:rPr>
              <w:t>月</w:t>
            </w:r>
            <w:r>
              <w:rPr>
                <w:rFonts w:asciiTheme="minorEastAsia" w:hAnsiTheme="minorEastAsia" w:cs="Arial"/>
                <w:sz w:val="24"/>
                <w:szCs w:val="24"/>
              </w:rPr>
              <w:t>20</w:t>
            </w:r>
            <w:r>
              <w:rPr>
                <w:rFonts w:asciiTheme="minorEastAsia" w:hAnsiTheme="minorEastAsia" w:cs="Arial" w:hint="eastAsia"/>
                <w:sz w:val="24"/>
                <w:szCs w:val="24"/>
              </w:rPr>
              <w:t>日</w:t>
            </w:r>
          </w:p>
        </w:tc>
      </w:tr>
      <w:tr w:rsidR="00B67C49" w14:paraId="5047A26F" w14:textId="77777777">
        <w:trPr>
          <w:trHeight w:val="20"/>
        </w:trPr>
        <w:tc>
          <w:tcPr>
            <w:tcW w:w="817" w:type="dxa"/>
            <w:shd w:val="clear" w:color="auto" w:fill="auto"/>
          </w:tcPr>
          <w:p w14:paraId="4A8E0A4F"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7</w:t>
            </w:r>
          </w:p>
        </w:tc>
        <w:tc>
          <w:tcPr>
            <w:tcW w:w="5708" w:type="dxa"/>
            <w:shd w:val="clear" w:color="auto" w:fill="auto"/>
            <w:vAlign w:val="bottom"/>
          </w:tcPr>
          <w:p w14:paraId="462E5B4E"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富荣基金管理有限公司关于旗下部分基金参加销售机构基金申购及定期定额投资申购费率优惠活动的公告</w:t>
            </w:r>
          </w:p>
        </w:tc>
        <w:tc>
          <w:tcPr>
            <w:tcW w:w="2230" w:type="dxa"/>
            <w:shd w:val="clear" w:color="auto" w:fill="auto"/>
            <w:vAlign w:val="center"/>
          </w:tcPr>
          <w:p w14:paraId="7B719AAC"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3</w:t>
            </w:r>
            <w:r>
              <w:rPr>
                <w:rFonts w:asciiTheme="minorEastAsia" w:hAnsiTheme="minorEastAsia" w:cs="Arial" w:hint="eastAsia"/>
                <w:sz w:val="24"/>
                <w:szCs w:val="24"/>
              </w:rPr>
              <w:t>日</w:t>
            </w:r>
          </w:p>
        </w:tc>
      </w:tr>
      <w:tr w:rsidR="00B67C49" w14:paraId="4A2FAA33" w14:textId="77777777">
        <w:trPr>
          <w:trHeight w:val="20"/>
        </w:trPr>
        <w:tc>
          <w:tcPr>
            <w:tcW w:w="817" w:type="dxa"/>
            <w:shd w:val="clear" w:color="auto" w:fill="auto"/>
          </w:tcPr>
          <w:p w14:paraId="672F502B"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8</w:t>
            </w:r>
          </w:p>
        </w:tc>
        <w:tc>
          <w:tcPr>
            <w:tcW w:w="5708" w:type="dxa"/>
            <w:shd w:val="clear" w:color="auto" w:fill="auto"/>
            <w:vAlign w:val="bottom"/>
          </w:tcPr>
          <w:p w14:paraId="1D236547"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30" w:type="dxa"/>
            <w:shd w:val="clear" w:color="auto" w:fill="auto"/>
            <w:vAlign w:val="center"/>
          </w:tcPr>
          <w:p w14:paraId="71F11E98"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3</w:t>
            </w:r>
            <w:r>
              <w:rPr>
                <w:rFonts w:asciiTheme="minorEastAsia" w:hAnsiTheme="minorEastAsia" w:cs="Arial" w:hint="eastAsia"/>
                <w:sz w:val="24"/>
                <w:szCs w:val="24"/>
              </w:rPr>
              <w:t>日</w:t>
            </w:r>
          </w:p>
        </w:tc>
      </w:tr>
      <w:tr w:rsidR="00B67C49" w14:paraId="46832B01" w14:textId="77777777">
        <w:trPr>
          <w:trHeight w:val="20"/>
        </w:trPr>
        <w:tc>
          <w:tcPr>
            <w:tcW w:w="817" w:type="dxa"/>
            <w:shd w:val="clear" w:color="auto" w:fill="auto"/>
          </w:tcPr>
          <w:p w14:paraId="21A13F78"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9</w:t>
            </w:r>
          </w:p>
        </w:tc>
        <w:tc>
          <w:tcPr>
            <w:tcW w:w="5708" w:type="dxa"/>
            <w:shd w:val="clear" w:color="auto" w:fill="auto"/>
            <w:vAlign w:val="bottom"/>
          </w:tcPr>
          <w:p w14:paraId="420CA95F"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30" w:type="dxa"/>
            <w:shd w:val="clear" w:color="auto" w:fill="auto"/>
            <w:vAlign w:val="center"/>
          </w:tcPr>
          <w:p w14:paraId="7ACA85FD"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2</w:t>
            </w:r>
            <w:r>
              <w:rPr>
                <w:rFonts w:asciiTheme="minorEastAsia" w:hAnsiTheme="minorEastAsia" w:cs="Arial" w:hint="eastAsia"/>
                <w:sz w:val="24"/>
                <w:szCs w:val="24"/>
              </w:rPr>
              <w:t>月</w:t>
            </w:r>
            <w:r>
              <w:rPr>
                <w:rFonts w:asciiTheme="minorEastAsia" w:hAnsiTheme="minorEastAsia" w:cs="Arial"/>
                <w:sz w:val="24"/>
                <w:szCs w:val="24"/>
              </w:rPr>
              <w:t>15</w:t>
            </w:r>
            <w:r>
              <w:rPr>
                <w:rFonts w:asciiTheme="minorEastAsia" w:hAnsiTheme="minorEastAsia" w:cs="Arial" w:hint="eastAsia"/>
                <w:sz w:val="24"/>
                <w:szCs w:val="24"/>
              </w:rPr>
              <w:t>日</w:t>
            </w:r>
          </w:p>
        </w:tc>
      </w:tr>
      <w:tr w:rsidR="00B67C49" w14:paraId="174B5C0B" w14:textId="77777777">
        <w:trPr>
          <w:trHeight w:val="20"/>
        </w:trPr>
        <w:tc>
          <w:tcPr>
            <w:tcW w:w="817" w:type="dxa"/>
            <w:shd w:val="clear" w:color="auto" w:fill="auto"/>
          </w:tcPr>
          <w:p w14:paraId="31159503"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08" w:type="dxa"/>
            <w:shd w:val="clear" w:color="auto" w:fill="auto"/>
            <w:vAlign w:val="bottom"/>
          </w:tcPr>
          <w:p w14:paraId="24027127"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富荣基金管理有限公司关于旗下基金新增华</w:t>
            </w:r>
            <w:proofErr w:type="gramStart"/>
            <w:r>
              <w:rPr>
                <w:rFonts w:asciiTheme="minorEastAsia" w:hAnsiTheme="minorEastAsia" w:cs="Arial" w:hint="eastAsia"/>
                <w:sz w:val="24"/>
                <w:szCs w:val="24"/>
              </w:rPr>
              <w:t>宝证券</w:t>
            </w:r>
            <w:proofErr w:type="gramEnd"/>
            <w:r>
              <w:rPr>
                <w:rFonts w:asciiTheme="minorEastAsia" w:hAnsiTheme="minorEastAsia" w:cs="Arial" w:hint="eastAsia"/>
                <w:sz w:val="24"/>
                <w:szCs w:val="24"/>
              </w:rPr>
              <w:t>股份有限公司为销售机构、开通基金定期定额投资业务和基金转换业务并参加申购及定期定额投资申购费率优惠活动的公告</w:t>
            </w:r>
          </w:p>
        </w:tc>
        <w:tc>
          <w:tcPr>
            <w:tcW w:w="2230" w:type="dxa"/>
            <w:shd w:val="clear" w:color="auto" w:fill="auto"/>
            <w:vAlign w:val="center"/>
          </w:tcPr>
          <w:p w14:paraId="0CBBAF93"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3</w:t>
            </w:r>
            <w:r>
              <w:rPr>
                <w:rFonts w:asciiTheme="minorEastAsia" w:hAnsiTheme="minorEastAsia" w:cs="Arial" w:hint="eastAsia"/>
                <w:sz w:val="24"/>
                <w:szCs w:val="24"/>
              </w:rPr>
              <w:t>月</w:t>
            </w:r>
            <w:r>
              <w:rPr>
                <w:rFonts w:asciiTheme="minorEastAsia" w:hAnsiTheme="minorEastAsia" w:cs="Arial"/>
                <w:sz w:val="24"/>
                <w:szCs w:val="24"/>
              </w:rPr>
              <w:t>15</w:t>
            </w:r>
            <w:r>
              <w:rPr>
                <w:rFonts w:asciiTheme="minorEastAsia" w:hAnsiTheme="minorEastAsia" w:cs="Arial" w:hint="eastAsia"/>
                <w:sz w:val="24"/>
                <w:szCs w:val="24"/>
              </w:rPr>
              <w:t>日</w:t>
            </w:r>
          </w:p>
        </w:tc>
      </w:tr>
      <w:tr w:rsidR="00B67C49" w14:paraId="1A836B22" w14:textId="77777777">
        <w:trPr>
          <w:trHeight w:val="20"/>
        </w:trPr>
        <w:tc>
          <w:tcPr>
            <w:tcW w:w="817" w:type="dxa"/>
            <w:shd w:val="clear" w:color="auto" w:fill="auto"/>
          </w:tcPr>
          <w:p w14:paraId="4116C9F8"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08" w:type="dxa"/>
            <w:shd w:val="clear" w:color="auto" w:fill="auto"/>
            <w:vAlign w:val="bottom"/>
          </w:tcPr>
          <w:p w14:paraId="224EFCDF"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富荣基金管理有限公司关于旗下部分基金新增江海证券有限公司为销售机构、开通基金定期定额投资业务和基金转换业务并参加申购及定期定额投资申购费率优惠活动的公告</w:t>
            </w:r>
          </w:p>
        </w:tc>
        <w:tc>
          <w:tcPr>
            <w:tcW w:w="2230" w:type="dxa"/>
            <w:shd w:val="clear" w:color="auto" w:fill="auto"/>
            <w:vAlign w:val="center"/>
          </w:tcPr>
          <w:p w14:paraId="4B47BF51"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3</w:t>
            </w:r>
            <w:r>
              <w:rPr>
                <w:rFonts w:asciiTheme="minorEastAsia" w:hAnsiTheme="minorEastAsia" w:cs="Arial" w:hint="eastAsia"/>
                <w:sz w:val="24"/>
                <w:szCs w:val="24"/>
              </w:rPr>
              <w:t>月</w:t>
            </w:r>
            <w:r>
              <w:rPr>
                <w:rFonts w:asciiTheme="minorEastAsia" w:hAnsiTheme="minorEastAsia" w:cs="Arial"/>
                <w:sz w:val="24"/>
                <w:szCs w:val="24"/>
              </w:rPr>
              <w:t>20</w:t>
            </w:r>
            <w:r>
              <w:rPr>
                <w:rFonts w:asciiTheme="minorEastAsia" w:hAnsiTheme="minorEastAsia" w:cs="Arial" w:hint="eastAsia"/>
                <w:sz w:val="24"/>
                <w:szCs w:val="24"/>
              </w:rPr>
              <w:t>日</w:t>
            </w:r>
          </w:p>
        </w:tc>
      </w:tr>
      <w:tr w:rsidR="00B67C49" w14:paraId="6CEB3EB7" w14:textId="77777777">
        <w:trPr>
          <w:trHeight w:val="20"/>
        </w:trPr>
        <w:tc>
          <w:tcPr>
            <w:tcW w:w="817" w:type="dxa"/>
            <w:shd w:val="clear" w:color="auto" w:fill="auto"/>
          </w:tcPr>
          <w:p w14:paraId="3EB1AFA0"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08" w:type="dxa"/>
            <w:shd w:val="clear" w:color="auto" w:fill="auto"/>
            <w:vAlign w:val="bottom"/>
          </w:tcPr>
          <w:p w14:paraId="41AB5069"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2022</w:t>
            </w:r>
            <w:r>
              <w:rPr>
                <w:rFonts w:asciiTheme="minorEastAsia" w:hAnsiTheme="minorEastAsia" w:cs="Arial" w:hint="eastAsia"/>
                <w:sz w:val="24"/>
                <w:szCs w:val="24"/>
              </w:rPr>
              <w:t>年年度报告提示性公告</w:t>
            </w:r>
          </w:p>
        </w:tc>
        <w:tc>
          <w:tcPr>
            <w:tcW w:w="2230" w:type="dxa"/>
            <w:shd w:val="clear" w:color="auto" w:fill="auto"/>
            <w:vAlign w:val="center"/>
          </w:tcPr>
          <w:p w14:paraId="6438AA54"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3</w:t>
            </w:r>
            <w:r>
              <w:rPr>
                <w:rFonts w:asciiTheme="minorEastAsia" w:hAnsiTheme="minorEastAsia" w:cs="Arial" w:hint="eastAsia"/>
                <w:sz w:val="24"/>
                <w:szCs w:val="24"/>
              </w:rPr>
              <w:t>月</w:t>
            </w:r>
            <w:r>
              <w:rPr>
                <w:rFonts w:asciiTheme="minorEastAsia" w:hAnsiTheme="minorEastAsia" w:cs="Arial"/>
                <w:sz w:val="24"/>
                <w:szCs w:val="24"/>
              </w:rPr>
              <w:t>31</w:t>
            </w:r>
            <w:r>
              <w:rPr>
                <w:rFonts w:asciiTheme="minorEastAsia" w:hAnsiTheme="minorEastAsia" w:cs="Arial" w:hint="eastAsia"/>
                <w:sz w:val="24"/>
                <w:szCs w:val="24"/>
              </w:rPr>
              <w:t>日</w:t>
            </w:r>
          </w:p>
        </w:tc>
      </w:tr>
      <w:tr w:rsidR="00B67C49" w14:paraId="626C41EA" w14:textId="77777777">
        <w:trPr>
          <w:trHeight w:val="20"/>
        </w:trPr>
        <w:tc>
          <w:tcPr>
            <w:tcW w:w="817" w:type="dxa"/>
            <w:shd w:val="clear" w:color="auto" w:fill="auto"/>
          </w:tcPr>
          <w:p w14:paraId="17D1E965"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08" w:type="dxa"/>
            <w:shd w:val="clear" w:color="auto" w:fill="auto"/>
            <w:vAlign w:val="bottom"/>
          </w:tcPr>
          <w:p w14:paraId="6AF3855B"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30" w:type="dxa"/>
            <w:shd w:val="clear" w:color="auto" w:fill="auto"/>
            <w:vAlign w:val="center"/>
          </w:tcPr>
          <w:p w14:paraId="1B4FE0B5"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7</w:t>
            </w:r>
            <w:r>
              <w:rPr>
                <w:rFonts w:asciiTheme="minorEastAsia" w:hAnsiTheme="minorEastAsia" w:cs="Arial" w:hint="eastAsia"/>
                <w:sz w:val="24"/>
                <w:szCs w:val="24"/>
              </w:rPr>
              <w:t>日</w:t>
            </w:r>
          </w:p>
        </w:tc>
      </w:tr>
      <w:tr w:rsidR="00B67C49" w14:paraId="234EA310" w14:textId="77777777">
        <w:trPr>
          <w:trHeight w:val="20"/>
        </w:trPr>
        <w:tc>
          <w:tcPr>
            <w:tcW w:w="817" w:type="dxa"/>
            <w:shd w:val="clear" w:color="auto" w:fill="auto"/>
          </w:tcPr>
          <w:p w14:paraId="6E2996C1"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08" w:type="dxa"/>
            <w:shd w:val="clear" w:color="auto" w:fill="auto"/>
            <w:vAlign w:val="bottom"/>
          </w:tcPr>
          <w:p w14:paraId="4C8967C5"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富荣基金管理有限公司住所变更公告</w:t>
            </w:r>
          </w:p>
        </w:tc>
        <w:tc>
          <w:tcPr>
            <w:tcW w:w="2230" w:type="dxa"/>
            <w:shd w:val="clear" w:color="auto" w:fill="auto"/>
            <w:vAlign w:val="center"/>
          </w:tcPr>
          <w:p w14:paraId="4E5EBB92"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12</w:t>
            </w:r>
            <w:r>
              <w:rPr>
                <w:rFonts w:asciiTheme="minorEastAsia" w:hAnsiTheme="minorEastAsia" w:cs="Arial" w:hint="eastAsia"/>
                <w:sz w:val="24"/>
                <w:szCs w:val="24"/>
              </w:rPr>
              <w:t>日</w:t>
            </w:r>
          </w:p>
        </w:tc>
      </w:tr>
      <w:tr w:rsidR="00B67C49" w14:paraId="0359F7D1" w14:textId="77777777">
        <w:trPr>
          <w:trHeight w:val="20"/>
        </w:trPr>
        <w:tc>
          <w:tcPr>
            <w:tcW w:w="817" w:type="dxa"/>
            <w:shd w:val="clear" w:color="auto" w:fill="auto"/>
          </w:tcPr>
          <w:p w14:paraId="1AD25A2E"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08" w:type="dxa"/>
            <w:shd w:val="clear" w:color="auto" w:fill="auto"/>
            <w:vAlign w:val="bottom"/>
          </w:tcPr>
          <w:p w14:paraId="12DA677D"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1</w:t>
            </w:r>
            <w:r>
              <w:rPr>
                <w:rFonts w:asciiTheme="minorEastAsia" w:hAnsiTheme="minorEastAsia" w:cs="Arial" w:hint="eastAsia"/>
                <w:sz w:val="24"/>
                <w:szCs w:val="24"/>
              </w:rPr>
              <w:t>季度报告提示性公告</w:t>
            </w:r>
          </w:p>
        </w:tc>
        <w:tc>
          <w:tcPr>
            <w:tcW w:w="2230" w:type="dxa"/>
            <w:shd w:val="clear" w:color="auto" w:fill="auto"/>
            <w:vAlign w:val="center"/>
          </w:tcPr>
          <w:p w14:paraId="5FC0D28B"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4</w:t>
            </w:r>
            <w:r>
              <w:rPr>
                <w:rFonts w:asciiTheme="minorEastAsia" w:hAnsiTheme="minorEastAsia" w:cs="Arial" w:hint="eastAsia"/>
                <w:sz w:val="24"/>
                <w:szCs w:val="24"/>
              </w:rPr>
              <w:t>月</w:t>
            </w:r>
            <w:r>
              <w:rPr>
                <w:rFonts w:asciiTheme="minorEastAsia" w:hAnsiTheme="minorEastAsia" w:cs="Arial"/>
                <w:sz w:val="24"/>
                <w:szCs w:val="24"/>
              </w:rPr>
              <w:t>24</w:t>
            </w:r>
            <w:r>
              <w:rPr>
                <w:rFonts w:asciiTheme="minorEastAsia" w:hAnsiTheme="minorEastAsia" w:cs="Arial" w:hint="eastAsia"/>
                <w:sz w:val="24"/>
                <w:szCs w:val="24"/>
              </w:rPr>
              <w:t>日</w:t>
            </w:r>
          </w:p>
        </w:tc>
      </w:tr>
      <w:tr w:rsidR="00B67C49" w14:paraId="270CC354" w14:textId="77777777">
        <w:trPr>
          <w:trHeight w:val="20"/>
        </w:trPr>
        <w:tc>
          <w:tcPr>
            <w:tcW w:w="817" w:type="dxa"/>
            <w:shd w:val="clear" w:color="auto" w:fill="auto"/>
          </w:tcPr>
          <w:p w14:paraId="2D84ADD2"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708" w:type="dxa"/>
            <w:shd w:val="clear" w:color="auto" w:fill="auto"/>
            <w:vAlign w:val="bottom"/>
          </w:tcPr>
          <w:p w14:paraId="560D2129"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富荣基金管理有限公司关于旗下部分基金新增浙江同花</w:t>
            </w:r>
            <w:proofErr w:type="gramStart"/>
            <w:r>
              <w:rPr>
                <w:rFonts w:asciiTheme="minorEastAsia" w:hAnsiTheme="minorEastAsia" w:cs="Arial" w:hint="eastAsia"/>
                <w:sz w:val="24"/>
                <w:szCs w:val="24"/>
              </w:rPr>
              <w:t>顺基金</w:t>
            </w:r>
            <w:proofErr w:type="gramEnd"/>
            <w:r>
              <w:rPr>
                <w:rFonts w:asciiTheme="minorEastAsia" w:hAnsiTheme="minorEastAsia" w:cs="Arial" w:hint="eastAsia"/>
                <w:sz w:val="24"/>
                <w:szCs w:val="24"/>
              </w:rPr>
              <w:t>销售有限公司为销售机构、开通基金定期</w:t>
            </w:r>
            <w:r>
              <w:rPr>
                <w:rFonts w:asciiTheme="minorEastAsia" w:hAnsiTheme="minorEastAsia" w:cs="Arial" w:hint="eastAsia"/>
                <w:sz w:val="24"/>
                <w:szCs w:val="24"/>
              </w:rPr>
              <w:lastRenderedPageBreak/>
              <w:t>定额投资业务和基金转换业务并参加申购及定期定额投资申购费率优惠活动的公告</w:t>
            </w:r>
          </w:p>
        </w:tc>
        <w:tc>
          <w:tcPr>
            <w:tcW w:w="2230" w:type="dxa"/>
            <w:shd w:val="clear" w:color="auto" w:fill="auto"/>
            <w:vAlign w:val="center"/>
          </w:tcPr>
          <w:p w14:paraId="50BE13DC"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lastRenderedPageBreak/>
              <w:t>2023</w:t>
            </w:r>
            <w:r>
              <w:rPr>
                <w:rFonts w:asciiTheme="minorEastAsia" w:hAnsiTheme="minorEastAsia" w:cs="Arial" w:hint="eastAsia"/>
                <w:sz w:val="24"/>
                <w:szCs w:val="24"/>
              </w:rPr>
              <w:t>年</w:t>
            </w:r>
            <w:r>
              <w:rPr>
                <w:rFonts w:asciiTheme="minorEastAsia" w:hAnsiTheme="minorEastAsia" w:cs="Arial"/>
                <w:sz w:val="24"/>
                <w:szCs w:val="24"/>
              </w:rPr>
              <w:t>5</w:t>
            </w:r>
            <w:r>
              <w:rPr>
                <w:rFonts w:asciiTheme="minorEastAsia" w:hAnsiTheme="minorEastAsia" w:cs="Arial" w:hint="eastAsia"/>
                <w:sz w:val="24"/>
                <w:szCs w:val="24"/>
              </w:rPr>
              <w:t>月</w:t>
            </w:r>
            <w:r>
              <w:rPr>
                <w:rFonts w:asciiTheme="minorEastAsia" w:hAnsiTheme="minorEastAsia" w:cs="Arial"/>
                <w:sz w:val="24"/>
                <w:szCs w:val="24"/>
              </w:rPr>
              <w:t>16</w:t>
            </w:r>
            <w:r>
              <w:rPr>
                <w:rFonts w:asciiTheme="minorEastAsia" w:hAnsiTheme="minorEastAsia" w:cs="Arial" w:hint="eastAsia"/>
                <w:sz w:val="24"/>
                <w:szCs w:val="24"/>
              </w:rPr>
              <w:t>日</w:t>
            </w:r>
          </w:p>
        </w:tc>
      </w:tr>
      <w:tr w:rsidR="00B67C49" w14:paraId="088439EE" w14:textId="77777777">
        <w:trPr>
          <w:trHeight w:val="20"/>
        </w:trPr>
        <w:tc>
          <w:tcPr>
            <w:tcW w:w="817" w:type="dxa"/>
            <w:shd w:val="clear" w:color="auto" w:fill="auto"/>
          </w:tcPr>
          <w:p w14:paraId="2FAE3047"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08" w:type="dxa"/>
            <w:shd w:val="clear" w:color="auto" w:fill="auto"/>
            <w:vAlign w:val="bottom"/>
          </w:tcPr>
          <w:p w14:paraId="487EE790"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富荣基金管理有限公司关于总经理代为履行督察长职务的公告</w:t>
            </w:r>
          </w:p>
        </w:tc>
        <w:tc>
          <w:tcPr>
            <w:tcW w:w="2230" w:type="dxa"/>
            <w:shd w:val="clear" w:color="auto" w:fill="auto"/>
            <w:vAlign w:val="center"/>
          </w:tcPr>
          <w:p w14:paraId="47865C00"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14</w:t>
            </w:r>
            <w:r>
              <w:rPr>
                <w:rFonts w:asciiTheme="minorEastAsia" w:hAnsiTheme="minorEastAsia" w:cs="Arial" w:hint="eastAsia"/>
                <w:sz w:val="24"/>
                <w:szCs w:val="24"/>
              </w:rPr>
              <w:t>日</w:t>
            </w:r>
          </w:p>
        </w:tc>
      </w:tr>
      <w:tr w:rsidR="00B67C49" w14:paraId="7CE510A0" w14:textId="77777777">
        <w:trPr>
          <w:trHeight w:val="20"/>
        </w:trPr>
        <w:tc>
          <w:tcPr>
            <w:tcW w:w="817" w:type="dxa"/>
            <w:shd w:val="clear" w:color="auto" w:fill="auto"/>
          </w:tcPr>
          <w:p w14:paraId="53AF0F57"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708" w:type="dxa"/>
            <w:shd w:val="clear" w:color="auto" w:fill="auto"/>
            <w:vAlign w:val="bottom"/>
          </w:tcPr>
          <w:p w14:paraId="7DEC5910"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富荣基金管理有限公司高级管理人员变更公告</w:t>
            </w:r>
          </w:p>
        </w:tc>
        <w:tc>
          <w:tcPr>
            <w:tcW w:w="2230" w:type="dxa"/>
            <w:shd w:val="clear" w:color="auto" w:fill="auto"/>
            <w:vAlign w:val="center"/>
          </w:tcPr>
          <w:p w14:paraId="6F21C08F"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15</w:t>
            </w:r>
            <w:r>
              <w:rPr>
                <w:rFonts w:asciiTheme="minorEastAsia" w:hAnsiTheme="minorEastAsia" w:cs="Arial" w:hint="eastAsia"/>
                <w:sz w:val="24"/>
                <w:szCs w:val="24"/>
              </w:rPr>
              <w:t>日</w:t>
            </w:r>
          </w:p>
        </w:tc>
      </w:tr>
      <w:tr w:rsidR="00B67C49" w14:paraId="0B6AD01F" w14:textId="77777777">
        <w:trPr>
          <w:trHeight w:val="20"/>
        </w:trPr>
        <w:tc>
          <w:tcPr>
            <w:tcW w:w="817" w:type="dxa"/>
            <w:shd w:val="clear" w:color="auto" w:fill="auto"/>
          </w:tcPr>
          <w:p w14:paraId="7ABBD2DE"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08" w:type="dxa"/>
            <w:shd w:val="clear" w:color="auto" w:fill="auto"/>
            <w:vAlign w:val="bottom"/>
          </w:tcPr>
          <w:p w14:paraId="12957B86"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富荣基金管理有限公司基金行业高级管理人员变更公告</w:t>
            </w:r>
          </w:p>
        </w:tc>
        <w:tc>
          <w:tcPr>
            <w:tcW w:w="2230" w:type="dxa"/>
            <w:shd w:val="clear" w:color="auto" w:fill="auto"/>
            <w:vAlign w:val="center"/>
          </w:tcPr>
          <w:p w14:paraId="0BB07450"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6</w:t>
            </w:r>
            <w:r>
              <w:rPr>
                <w:rFonts w:asciiTheme="minorEastAsia" w:hAnsiTheme="minorEastAsia" w:cs="Arial" w:hint="eastAsia"/>
                <w:sz w:val="24"/>
                <w:szCs w:val="24"/>
              </w:rPr>
              <w:t>月</w:t>
            </w:r>
            <w:r>
              <w:rPr>
                <w:rFonts w:asciiTheme="minorEastAsia" w:hAnsiTheme="minorEastAsia" w:cs="Arial"/>
                <w:sz w:val="24"/>
                <w:szCs w:val="24"/>
              </w:rPr>
              <w:t>17</w:t>
            </w:r>
            <w:r>
              <w:rPr>
                <w:rFonts w:asciiTheme="minorEastAsia" w:hAnsiTheme="minorEastAsia" w:cs="Arial" w:hint="eastAsia"/>
                <w:sz w:val="24"/>
                <w:szCs w:val="24"/>
              </w:rPr>
              <w:t>日</w:t>
            </w:r>
          </w:p>
        </w:tc>
      </w:tr>
      <w:tr w:rsidR="00B67C49" w14:paraId="2D3DB698" w14:textId="77777777">
        <w:trPr>
          <w:trHeight w:val="20"/>
        </w:trPr>
        <w:tc>
          <w:tcPr>
            <w:tcW w:w="817" w:type="dxa"/>
            <w:shd w:val="clear" w:color="auto" w:fill="auto"/>
          </w:tcPr>
          <w:p w14:paraId="1BBEEB70"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08" w:type="dxa"/>
            <w:shd w:val="clear" w:color="auto" w:fill="auto"/>
            <w:vAlign w:val="bottom"/>
          </w:tcPr>
          <w:p w14:paraId="065AE7AE"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年第</w:t>
            </w:r>
            <w:r>
              <w:rPr>
                <w:rFonts w:asciiTheme="minorEastAsia" w:hAnsiTheme="minorEastAsia" w:cs="Arial"/>
                <w:sz w:val="24"/>
                <w:szCs w:val="24"/>
              </w:rPr>
              <w:t>2</w:t>
            </w:r>
            <w:r>
              <w:rPr>
                <w:rFonts w:asciiTheme="minorEastAsia" w:hAnsiTheme="minorEastAsia" w:cs="Arial" w:hint="eastAsia"/>
                <w:sz w:val="24"/>
                <w:szCs w:val="24"/>
              </w:rPr>
              <w:t>季度报告提示性公告</w:t>
            </w:r>
          </w:p>
        </w:tc>
        <w:tc>
          <w:tcPr>
            <w:tcW w:w="2230" w:type="dxa"/>
            <w:shd w:val="clear" w:color="auto" w:fill="auto"/>
            <w:vAlign w:val="center"/>
          </w:tcPr>
          <w:p w14:paraId="6876B655"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7</w:t>
            </w:r>
            <w:r>
              <w:rPr>
                <w:rFonts w:asciiTheme="minorEastAsia" w:hAnsiTheme="minorEastAsia" w:cs="Arial" w:hint="eastAsia"/>
                <w:sz w:val="24"/>
                <w:szCs w:val="24"/>
              </w:rPr>
              <w:t>月</w:t>
            </w:r>
            <w:r>
              <w:rPr>
                <w:rFonts w:asciiTheme="minorEastAsia" w:hAnsiTheme="minorEastAsia" w:cs="Arial"/>
                <w:sz w:val="24"/>
                <w:szCs w:val="24"/>
              </w:rPr>
              <w:t>21</w:t>
            </w:r>
            <w:r>
              <w:rPr>
                <w:rFonts w:asciiTheme="minorEastAsia" w:hAnsiTheme="minorEastAsia" w:cs="Arial" w:hint="eastAsia"/>
                <w:sz w:val="24"/>
                <w:szCs w:val="24"/>
              </w:rPr>
              <w:t>日</w:t>
            </w:r>
          </w:p>
        </w:tc>
      </w:tr>
      <w:tr w:rsidR="00B67C49" w14:paraId="3C1FE924" w14:textId="77777777">
        <w:trPr>
          <w:trHeight w:val="20"/>
        </w:trPr>
        <w:tc>
          <w:tcPr>
            <w:tcW w:w="817" w:type="dxa"/>
            <w:shd w:val="clear" w:color="auto" w:fill="auto"/>
          </w:tcPr>
          <w:p w14:paraId="3392A549"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08" w:type="dxa"/>
            <w:shd w:val="clear" w:color="auto" w:fill="auto"/>
            <w:vAlign w:val="bottom"/>
          </w:tcPr>
          <w:p w14:paraId="1BDBA09D"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富荣福耀混合型证券投资</w:t>
            </w:r>
            <w:proofErr w:type="gramStart"/>
            <w:r>
              <w:rPr>
                <w:rFonts w:asciiTheme="minorEastAsia" w:hAnsiTheme="minorEastAsia" w:cs="Arial" w:hint="eastAsia"/>
                <w:sz w:val="24"/>
                <w:szCs w:val="24"/>
              </w:rPr>
              <w:t>基金基金</w:t>
            </w:r>
            <w:proofErr w:type="gramEnd"/>
            <w:r>
              <w:rPr>
                <w:rFonts w:asciiTheme="minorEastAsia" w:hAnsiTheme="minorEastAsia" w:cs="Arial" w:hint="eastAsia"/>
                <w:sz w:val="24"/>
                <w:szCs w:val="24"/>
              </w:rPr>
              <w:t>经理变更公告</w:t>
            </w:r>
          </w:p>
        </w:tc>
        <w:tc>
          <w:tcPr>
            <w:tcW w:w="2230" w:type="dxa"/>
            <w:shd w:val="clear" w:color="auto" w:fill="auto"/>
            <w:vAlign w:val="center"/>
          </w:tcPr>
          <w:p w14:paraId="53AD5843"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1</w:t>
            </w:r>
            <w:r>
              <w:rPr>
                <w:rFonts w:asciiTheme="minorEastAsia" w:hAnsiTheme="minorEastAsia" w:cs="Arial" w:hint="eastAsia"/>
                <w:sz w:val="24"/>
                <w:szCs w:val="24"/>
              </w:rPr>
              <w:t>日</w:t>
            </w:r>
          </w:p>
        </w:tc>
      </w:tr>
      <w:tr w:rsidR="00B67C49" w14:paraId="6F5F1D16" w14:textId="77777777">
        <w:trPr>
          <w:trHeight w:val="20"/>
        </w:trPr>
        <w:tc>
          <w:tcPr>
            <w:tcW w:w="817" w:type="dxa"/>
            <w:shd w:val="clear" w:color="auto" w:fill="auto"/>
          </w:tcPr>
          <w:p w14:paraId="2F3FEC03"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08" w:type="dxa"/>
            <w:shd w:val="clear" w:color="auto" w:fill="auto"/>
            <w:vAlign w:val="bottom"/>
          </w:tcPr>
          <w:p w14:paraId="424DF213"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富荣基金管理有限公司关于旗下部分公开募集证券投资基金更新招募说明书及产品资料概要的提示性公告</w:t>
            </w:r>
          </w:p>
        </w:tc>
        <w:tc>
          <w:tcPr>
            <w:tcW w:w="2230" w:type="dxa"/>
            <w:shd w:val="clear" w:color="auto" w:fill="auto"/>
            <w:vAlign w:val="center"/>
          </w:tcPr>
          <w:p w14:paraId="434CAB94"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3</w:t>
            </w:r>
            <w:r>
              <w:rPr>
                <w:rFonts w:asciiTheme="minorEastAsia" w:hAnsiTheme="minorEastAsia" w:cs="Arial" w:hint="eastAsia"/>
                <w:sz w:val="24"/>
                <w:szCs w:val="24"/>
              </w:rPr>
              <w:t>日</w:t>
            </w:r>
          </w:p>
        </w:tc>
      </w:tr>
      <w:tr w:rsidR="00B67C49" w14:paraId="22E6C245" w14:textId="77777777">
        <w:trPr>
          <w:trHeight w:val="20"/>
        </w:trPr>
        <w:tc>
          <w:tcPr>
            <w:tcW w:w="817" w:type="dxa"/>
            <w:shd w:val="clear" w:color="auto" w:fill="auto"/>
          </w:tcPr>
          <w:p w14:paraId="2EEBCA68"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08" w:type="dxa"/>
            <w:shd w:val="clear" w:color="auto" w:fill="auto"/>
            <w:vAlign w:val="bottom"/>
          </w:tcPr>
          <w:p w14:paraId="26C0C389"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富荣基金管理有限公司旗下全部基金</w:t>
            </w:r>
            <w:r>
              <w:rPr>
                <w:rFonts w:asciiTheme="minorEastAsia" w:hAnsiTheme="minorEastAsia" w:cs="Arial"/>
                <w:sz w:val="24"/>
                <w:szCs w:val="24"/>
              </w:rPr>
              <w:t>2023</w:t>
            </w:r>
            <w:r>
              <w:rPr>
                <w:rFonts w:asciiTheme="minorEastAsia" w:hAnsiTheme="minorEastAsia" w:cs="Arial" w:hint="eastAsia"/>
                <w:sz w:val="24"/>
                <w:szCs w:val="24"/>
              </w:rPr>
              <w:t>年中期报告提示性公告</w:t>
            </w:r>
          </w:p>
        </w:tc>
        <w:tc>
          <w:tcPr>
            <w:tcW w:w="2230" w:type="dxa"/>
            <w:shd w:val="clear" w:color="auto" w:fill="auto"/>
            <w:vAlign w:val="center"/>
          </w:tcPr>
          <w:p w14:paraId="4C1A2ABF"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8</w:t>
            </w:r>
            <w:r>
              <w:rPr>
                <w:rFonts w:asciiTheme="minorEastAsia" w:hAnsiTheme="minorEastAsia" w:cs="Arial" w:hint="eastAsia"/>
                <w:sz w:val="24"/>
                <w:szCs w:val="24"/>
              </w:rPr>
              <w:t>月</w:t>
            </w:r>
            <w:r>
              <w:rPr>
                <w:rFonts w:asciiTheme="minorEastAsia" w:hAnsiTheme="minorEastAsia" w:cs="Arial"/>
                <w:sz w:val="24"/>
                <w:szCs w:val="24"/>
              </w:rPr>
              <w:t>31</w:t>
            </w:r>
            <w:r>
              <w:rPr>
                <w:rFonts w:asciiTheme="minorEastAsia" w:hAnsiTheme="minorEastAsia" w:cs="Arial" w:hint="eastAsia"/>
                <w:sz w:val="24"/>
                <w:szCs w:val="24"/>
              </w:rPr>
              <w:t>日</w:t>
            </w:r>
          </w:p>
        </w:tc>
      </w:tr>
      <w:tr w:rsidR="00B67C49" w14:paraId="575693BC" w14:textId="77777777">
        <w:trPr>
          <w:trHeight w:val="20"/>
        </w:trPr>
        <w:tc>
          <w:tcPr>
            <w:tcW w:w="817" w:type="dxa"/>
            <w:shd w:val="clear" w:color="auto" w:fill="auto"/>
          </w:tcPr>
          <w:p w14:paraId="09B7A597"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08" w:type="dxa"/>
            <w:shd w:val="clear" w:color="auto" w:fill="auto"/>
            <w:vAlign w:val="bottom"/>
          </w:tcPr>
          <w:p w14:paraId="65584122" w14:textId="77777777" w:rsidR="00B67C49" w:rsidRDefault="00000000">
            <w:pPr>
              <w:jc w:val="left"/>
              <w:rPr>
                <w:rFonts w:asciiTheme="minorEastAsia" w:hAnsiTheme="minorEastAsia" w:cs="Arial"/>
                <w:sz w:val="24"/>
                <w:szCs w:val="24"/>
              </w:rPr>
            </w:pPr>
            <w:r>
              <w:rPr>
                <w:rFonts w:asciiTheme="minorEastAsia" w:hAnsiTheme="minorEastAsia" w:cs="Arial" w:hint="eastAsia"/>
                <w:sz w:val="24"/>
                <w:szCs w:val="24"/>
              </w:rPr>
              <w:t>富荣基金管理有限公司关于旗下基金新增上海大智慧基金销售有限公司为销售机构、开通基金定期定额投资业务和基金转换业务并参加申购及定期定额投资申购费率优惠活动的公告</w:t>
            </w:r>
          </w:p>
        </w:tc>
        <w:tc>
          <w:tcPr>
            <w:tcW w:w="2230" w:type="dxa"/>
            <w:shd w:val="clear" w:color="auto" w:fill="auto"/>
            <w:vAlign w:val="center"/>
          </w:tcPr>
          <w:p w14:paraId="05C7A6CC" w14:textId="77777777" w:rsidR="00B67C49" w:rsidRDefault="00000000">
            <w:pPr>
              <w:jc w:val="center"/>
              <w:rPr>
                <w:rFonts w:asciiTheme="minorEastAsia" w:hAnsiTheme="minorEastAsia" w:cs="Arial"/>
                <w:sz w:val="24"/>
                <w:szCs w:val="24"/>
              </w:rPr>
            </w:pPr>
            <w:r>
              <w:rPr>
                <w:rFonts w:asciiTheme="minorEastAsia" w:hAnsiTheme="minorEastAsia" w:cs="Arial"/>
                <w:sz w:val="24"/>
                <w:szCs w:val="24"/>
              </w:rPr>
              <w:t>2023</w:t>
            </w:r>
            <w:r>
              <w:rPr>
                <w:rFonts w:asciiTheme="minorEastAsia" w:hAnsiTheme="minorEastAsia" w:cs="Arial" w:hint="eastAsia"/>
                <w:sz w:val="24"/>
                <w:szCs w:val="24"/>
              </w:rPr>
              <w:t>年</w:t>
            </w:r>
            <w:r>
              <w:rPr>
                <w:rFonts w:asciiTheme="minorEastAsia" w:hAnsiTheme="minorEastAsia" w:cs="Arial"/>
                <w:sz w:val="24"/>
                <w:szCs w:val="24"/>
              </w:rPr>
              <w:t>9</w:t>
            </w:r>
            <w:r>
              <w:rPr>
                <w:rFonts w:asciiTheme="minorEastAsia" w:hAnsiTheme="minorEastAsia" w:cs="Arial" w:hint="eastAsia"/>
                <w:sz w:val="24"/>
                <w:szCs w:val="24"/>
              </w:rPr>
              <w:t>月</w:t>
            </w:r>
            <w:r>
              <w:rPr>
                <w:rFonts w:asciiTheme="minorEastAsia" w:hAnsiTheme="minorEastAsia" w:cs="Arial"/>
                <w:sz w:val="24"/>
                <w:szCs w:val="24"/>
              </w:rPr>
              <w:t>8</w:t>
            </w:r>
            <w:r>
              <w:rPr>
                <w:rFonts w:asciiTheme="minorEastAsia" w:hAnsiTheme="minorEastAsia" w:cs="Arial" w:hint="eastAsia"/>
                <w:sz w:val="24"/>
                <w:szCs w:val="24"/>
              </w:rPr>
              <w:t>日</w:t>
            </w:r>
          </w:p>
        </w:tc>
      </w:tr>
    </w:tbl>
    <w:p w14:paraId="2F6E72E8" w14:textId="77777777" w:rsidR="00B67C49" w:rsidRDefault="00B67C49">
      <w:pPr>
        <w:widowControl/>
        <w:jc w:val="left"/>
        <w:rPr>
          <w:rFonts w:asciiTheme="minorEastAsia" w:hAnsiTheme="minorEastAsia"/>
          <w:sz w:val="24"/>
          <w:szCs w:val="24"/>
        </w:rPr>
      </w:pPr>
    </w:p>
    <w:p w14:paraId="3B3AFF6E" w14:textId="77777777" w:rsidR="00B67C49" w:rsidRDefault="00B67C49">
      <w:pPr>
        <w:widowControl/>
        <w:jc w:val="left"/>
        <w:rPr>
          <w:rFonts w:asciiTheme="minorEastAsia" w:hAnsiTheme="minorEastAsia"/>
          <w:sz w:val="24"/>
          <w:szCs w:val="24"/>
        </w:rPr>
      </w:pPr>
    </w:p>
    <w:p w14:paraId="6165EDEF" w14:textId="77777777" w:rsidR="00B67C49" w:rsidRDefault="00B67C49">
      <w:pPr>
        <w:widowControl/>
        <w:jc w:val="left"/>
        <w:rPr>
          <w:rFonts w:asciiTheme="minorEastAsia" w:hAnsiTheme="minorEastAsia"/>
          <w:sz w:val="24"/>
          <w:szCs w:val="24"/>
        </w:rPr>
      </w:pPr>
    </w:p>
    <w:p w14:paraId="1E65D4E6" w14:textId="77777777" w:rsidR="00B67C49" w:rsidRDefault="00B67C49">
      <w:pPr>
        <w:widowControl/>
        <w:jc w:val="left"/>
        <w:rPr>
          <w:rFonts w:asciiTheme="minorEastAsia" w:hAnsiTheme="minorEastAsia"/>
          <w:sz w:val="24"/>
          <w:szCs w:val="24"/>
        </w:rPr>
      </w:pPr>
    </w:p>
    <w:p w14:paraId="43A544AF" w14:textId="77777777" w:rsidR="00B67C49" w:rsidRDefault="00B67C49">
      <w:pPr>
        <w:widowControl/>
        <w:jc w:val="left"/>
        <w:rPr>
          <w:rFonts w:asciiTheme="minorEastAsia" w:hAnsiTheme="minorEastAsia"/>
          <w:sz w:val="24"/>
          <w:szCs w:val="24"/>
        </w:rPr>
      </w:pPr>
    </w:p>
    <w:p w14:paraId="3648D234" w14:textId="77777777" w:rsidR="00B67C49" w:rsidRDefault="00B67C49">
      <w:pPr>
        <w:widowControl/>
        <w:jc w:val="left"/>
        <w:rPr>
          <w:rFonts w:asciiTheme="minorEastAsia" w:hAnsiTheme="minorEastAsia"/>
          <w:sz w:val="24"/>
          <w:szCs w:val="24"/>
        </w:rPr>
      </w:pPr>
    </w:p>
    <w:p w14:paraId="22B4EC8F" w14:textId="77777777" w:rsidR="00B67C49" w:rsidRDefault="00B67C49">
      <w:pPr>
        <w:widowControl/>
        <w:jc w:val="left"/>
        <w:rPr>
          <w:rFonts w:asciiTheme="minorEastAsia" w:hAnsiTheme="minorEastAsia"/>
          <w:sz w:val="24"/>
          <w:szCs w:val="24"/>
        </w:rPr>
      </w:pPr>
    </w:p>
    <w:p w14:paraId="11E3F15C" w14:textId="77777777" w:rsidR="00B67C49" w:rsidRDefault="00B67C49">
      <w:pPr>
        <w:widowControl/>
        <w:jc w:val="left"/>
        <w:rPr>
          <w:rFonts w:asciiTheme="minorEastAsia" w:hAnsiTheme="minorEastAsia"/>
          <w:sz w:val="24"/>
          <w:szCs w:val="24"/>
        </w:rPr>
      </w:pPr>
    </w:p>
    <w:p w14:paraId="70AF0DDE" w14:textId="77777777" w:rsidR="00B67C49" w:rsidRDefault="00B67C49">
      <w:pPr>
        <w:widowControl/>
        <w:jc w:val="left"/>
        <w:rPr>
          <w:rFonts w:asciiTheme="minorEastAsia" w:hAnsiTheme="minorEastAsia"/>
          <w:sz w:val="24"/>
          <w:szCs w:val="24"/>
        </w:rPr>
      </w:pPr>
    </w:p>
    <w:p w14:paraId="06B3E760" w14:textId="77777777" w:rsidR="00B67C49" w:rsidRDefault="00B67C49">
      <w:pPr>
        <w:widowControl/>
        <w:jc w:val="left"/>
        <w:rPr>
          <w:rFonts w:asciiTheme="minorEastAsia" w:hAnsiTheme="minorEastAsia"/>
          <w:sz w:val="24"/>
          <w:szCs w:val="24"/>
        </w:rPr>
      </w:pPr>
    </w:p>
    <w:p w14:paraId="3EC00CBE" w14:textId="77777777" w:rsidR="00B67C49" w:rsidRDefault="00B67C49">
      <w:pPr>
        <w:widowControl/>
        <w:jc w:val="left"/>
        <w:rPr>
          <w:rFonts w:asciiTheme="minorEastAsia" w:hAnsiTheme="minorEastAsia"/>
          <w:sz w:val="24"/>
          <w:szCs w:val="24"/>
        </w:rPr>
      </w:pPr>
    </w:p>
    <w:p w14:paraId="385D57BD" w14:textId="77777777" w:rsidR="00B67C49" w:rsidRDefault="00B67C49">
      <w:pPr>
        <w:widowControl/>
        <w:spacing w:line="360" w:lineRule="auto"/>
        <w:ind w:firstLineChars="200" w:firstLine="480"/>
        <w:jc w:val="left"/>
        <w:rPr>
          <w:rFonts w:asciiTheme="minorEastAsia" w:hAnsiTheme="minorEastAsia"/>
          <w:sz w:val="24"/>
          <w:szCs w:val="24"/>
        </w:rPr>
        <w:sectPr w:rsidR="00B67C49" w:rsidSect="00D84CBD">
          <w:headerReference w:type="even" r:id="rId66"/>
          <w:headerReference w:type="default" r:id="rId67"/>
          <w:footerReference w:type="default" r:id="rId68"/>
          <w:headerReference w:type="first" r:id="rId69"/>
          <w:pgSz w:w="11906" w:h="16838"/>
          <w:pgMar w:top="1440" w:right="1800" w:bottom="1440" w:left="1800" w:header="851" w:footer="992" w:gutter="0"/>
          <w:pgNumType w:chapStyle="1"/>
          <w:cols w:space="720"/>
          <w:docGrid w:type="lines" w:linePitch="312"/>
        </w:sectPr>
      </w:pPr>
    </w:p>
    <w:p w14:paraId="6FFBB98F" w14:textId="77777777" w:rsidR="00B67C49" w:rsidRDefault="00000000">
      <w:pPr>
        <w:pStyle w:val="1"/>
        <w:jc w:val="center"/>
        <w:rPr>
          <w:sz w:val="30"/>
          <w:szCs w:val="30"/>
        </w:rPr>
      </w:pPr>
      <w:bookmarkStart w:id="459" w:name="_Toc416264556"/>
      <w:bookmarkStart w:id="460" w:name="_Toc263092329"/>
      <w:bookmarkStart w:id="461" w:name="_Toc214873622"/>
      <w:bookmarkStart w:id="462" w:name="_Toc68266309"/>
      <w:bookmarkStart w:id="463" w:name="_Toc530223198"/>
      <w:bookmarkStart w:id="464" w:name="_Toc119568479"/>
      <w:bookmarkEnd w:id="428"/>
      <w:bookmarkEnd w:id="429"/>
      <w:bookmarkEnd w:id="430"/>
      <w:bookmarkEnd w:id="431"/>
      <w:bookmarkEnd w:id="432"/>
      <w:bookmarkEnd w:id="433"/>
      <w:r>
        <w:rPr>
          <w:rFonts w:hint="eastAsia"/>
          <w:sz w:val="30"/>
          <w:szCs w:val="30"/>
        </w:rPr>
        <w:lastRenderedPageBreak/>
        <w:t>第二十三部分</w:t>
      </w:r>
      <w:r>
        <w:rPr>
          <w:sz w:val="30"/>
          <w:szCs w:val="30"/>
        </w:rPr>
        <w:t xml:space="preserve">  </w:t>
      </w:r>
      <w:r>
        <w:rPr>
          <w:rFonts w:hint="eastAsia"/>
          <w:sz w:val="30"/>
          <w:szCs w:val="30"/>
        </w:rPr>
        <w:t>招募说明书存放及查阅方式</w:t>
      </w:r>
      <w:bookmarkEnd w:id="459"/>
      <w:bookmarkEnd w:id="460"/>
      <w:bookmarkEnd w:id="461"/>
      <w:bookmarkEnd w:id="462"/>
      <w:bookmarkEnd w:id="463"/>
      <w:bookmarkEnd w:id="464"/>
    </w:p>
    <w:p w14:paraId="270AA33A"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E24C0B5"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投资人还可以直接登录基金管理人的网站（www.furamc.com.cn）查阅和下载招募说明书。</w:t>
      </w:r>
    </w:p>
    <w:p w14:paraId="60FB9316" w14:textId="77777777" w:rsidR="00B67C49" w:rsidRDefault="00B67C49">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B67C49" w:rsidSect="00D84CBD">
          <w:headerReference w:type="even" r:id="rId70"/>
          <w:headerReference w:type="default" r:id="rId71"/>
          <w:footerReference w:type="default" r:id="rId72"/>
          <w:headerReference w:type="first" r:id="rId73"/>
          <w:pgSz w:w="11906" w:h="16838"/>
          <w:pgMar w:top="1440" w:right="1800" w:bottom="1440" w:left="1800" w:header="851" w:footer="992" w:gutter="0"/>
          <w:cols w:space="425"/>
          <w:docGrid w:type="lines" w:linePitch="312"/>
        </w:sectPr>
      </w:pPr>
      <w:bookmarkStart w:id="465" w:name="_Toc416268879"/>
      <w:bookmarkStart w:id="466" w:name="_Toc263092330"/>
    </w:p>
    <w:p w14:paraId="2E469BE5" w14:textId="77777777" w:rsidR="00B67C49" w:rsidRDefault="00000000">
      <w:pPr>
        <w:pStyle w:val="1"/>
        <w:jc w:val="center"/>
      </w:pPr>
      <w:bookmarkStart w:id="467" w:name="_Toc68266310"/>
      <w:bookmarkStart w:id="468" w:name="_Toc119568480"/>
      <w:bookmarkEnd w:id="61"/>
      <w:bookmarkEnd w:id="62"/>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65"/>
      <w:bookmarkEnd w:id="466"/>
      <w:r>
        <w:rPr>
          <w:sz w:val="30"/>
          <w:szCs w:val="30"/>
        </w:rPr>
        <w:lastRenderedPageBreak/>
        <w:t>第二十</w:t>
      </w:r>
      <w:r>
        <w:rPr>
          <w:rFonts w:hint="eastAsia"/>
          <w:sz w:val="30"/>
          <w:szCs w:val="30"/>
        </w:rPr>
        <w:t>四</w:t>
      </w:r>
      <w:r>
        <w:rPr>
          <w:sz w:val="30"/>
          <w:szCs w:val="30"/>
        </w:rPr>
        <w:t>部分  备查文件</w:t>
      </w:r>
      <w:bookmarkEnd w:id="467"/>
      <w:bookmarkEnd w:id="468"/>
    </w:p>
    <w:p w14:paraId="65D75F0E"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以下备查文件存放在基金管理人的办公场所，在办公时间可供免费查阅。</w:t>
      </w:r>
    </w:p>
    <w:p w14:paraId="12668523"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（一）中国证监会</w:t>
      </w:r>
      <w:r>
        <w:rPr>
          <w:rFonts w:asciiTheme="minorEastAsia" w:hAnsiTheme="minorEastAsia" w:cs="Arial" w:hint="eastAsia"/>
          <w:kern w:val="0"/>
          <w:sz w:val="24"/>
          <w:szCs w:val="24"/>
        </w:rPr>
        <w:t>准予</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注册</w:t>
      </w:r>
      <w:r>
        <w:rPr>
          <w:rFonts w:asciiTheme="minorEastAsia" w:hAnsiTheme="minorEastAsia" w:cs="Arial"/>
          <w:kern w:val="0"/>
          <w:sz w:val="24"/>
          <w:szCs w:val="24"/>
        </w:rPr>
        <w:t xml:space="preserve">的文件 </w:t>
      </w:r>
    </w:p>
    <w:p w14:paraId="020E5C85"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（二）《富荣福耀混合型证券投资基金基金合同》 </w:t>
      </w:r>
    </w:p>
    <w:p w14:paraId="7C0014C2"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 xml:space="preserve">（三）《富荣福耀混合型证券投资基金托管协议》 </w:t>
      </w:r>
    </w:p>
    <w:p w14:paraId="2A294A65"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（四）基金管理人业务资格批件、营业执照</w:t>
      </w:r>
    </w:p>
    <w:p w14:paraId="0D17CF19"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（五）基金托管人业务资格批件、营业执照</w:t>
      </w:r>
    </w:p>
    <w:p w14:paraId="6570B3B8"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（六）关于申请募集</w:t>
      </w:r>
      <w:r>
        <w:rPr>
          <w:rFonts w:asciiTheme="minorEastAsia" w:hAnsiTheme="minorEastAsia" w:cs="Arial" w:hint="eastAsia"/>
          <w:kern w:val="0"/>
          <w:sz w:val="24"/>
          <w:szCs w:val="24"/>
        </w:rPr>
        <w:t>注册</w:t>
      </w:r>
      <w:r>
        <w:rPr>
          <w:rFonts w:asciiTheme="minorEastAsia" w:hAnsiTheme="minorEastAsia" w:cs="Arial"/>
          <w:kern w:val="0"/>
          <w:sz w:val="24"/>
          <w:szCs w:val="24"/>
        </w:rPr>
        <w:t>富荣福耀混合型证券投资基金</w:t>
      </w:r>
      <w:r>
        <w:rPr>
          <w:rFonts w:asciiTheme="minorEastAsia" w:hAnsiTheme="minorEastAsia" w:cs="Arial" w:hint="eastAsia"/>
          <w:kern w:val="0"/>
          <w:sz w:val="24"/>
          <w:szCs w:val="24"/>
        </w:rPr>
        <w:t>的</w:t>
      </w:r>
      <w:r>
        <w:rPr>
          <w:rFonts w:asciiTheme="minorEastAsia" w:hAnsiTheme="minorEastAsia" w:cs="Arial"/>
          <w:kern w:val="0"/>
          <w:sz w:val="24"/>
          <w:szCs w:val="24"/>
        </w:rPr>
        <w:t>法律意见书</w:t>
      </w:r>
    </w:p>
    <w:p w14:paraId="2FAB782E"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hint="eastAsia"/>
          <w:kern w:val="0"/>
          <w:sz w:val="24"/>
          <w:szCs w:val="24"/>
        </w:rPr>
        <w:t>（七）中国证监会要求的其他文件</w:t>
      </w:r>
    </w:p>
    <w:p w14:paraId="602E4A7C" w14:textId="77777777" w:rsidR="00B67C49" w:rsidRDefault="00000000">
      <w:pPr>
        <w:widowControl/>
        <w:adjustRightInd w:val="0"/>
        <w:snapToGrid w:val="0"/>
        <w:spacing w:line="360" w:lineRule="auto"/>
        <w:ind w:rightChars="-85" w:right="-178" w:firstLineChars="200" w:firstLine="480"/>
        <w:rPr>
          <w:rFonts w:asciiTheme="minorEastAsia" w:hAnsiTheme="minorEastAsia" w:cs="Arial"/>
          <w:kern w:val="0"/>
          <w:sz w:val="24"/>
          <w:szCs w:val="24"/>
        </w:rPr>
      </w:pPr>
      <w:r>
        <w:rPr>
          <w:rFonts w:asciiTheme="minorEastAsia" w:hAnsiTheme="minorEastAsia" w:cs="Arial"/>
          <w:kern w:val="0"/>
          <w:sz w:val="24"/>
          <w:szCs w:val="24"/>
        </w:rPr>
        <w:t>查阅方式：投资者可在营业时间免费查阅，也可按工本费购买复印件。</w:t>
      </w:r>
    </w:p>
    <w:p w14:paraId="6AEC65B7" w14:textId="77777777" w:rsidR="00B67C49" w:rsidRDefault="00B67C49">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0A070230" w14:textId="77777777" w:rsidR="00B67C49" w:rsidRDefault="00B67C49">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49EBA3B5"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6FF44066"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08578D9B"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21E03339"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3119E939"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4A150F8A"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25020730"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59DA7F0C"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2E48DB8F"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3C1BBB84"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0EF58422"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7BDAC345" w14:textId="77777777" w:rsidR="00B67C49" w:rsidRDefault="00B67C49">
      <w:pPr>
        <w:widowControl/>
        <w:adjustRightInd w:val="0"/>
        <w:snapToGrid w:val="0"/>
        <w:spacing w:line="360" w:lineRule="auto"/>
        <w:ind w:rightChars="-85" w:right="-178" w:firstLineChars="200" w:firstLine="420"/>
        <w:rPr>
          <w:rFonts w:ascii="Arial" w:eastAsia="宋体" w:hAnsi="Arial" w:cs="Arial"/>
          <w:kern w:val="0"/>
          <w:szCs w:val="21"/>
        </w:rPr>
      </w:pPr>
    </w:p>
    <w:p w14:paraId="128233BE" w14:textId="77777777" w:rsidR="00B67C49" w:rsidRDefault="00000000">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2807B54D" w14:textId="2484D6A6" w:rsidR="00B67C49" w:rsidRDefault="00000000">
      <w:pPr>
        <w:widowControl/>
        <w:adjustRightInd w:val="0"/>
        <w:snapToGrid w:val="0"/>
        <w:spacing w:line="360" w:lineRule="auto"/>
        <w:ind w:rightChars="-85" w:right="-178"/>
        <w:jc w:val="right"/>
      </w:pPr>
      <w:r>
        <w:rPr>
          <w:rFonts w:asciiTheme="minorEastAsia" w:hAnsiTheme="minorEastAsia" w:cs="Arial" w:hint="eastAsia"/>
          <w:kern w:val="0"/>
          <w:sz w:val="24"/>
          <w:szCs w:val="24"/>
        </w:rPr>
        <w:t>2024年 4月</w:t>
      </w:r>
      <w:r w:rsidR="009C4E42">
        <w:rPr>
          <w:rFonts w:asciiTheme="minorEastAsia" w:hAnsiTheme="minorEastAsia" w:cs="Arial" w:hint="eastAsia"/>
          <w:kern w:val="0"/>
          <w:sz w:val="24"/>
          <w:szCs w:val="24"/>
        </w:rPr>
        <w:t>23</w:t>
      </w:r>
      <w:r>
        <w:rPr>
          <w:rFonts w:asciiTheme="minorEastAsia" w:hAnsiTheme="minorEastAsia" w:cs="Arial" w:hint="eastAsia"/>
          <w:kern w:val="0"/>
          <w:sz w:val="24"/>
          <w:szCs w:val="24"/>
        </w:rPr>
        <w:t>日</w:t>
      </w:r>
    </w:p>
    <w:sectPr w:rsidR="00B67C49">
      <w:headerReference w:type="even" r:id="rId74"/>
      <w:headerReference w:type="default" r:id="rId75"/>
      <w:headerReference w:type="first" r:id="rId76"/>
      <w:pgSz w:w="11906" w:h="16838"/>
      <w:pgMar w:top="1440" w:right="1800" w:bottom="1440" w:left="1800" w:header="851" w:footer="992" w:gutter="0"/>
      <w:pgNumType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9AEAEE" w14:textId="77777777" w:rsidR="00D84CBD" w:rsidRDefault="00D84CBD">
      <w:r>
        <w:separator/>
      </w:r>
    </w:p>
  </w:endnote>
  <w:endnote w:type="continuationSeparator" w:id="0">
    <w:p w14:paraId="02D07156" w14:textId="77777777" w:rsidR="00D84CBD" w:rsidRDefault="00D84C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Times New Roman"/>
    <w:charset w:val="00"/>
    <w:family w:val="roman"/>
    <w:pitch w:val="default"/>
    <w:sig w:usb0="00000000" w:usb1="00000000" w:usb2="00000000" w:usb3="00000000" w:csb0="00040001" w:csb1="00000000"/>
  </w:font>
  <w:font w:name="方正仿宋简体">
    <w:altName w:val="微软雅黑"/>
    <w:charset w:val="86"/>
    <w:family w:val="auto"/>
    <w:pitch w:val="default"/>
    <w:sig w:usb0="00000000" w:usb1="00000000" w:usb2="00000012" w:usb3="00000000" w:csb0="00040001"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Content>
      <w:p w14:paraId="4C0E80C2"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w:t>
        </w:r>
        <w:r>
          <w:rPr>
            <w:lang w:val="zh-CN"/>
          </w:rPr>
          <w:fldChar w:fldCharType="end"/>
        </w:r>
      </w:p>
    </w:sdtContent>
  </w:sdt>
  <w:p w14:paraId="636E64F9" w14:textId="77777777" w:rsidR="00B67C49" w:rsidRDefault="00B67C49">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Content>
      <w:p w14:paraId="5DD96AA2"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4</w:t>
        </w:r>
        <w:r>
          <w:rPr>
            <w:lang w:val="zh-CN"/>
          </w:rPr>
          <w:fldChar w:fldCharType="end"/>
        </w:r>
      </w:p>
    </w:sdtContent>
  </w:sdt>
  <w:p w14:paraId="78DCB292" w14:textId="77777777" w:rsidR="00B67C49" w:rsidRDefault="00B67C49">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Content>
      <w:p w14:paraId="76337A41"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9</w:t>
        </w:r>
        <w:r>
          <w:rPr>
            <w:lang w:val="zh-CN"/>
          </w:rPr>
          <w:fldChar w:fldCharType="end"/>
        </w:r>
      </w:p>
    </w:sdtContent>
  </w:sdt>
  <w:p w14:paraId="2FE5FBE3" w14:textId="77777777" w:rsidR="00B67C49" w:rsidRDefault="00B67C49">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Content>
      <w:p w14:paraId="62C0BB1C"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14</w:t>
        </w:r>
        <w:r>
          <w:rPr>
            <w:lang w:val="zh-CN"/>
          </w:rPr>
          <w:fldChar w:fldCharType="end"/>
        </w:r>
      </w:p>
    </w:sdtContent>
  </w:sdt>
  <w:p w14:paraId="16D714F0" w14:textId="77777777" w:rsidR="00B67C49" w:rsidRDefault="00B67C49">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Content>
      <w:p w14:paraId="29C4BE66"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33</w:t>
        </w:r>
        <w:r>
          <w:rPr>
            <w:lang w:val="zh-CN"/>
          </w:rPr>
          <w:fldChar w:fldCharType="end"/>
        </w:r>
      </w:p>
    </w:sdtContent>
  </w:sdt>
  <w:p w14:paraId="7BC92212" w14:textId="77777777" w:rsidR="00B67C49" w:rsidRDefault="00B67C49">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Content>
      <w:p w14:paraId="52AD222C"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34</w:t>
        </w:r>
        <w:r>
          <w:rPr>
            <w:lang w:val="zh-CN"/>
          </w:rPr>
          <w:fldChar w:fldCharType="end"/>
        </w:r>
      </w:p>
    </w:sdtContent>
  </w:sdt>
  <w:p w14:paraId="5704C288" w14:textId="77777777" w:rsidR="00B67C49" w:rsidRDefault="00B67C49">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Content>
      <w:p w14:paraId="3FD3BE19"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35</w:t>
        </w:r>
        <w:r>
          <w:rPr>
            <w:lang w:val="zh-CN"/>
          </w:rPr>
          <w:fldChar w:fldCharType="end"/>
        </w:r>
      </w:p>
    </w:sdtContent>
  </w:sdt>
  <w:p w14:paraId="3930AA03" w14:textId="77777777" w:rsidR="00B67C49" w:rsidRDefault="00B67C49">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9FEF0" w14:textId="77777777" w:rsidR="00B67C49" w:rsidRDefault="00000000">
    <w:pPr>
      <w:pStyle w:val="af0"/>
      <w:jc w:val="center"/>
    </w:pPr>
    <w:r>
      <w:fldChar w:fldCharType="begin"/>
    </w:r>
    <w:r>
      <w:instrText xml:space="preserve"> PAGE   \* MERGEFORMAT </w:instrText>
    </w:r>
    <w:r>
      <w:fldChar w:fldCharType="separate"/>
    </w:r>
    <w:r>
      <w:rPr>
        <w:lang w:val="zh-CN"/>
      </w:rPr>
      <w:t>84</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C235D4" w14:textId="77777777" w:rsidR="00B67C49" w:rsidRDefault="00000000">
    <w:pPr>
      <w:pStyle w:val="af0"/>
      <w:jc w:val="center"/>
    </w:pPr>
    <w:r>
      <w:fldChar w:fldCharType="begin"/>
    </w:r>
    <w:r>
      <w:instrText xml:space="preserve"> PAGE   \* MERGEFORMAT </w:instrText>
    </w:r>
    <w:r>
      <w:fldChar w:fldCharType="separate"/>
    </w:r>
    <w:r>
      <w:rPr>
        <w:lang w:val="zh-CN"/>
      </w:rPr>
      <w:t>36</w:t>
    </w:r>
    <w:r>
      <w:rPr>
        <w:lang w:val="zh-CN"/>
      </w:rPr>
      <w:fldChar w:fldCharType="end"/>
    </w:r>
  </w:p>
  <w:p w14:paraId="4C97B1C6" w14:textId="77777777" w:rsidR="00B67C49" w:rsidRDefault="00B67C49">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Content>
      <w:p w14:paraId="3C8DE255"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89</w:t>
        </w:r>
        <w:r>
          <w:rPr>
            <w:lang w:val="zh-CN"/>
          </w:rPr>
          <w:fldChar w:fldCharType="end"/>
        </w:r>
      </w:p>
    </w:sdtContent>
  </w:sdt>
  <w:p w14:paraId="2A30B72A" w14:textId="77777777" w:rsidR="00B67C49" w:rsidRDefault="00B67C49">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Content>
      <w:p w14:paraId="4F034941"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134</w:t>
        </w:r>
        <w:r>
          <w:rPr>
            <w:lang w:val="zh-CN"/>
          </w:rPr>
          <w:fldChar w:fldCharType="end"/>
        </w:r>
      </w:p>
    </w:sdtContent>
  </w:sdt>
  <w:p w14:paraId="4C1E328E" w14:textId="77777777" w:rsidR="00B67C49" w:rsidRDefault="00B67C49">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88668774"/>
    </w:sdtPr>
    <w:sdtContent>
      <w:p w14:paraId="4FB7CAB7" w14:textId="77777777" w:rsidR="00B67C49" w:rsidRDefault="00000000">
        <w:pPr>
          <w:pStyle w:val="af0"/>
          <w:jc w:val="center"/>
        </w:pPr>
        <w:r>
          <w:rPr>
            <w:lang w:val="zh-CN"/>
          </w:rPr>
          <w:fldChar w:fldCharType="begin"/>
        </w:r>
        <w:r>
          <w:rPr>
            <w:lang w:val="zh-CN"/>
          </w:rPr>
          <w:instrText>PAGE   \* MERGEFORMAT</w:instrText>
        </w:r>
        <w:r>
          <w:rPr>
            <w:lang w:val="zh-CN"/>
          </w:rPr>
          <w:fldChar w:fldCharType="separate"/>
        </w:r>
        <w:r>
          <w:rPr>
            <w:lang w:val="zh-CN"/>
          </w:rPr>
          <w:t>136</w:t>
        </w:r>
        <w:r>
          <w:rPr>
            <w:lang w:val="zh-CN"/>
          </w:rPr>
          <w:fldChar w:fldCharType="end"/>
        </w:r>
      </w:p>
    </w:sdtContent>
  </w:sdt>
  <w:p w14:paraId="58E8ABEA" w14:textId="77777777" w:rsidR="00B67C49" w:rsidRDefault="00B67C49">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07CF1" w14:textId="77777777" w:rsidR="00D84CBD" w:rsidRDefault="00D84CBD">
      <w:r>
        <w:separator/>
      </w:r>
    </w:p>
  </w:footnote>
  <w:footnote w:type="continuationSeparator" w:id="0">
    <w:p w14:paraId="2645E609" w14:textId="77777777" w:rsidR="00D84CBD" w:rsidRDefault="00D84C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9DC30" w14:textId="77777777" w:rsidR="00B67C49" w:rsidRDefault="00000000">
    <w:r>
      <w:pict w14:anchorId="5B80ED4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099" type="#_x0000_t75" style="position:absolute;left:0;text-align:left;margin-left:0;margin-top:0;width:222.75pt;height:315.75pt;z-index:251688960;mso-position-horizontal:center;mso-position-horizontal-relative:page;mso-position-vertical:center;mso-position-vertical-relative:page;mso-width-relative:page;mso-height-relative:page">
          <v:imagedata r:id="rId1" o:title=""/>
          <o:lock v:ext="edit" aspectratio="f"/>
          <w10:wrap anchorx="page" anchory="page"/>
        </v:shape>
      </w:pict>
    </w:r>
  </w:p>
  <w:p w14:paraId="7B0A1B29" w14:textId="77777777" w:rsidR="00B67C49" w:rsidRDefault="00000000">
    <w:r>
      <w:pict w14:anchorId="4DC0DD05">
        <v:shape id="_x0000_s3078" type="#_x0000_t75" style="position:absolute;left:0;text-align:left;margin-left:0;margin-top:0;width:222.75pt;height:315.75pt;z-index:2516613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8FCC21" w14:textId="77777777" w:rsidR="00B67C49" w:rsidRDefault="00000000">
    <w:pPr>
      <w:pStyle w:val="af2"/>
      <w:jc w:val="both"/>
    </w:pPr>
    <w:r>
      <w:rPr>
        <w:rFonts w:ascii="Arial" w:hAnsi="Arial" w:cs="Arial" w:hint="eastAsia"/>
        <w:szCs w:val="21"/>
      </w:rPr>
      <w:t>富荣福耀混合型证券投资基金更新的招募说明书（</w:t>
    </w:r>
    <w:r>
      <w:rPr>
        <w:rFonts w:ascii="Arial" w:hAnsi="Arial" w:cs="Arial" w:hint="eastAsia"/>
        <w:szCs w:val="21"/>
      </w:rPr>
      <w:t>2023</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p>
  <w:p w14:paraId="05970CC5" w14:textId="77777777" w:rsidR="00B67C49" w:rsidRDefault="00000000">
    <w:r>
      <w:pict w14:anchorId="0ED1A1E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098" type="#_x0000_t75" style="position:absolute;left:0;text-align:left;margin-left:0;margin-top:0;width:222.75pt;height:315.75pt;z-index:251687936;mso-position-horizontal:center;mso-position-horizontal-relative:page;mso-position-vertical:center;mso-position-vertical-relative:page;mso-width-relative:page;mso-height-relative:page">
          <v:imagedata r:id="rId1" o:title=""/>
          <o:lock v:ext="edit" aspectratio="f"/>
          <w10:wrap anchorx="page" anchory="page"/>
        </v:shape>
      </w:pict>
    </w:r>
  </w:p>
  <w:p w14:paraId="34EFD6B5" w14:textId="77777777" w:rsidR="00B67C49" w:rsidRDefault="00000000">
    <w:r>
      <w:pict w14:anchorId="700C9FB0">
        <v:shape id="_x0000_s3076" type="#_x0000_t75" style="position:absolute;left:0;text-align:left;margin-left:0;margin-top:0;width:222.75pt;height:315.75pt;z-index:2516602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7ADD2" w14:textId="22981201" w:rsidR="00B67C49" w:rsidRDefault="00000000">
    <w:pPr>
      <w:pStyle w:val="af2"/>
      <w:jc w:val="both"/>
    </w:pPr>
    <w:r>
      <w:rPr>
        <w:rFonts w:ascii="Arial" w:hAnsi="Arial" w:cs="Arial" w:hint="eastAsia"/>
        <w:szCs w:val="21"/>
      </w:rPr>
      <w:t>富荣福耀混合型证券投资基金更新的招募说明书（</w:t>
    </w:r>
    <w:r>
      <w:rPr>
        <w:rFonts w:ascii="Arial" w:hAnsi="Arial" w:cs="Arial" w:hint="eastAsia"/>
        <w:szCs w:val="21"/>
      </w:rPr>
      <w:t>2024</w:t>
    </w:r>
    <w:r>
      <w:rPr>
        <w:rFonts w:ascii="Arial" w:hAnsi="Arial" w:cs="Arial" w:hint="eastAsia"/>
        <w:szCs w:val="21"/>
      </w:rPr>
      <w:t>年第</w:t>
    </w:r>
    <w:r>
      <w:rPr>
        <w:rFonts w:ascii="Arial" w:hAnsi="Arial" w:cs="Arial" w:hint="eastAsia"/>
        <w:szCs w:val="21"/>
      </w:rPr>
      <w:t>1</w:t>
    </w:r>
    <w:r>
      <w:rPr>
        <w:rFonts w:ascii="Arial" w:hAnsi="Arial" w:cs="Arial" w:hint="eastAsia"/>
        <w:szCs w:val="21"/>
      </w:rPr>
      <w:t>号）</w:t>
    </w:r>
  </w:p>
  <w:p w14:paraId="16B43492" w14:textId="77777777" w:rsidR="00B67C49" w:rsidRDefault="00000000">
    <w:r>
      <w:pict w14:anchorId="1A5192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097" type="#_x0000_t75" style="position:absolute;left:0;text-align:left;margin-left:904.65pt;margin-top:345.55pt;width:222.75pt;height:315.75pt;z-index:251659264;mso-position-horizontal-relative:page;mso-position-vertical-relative:page;mso-width-relative:page;mso-height-relative:page">
          <v:imagedata r:id="rId1" o:title=""/>
          <o:lock v:ext="edit" aspectratio="f"/>
          <w10:wrap anchorx="page" anchory="page"/>
        </v:shape>
      </w:pict>
    </w:r>
  </w:p>
  <w:p w14:paraId="4668E502" w14:textId="77777777" w:rsidR="00B67C49" w:rsidRDefault="00B67C49"/>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AFC2F" w14:textId="77777777" w:rsidR="00B67C49" w:rsidRDefault="00000000">
    <w:r>
      <w:pict w14:anchorId="4D7992A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2" type="#_x0000_t75" style="position:absolute;left:0;text-align:left;margin-left:0;margin-top:0;width:222.75pt;height:315.75pt;z-index:251691008;mso-position-horizontal:center;mso-position-horizontal-relative:page;mso-position-vertical:center;mso-position-vertical-relative:page;mso-width-relative:page;mso-height-relative:page">
          <v:imagedata r:id="rId1" o:title=""/>
          <o:lock v:ext="edit" aspectratio="f"/>
          <w10:wrap anchorx="page" anchory="page"/>
        </v:shape>
      </w:pict>
    </w:r>
  </w:p>
  <w:p w14:paraId="7AE9F944" w14:textId="77777777" w:rsidR="00B67C49" w:rsidRDefault="00000000">
    <w:r>
      <w:pict w14:anchorId="7D0CA54D">
        <v:shape id="_x0000_s3083" type="#_x0000_t75" style="position:absolute;left:0;text-align:left;margin-left:0;margin-top:0;width:222.75pt;height:315.75pt;z-index:25166336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503F8D" w14:textId="77777777" w:rsidR="00B67C49" w:rsidRDefault="00B67C49"/>
  <w:p w14:paraId="65A2C0C3" w14:textId="77777777" w:rsidR="00B67C49" w:rsidRDefault="00B67C49"/>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F7F2AD" w14:textId="77777777" w:rsidR="00B67C49" w:rsidRDefault="00000000">
    <w:r>
      <w:pict w14:anchorId="5725AB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1" type="#_x0000_t75" style="position:absolute;left:0;text-align:left;margin-left:0;margin-top:0;width:222.75pt;height:315.75pt;z-index:251689984;mso-position-horizontal:center;mso-position-horizontal-relative:page;mso-position-vertical:center;mso-position-vertical-relative:page;mso-width-relative:page;mso-height-relative:page">
          <v:imagedata r:id="rId1" o:title=""/>
          <o:lock v:ext="edit" aspectratio="f"/>
          <w10:wrap anchorx="page" anchory="page"/>
        </v:shape>
      </w:pict>
    </w:r>
  </w:p>
  <w:p w14:paraId="4793BE0F" w14:textId="77777777" w:rsidR="00B67C49" w:rsidRDefault="00000000">
    <w:r>
      <w:pict w14:anchorId="09EF2210">
        <v:shape id="_x0000_s3080" type="#_x0000_t75" style="position:absolute;left:0;text-align:left;margin-left:0;margin-top:0;width:222.75pt;height:315.75pt;z-index:25166233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83E536" w14:textId="77777777" w:rsidR="00B67C49" w:rsidRDefault="00000000">
    <w:r>
      <w:pict w14:anchorId="1DFD25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5" type="#_x0000_t75" style="position:absolute;left:0;text-align:left;margin-left:0;margin-top:0;width:222.75pt;height:315.75pt;z-index:251693056;mso-position-horizontal:center;mso-position-horizontal-relative:page;mso-position-vertical:center;mso-position-vertical-relative:page;mso-width-relative:page;mso-height-relative:page">
          <v:imagedata r:id="rId1" o:title=""/>
          <o:lock v:ext="edit" aspectratio="f"/>
          <w10:wrap anchorx="page" anchory="page"/>
        </v:shape>
      </w:pict>
    </w:r>
  </w:p>
  <w:p w14:paraId="7D50875C" w14:textId="77777777" w:rsidR="00B67C49" w:rsidRDefault="00000000">
    <w:r>
      <w:pict w14:anchorId="1565D800">
        <v:shape id="_x0000_s3088" type="#_x0000_t75" style="position:absolute;left:0;text-align:left;margin-left:0;margin-top:0;width:222.75pt;height:315.75pt;z-index:25166540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C89A9F" w14:textId="77777777" w:rsidR="00B67C49" w:rsidRDefault="00B67C49"/>
  <w:p w14:paraId="2BE0C9B6" w14:textId="77777777" w:rsidR="00B67C49" w:rsidRDefault="00B67C49"/>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048C8C" w14:textId="77777777" w:rsidR="00B67C49" w:rsidRDefault="00000000">
    <w:r>
      <w:pict w14:anchorId="4B90C0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4" type="#_x0000_t75" style="position:absolute;left:0;text-align:left;margin-left:0;margin-top:0;width:222.75pt;height:315.75pt;z-index:251692032;mso-position-horizontal:center;mso-position-horizontal-relative:page;mso-position-vertical:center;mso-position-vertical-relative:page;mso-width-relative:page;mso-height-relative:page">
          <v:imagedata r:id="rId1" o:title=""/>
          <o:lock v:ext="edit" aspectratio="f"/>
          <w10:wrap anchorx="page" anchory="page"/>
        </v:shape>
      </w:pict>
    </w:r>
  </w:p>
  <w:p w14:paraId="12068B22" w14:textId="77777777" w:rsidR="00B67C49" w:rsidRDefault="00000000">
    <w:r>
      <w:pict w14:anchorId="2014424A">
        <v:shape id="_x0000_s3085" type="#_x0000_t75" style="position:absolute;left:0;text-align:left;margin-left:0;margin-top:0;width:222.75pt;height:315.75pt;z-index:25166438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BA7D1" w14:textId="77777777" w:rsidR="00B67C49" w:rsidRDefault="00000000">
    <w:r>
      <w:pict w14:anchorId="30B1DB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8" type="#_x0000_t75" style="position:absolute;left:0;text-align:left;margin-left:0;margin-top:0;width:222.75pt;height:315.75pt;z-index:251695104;mso-position-horizontal:center;mso-position-horizontal-relative:page;mso-position-vertical:center;mso-position-vertical-relative:page;mso-width-relative:page;mso-height-relative:page">
          <v:imagedata r:id="rId1" o:title=""/>
          <o:lock v:ext="edit" aspectratio="f"/>
          <w10:wrap anchorx="page" anchory="page"/>
        </v:shape>
      </w:pict>
    </w:r>
  </w:p>
  <w:p w14:paraId="49AE9770" w14:textId="77777777" w:rsidR="00B67C49" w:rsidRDefault="00000000">
    <w:r>
      <w:pict w14:anchorId="49F48B03">
        <v:shape id="_x0000_s3093" type="#_x0000_t75" style="position:absolute;left:0;text-align:left;margin-left:0;margin-top:0;width:222.75pt;height:315.75pt;z-index:25166745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D53A38" w14:textId="77777777" w:rsidR="00B67C49" w:rsidRDefault="00B67C49"/>
  <w:p w14:paraId="11277533" w14:textId="77777777" w:rsidR="00B67C49" w:rsidRDefault="00B67C49"/>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8DB68" w14:textId="77777777" w:rsidR="00B67C49" w:rsidRDefault="00000000">
    <w:r>
      <w:pict w14:anchorId="60761FE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07" type="#_x0000_t75" style="position:absolute;left:0;text-align:left;margin-left:0;margin-top:0;width:222.75pt;height:315.75pt;z-index:251694080;mso-position-horizontal:center;mso-position-horizontal-relative:page;mso-position-vertical:center;mso-position-vertical-relative:page;mso-width-relative:page;mso-height-relative:page">
          <v:imagedata r:id="rId1" o:title=""/>
          <o:lock v:ext="edit" aspectratio="f"/>
          <w10:wrap anchorx="page" anchory="page"/>
        </v:shape>
      </w:pict>
    </w:r>
  </w:p>
  <w:p w14:paraId="0535822C" w14:textId="77777777" w:rsidR="00B67C49" w:rsidRDefault="00000000">
    <w:r>
      <w:pict w14:anchorId="70CF86BB">
        <v:shape id="_x0000_s3090" type="#_x0000_t75" style="position:absolute;left:0;text-align:left;margin-left:0;margin-top:0;width:222.75pt;height:315.75pt;z-index:25166643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EC1DEE" w14:textId="77777777" w:rsidR="00B67C49" w:rsidRDefault="00000000">
    <w:r>
      <w:pict w14:anchorId="5844E6A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1" type="#_x0000_t75" style="position:absolute;left:0;text-align:left;margin-left:0;margin-top:0;width:222.75pt;height:315.75pt;z-index:251697152;mso-position-horizontal:center;mso-position-horizontal-relative:page;mso-position-vertical:center;mso-position-vertical-relative:page;mso-width-relative:page;mso-height-relative:page">
          <v:imagedata r:id="rId1" o:title=""/>
          <o:lock v:ext="edit" aspectratio="f"/>
          <w10:wrap anchorx="page" anchory="page"/>
        </v:shape>
      </w:pict>
    </w:r>
  </w:p>
  <w:p w14:paraId="466367C0" w14:textId="77777777" w:rsidR="00B67C49" w:rsidRDefault="00000000">
    <w:r>
      <w:pict w14:anchorId="6E8FFD79">
        <v:shape id="_x0000_s3098" type="#_x0000_t75" style="position:absolute;left:0;text-align:left;margin-left:0;margin-top:0;width:222.75pt;height:315.75pt;z-index:25166950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12C78C" w14:textId="77777777" w:rsidR="00B67C49" w:rsidRDefault="00B67C49"/>
  <w:p w14:paraId="067E350F" w14:textId="77777777" w:rsidR="00B67C49" w:rsidRDefault="00B67C49"/>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BCA700" w14:textId="77777777" w:rsidR="00B67C49" w:rsidRDefault="00000000">
    <w:r>
      <w:pict w14:anchorId="0C5F67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0" type="#_x0000_t75" style="position:absolute;left:0;text-align:left;margin-left:0;margin-top:0;width:222.75pt;height:315.75pt;z-index:251696128;mso-position-horizontal:center;mso-position-horizontal-relative:page;mso-position-vertical:center;mso-position-vertical-relative:page;mso-width-relative:page;mso-height-relative:page">
          <v:imagedata r:id="rId1" o:title=""/>
          <o:lock v:ext="edit" aspectratio="f"/>
          <w10:wrap anchorx="page" anchory="page"/>
        </v:shape>
      </w:pict>
    </w:r>
  </w:p>
  <w:p w14:paraId="6FD6F432" w14:textId="77777777" w:rsidR="00B67C49" w:rsidRDefault="00000000">
    <w:r>
      <w:pict w14:anchorId="24631B1A">
        <v:shape id="_x0000_s3095" type="#_x0000_t75" style="position:absolute;left:0;text-align:left;margin-left:0;margin-top:0;width:222.75pt;height:315.75pt;z-index:25166848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58F766" w14:textId="77777777" w:rsidR="00B67C49" w:rsidRDefault="00000000">
    <w:r>
      <w:pict w14:anchorId="3917E0D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4" type="#_x0000_t75" style="position:absolute;left:0;text-align:left;margin-left:0;margin-top:0;width:222.75pt;height:315.75pt;z-index:251699200;mso-position-horizontal:center;mso-position-horizontal-relative:page;mso-position-vertical:center;mso-position-vertical-relative:page;mso-width-relative:page;mso-height-relative:page">
          <v:imagedata r:id="rId1" o:title=""/>
          <o:lock v:ext="edit" aspectratio="f"/>
          <w10:wrap anchorx="page" anchory="page"/>
        </v:shape>
      </w:pict>
    </w:r>
  </w:p>
  <w:p w14:paraId="1BF8F86A" w14:textId="77777777" w:rsidR="00B67C49" w:rsidRDefault="00000000">
    <w:r>
      <w:pict w14:anchorId="395EB0FB">
        <v:shape id="_x0000_s3103" type="#_x0000_t75" style="position:absolute;left:0;text-align:left;margin-left:0;margin-top:0;width:222.75pt;height:315.75pt;z-index:25167155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773B5C" w14:textId="77777777" w:rsidR="00B67C49" w:rsidRDefault="00B67C49"/>
  <w:p w14:paraId="672D02C0" w14:textId="77777777" w:rsidR="00B67C49" w:rsidRDefault="00B67C49"/>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51D3F6" w14:textId="77777777" w:rsidR="00B67C49" w:rsidRDefault="00000000">
    <w:r>
      <w:pict w14:anchorId="433D566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3" type="#_x0000_t75" style="position:absolute;left:0;text-align:left;margin-left:0;margin-top:0;width:222.75pt;height:315.75pt;z-index:251698176;mso-position-horizontal:center;mso-position-horizontal-relative:page;mso-position-vertical:center;mso-position-vertical-relative:page;mso-width-relative:page;mso-height-relative:page">
          <v:imagedata r:id="rId1" o:title=""/>
          <o:lock v:ext="edit" aspectratio="f"/>
          <w10:wrap anchorx="page" anchory="page"/>
        </v:shape>
      </w:pict>
    </w:r>
  </w:p>
  <w:p w14:paraId="7580A0DB" w14:textId="77777777" w:rsidR="00B67C49" w:rsidRDefault="00000000">
    <w:r>
      <w:pict w14:anchorId="62A7E58C">
        <v:shape id="_x0000_s3100" type="#_x0000_t75" style="position:absolute;left:0;text-align:left;margin-left:0;margin-top:0;width:222.75pt;height:315.75pt;z-index:25167052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CA15B3" w14:textId="77777777" w:rsidR="00B67C49" w:rsidRDefault="00000000">
    <w:r>
      <w:pict w14:anchorId="2DAF4D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7" type="#_x0000_t75" style="position:absolute;left:0;text-align:left;margin-left:0;margin-top:0;width:222.75pt;height:315.75pt;z-index:251701248;mso-position-horizontal:center;mso-position-horizontal-relative:page;mso-position-vertical:center;mso-position-vertical-relative:page;mso-width-relative:page;mso-height-relative:page">
          <v:imagedata r:id="rId1" o:title=""/>
          <o:lock v:ext="edit" aspectratio="f"/>
          <w10:wrap anchorx="page" anchory="page"/>
        </v:shape>
      </w:pict>
    </w:r>
  </w:p>
  <w:p w14:paraId="567DEE9D" w14:textId="77777777" w:rsidR="00B67C49" w:rsidRDefault="00000000">
    <w:r>
      <w:pict w14:anchorId="3837F020">
        <v:shape id="_x0000_s3108" type="#_x0000_t75" style="position:absolute;left:0;text-align:left;margin-left:0;margin-top:0;width:222.75pt;height:315.75pt;z-index:25167360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E6325" w14:textId="77777777" w:rsidR="00B67C49" w:rsidRDefault="00B67C49"/>
  <w:p w14:paraId="64AE4DE4" w14:textId="77777777" w:rsidR="00B67C49" w:rsidRDefault="00B67C49"/>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0B89D9" w14:textId="77777777" w:rsidR="00B67C49" w:rsidRDefault="00000000">
    <w:r>
      <w:pict w14:anchorId="5BB413B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6" type="#_x0000_t75" style="position:absolute;left:0;text-align:left;margin-left:0;margin-top:0;width:222.75pt;height:315.75pt;z-index:251700224;mso-position-horizontal:center;mso-position-horizontal-relative:page;mso-position-vertical:center;mso-position-vertical-relative:page;mso-width-relative:page;mso-height-relative:page">
          <v:imagedata r:id="rId1" o:title=""/>
          <o:lock v:ext="edit" aspectratio="f"/>
          <w10:wrap anchorx="page" anchory="page"/>
        </v:shape>
      </w:pict>
    </w:r>
  </w:p>
  <w:p w14:paraId="0D587036" w14:textId="77777777" w:rsidR="00B67C49" w:rsidRDefault="00000000">
    <w:r>
      <w:pict w14:anchorId="14D592C6">
        <v:shape id="_x0000_s3105" type="#_x0000_t75" style="position:absolute;left:0;text-align:left;margin-left:0;margin-top:0;width:222.75pt;height:315.75pt;z-index:25167257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51219" w14:textId="77777777" w:rsidR="00B67C49" w:rsidRDefault="00000000">
    <w:r>
      <w:pict w14:anchorId="127435A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0" type="#_x0000_t75" style="position:absolute;left:0;text-align:left;margin-left:0;margin-top:0;width:222.75pt;height:315.75pt;z-index:251703296;mso-position-horizontal:center;mso-position-horizontal-relative:page;mso-position-vertical:center;mso-position-vertical-relative:page;mso-width-relative:page;mso-height-relative:page">
          <v:imagedata r:id="rId1" o:title=""/>
          <o:lock v:ext="edit" aspectratio="f"/>
          <w10:wrap anchorx="page" anchory="page"/>
        </v:shape>
      </w:pict>
    </w:r>
  </w:p>
  <w:p w14:paraId="6BA67CB4" w14:textId="77777777" w:rsidR="00B67C49" w:rsidRDefault="00000000">
    <w:r>
      <w:pict w14:anchorId="6D0B06CA">
        <v:shape id="_x0000_s3113" type="#_x0000_t75" style="position:absolute;left:0;text-align:left;margin-left:0;margin-top:0;width:222.75pt;height:315.75pt;z-index:25167564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8DA384" w14:textId="77777777" w:rsidR="00B67C49" w:rsidRDefault="00B67C49"/>
  <w:p w14:paraId="5DC6C23D" w14:textId="77777777" w:rsidR="00B67C49" w:rsidRDefault="00B67C49"/>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2FB603" w14:textId="77777777" w:rsidR="00B67C49" w:rsidRDefault="00000000">
    <w:r>
      <w:pict w14:anchorId="68666F1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19" type="#_x0000_t75" style="position:absolute;left:0;text-align:left;margin-left:0;margin-top:0;width:222.75pt;height:315.75pt;z-index:251702272;mso-position-horizontal:center;mso-position-horizontal-relative:page;mso-position-vertical:center;mso-position-vertical-relative:page;mso-width-relative:page;mso-height-relative:page">
          <v:imagedata r:id="rId1" o:title=""/>
          <o:lock v:ext="edit" aspectratio="f"/>
          <w10:wrap anchorx="page" anchory="page"/>
        </v:shape>
      </w:pict>
    </w:r>
  </w:p>
  <w:p w14:paraId="41079C9C" w14:textId="77777777" w:rsidR="00B67C49" w:rsidRDefault="00000000">
    <w:r>
      <w:pict w14:anchorId="5C0FDA72">
        <v:shape id="_x0000_s3110" type="#_x0000_t75" style="position:absolute;left:0;text-align:left;margin-left:0;margin-top:0;width:222.75pt;height:315.75pt;z-index:25167462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EC7FE" w14:textId="77777777" w:rsidR="00B67C49" w:rsidRDefault="00000000">
    <w:r>
      <w:pict w14:anchorId="64EB143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3" type="#_x0000_t75" style="position:absolute;left:0;text-align:left;margin-left:0;margin-top:0;width:222.75pt;height:315.75pt;z-index:251705344;mso-position-horizontal:center;mso-position-horizontal-relative:page;mso-position-vertical:center;mso-position-vertical-relative:page;mso-width-relative:page;mso-height-relative:page">
          <v:imagedata r:id="rId1" o:title=""/>
          <o:lock v:ext="edit" aspectratio="f"/>
          <w10:wrap anchorx="page" anchory="page"/>
        </v:shape>
      </w:pict>
    </w:r>
  </w:p>
  <w:p w14:paraId="4F9B13A4" w14:textId="77777777" w:rsidR="00B67C49" w:rsidRDefault="00000000">
    <w:r>
      <w:pict w14:anchorId="0B4D6428">
        <v:shape id="_x0000_s3118" type="#_x0000_t75" style="position:absolute;left:0;text-align:left;margin-left:0;margin-top:0;width:222.75pt;height:315.75pt;z-index:25167769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B85130" w14:textId="77777777" w:rsidR="00B67C49" w:rsidRDefault="00B67C49"/>
  <w:p w14:paraId="000F91E8" w14:textId="77777777" w:rsidR="00B67C49" w:rsidRDefault="00B67C49"/>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DC699" w14:textId="77777777" w:rsidR="00B67C49" w:rsidRDefault="00000000">
    <w:r>
      <w:pict w14:anchorId="77C8A30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2" type="#_x0000_t75" style="position:absolute;left:0;text-align:left;margin-left:0;margin-top:0;width:222.75pt;height:315.75pt;z-index:251704320;mso-position-horizontal:center;mso-position-horizontal-relative:page;mso-position-vertical:center;mso-position-vertical-relative:page;mso-width-relative:page;mso-height-relative:page">
          <v:imagedata r:id="rId1" o:title=""/>
          <o:lock v:ext="edit" aspectratio="f"/>
          <w10:wrap anchorx="page" anchory="page"/>
        </v:shape>
      </w:pict>
    </w:r>
  </w:p>
  <w:p w14:paraId="7E8C6388" w14:textId="77777777" w:rsidR="00B67C49" w:rsidRDefault="00000000">
    <w:r>
      <w:pict w14:anchorId="6AD344E6">
        <v:shape id="_x0000_s3115" type="#_x0000_t75" style="position:absolute;left:0;text-align:left;margin-left:0;margin-top:0;width:222.75pt;height:315.75pt;z-index:25167667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FB2AE" w14:textId="77777777" w:rsidR="00B67C49" w:rsidRDefault="00000000">
    <w:r>
      <w:pict w14:anchorId="26D6848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6" type="#_x0000_t75" style="position:absolute;left:0;text-align:left;margin-left:0;margin-top:0;width:222.75pt;height:315.75pt;z-index:251706368;mso-position-horizontal:center;mso-position-horizontal-relative:page;mso-position-vertical:center;mso-position-vertical-relative:page;mso-width-relative:page;mso-height-relative:page">
          <v:imagedata r:id="rId1" o:title=""/>
          <o:lock v:ext="edit" aspectratio="f"/>
          <w10:wrap anchorx="page" anchory="page"/>
        </v:shape>
      </w:pict>
    </w:r>
  </w:p>
  <w:p w14:paraId="4F989416" w14:textId="77777777" w:rsidR="00B67C49" w:rsidRDefault="00000000">
    <w:r>
      <w:pict w14:anchorId="2B75F4C6">
        <v:shape id="_x0000_s3122" type="#_x0000_t75" style="position:absolute;left:0;text-align:left;margin-left:0;margin-top:0;width:222.75pt;height:315.75pt;z-index:25167872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49C10" w14:textId="77777777" w:rsidR="00B67C49" w:rsidRDefault="00B67C49"/>
  <w:p w14:paraId="55340653" w14:textId="77777777" w:rsidR="00B67C49" w:rsidRDefault="00B67C49"/>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69EED0" w14:textId="77777777" w:rsidR="00B67C49" w:rsidRDefault="00B67C49"/>
  <w:p w14:paraId="4EFB9ADF" w14:textId="77777777" w:rsidR="00B67C49" w:rsidRDefault="00B67C49"/>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76B7F0" w14:textId="77777777" w:rsidR="00B67C49" w:rsidRDefault="00000000">
    <w:r>
      <w:pict w14:anchorId="167B60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9" type="#_x0000_t75" style="position:absolute;left:0;text-align:left;margin-left:0;margin-top:0;width:222.75pt;height:315.75pt;z-index:251708416;mso-position-horizontal:center;mso-position-horizontal-relative:page;mso-position-vertical:center;mso-position-vertical-relative:page;mso-width-relative:page;mso-height-relative:page">
          <v:imagedata r:id="rId1" o:title=""/>
          <o:lock v:ext="edit" aspectratio="f"/>
          <w10:wrap anchorx="page" anchory="page"/>
        </v:shape>
      </w:pict>
    </w:r>
  </w:p>
  <w:p w14:paraId="55A1294D" w14:textId="77777777" w:rsidR="00B67C49" w:rsidRDefault="00000000">
    <w:r>
      <w:pict w14:anchorId="22BA5780">
        <v:shape id="_x0000_s3127" type="#_x0000_t75" style="position:absolute;left:0;text-align:left;margin-left:0;margin-top:0;width:222.75pt;height:315.75pt;z-index:25168076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78C12E" w14:textId="77777777" w:rsidR="00B67C49" w:rsidRDefault="00B67C49"/>
  <w:p w14:paraId="6697DF25" w14:textId="77777777" w:rsidR="00B67C49" w:rsidRDefault="00B67C49"/>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7F8EA" w14:textId="77777777" w:rsidR="00B67C49" w:rsidRDefault="00000000">
    <w:r>
      <w:pict w14:anchorId="1B7530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28" type="#_x0000_t75" style="position:absolute;left:0;text-align:left;margin-left:0;margin-top:0;width:222.75pt;height:315.75pt;z-index:251707392;mso-position-horizontal:center;mso-position-horizontal-relative:page;mso-position-vertical:center;mso-position-vertical-relative:page;mso-width-relative:page;mso-height-relative:page">
          <v:imagedata r:id="rId1" o:title=""/>
          <o:lock v:ext="edit" aspectratio="f"/>
          <w10:wrap anchorx="page" anchory="page"/>
        </v:shape>
      </w:pict>
    </w:r>
  </w:p>
  <w:p w14:paraId="2199D6FE" w14:textId="77777777" w:rsidR="00B67C49" w:rsidRDefault="00000000">
    <w:r>
      <w:pict w14:anchorId="25D9983B">
        <v:shape id="_x0000_s3124" type="#_x0000_t75" style="position:absolute;left:0;text-align:left;margin-left:0;margin-top:0;width:222.75pt;height:315.75pt;z-index:25167974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2A8DB2" w14:textId="77777777" w:rsidR="00B67C49" w:rsidRDefault="00000000">
    <w:r>
      <w:pict w14:anchorId="098AD5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2" type="#_x0000_t75" style="position:absolute;left:0;text-align:left;margin-left:0;margin-top:0;width:222.75pt;height:315.75pt;z-index:251710464;mso-position-horizontal:center;mso-position-horizontal-relative:page;mso-position-vertical:center;mso-position-vertical-relative:page;mso-width-relative:page;mso-height-relative:page">
          <v:imagedata r:id="rId1" o:title=""/>
          <o:lock v:ext="edit" aspectratio="f"/>
          <w10:wrap anchorx="page" anchory="page"/>
        </v:shape>
      </w:pict>
    </w:r>
  </w:p>
  <w:p w14:paraId="2AD095CC" w14:textId="77777777" w:rsidR="00B67C49" w:rsidRDefault="00000000">
    <w:r>
      <w:pict w14:anchorId="1F0F7D24">
        <v:shape id="_x0000_s3132" type="#_x0000_t75" style="position:absolute;left:0;text-align:left;margin-left:0;margin-top:0;width:222.75pt;height:315.75pt;z-index:251682816;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8BD5E2" w14:textId="77777777" w:rsidR="00B67C49" w:rsidRDefault="00B67C49"/>
  <w:p w14:paraId="44991FAF" w14:textId="77777777" w:rsidR="00B67C49" w:rsidRDefault="00B67C49"/>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89EDEC" w14:textId="77777777" w:rsidR="00B67C49" w:rsidRDefault="00000000">
    <w:r>
      <w:pict w14:anchorId="5B79312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1" type="#_x0000_t75" style="position:absolute;left:0;text-align:left;margin-left:0;margin-top:0;width:222.75pt;height:315.75pt;z-index:251709440;mso-position-horizontal:center;mso-position-horizontal-relative:page;mso-position-vertical:center;mso-position-vertical-relative:page;mso-width-relative:page;mso-height-relative:page">
          <v:imagedata r:id="rId1" o:title=""/>
          <o:lock v:ext="edit" aspectratio="f"/>
          <w10:wrap anchorx="page" anchory="page"/>
        </v:shape>
      </w:pict>
    </w:r>
  </w:p>
  <w:p w14:paraId="37FF071B" w14:textId="77777777" w:rsidR="00B67C49" w:rsidRDefault="00000000">
    <w:r>
      <w:pict w14:anchorId="4DC06183">
        <v:shape id="_x0000_s3129" type="#_x0000_t75" style="position:absolute;left:0;text-align:left;margin-left:0;margin-top:0;width:222.75pt;height:315.75pt;z-index:25168179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271A02" w14:textId="77777777" w:rsidR="00B67C49" w:rsidRDefault="00000000">
    <w:r>
      <w:pict w14:anchorId="081D9F0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5" type="#_x0000_t75" style="position:absolute;left:0;text-align:left;margin-left:0;margin-top:0;width:222.75pt;height:315.75pt;z-index:251712512;mso-position-horizontal:center;mso-position-horizontal-relative:page;mso-position-vertical:center;mso-position-vertical-relative:page;mso-width-relative:page;mso-height-relative:page">
          <v:imagedata r:id="rId1" o:title=""/>
          <o:lock v:ext="edit" aspectratio="f"/>
          <w10:wrap anchorx="page" anchory="page"/>
        </v:shape>
      </w:pict>
    </w:r>
  </w:p>
  <w:p w14:paraId="438AF652" w14:textId="77777777" w:rsidR="00B67C49" w:rsidRDefault="00000000">
    <w:r>
      <w:pict w14:anchorId="45186FF2">
        <v:shape id="_x0000_s3137" type="#_x0000_t75" style="position:absolute;left:0;text-align:left;margin-left:0;margin-top:0;width:222.75pt;height:315.75pt;z-index:251684864;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A1EEF" w14:textId="77777777" w:rsidR="00B67C49" w:rsidRDefault="00B67C49"/>
  <w:p w14:paraId="59319B60" w14:textId="77777777" w:rsidR="00B67C49" w:rsidRDefault="00B67C49"/>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A3391" w14:textId="77777777" w:rsidR="00B67C49" w:rsidRDefault="00000000">
    <w:r>
      <w:pict w14:anchorId="6EA909E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4" type="#_x0000_t75" style="position:absolute;left:0;text-align:left;margin-left:0;margin-top:0;width:222.75pt;height:315.75pt;z-index:251711488;mso-position-horizontal:center;mso-position-horizontal-relative:page;mso-position-vertical:center;mso-position-vertical-relative:page;mso-width-relative:page;mso-height-relative:page">
          <v:imagedata r:id="rId1" o:title=""/>
          <o:lock v:ext="edit" aspectratio="f"/>
          <w10:wrap anchorx="page" anchory="page"/>
        </v:shape>
      </w:pict>
    </w:r>
  </w:p>
  <w:p w14:paraId="72C46748" w14:textId="77777777" w:rsidR="00B67C49" w:rsidRDefault="00000000">
    <w:r>
      <w:pict w14:anchorId="73BB2565">
        <v:shape id="_x0000_s3134" type="#_x0000_t75" style="position:absolute;left:0;text-align:left;margin-left:0;margin-top:0;width:222.75pt;height:315.75pt;z-index:251683840;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765A4" w14:textId="77777777" w:rsidR="00B67C49" w:rsidRDefault="00000000">
    <w:r>
      <w:pict w14:anchorId="2A5300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8" type="#_x0000_t75" style="position:absolute;left:0;text-align:left;margin-left:0;margin-top:0;width:222.75pt;height:315.75pt;z-index:251714560;mso-position-horizontal:center;mso-position-horizontal-relative:page;mso-position-vertical:center;mso-position-vertical-relative:page;mso-width-relative:page;mso-height-relative:page">
          <v:imagedata r:id="rId1" o:title=""/>
          <o:lock v:ext="edit" aspectratio="f"/>
          <w10:wrap anchorx="page" anchory="page"/>
        </v:shape>
      </w:pict>
    </w:r>
  </w:p>
  <w:p w14:paraId="695BF99E" w14:textId="77777777" w:rsidR="00B67C49" w:rsidRDefault="00000000">
    <w:r>
      <w:pict w14:anchorId="08841A96">
        <v:shape id="_x0000_s3142" type="#_x0000_t75" style="position:absolute;left:0;text-align:left;margin-left:0;margin-top:0;width:222.75pt;height:315.75pt;z-index:251686912;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902595" w14:textId="77777777" w:rsidR="00B67C49" w:rsidRDefault="00B67C49"/>
  <w:p w14:paraId="57FEC27C" w14:textId="77777777" w:rsidR="00B67C49" w:rsidRDefault="00B67C49"/>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7FE9C0" w14:textId="77777777" w:rsidR="00B67C49" w:rsidRDefault="00000000">
    <w:r>
      <w:pict w14:anchorId="643741F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4137" type="#_x0000_t75" style="position:absolute;left:0;text-align:left;margin-left:0;margin-top:0;width:222.75pt;height:315.75pt;z-index:251713536;mso-position-horizontal:center;mso-position-horizontal-relative:page;mso-position-vertical:center;mso-position-vertical-relative:page;mso-width-relative:page;mso-height-relative:page">
          <v:imagedata r:id="rId1" o:title=""/>
          <o:lock v:ext="edit" aspectratio="f"/>
          <w10:wrap anchorx="page" anchory="page"/>
        </v:shape>
      </w:pict>
    </w:r>
  </w:p>
  <w:p w14:paraId="5EE56842" w14:textId="77777777" w:rsidR="00B67C49" w:rsidRDefault="00000000">
    <w:r>
      <w:pict w14:anchorId="21DD9374">
        <v:shape id="_x0000_s3139" type="#_x0000_t75" style="position:absolute;left:0;text-align:left;margin-left:0;margin-top:0;width:222.75pt;height:315.75pt;z-index:251685888;mso-position-horizontal:center;mso-position-horizontal-relative:page;mso-position-vertical:center;mso-position-vertical-relative:page;mso-width-relative:page;mso-height-relative:page">
          <v:imagedata r:id="rId1" o:title=""/>
          <o:lock v:ext="edit" aspectratio="f"/>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multilevel"/>
    <w:tmpl w:val="15615095"/>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9BE1F2A"/>
    <w:multiLevelType w:val="multilevel"/>
    <w:tmpl w:val="59BE1F2A"/>
    <w:lvl w:ilvl="0">
      <w:start w:val="1"/>
      <w:numFmt w:val="decimal"/>
      <w:lvlText w:val="%1、"/>
      <w:lvlJc w:val="left"/>
      <w:pPr>
        <w:ind w:left="375" w:hanging="360"/>
      </w:pPr>
      <w:rPr>
        <w:rFonts w:hint="default"/>
      </w:rPr>
    </w:lvl>
    <w:lvl w:ilvl="1">
      <w:start w:val="1"/>
      <w:numFmt w:val="lowerLetter"/>
      <w:lvlText w:val="%2)"/>
      <w:lvlJc w:val="left"/>
      <w:pPr>
        <w:ind w:left="855" w:hanging="420"/>
      </w:pPr>
    </w:lvl>
    <w:lvl w:ilvl="2">
      <w:start w:val="1"/>
      <w:numFmt w:val="lowerRoman"/>
      <w:lvlText w:val="%3."/>
      <w:lvlJc w:val="right"/>
      <w:pPr>
        <w:ind w:left="1275" w:hanging="420"/>
      </w:pPr>
    </w:lvl>
    <w:lvl w:ilvl="3">
      <w:start w:val="1"/>
      <w:numFmt w:val="decimal"/>
      <w:lvlText w:val="%4."/>
      <w:lvlJc w:val="left"/>
      <w:pPr>
        <w:ind w:left="1695" w:hanging="420"/>
      </w:pPr>
    </w:lvl>
    <w:lvl w:ilvl="4">
      <w:start w:val="1"/>
      <w:numFmt w:val="lowerLetter"/>
      <w:lvlText w:val="%5)"/>
      <w:lvlJc w:val="left"/>
      <w:pPr>
        <w:ind w:left="2115" w:hanging="420"/>
      </w:pPr>
    </w:lvl>
    <w:lvl w:ilvl="5">
      <w:start w:val="1"/>
      <w:numFmt w:val="lowerRoman"/>
      <w:lvlText w:val="%6."/>
      <w:lvlJc w:val="right"/>
      <w:pPr>
        <w:ind w:left="2535" w:hanging="420"/>
      </w:pPr>
    </w:lvl>
    <w:lvl w:ilvl="6">
      <w:start w:val="1"/>
      <w:numFmt w:val="decimal"/>
      <w:lvlText w:val="%7."/>
      <w:lvlJc w:val="left"/>
      <w:pPr>
        <w:ind w:left="2955" w:hanging="420"/>
      </w:pPr>
    </w:lvl>
    <w:lvl w:ilvl="7">
      <w:start w:val="1"/>
      <w:numFmt w:val="lowerLetter"/>
      <w:lvlText w:val="%8)"/>
      <w:lvlJc w:val="left"/>
      <w:pPr>
        <w:ind w:left="3375" w:hanging="420"/>
      </w:pPr>
    </w:lvl>
    <w:lvl w:ilvl="8">
      <w:start w:val="1"/>
      <w:numFmt w:val="lowerRoman"/>
      <w:lvlText w:val="%9."/>
      <w:lvlJc w:val="right"/>
      <w:pPr>
        <w:ind w:left="3795" w:hanging="420"/>
      </w:pPr>
    </w:lvl>
  </w:abstractNum>
  <w:num w:numId="1" w16cid:durableId="2109621022">
    <w:abstractNumId w:val="0"/>
  </w:num>
  <w:num w:numId="2" w16cid:durableId="166331454">
    <w:abstractNumId w:val="1"/>
  </w:num>
  <w:num w:numId="3" w16cid:durableId="331108643">
    <w:abstractNumId w:val="3"/>
  </w:num>
  <w:num w:numId="4" w16cid:durableId="37481523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4139"/>
    <o:shapelayout v:ext="edit">
      <o:idmap v:ext="edit" data="1,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GY2ODUzNGVlMWY5MTdmYzk4NTgyYTQzMDZkYWUyOTUifQ=="/>
  </w:docVars>
  <w:rsids>
    <w:rsidRoot w:val="000233F5"/>
    <w:rsid w:val="000233F5"/>
    <w:rsid w:val="000369E6"/>
    <w:rsid w:val="000A79E6"/>
    <w:rsid w:val="001A6C66"/>
    <w:rsid w:val="00270C84"/>
    <w:rsid w:val="00395CEF"/>
    <w:rsid w:val="004164CD"/>
    <w:rsid w:val="00444AC4"/>
    <w:rsid w:val="00473C36"/>
    <w:rsid w:val="00500468"/>
    <w:rsid w:val="00571AA7"/>
    <w:rsid w:val="00602C1D"/>
    <w:rsid w:val="0061153E"/>
    <w:rsid w:val="00637380"/>
    <w:rsid w:val="00667417"/>
    <w:rsid w:val="006F096F"/>
    <w:rsid w:val="00712892"/>
    <w:rsid w:val="007159AF"/>
    <w:rsid w:val="00717D54"/>
    <w:rsid w:val="007260BE"/>
    <w:rsid w:val="007E6B39"/>
    <w:rsid w:val="00804883"/>
    <w:rsid w:val="0082435C"/>
    <w:rsid w:val="008D223B"/>
    <w:rsid w:val="009127CF"/>
    <w:rsid w:val="009511BD"/>
    <w:rsid w:val="009617D2"/>
    <w:rsid w:val="009C4E42"/>
    <w:rsid w:val="00A06B28"/>
    <w:rsid w:val="00A43A06"/>
    <w:rsid w:val="00B26DB7"/>
    <w:rsid w:val="00B67C49"/>
    <w:rsid w:val="00BA5823"/>
    <w:rsid w:val="00C06C38"/>
    <w:rsid w:val="00C131FA"/>
    <w:rsid w:val="00C338F4"/>
    <w:rsid w:val="00D84CBD"/>
    <w:rsid w:val="00E53CF6"/>
    <w:rsid w:val="00EA688E"/>
    <w:rsid w:val="00F15997"/>
    <w:rsid w:val="00F25D44"/>
    <w:rsid w:val="00F71F89"/>
    <w:rsid w:val="00FA618F"/>
    <w:rsid w:val="00FB56F5"/>
    <w:rsid w:val="00FB5944"/>
    <w:rsid w:val="00FE3C3A"/>
    <w:rsid w:val="21123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139"/>
    <o:shapelayout v:ext="edit">
      <o:idmap v:ext="edit" data="2"/>
    </o:shapelayout>
  </w:shapeDefaults>
  <w:decimalSymbol w:val="."/>
  <w:listSeparator w:val=","/>
  <w14:docId w14:val="0EB21247"/>
  <w15:docId w15:val="{1E02380B-D7B8-47C2-B18D-D108744FB7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qFormat/>
    <w:pPr>
      <w:ind w:firstLineChars="200" w:firstLine="420"/>
    </w:pPr>
    <w:rPr>
      <w:rFonts w:ascii="Times New Roman" w:eastAsia="宋体" w:hAnsi="Times New Roman" w:cs="Times New Roman"/>
      <w:szCs w:val="20"/>
    </w:rPr>
  </w:style>
  <w:style w:type="paragraph" w:styleId="a4">
    <w:name w:val="Document Map"/>
    <w:basedOn w:val="a"/>
    <w:link w:val="a5"/>
    <w:autoRedefine/>
    <w:semiHidden/>
    <w:unhideWhenUsed/>
    <w:qFormat/>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qFormat/>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autoRedefine/>
    <w:uiPriority w:val="99"/>
    <w:semiHidden/>
    <w:unhideWhenUsed/>
    <w:qFormat/>
    <w:pPr>
      <w:spacing w:after="120"/>
      <w:ind w:leftChars="200" w:left="420"/>
    </w:pPr>
  </w:style>
  <w:style w:type="paragraph" w:styleId="TOC3">
    <w:name w:val="toc 3"/>
    <w:basedOn w:val="a"/>
    <w:next w:val="a"/>
    <w:autoRedefine/>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qFormat/>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autoRedefine/>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autoRedefine/>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qFormat/>
    <w:rPr>
      <w:b/>
    </w:rPr>
  </w:style>
  <w:style w:type="table" w:styleId="afa">
    <w:name w:val="Table Grid"/>
    <w:basedOn w:val="a1"/>
    <w:autoRedefine/>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uiPriority w:val="99"/>
    <w:unhideWhenUsed/>
    <w:qFormat/>
    <w:rPr>
      <w:color w:val="0000FF"/>
      <w:u w:val="single"/>
    </w:rPr>
  </w:style>
  <w:style w:type="character" w:styleId="afd">
    <w:name w:val="annotation reference"/>
    <w:uiPriority w:val="99"/>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autoRedefine/>
    <w:semiHidden/>
    <w:qFormat/>
    <w:rPr>
      <w:rFonts w:ascii="宋体" w:eastAsia="宋体" w:hAnsi="Calibri" w:cs="Times New Roman"/>
      <w:kern w:val="0"/>
    </w:rPr>
  </w:style>
  <w:style w:type="character" w:customStyle="1" w:styleId="22">
    <w:name w:val="正文文本缩进 2 字符"/>
    <w:basedOn w:val="a0"/>
    <w:link w:val="21"/>
    <w:autoRedefine/>
    <w:semiHidden/>
    <w:qFormat/>
    <w:rPr>
      <w:rFonts w:ascii="仿宋_GB2312" w:eastAsia="仿宋_GB2312" w:hAnsi="Times New Roman" w:cs="Times New Roman"/>
      <w:sz w:val="28"/>
      <w:szCs w:val="20"/>
    </w:rPr>
  </w:style>
  <w:style w:type="character" w:customStyle="1" w:styleId="32">
    <w:name w:val="正文文本缩进 3 字符"/>
    <w:basedOn w:val="a0"/>
    <w:link w:val="31"/>
    <w:autoRedefine/>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autoRedefine/>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autoRedefine/>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qFormat/>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qFormat/>
    <w:rPr>
      <w:rFonts w:ascii="宋体" w:eastAsia="宋体" w:hAnsi="宋体" w:hint="eastAsia"/>
      <w:color w:val="000000"/>
      <w:sz w:val="24"/>
      <w:szCs w:val="24"/>
    </w:rPr>
  </w:style>
  <w:style w:type="character" w:customStyle="1" w:styleId="ab">
    <w:name w:val="正文文本缩进 字符"/>
    <w:basedOn w:val="a0"/>
    <w:link w:val="aa"/>
    <w:uiPriority w:val="99"/>
    <w:semiHidden/>
    <w:qFormat/>
  </w:style>
  <w:style w:type="paragraph" w:customStyle="1" w:styleId="zhangjiep">
    <w:name w:val="zhangjie_p"/>
    <w:basedOn w:val="a"/>
    <w:qFormat/>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qFormat/>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qFormat/>
    <w:rPr>
      <w:rFonts w:asciiTheme="minorHAnsi" w:eastAsiaTheme="minorEastAsia" w:hAnsiTheme="minorHAnsi" w:cstheme="minorBidi"/>
      <w:kern w:val="2"/>
      <w:sz w:val="21"/>
      <w:szCs w:val="22"/>
    </w:rPr>
  </w:style>
  <w:style w:type="paragraph" w:customStyle="1" w:styleId="33">
    <w:name w:val="修订3"/>
    <w:hidden/>
    <w:uiPriority w:val="99"/>
    <w:unhideWhenUsed/>
    <w:qFormat/>
    <w:rPr>
      <w:rFonts w:asciiTheme="minorHAnsi" w:eastAsiaTheme="minorEastAsia" w:hAnsiTheme="minorHAnsi" w:cstheme="minorBidi"/>
      <w:kern w:val="2"/>
      <w:sz w:val="21"/>
      <w:szCs w:val="22"/>
    </w:rPr>
  </w:style>
  <w:style w:type="paragraph" w:customStyle="1" w:styleId="4">
    <w:name w:val="修订4"/>
    <w:hidden/>
    <w:uiPriority w:val="99"/>
    <w:semiHidden/>
    <w:qFormat/>
    <w:rPr>
      <w:rFonts w:asciiTheme="minorHAnsi" w:eastAsiaTheme="minorEastAsia" w:hAnsiTheme="minorHAnsi" w:cstheme="minorBidi"/>
      <w:kern w:val="2"/>
      <w:sz w:val="21"/>
      <w:szCs w:val="22"/>
    </w:rPr>
  </w:style>
  <w:style w:type="paragraph" w:customStyle="1" w:styleId="aff2">
    <w:name w:val="合同正文"/>
    <w:basedOn w:val="a"/>
    <w:qFormat/>
    <w:pPr>
      <w:spacing w:line="360" w:lineRule="auto"/>
      <w:ind w:firstLineChars="200" w:firstLine="200"/>
    </w:pPr>
    <w:rPr>
      <w:bCs/>
      <w:sz w:val="24"/>
    </w:rPr>
  </w:style>
  <w:style w:type="paragraph" w:customStyle="1" w:styleId="5">
    <w:name w:val="修订5"/>
    <w:hidden/>
    <w:uiPriority w:val="99"/>
    <w:semiHidden/>
    <w:qFormat/>
    <w:rPr>
      <w:rFonts w:asciiTheme="minorHAnsi" w:eastAsiaTheme="minorEastAsia" w:hAnsiTheme="minorHAnsi" w:cstheme="minorBidi"/>
      <w:kern w:val="2"/>
      <w:sz w:val="21"/>
      <w:szCs w:val="22"/>
    </w:rPr>
  </w:style>
  <w:style w:type="paragraph" w:customStyle="1" w:styleId="6">
    <w:name w:val="修订6"/>
    <w:hidden/>
    <w:uiPriority w:val="99"/>
    <w:unhideWhenUsed/>
    <w:rPr>
      <w:rFonts w:asciiTheme="minorHAnsi" w:eastAsiaTheme="minorEastAsia" w:hAnsiTheme="minorHAnsi" w:cstheme="minorBidi"/>
      <w:kern w:val="2"/>
      <w:sz w:val="21"/>
      <w:szCs w:val="22"/>
    </w:rPr>
  </w:style>
  <w:style w:type="paragraph" w:styleId="aff3">
    <w:name w:val="Revision"/>
    <w:hidden/>
    <w:uiPriority w:val="99"/>
    <w:unhideWhenUsed/>
    <w:rsid w:val="009617D2"/>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eader" Target="header15.xml"/><Relationship Id="rId21" Type="http://schemas.openxmlformats.org/officeDocument/2006/relationships/footer" Target="footer2.xml"/><Relationship Id="rId42" Type="http://schemas.openxmlformats.org/officeDocument/2006/relationships/hyperlink" Target="http://www.5ifund.com" TargetMode="External"/><Relationship Id="rId47" Type="http://schemas.openxmlformats.org/officeDocument/2006/relationships/header" Target="header22.xml"/><Relationship Id="rId63" Type="http://schemas.openxmlformats.org/officeDocument/2006/relationships/header" Target="header32.xml"/><Relationship Id="rId68" Type="http://schemas.openxmlformats.org/officeDocument/2006/relationships/footer" Target="footer11.xml"/><Relationship Id="rId16" Type="http://schemas.openxmlformats.org/officeDocument/2006/relationships/header" Target="header7.xml"/><Relationship Id="rId11" Type="http://schemas.openxmlformats.org/officeDocument/2006/relationships/footer" Target="footer1.xml"/><Relationship Id="rId24" Type="http://schemas.openxmlformats.org/officeDocument/2006/relationships/header" Target="header14.xml"/><Relationship Id="rId32" Type="http://schemas.openxmlformats.org/officeDocument/2006/relationships/hyperlink" Target="http://www.zlfund.cn" TargetMode="External"/><Relationship Id="rId37" Type="http://schemas.openxmlformats.org/officeDocument/2006/relationships/hyperlink" Target="http://www.txfund.com" TargetMode="External"/><Relationship Id="rId40" Type="http://schemas.openxmlformats.org/officeDocument/2006/relationships/hyperlink" Target="https://www.zzfund.com" TargetMode="External"/><Relationship Id="rId45" Type="http://schemas.openxmlformats.org/officeDocument/2006/relationships/footer" Target="footer5.xml"/><Relationship Id="rId53" Type="http://schemas.openxmlformats.org/officeDocument/2006/relationships/footer" Target="footer7.xml"/><Relationship Id="rId58" Type="http://schemas.openxmlformats.org/officeDocument/2006/relationships/header" Target="header29.xml"/><Relationship Id="rId66" Type="http://schemas.openxmlformats.org/officeDocument/2006/relationships/header" Target="header34.xml"/><Relationship Id="rId74" Type="http://schemas.openxmlformats.org/officeDocument/2006/relationships/header" Target="header40.xml"/><Relationship Id="rId5" Type="http://schemas.openxmlformats.org/officeDocument/2006/relationships/settings" Target="settings.xml"/><Relationship Id="rId61" Type="http://schemas.openxmlformats.org/officeDocument/2006/relationships/footer" Target="footer9.xml"/><Relationship Id="rId19" Type="http://schemas.openxmlformats.org/officeDocument/2006/relationships/header" Target="header10.xml"/><Relationship Id="rId14" Type="http://schemas.openxmlformats.org/officeDocument/2006/relationships/header" Target="header5.xml"/><Relationship Id="rId22" Type="http://schemas.openxmlformats.org/officeDocument/2006/relationships/header" Target="header12.xml"/><Relationship Id="rId27" Type="http://schemas.openxmlformats.org/officeDocument/2006/relationships/header" Target="header16.xml"/><Relationship Id="rId30" Type="http://schemas.openxmlformats.org/officeDocument/2006/relationships/header" Target="header18.xml"/><Relationship Id="rId35" Type="http://schemas.openxmlformats.org/officeDocument/2006/relationships/hyperlink" Target="http://www.wacaijijin.com" TargetMode="External"/><Relationship Id="rId43" Type="http://schemas.openxmlformats.org/officeDocument/2006/relationships/header" Target="header19.xml"/><Relationship Id="rId48" Type="http://schemas.openxmlformats.org/officeDocument/2006/relationships/header" Target="header23.xml"/><Relationship Id="rId56" Type="http://schemas.openxmlformats.org/officeDocument/2006/relationships/image" Target="media/image3.jpeg"/><Relationship Id="rId64" Type="http://schemas.openxmlformats.org/officeDocument/2006/relationships/footer" Target="footer10.xml"/><Relationship Id="rId69" Type="http://schemas.openxmlformats.org/officeDocument/2006/relationships/header" Target="header36.xml"/><Relationship Id="rId7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eader" Target="header25.xml"/><Relationship Id="rId72" Type="http://schemas.openxmlformats.org/officeDocument/2006/relationships/footer" Target="footer12.xml"/><Relationship Id="rId3" Type="http://schemas.openxmlformats.org/officeDocument/2006/relationships/numbering" Target="numbering.xml"/><Relationship Id="rId12" Type="http://schemas.openxmlformats.org/officeDocument/2006/relationships/header" Target="header3.xml"/><Relationship Id="rId17" Type="http://schemas.openxmlformats.org/officeDocument/2006/relationships/header" Target="header8.xml"/><Relationship Id="rId25" Type="http://schemas.openxmlformats.org/officeDocument/2006/relationships/footer" Target="footer3.xml"/><Relationship Id="rId33" Type="http://schemas.openxmlformats.org/officeDocument/2006/relationships/hyperlink" Target="http://www.jjmmw.com" TargetMode="External"/><Relationship Id="rId38" Type="http://schemas.openxmlformats.org/officeDocument/2006/relationships/hyperlink" Target="http://www.puyifund.com" TargetMode="External"/><Relationship Id="rId46" Type="http://schemas.openxmlformats.org/officeDocument/2006/relationships/header" Target="header21.xml"/><Relationship Id="rId59" Type="http://schemas.openxmlformats.org/officeDocument/2006/relationships/footer" Target="footer8.xml"/><Relationship Id="rId67" Type="http://schemas.openxmlformats.org/officeDocument/2006/relationships/header" Target="header35.xml"/><Relationship Id="rId20" Type="http://schemas.openxmlformats.org/officeDocument/2006/relationships/header" Target="header11.xml"/><Relationship Id="rId41" Type="http://schemas.openxmlformats.org/officeDocument/2006/relationships/hyperlink" Target="http://www.licaike.com" TargetMode="External"/><Relationship Id="rId54" Type="http://schemas.openxmlformats.org/officeDocument/2006/relationships/header" Target="header27.xml"/><Relationship Id="rId62" Type="http://schemas.openxmlformats.org/officeDocument/2006/relationships/header" Target="header31.xml"/><Relationship Id="rId70" Type="http://schemas.openxmlformats.org/officeDocument/2006/relationships/header" Target="header37.xml"/><Relationship Id="rId75" Type="http://schemas.openxmlformats.org/officeDocument/2006/relationships/header" Target="header4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6.xml"/><Relationship Id="rId23" Type="http://schemas.openxmlformats.org/officeDocument/2006/relationships/header" Target="header13.xml"/><Relationship Id="rId28" Type="http://schemas.openxmlformats.org/officeDocument/2006/relationships/header" Target="header17.xml"/><Relationship Id="rId36" Type="http://schemas.openxmlformats.org/officeDocument/2006/relationships/hyperlink" Target="http://www.taixincf.com" TargetMode="External"/><Relationship Id="rId49" Type="http://schemas.openxmlformats.org/officeDocument/2006/relationships/footer" Target="footer6.xml"/><Relationship Id="rId57" Type="http://schemas.openxmlformats.org/officeDocument/2006/relationships/header" Target="header28.xml"/><Relationship Id="rId10" Type="http://schemas.openxmlformats.org/officeDocument/2006/relationships/header" Target="header2.xml"/><Relationship Id="rId31" Type="http://schemas.openxmlformats.org/officeDocument/2006/relationships/hyperlink" Target="http://www.yingmi.cn" TargetMode="External"/><Relationship Id="rId44" Type="http://schemas.openxmlformats.org/officeDocument/2006/relationships/header" Target="header20.xml"/><Relationship Id="rId52" Type="http://schemas.openxmlformats.org/officeDocument/2006/relationships/header" Target="header26.xml"/><Relationship Id="rId60" Type="http://schemas.openxmlformats.org/officeDocument/2006/relationships/header" Target="header30.xml"/><Relationship Id="rId65" Type="http://schemas.openxmlformats.org/officeDocument/2006/relationships/header" Target="header33.xml"/><Relationship Id="rId73" Type="http://schemas.openxmlformats.org/officeDocument/2006/relationships/header" Target="header39.xml"/><Relationship Id="rId78"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header" Target="header4.xml"/><Relationship Id="rId18" Type="http://schemas.openxmlformats.org/officeDocument/2006/relationships/header" Target="header9.xml"/><Relationship Id="rId39" Type="http://schemas.openxmlformats.org/officeDocument/2006/relationships/hyperlink" Target="https://www.gw.com.cn/" TargetMode="External"/><Relationship Id="rId34" Type="http://schemas.openxmlformats.org/officeDocument/2006/relationships/hyperlink" Target="http://danjuanapp.com/" TargetMode="External"/><Relationship Id="rId50" Type="http://schemas.openxmlformats.org/officeDocument/2006/relationships/header" Target="header24.xml"/><Relationship Id="rId55" Type="http://schemas.openxmlformats.org/officeDocument/2006/relationships/image" Target="media/image2.jpeg"/><Relationship Id="rId76" Type="http://schemas.openxmlformats.org/officeDocument/2006/relationships/header" Target="header42.xml"/><Relationship Id="rId7" Type="http://schemas.openxmlformats.org/officeDocument/2006/relationships/footnotes" Target="footnotes.xml"/><Relationship Id="rId71" Type="http://schemas.openxmlformats.org/officeDocument/2006/relationships/header" Target="header38.xml"/><Relationship Id="rId2" Type="http://schemas.openxmlformats.org/officeDocument/2006/relationships/customXml" Target="../customXml/item2.xml"/><Relationship Id="rId29" Type="http://schemas.openxmlformats.org/officeDocument/2006/relationships/footer" Target="foot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_rels/header7.xml.rels><?xml version="1.0" encoding="UTF-8" standalone="yes"?>
<Relationships xmlns="http://schemas.openxmlformats.org/package/2006/relationships"><Relationship Id="rId1" Type="http://schemas.openxmlformats.org/officeDocument/2006/relationships/image" Target="media/image1.png"/></Relationships>
</file>

<file path=word/_rels/header9.xml.rels><?xml version="1.0" encoding="UTF-8" standalone="yes"?>
<Relationships xmlns="http://schemas.openxmlformats.org/package/2006/relationships"><Relationship Id="rId1" Type="http://schemas.openxmlformats.org/officeDocument/2006/relationships/image" Target="media/image1.png"/></Relationships>
</file>

<file path=word/_rels/header10.xml.rels><?xml version="1.0" encoding="UTF-8" standalone="yes"?>
<Relationships xmlns="http://schemas.openxmlformats.org/package/2006/relationships"><Relationship Id="rId1" Type="http://schemas.openxmlformats.org/officeDocument/2006/relationships/image" Target="media/image1.png"/></Relationships>
</file>

<file path=word/_rels/header12.xml.rels><?xml version="1.0" encoding="UTF-8" standalone="yes"?>
<Relationships xmlns="http://schemas.openxmlformats.org/package/2006/relationships"><Relationship Id="rId1" Type="http://schemas.openxmlformats.org/officeDocument/2006/relationships/image" Target="media/image1.png"/></Relationships>
</file>

<file path=word/_rels/header13.xml.rels><?xml version="1.0" encoding="UTF-8" standalone="yes"?>
<Relationships xmlns="http://schemas.openxmlformats.org/package/2006/relationships"><Relationship Id="rId1" Type="http://schemas.openxmlformats.org/officeDocument/2006/relationships/image" Target="media/image1.png"/></Relationships>
</file>

<file path=word/_rels/header15.xml.rels><?xml version="1.0" encoding="UTF-8" standalone="yes"?>
<Relationships xmlns="http://schemas.openxmlformats.org/package/2006/relationships"><Relationship Id="rId1" Type="http://schemas.openxmlformats.org/officeDocument/2006/relationships/image" Target="media/image1.png"/></Relationships>
</file>

<file path=word/_rels/header16.xml.rels><?xml version="1.0" encoding="UTF-8" standalone="yes"?>
<Relationships xmlns="http://schemas.openxmlformats.org/package/2006/relationships"><Relationship Id="rId1" Type="http://schemas.openxmlformats.org/officeDocument/2006/relationships/image" Target="media/image1.png"/></Relationships>
</file>

<file path=word/_rels/header18.xml.rels><?xml version="1.0" encoding="UTF-8" standalone="yes"?>
<Relationships xmlns="http://schemas.openxmlformats.org/package/2006/relationships"><Relationship Id="rId1" Type="http://schemas.openxmlformats.org/officeDocument/2006/relationships/image" Target="media/image1.png"/></Relationships>
</file>

<file path=word/_rels/header19.xml.rels><?xml version="1.0" encoding="UTF-8" standalone="yes"?>
<Relationships xmlns="http://schemas.openxmlformats.org/package/2006/relationships"><Relationship Id="rId1" Type="http://schemas.openxmlformats.org/officeDocument/2006/relationships/image" Target="media/image1.png"/></Relationships>
</file>

<file path=word/_rels/header21.xml.rels><?xml version="1.0" encoding="UTF-8" standalone="yes"?>
<Relationships xmlns="http://schemas.openxmlformats.org/package/2006/relationships"><Relationship Id="rId1" Type="http://schemas.openxmlformats.org/officeDocument/2006/relationships/image" Target="media/image1.png"/></Relationships>
</file>

<file path=word/_rels/header22.xml.rels><?xml version="1.0" encoding="UTF-8" standalone="yes"?>
<Relationships xmlns="http://schemas.openxmlformats.org/package/2006/relationships"><Relationship Id="rId1" Type="http://schemas.openxmlformats.org/officeDocument/2006/relationships/image" Target="media/image1.png"/></Relationships>
</file>

<file path=word/_rels/header24.xml.rels><?xml version="1.0" encoding="UTF-8" standalone="yes"?>
<Relationships xmlns="http://schemas.openxmlformats.org/package/2006/relationships"><Relationship Id="rId1" Type="http://schemas.openxmlformats.org/officeDocument/2006/relationships/image" Target="media/image1.png"/></Relationships>
</file>

<file path=word/_rels/header25.xml.rels><?xml version="1.0" encoding="UTF-8" standalone="yes"?>
<Relationships xmlns="http://schemas.openxmlformats.org/package/2006/relationships"><Relationship Id="rId1" Type="http://schemas.openxmlformats.org/officeDocument/2006/relationships/image" Target="media/image1.png"/></Relationships>
</file>

<file path=word/_rels/header27.xml.rels><?xml version="1.0" encoding="UTF-8" standalone="yes"?>
<Relationships xmlns="http://schemas.openxmlformats.org/package/2006/relationships"><Relationship Id="rId1" Type="http://schemas.openxmlformats.org/officeDocument/2006/relationships/image" Target="media/image1.png"/></Relationships>
</file>

<file path=word/_rels/header28.xml.rels><?xml version="1.0" encoding="UTF-8" standalone="yes"?>
<Relationships xmlns="http://schemas.openxmlformats.org/package/2006/relationships"><Relationship Id="rId1" Type="http://schemas.openxmlformats.org/officeDocument/2006/relationships/image" Target="media/image1.png"/></Relationships>
</file>

<file path=word/_rels/header31.xml.rels><?xml version="1.0" encoding="UTF-8" standalone="yes"?>
<Relationships xmlns="http://schemas.openxmlformats.org/package/2006/relationships"><Relationship Id="rId1" Type="http://schemas.openxmlformats.org/officeDocument/2006/relationships/image" Target="media/image1.png"/></Relationships>
</file>

<file path=word/_rels/header33.xml.rels><?xml version="1.0" encoding="UTF-8" standalone="yes"?>
<Relationships xmlns="http://schemas.openxmlformats.org/package/2006/relationships"><Relationship Id="rId1" Type="http://schemas.openxmlformats.org/officeDocument/2006/relationships/image" Target="media/image1.png"/></Relationships>
</file>

<file path=word/_rels/header34.xml.rels><?xml version="1.0" encoding="UTF-8" standalone="yes"?>
<Relationships xmlns="http://schemas.openxmlformats.org/package/2006/relationships"><Relationship Id="rId1" Type="http://schemas.openxmlformats.org/officeDocument/2006/relationships/image" Target="media/image1.png"/></Relationships>
</file>

<file path=word/_rels/header36.xml.rels><?xml version="1.0" encoding="UTF-8" standalone="yes"?>
<Relationships xmlns="http://schemas.openxmlformats.org/package/2006/relationships"><Relationship Id="rId1" Type="http://schemas.openxmlformats.org/officeDocument/2006/relationships/image" Target="media/image1.png"/></Relationships>
</file>

<file path=word/_rels/header37.xml.rels><?xml version="1.0" encoding="UTF-8" standalone="yes"?>
<Relationships xmlns="http://schemas.openxmlformats.org/package/2006/relationships"><Relationship Id="rId1" Type="http://schemas.openxmlformats.org/officeDocument/2006/relationships/image" Target="media/image1.png"/></Relationships>
</file>

<file path=word/_rels/header39.xml.rels><?xml version="1.0" encoding="UTF-8" standalone="yes"?>
<Relationships xmlns="http://schemas.openxmlformats.org/package/2006/relationships"><Relationship Id="rId1" Type="http://schemas.openxmlformats.org/officeDocument/2006/relationships/image" Target="media/image1.png"/></Relationships>
</file>

<file path=word/_rels/header40.xml.rels><?xml version="1.0" encoding="UTF-8" standalone="yes"?>
<Relationships xmlns="http://schemas.openxmlformats.org/package/2006/relationships"><Relationship Id="rId1" Type="http://schemas.openxmlformats.org/officeDocument/2006/relationships/image" Target="media/image1.png"/></Relationships>
</file>

<file path=word/_rels/header4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4098"/>
    <customShpInfo spid="_x0000_s3076"/>
    <customShpInfo spid="_x0000_s4099"/>
    <customShpInfo spid="_x0000_s3078"/>
    <customShpInfo spid="_x0000_s4097"/>
    <customShpInfo spid="_x0000_s4102"/>
    <customShpInfo spid="_x0000_s3083"/>
    <customShpInfo spid="_x0000_s4101"/>
    <customShpInfo spid="_x0000_s3080"/>
    <customShpInfo spid="_x0000_s4105"/>
    <customShpInfo spid="_x0000_s3088"/>
    <customShpInfo spid="_x0000_s4104"/>
    <customShpInfo spid="_x0000_s3085"/>
    <customShpInfo spid="_x0000_s4108"/>
    <customShpInfo spid="_x0000_s3093"/>
    <customShpInfo spid="_x0000_s4107"/>
    <customShpInfo spid="_x0000_s3090"/>
    <customShpInfo spid="_x0000_s4111"/>
    <customShpInfo spid="_x0000_s3098"/>
    <customShpInfo spid="_x0000_s4110"/>
    <customShpInfo spid="_x0000_s3095"/>
    <customShpInfo spid="_x0000_s4114"/>
    <customShpInfo spid="_x0000_s3103"/>
    <customShpInfo spid="_x0000_s4113"/>
    <customShpInfo spid="_x0000_s3100"/>
    <customShpInfo spid="_x0000_s4117"/>
    <customShpInfo spid="_x0000_s3108"/>
    <customShpInfo spid="_x0000_s4116"/>
    <customShpInfo spid="_x0000_s3105"/>
    <customShpInfo spid="_x0000_s4120"/>
    <customShpInfo spid="_x0000_s3113"/>
    <customShpInfo spid="_x0000_s4119"/>
    <customShpInfo spid="_x0000_s3110"/>
    <customShpInfo spid="_x0000_s4123"/>
    <customShpInfo spid="_x0000_s3118"/>
    <customShpInfo spid="_x0000_s4122"/>
    <customShpInfo spid="_x0000_s3115"/>
    <customShpInfo spid="_x0000_s4126"/>
    <customShpInfo spid="_x0000_s3122"/>
    <customShpInfo spid="_x0000_s4129"/>
    <customShpInfo spid="_x0000_s3127"/>
    <customShpInfo spid="_x0000_s4128"/>
    <customShpInfo spid="_x0000_s3124"/>
    <customShpInfo spid="_x0000_s4132"/>
    <customShpInfo spid="_x0000_s3132"/>
    <customShpInfo spid="_x0000_s4131"/>
    <customShpInfo spid="_x0000_s3129"/>
    <customShpInfo spid="_x0000_s4135"/>
    <customShpInfo spid="_x0000_s3137"/>
    <customShpInfo spid="_x0000_s4134"/>
    <customShpInfo spid="_x0000_s3134"/>
    <customShpInfo spid="_x0000_s4138"/>
    <customShpInfo spid="_x0000_s3142"/>
    <customShpInfo spid="_x0000_s4137"/>
    <customShpInfo spid="_x0000_s3139"/>
  </customShpExts>
</s:customData>
</file>

<file path=customXml/itemProps1.xml><?xml version="1.0" encoding="utf-8"?>
<ds:datastoreItem xmlns:ds="http://schemas.openxmlformats.org/officeDocument/2006/customXml" ds:itemID="{50314DBA-1270-4E03-B70A-D700299A13FB}">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136</Pages>
  <Words>15016</Words>
  <Characters>85597</Characters>
  <Application>Microsoft Office Word</Application>
  <DocSecurity>0</DocSecurity>
  <Lines>713</Lines>
  <Paragraphs>200</Paragraphs>
  <ScaleCrop>false</ScaleCrop>
  <Company/>
  <LinksUpToDate>false</LinksUpToDate>
  <CharactersWithSpaces>100413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何一雷</dc:creator>
  <cp:lastModifiedBy>徐铮</cp:lastModifiedBy>
  <cp:revision>6</cp:revision>
  <cp:lastPrinted>2021-06-24T07:11:00Z</cp:lastPrinted>
  <dcterms:created xsi:type="dcterms:W3CDTF">2024-04-18T01:20:00Z</dcterms:created>
  <dcterms:modified xsi:type="dcterms:W3CDTF">2024-04-19T06:25:00Z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EFF66533051A47768AC04D6EC510769B_13</vt:lpwstr>
  </property>
  <property fmtid="{D5CDD505-2E9C-101B-9397-08002B2CF9AE}" pid="3" name="KSOProductBuildVer">
    <vt:lpwstr>2052-12.1.0.16417</vt:lpwstr>
  </property>
</Properties>
</file>