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2.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footer3.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footer4.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footer5.xml" ContentType="application/vnd.openxmlformats-officedocument.wordprocessingml.foot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footer6.xml" ContentType="application/vnd.openxmlformats-officedocument.wordprocessingml.foot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footer7.xml" ContentType="application/vnd.openxmlformats-officedocument.wordprocessingml.foot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footer8.xml" ContentType="application/vnd.openxmlformats-officedocument.wordprocessingml.footer+xml"/>
  <Override PartName="/word/header30.xml" ContentType="application/vnd.openxmlformats-officedocument.wordprocessingml.header+xml"/>
  <Override PartName="/word/footer9.xml" ContentType="application/vnd.openxmlformats-officedocument.wordprocessingml.footer+xml"/>
  <Override PartName="/word/header31.xml" ContentType="application/vnd.openxmlformats-officedocument.wordprocessingml.header+xml"/>
  <Override PartName="/word/header32.xml" ContentType="application/vnd.openxmlformats-officedocument.wordprocessingml.header+xml"/>
  <Override PartName="/word/footer10.xml" ContentType="application/vnd.openxmlformats-officedocument.wordprocessingml.foot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footer11.xml" ContentType="application/vnd.openxmlformats-officedocument.wordprocessingml.foot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footer12.xml" ContentType="application/vnd.openxmlformats-officedocument.wordprocessingml.footer+xml"/>
  <Override PartName="/word/header4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9782A0" w14:textId="77777777" w:rsidR="0069510E" w:rsidRDefault="0069510E">
      <w:pPr>
        <w:tabs>
          <w:tab w:val="left" w:pos="6660"/>
        </w:tabs>
        <w:spacing w:line="360" w:lineRule="auto"/>
        <w:jc w:val="center"/>
        <w:rPr>
          <w:rFonts w:asciiTheme="minorEastAsia" w:hAnsiTheme="minorEastAsia" w:cs="Times New Roman"/>
          <w:bCs/>
          <w:sz w:val="48"/>
          <w:szCs w:val="48"/>
        </w:rPr>
      </w:pPr>
    </w:p>
    <w:p w14:paraId="337AF610" w14:textId="77777777" w:rsidR="0069510E" w:rsidRDefault="0069510E">
      <w:pPr>
        <w:spacing w:line="360" w:lineRule="auto"/>
        <w:jc w:val="center"/>
        <w:rPr>
          <w:rFonts w:asciiTheme="minorEastAsia" w:hAnsiTheme="minorEastAsia" w:cs="Times New Roman"/>
          <w:b/>
          <w:sz w:val="48"/>
          <w:szCs w:val="48"/>
        </w:rPr>
      </w:pPr>
    </w:p>
    <w:p w14:paraId="0F3E97A9" w14:textId="77777777" w:rsidR="0069510E" w:rsidRDefault="0069510E">
      <w:pPr>
        <w:adjustRightInd w:val="0"/>
        <w:snapToGrid w:val="0"/>
        <w:spacing w:line="360" w:lineRule="auto"/>
        <w:jc w:val="center"/>
        <w:rPr>
          <w:rFonts w:asciiTheme="minorEastAsia" w:hAnsiTheme="minorEastAsia" w:cs="Arial"/>
          <w:sz w:val="48"/>
          <w:szCs w:val="48"/>
        </w:rPr>
      </w:pPr>
      <w:bookmarkStart w:id="0" w:name="_Toc123112266"/>
      <w:bookmarkStart w:id="1" w:name="_Toc123701386"/>
      <w:bookmarkStart w:id="2" w:name="_Toc139991729"/>
      <w:bookmarkStart w:id="3" w:name="_Toc123112227"/>
    </w:p>
    <w:p w14:paraId="6F4CEBAF" w14:textId="77777777" w:rsidR="0069510E" w:rsidRDefault="00000000">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富</w:t>
      </w:r>
      <w:proofErr w:type="gramStart"/>
      <w:r>
        <w:rPr>
          <w:rFonts w:ascii="Arial" w:eastAsia="宋体" w:hAnsi="宋体" w:cs="Arial" w:hint="eastAsia"/>
          <w:b/>
          <w:sz w:val="48"/>
          <w:szCs w:val="48"/>
        </w:rPr>
        <w:t>荣福银</w:t>
      </w:r>
      <w:proofErr w:type="gramEnd"/>
      <w:r>
        <w:rPr>
          <w:rFonts w:ascii="Arial" w:eastAsia="宋体" w:hAnsi="宋体" w:cs="Arial" w:hint="eastAsia"/>
          <w:b/>
          <w:sz w:val="48"/>
          <w:szCs w:val="48"/>
        </w:rPr>
        <w:t>混合型证券投资基金</w:t>
      </w:r>
    </w:p>
    <w:p w14:paraId="74FA88BD" w14:textId="77777777" w:rsidR="0069510E" w:rsidRDefault="00000000">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更新的招募说明书</w:t>
      </w:r>
    </w:p>
    <w:p w14:paraId="4A5CB7B7" w14:textId="427C6AE8" w:rsidR="0069510E" w:rsidRDefault="00000000">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w:t>
      </w:r>
      <w:r>
        <w:rPr>
          <w:rFonts w:ascii="Arial" w:eastAsia="宋体" w:hAnsi="宋体" w:cs="Arial" w:hint="eastAsia"/>
          <w:b/>
          <w:sz w:val="48"/>
          <w:szCs w:val="48"/>
        </w:rPr>
        <w:t>2024</w:t>
      </w:r>
      <w:r>
        <w:rPr>
          <w:rFonts w:ascii="Arial" w:eastAsia="宋体" w:hAnsi="宋体" w:cs="Arial" w:hint="eastAsia"/>
          <w:b/>
          <w:sz w:val="48"/>
          <w:szCs w:val="48"/>
        </w:rPr>
        <w:t>年第</w:t>
      </w:r>
      <w:r>
        <w:rPr>
          <w:rFonts w:ascii="Arial" w:eastAsia="宋体" w:hAnsi="宋体" w:cs="Arial" w:hint="eastAsia"/>
          <w:b/>
          <w:sz w:val="48"/>
          <w:szCs w:val="48"/>
        </w:rPr>
        <w:t>3</w:t>
      </w:r>
      <w:r>
        <w:rPr>
          <w:rFonts w:ascii="Arial" w:eastAsia="宋体" w:hAnsi="宋体" w:cs="Arial" w:hint="eastAsia"/>
          <w:b/>
          <w:sz w:val="48"/>
          <w:szCs w:val="48"/>
        </w:rPr>
        <w:t>号）</w:t>
      </w:r>
    </w:p>
    <w:p w14:paraId="6200C776" w14:textId="77777777" w:rsidR="0069510E" w:rsidRDefault="0069510E">
      <w:pPr>
        <w:adjustRightInd w:val="0"/>
        <w:snapToGrid w:val="0"/>
        <w:spacing w:line="360" w:lineRule="auto"/>
        <w:jc w:val="center"/>
        <w:rPr>
          <w:rFonts w:asciiTheme="minorEastAsia" w:hAnsiTheme="minorEastAsia" w:cs="Times New Roman"/>
          <w:b/>
          <w:sz w:val="36"/>
          <w:szCs w:val="36"/>
        </w:rPr>
      </w:pPr>
    </w:p>
    <w:p w14:paraId="52F0EDDB" w14:textId="77777777" w:rsidR="0069510E" w:rsidRDefault="0069510E">
      <w:pPr>
        <w:adjustRightInd w:val="0"/>
        <w:snapToGrid w:val="0"/>
        <w:spacing w:line="360" w:lineRule="auto"/>
        <w:jc w:val="center"/>
        <w:rPr>
          <w:rFonts w:asciiTheme="minorEastAsia" w:hAnsiTheme="minorEastAsia" w:cs="Arial"/>
          <w:sz w:val="36"/>
          <w:szCs w:val="36"/>
        </w:rPr>
      </w:pPr>
    </w:p>
    <w:p w14:paraId="7FE1CB4A" w14:textId="77777777" w:rsidR="0069510E" w:rsidRDefault="0069510E">
      <w:pPr>
        <w:adjustRightInd w:val="0"/>
        <w:snapToGrid w:val="0"/>
        <w:spacing w:line="360" w:lineRule="auto"/>
        <w:jc w:val="center"/>
        <w:rPr>
          <w:rFonts w:asciiTheme="minorEastAsia" w:hAnsiTheme="minorEastAsia" w:cs="Arial"/>
          <w:sz w:val="36"/>
          <w:szCs w:val="36"/>
        </w:rPr>
      </w:pPr>
    </w:p>
    <w:p w14:paraId="1440C2D5" w14:textId="77777777" w:rsidR="0069510E" w:rsidRDefault="0069510E">
      <w:pPr>
        <w:adjustRightInd w:val="0"/>
        <w:snapToGrid w:val="0"/>
        <w:spacing w:line="360" w:lineRule="auto"/>
        <w:jc w:val="center"/>
        <w:rPr>
          <w:rFonts w:asciiTheme="minorEastAsia" w:hAnsiTheme="minorEastAsia" w:cs="Arial"/>
          <w:sz w:val="36"/>
          <w:szCs w:val="36"/>
        </w:rPr>
      </w:pPr>
    </w:p>
    <w:p w14:paraId="137F1D0E" w14:textId="77777777" w:rsidR="0069510E" w:rsidRDefault="0069510E">
      <w:pPr>
        <w:adjustRightInd w:val="0"/>
        <w:snapToGrid w:val="0"/>
        <w:spacing w:line="360" w:lineRule="auto"/>
        <w:jc w:val="center"/>
        <w:rPr>
          <w:rFonts w:asciiTheme="minorEastAsia" w:hAnsiTheme="minorEastAsia" w:cs="Arial"/>
          <w:sz w:val="36"/>
          <w:szCs w:val="36"/>
        </w:rPr>
      </w:pPr>
    </w:p>
    <w:p w14:paraId="0E8A53FE" w14:textId="77777777" w:rsidR="0069510E" w:rsidRDefault="0069510E">
      <w:pPr>
        <w:adjustRightInd w:val="0"/>
        <w:snapToGrid w:val="0"/>
        <w:spacing w:line="360" w:lineRule="auto"/>
        <w:jc w:val="center"/>
        <w:rPr>
          <w:rFonts w:asciiTheme="minorEastAsia" w:hAnsiTheme="minorEastAsia" w:cs="Arial"/>
          <w:sz w:val="36"/>
          <w:szCs w:val="36"/>
        </w:rPr>
      </w:pPr>
    </w:p>
    <w:p w14:paraId="6BC4E9B3" w14:textId="77777777" w:rsidR="0069510E" w:rsidRDefault="0069510E">
      <w:pPr>
        <w:adjustRightInd w:val="0"/>
        <w:snapToGrid w:val="0"/>
        <w:spacing w:line="360" w:lineRule="auto"/>
        <w:jc w:val="center"/>
        <w:rPr>
          <w:rFonts w:asciiTheme="minorEastAsia" w:hAnsiTheme="minorEastAsia" w:cs="Arial"/>
          <w:sz w:val="36"/>
          <w:szCs w:val="36"/>
        </w:rPr>
      </w:pPr>
    </w:p>
    <w:p w14:paraId="7C465B3B" w14:textId="77777777" w:rsidR="0069510E" w:rsidRDefault="00000000">
      <w:pPr>
        <w:snapToGrid w:val="0"/>
        <w:spacing w:line="360" w:lineRule="auto"/>
        <w:jc w:val="center"/>
        <w:rPr>
          <w:rFonts w:ascii="Arial" w:eastAsia="宋体" w:hAnsi="Arial" w:cs="Times New Roman"/>
          <w:b/>
          <w:sz w:val="36"/>
          <w:szCs w:val="36"/>
        </w:rPr>
      </w:pPr>
      <w:bookmarkStart w:id="4" w:name="_Toc123112263"/>
      <w:bookmarkStart w:id="5" w:name="_Toc139992301"/>
      <w:bookmarkStart w:id="6" w:name="_Toc123701383"/>
      <w:bookmarkStart w:id="7" w:name="_Toc139991726"/>
      <w:bookmarkStart w:id="8" w:name="_Toc123112224"/>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w:t>
      </w:r>
      <w:proofErr w:type="gramStart"/>
      <w:r>
        <w:rPr>
          <w:rFonts w:ascii="Arial" w:eastAsia="宋体" w:hAnsi="Arial" w:cs="Times New Roman" w:hint="eastAsia"/>
          <w:b/>
          <w:sz w:val="36"/>
          <w:szCs w:val="36"/>
        </w:rPr>
        <w:t>荣基金</w:t>
      </w:r>
      <w:proofErr w:type="gramEnd"/>
      <w:r>
        <w:rPr>
          <w:rFonts w:ascii="Arial" w:eastAsia="宋体" w:hAnsi="Arial" w:cs="Times New Roman" w:hint="eastAsia"/>
          <w:b/>
          <w:sz w:val="36"/>
          <w:szCs w:val="36"/>
        </w:rPr>
        <w:t>管理有限公司</w:t>
      </w:r>
    </w:p>
    <w:p w14:paraId="3226D328" w14:textId="77777777" w:rsidR="0069510E" w:rsidRDefault="00000000">
      <w:pPr>
        <w:autoSpaceDE w:val="0"/>
        <w:autoSpaceDN w:val="0"/>
        <w:adjustRightInd w:val="0"/>
        <w:snapToGrid w:val="0"/>
        <w:spacing w:line="360" w:lineRule="auto"/>
        <w:jc w:val="center"/>
        <w:rPr>
          <w:rFonts w:ascii="Arial" w:eastAsia="宋体" w:hAnsi="Arial" w:cs="Arial"/>
          <w:b/>
          <w:bCs/>
          <w:sz w:val="36"/>
          <w:szCs w:val="36"/>
        </w:rPr>
      </w:pPr>
      <w:bookmarkStart w:id="9" w:name="_Toc123701384"/>
      <w:bookmarkStart w:id="10" w:name="_Toc123112225"/>
      <w:bookmarkStart w:id="11" w:name="_Toc139991727"/>
      <w:bookmarkStart w:id="12" w:name="_Toc139992302"/>
      <w:bookmarkStart w:id="13" w:name="_Toc123112264"/>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国泰君安证券股份有限公司</w:t>
      </w:r>
    </w:p>
    <w:p w14:paraId="167F6E97" w14:textId="77777777" w:rsidR="0069510E" w:rsidRDefault="0069510E">
      <w:pPr>
        <w:autoSpaceDE w:val="0"/>
        <w:autoSpaceDN w:val="0"/>
        <w:adjustRightInd w:val="0"/>
        <w:snapToGrid w:val="0"/>
        <w:spacing w:line="360" w:lineRule="auto"/>
        <w:jc w:val="center"/>
        <w:rPr>
          <w:rFonts w:asciiTheme="minorEastAsia" w:hAnsiTheme="minorEastAsia" w:cs="Arial"/>
          <w:b/>
          <w:bCs/>
          <w:sz w:val="28"/>
          <w:szCs w:val="28"/>
        </w:rPr>
      </w:pPr>
    </w:p>
    <w:p w14:paraId="31C24E27" w14:textId="77777777" w:rsidR="0069510E" w:rsidRDefault="0069510E">
      <w:pPr>
        <w:autoSpaceDE w:val="0"/>
        <w:autoSpaceDN w:val="0"/>
        <w:adjustRightInd w:val="0"/>
        <w:snapToGrid w:val="0"/>
        <w:spacing w:line="360" w:lineRule="auto"/>
        <w:jc w:val="center"/>
        <w:rPr>
          <w:rFonts w:asciiTheme="minorEastAsia" w:hAnsiTheme="minorEastAsia" w:cs="Arial"/>
          <w:b/>
          <w:bCs/>
          <w:sz w:val="28"/>
          <w:szCs w:val="28"/>
        </w:rPr>
      </w:pPr>
    </w:p>
    <w:p w14:paraId="063D09F5" w14:textId="77777777" w:rsidR="0069510E" w:rsidRDefault="0069510E">
      <w:pPr>
        <w:widowControl/>
        <w:spacing w:line="360" w:lineRule="auto"/>
        <w:rPr>
          <w:rFonts w:ascii="Arial" w:eastAsia="宋体" w:hAnsi="Arial" w:cs="Arial"/>
          <w:b/>
          <w:bCs/>
          <w:kern w:val="0"/>
          <w:sz w:val="28"/>
          <w:szCs w:val="28"/>
        </w:rPr>
        <w:sectPr w:rsidR="0069510E">
          <w:headerReference w:type="even" r:id="rId8"/>
          <w:headerReference w:type="default" r:id="rId9"/>
          <w:footerReference w:type="default" r:id="rId10"/>
          <w:headerReference w:type="first" r:id="rId11"/>
          <w:pgSz w:w="11906" w:h="16838"/>
          <w:pgMar w:top="1440" w:right="1800" w:bottom="1440" w:left="1800" w:header="851" w:footer="992" w:gutter="0"/>
          <w:pgNumType w:start="1"/>
          <w:cols w:space="720"/>
          <w:titlePg/>
          <w:docGrid w:type="lines" w:linePitch="312"/>
        </w:sectPr>
      </w:pPr>
    </w:p>
    <w:p w14:paraId="6EB3C309" w14:textId="77777777" w:rsidR="0069510E" w:rsidRDefault="00000000">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014E119B" w14:textId="77777777" w:rsidR="0069510E" w:rsidRDefault="0069510E">
      <w:pPr>
        <w:autoSpaceDE w:val="0"/>
        <w:autoSpaceDN w:val="0"/>
        <w:adjustRightInd w:val="0"/>
        <w:snapToGrid w:val="0"/>
        <w:spacing w:line="360" w:lineRule="auto"/>
        <w:rPr>
          <w:rFonts w:ascii="Arial" w:eastAsia="宋体" w:hAnsi="Arial" w:cs="Arial"/>
          <w:b/>
          <w:bCs/>
          <w:szCs w:val="21"/>
        </w:rPr>
      </w:pPr>
    </w:p>
    <w:p w14:paraId="2B0618FD" w14:textId="77777777" w:rsidR="0069510E"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kern w:val="0"/>
          <w:sz w:val="24"/>
          <w:szCs w:val="24"/>
        </w:rPr>
        <w:t>1、</w:t>
      </w:r>
      <w:r>
        <w:rPr>
          <w:rFonts w:asciiTheme="minorEastAsia" w:hAnsiTheme="minorEastAsia" w:cs="Arial" w:hint="eastAsia"/>
          <w:kern w:val="0"/>
          <w:sz w:val="24"/>
          <w:szCs w:val="24"/>
        </w:rPr>
        <w:t>本基金根据</w:t>
      </w:r>
      <w:r>
        <w:rPr>
          <w:rFonts w:asciiTheme="minorEastAsia" w:hAnsiTheme="minorEastAsia" w:cs="Arial"/>
          <w:bCs/>
          <w:color w:val="000000"/>
          <w:sz w:val="24"/>
          <w:szCs w:val="24"/>
        </w:rPr>
        <w:t>2021年5月20</w:t>
      </w:r>
      <w:r>
        <w:rPr>
          <w:rFonts w:asciiTheme="minorEastAsia" w:hAnsiTheme="minorEastAsia" w:cs="Arial" w:hint="eastAsia"/>
          <w:bCs/>
          <w:color w:val="000000"/>
          <w:sz w:val="24"/>
          <w:szCs w:val="24"/>
        </w:rPr>
        <w:t>日</w:t>
      </w:r>
      <w:r>
        <w:rPr>
          <w:rFonts w:asciiTheme="minorEastAsia" w:hAnsiTheme="minorEastAsia" w:cs="Arial" w:hint="eastAsia"/>
          <w:kern w:val="0"/>
          <w:sz w:val="24"/>
          <w:szCs w:val="24"/>
        </w:rPr>
        <w:t>中国证券监督管理委员会（以下简称“中国证监会”）《关于准予富荣福银混合型证券投资基金注册的批复》（</w:t>
      </w:r>
      <w:r>
        <w:rPr>
          <w:rFonts w:asciiTheme="minorEastAsia" w:hAnsiTheme="minorEastAsia" w:cs="Arial" w:hint="eastAsia"/>
          <w:bCs/>
          <w:color w:val="000000"/>
          <w:kern w:val="0"/>
          <w:sz w:val="24"/>
          <w:szCs w:val="24"/>
        </w:rPr>
        <w:t>证监许可</w:t>
      </w:r>
      <w:r>
        <w:rPr>
          <w:rFonts w:asciiTheme="minorEastAsia" w:hAnsiTheme="minorEastAsia" w:cs="Arial"/>
          <w:bCs/>
          <w:color w:val="000000"/>
          <w:sz w:val="24"/>
          <w:szCs w:val="24"/>
        </w:rPr>
        <w:t>[2021]1738</w:t>
      </w:r>
      <w:r>
        <w:rPr>
          <w:rFonts w:asciiTheme="minorEastAsia" w:hAnsiTheme="minorEastAsia" w:cs="Arial" w:hint="eastAsia"/>
          <w:bCs/>
          <w:color w:val="000000"/>
          <w:sz w:val="24"/>
          <w:szCs w:val="24"/>
        </w:rPr>
        <w:t>号</w:t>
      </w:r>
      <w:r>
        <w:rPr>
          <w:rFonts w:asciiTheme="minorEastAsia" w:hAnsiTheme="minorEastAsia" w:cs="Arial" w:hint="eastAsia"/>
          <w:bCs/>
          <w:color w:val="000000"/>
          <w:kern w:val="0"/>
          <w:sz w:val="24"/>
          <w:szCs w:val="24"/>
        </w:rPr>
        <w:t>）进行募集。本</w:t>
      </w:r>
      <w:proofErr w:type="gramStart"/>
      <w:r>
        <w:rPr>
          <w:rFonts w:asciiTheme="minorEastAsia" w:hAnsiTheme="minorEastAsia" w:cs="Arial" w:hint="eastAsia"/>
          <w:bCs/>
          <w:color w:val="000000"/>
          <w:kern w:val="0"/>
          <w:sz w:val="24"/>
          <w:szCs w:val="24"/>
        </w:rPr>
        <w:t>基金基金</w:t>
      </w:r>
      <w:proofErr w:type="gramEnd"/>
      <w:r>
        <w:rPr>
          <w:rFonts w:asciiTheme="minorEastAsia" w:hAnsiTheme="minorEastAsia" w:cs="Arial" w:hint="eastAsia"/>
          <w:bCs/>
          <w:color w:val="000000"/>
          <w:kern w:val="0"/>
          <w:sz w:val="24"/>
          <w:szCs w:val="24"/>
        </w:rPr>
        <w:t>合同于2</w:t>
      </w:r>
      <w:r>
        <w:rPr>
          <w:rFonts w:asciiTheme="minorEastAsia" w:hAnsiTheme="minorEastAsia" w:cs="Arial"/>
          <w:bCs/>
          <w:color w:val="000000"/>
          <w:kern w:val="0"/>
          <w:sz w:val="24"/>
          <w:szCs w:val="24"/>
        </w:rPr>
        <w:t>021</w:t>
      </w:r>
      <w:r>
        <w:rPr>
          <w:rFonts w:asciiTheme="minorEastAsia" w:hAnsiTheme="minorEastAsia" w:cs="Arial" w:hint="eastAsia"/>
          <w:bCs/>
          <w:color w:val="000000"/>
          <w:kern w:val="0"/>
          <w:sz w:val="24"/>
          <w:szCs w:val="24"/>
        </w:rPr>
        <w:t>年6月1</w:t>
      </w:r>
      <w:r>
        <w:rPr>
          <w:rFonts w:asciiTheme="minorEastAsia" w:hAnsiTheme="minorEastAsia" w:cs="Arial"/>
          <w:bCs/>
          <w:color w:val="000000"/>
          <w:kern w:val="0"/>
          <w:sz w:val="24"/>
          <w:szCs w:val="24"/>
        </w:rPr>
        <w:t>8</w:t>
      </w:r>
      <w:r>
        <w:rPr>
          <w:rFonts w:asciiTheme="minorEastAsia" w:hAnsiTheme="minorEastAsia" w:cs="Arial" w:hint="eastAsia"/>
          <w:bCs/>
          <w:color w:val="000000"/>
          <w:kern w:val="0"/>
          <w:sz w:val="24"/>
          <w:szCs w:val="24"/>
        </w:rPr>
        <w:t>日正式生效。</w:t>
      </w:r>
    </w:p>
    <w:p w14:paraId="23F965CC" w14:textId="77777777" w:rsidR="0069510E"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实质性判断或保证，也不表明投资于本基金没有风险。</w:t>
      </w:r>
    </w:p>
    <w:p w14:paraId="31C317D1" w14:textId="77777777" w:rsidR="0069510E"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性风险、本基金特定投资策略带来的风险及其他风险等。本基金属于混合型基金，其预期的风险和收益高于货币市场基金、债券基金，低于股票型基金。</w:t>
      </w:r>
    </w:p>
    <w:p w14:paraId="247580CF" w14:textId="77777777" w:rsidR="0069510E"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w:t>
      </w:r>
      <w:proofErr w:type="gramStart"/>
      <w:r>
        <w:rPr>
          <w:rFonts w:asciiTheme="minorEastAsia" w:hAnsiTheme="minorEastAsia" w:cs="Arial" w:hint="eastAsia"/>
          <w:sz w:val="24"/>
          <w:szCs w:val="24"/>
        </w:rPr>
        <w:t>流预测</w:t>
      </w:r>
      <w:proofErr w:type="gramEnd"/>
      <w:r>
        <w:rPr>
          <w:rFonts w:asciiTheme="minorEastAsia" w:hAnsiTheme="minorEastAsia" w:cs="Arial" w:hint="eastAsia"/>
          <w:sz w:val="24"/>
          <w:szCs w:val="24"/>
        </w:rPr>
        <w:t>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4ADB5928" w14:textId="77777777" w:rsidR="0069510E"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5BF82E75" w14:textId="77777777" w:rsidR="0069510E"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当本基金持有特定资产且存在或潜在大额赎回申请时，基金管理人履行相应程序后，可以</w:t>
      </w:r>
      <w:proofErr w:type="gramStart"/>
      <w:r>
        <w:rPr>
          <w:rFonts w:asciiTheme="minorEastAsia" w:hAnsiTheme="minorEastAsia" w:cs="Arial" w:hint="eastAsia"/>
          <w:sz w:val="24"/>
          <w:szCs w:val="24"/>
        </w:rPr>
        <w:t>启用侧袋机制</w:t>
      </w:r>
      <w:proofErr w:type="gramEnd"/>
      <w:r>
        <w:rPr>
          <w:rFonts w:asciiTheme="minorEastAsia" w:hAnsiTheme="minorEastAsia" w:cs="Arial" w:hint="eastAsia"/>
          <w:sz w:val="24"/>
          <w:szCs w:val="24"/>
        </w:rPr>
        <w:t>，具体详见基金合同和本招募说明书“侧袋机制”等有关章节。</w:t>
      </w:r>
      <w:proofErr w:type="gramStart"/>
      <w:r>
        <w:rPr>
          <w:rFonts w:asciiTheme="minorEastAsia" w:hAnsiTheme="minorEastAsia" w:cs="Arial" w:hint="eastAsia"/>
          <w:sz w:val="24"/>
          <w:szCs w:val="24"/>
        </w:rPr>
        <w:t>侧袋机制</w:t>
      </w:r>
      <w:proofErr w:type="gramEnd"/>
      <w:r>
        <w:rPr>
          <w:rFonts w:asciiTheme="minorEastAsia" w:hAnsiTheme="minorEastAsia" w:cs="Arial" w:hint="eastAsia"/>
          <w:sz w:val="24"/>
          <w:szCs w:val="24"/>
        </w:rPr>
        <w:t>实施期间，基金管理人将对基金简称进行特殊标识，并不</w:t>
      </w:r>
      <w:proofErr w:type="gramStart"/>
      <w:r>
        <w:rPr>
          <w:rFonts w:asciiTheme="minorEastAsia" w:hAnsiTheme="minorEastAsia" w:cs="Arial" w:hint="eastAsia"/>
          <w:sz w:val="24"/>
          <w:szCs w:val="24"/>
        </w:rPr>
        <w:t>办理侧袋账户</w:t>
      </w:r>
      <w:proofErr w:type="gramEnd"/>
      <w:r>
        <w:rPr>
          <w:rFonts w:asciiTheme="minorEastAsia" w:hAnsiTheme="minorEastAsia" w:cs="Arial" w:hint="eastAsia"/>
          <w:sz w:val="24"/>
          <w:szCs w:val="24"/>
        </w:rPr>
        <w:t>的申购赎回。</w:t>
      </w:r>
      <w:proofErr w:type="gramStart"/>
      <w:r>
        <w:rPr>
          <w:rFonts w:asciiTheme="minorEastAsia" w:hAnsiTheme="minorEastAsia" w:cs="Arial" w:hint="eastAsia"/>
          <w:sz w:val="24"/>
          <w:szCs w:val="24"/>
        </w:rPr>
        <w:t>请基金</w:t>
      </w:r>
      <w:proofErr w:type="gramEnd"/>
      <w:r>
        <w:rPr>
          <w:rFonts w:asciiTheme="minorEastAsia" w:hAnsiTheme="minorEastAsia" w:cs="Arial" w:hint="eastAsia"/>
          <w:sz w:val="24"/>
          <w:szCs w:val="24"/>
        </w:rPr>
        <w:t>份额持有人仔细阅读相关内容并关注本基金启用</w:t>
      </w:r>
      <w:proofErr w:type="gramStart"/>
      <w:r>
        <w:rPr>
          <w:rFonts w:asciiTheme="minorEastAsia" w:hAnsiTheme="minorEastAsia" w:cs="Arial" w:hint="eastAsia"/>
          <w:sz w:val="24"/>
          <w:szCs w:val="24"/>
        </w:rPr>
        <w:t>侧袋机制</w:t>
      </w:r>
      <w:proofErr w:type="gramEnd"/>
      <w:r>
        <w:rPr>
          <w:rFonts w:asciiTheme="minorEastAsia" w:hAnsiTheme="minorEastAsia" w:cs="Arial" w:hint="eastAsia"/>
          <w:sz w:val="24"/>
          <w:szCs w:val="24"/>
        </w:rPr>
        <w:t>时的特定风险。</w:t>
      </w:r>
    </w:p>
    <w:p w14:paraId="5B1B1545" w14:textId="77777777" w:rsidR="0069510E"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本基金的投资范围包括股指期货、国债期货、股票期权，可能面临市场风险、流动性风险、</w:t>
      </w:r>
      <w:proofErr w:type="gramStart"/>
      <w:r>
        <w:rPr>
          <w:rFonts w:asciiTheme="minorEastAsia" w:hAnsiTheme="minorEastAsia" w:cs="Arial" w:hint="eastAsia"/>
          <w:sz w:val="24"/>
          <w:szCs w:val="24"/>
        </w:rPr>
        <w:t>基差风险</w:t>
      </w:r>
      <w:proofErr w:type="gramEnd"/>
      <w:r>
        <w:rPr>
          <w:rFonts w:asciiTheme="minorEastAsia" w:hAnsiTheme="minorEastAsia" w:cs="Arial" w:hint="eastAsia"/>
          <w:sz w:val="24"/>
          <w:szCs w:val="24"/>
        </w:rPr>
        <w:t>、保证金风险、信用风险和操作风险等。</w:t>
      </w:r>
    </w:p>
    <w:p w14:paraId="390BDEF2" w14:textId="77777777" w:rsidR="0069510E"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、本基金以</w:t>
      </w:r>
      <w:r>
        <w:rPr>
          <w:rFonts w:asciiTheme="minorEastAsia" w:hAnsiTheme="minorEastAsia" w:cs="Arial"/>
          <w:sz w:val="24"/>
          <w:szCs w:val="24"/>
        </w:rPr>
        <w:t>1.00</w:t>
      </w:r>
      <w:r>
        <w:rPr>
          <w:rFonts w:asciiTheme="minorEastAsia" w:hAnsiTheme="minorEastAsia" w:cs="Arial" w:hint="eastAsia"/>
          <w:sz w:val="24"/>
          <w:szCs w:val="24"/>
        </w:rPr>
        <w:t>元发售面值募集基金份额，在市场波动等因素的影响下，</w:t>
      </w:r>
      <w:r>
        <w:rPr>
          <w:rFonts w:asciiTheme="minorEastAsia" w:hAnsiTheme="minorEastAsia" w:cs="Arial" w:hint="eastAsia"/>
          <w:sz w:val="24"/>
          <w:szCs w:val="24"/>
        </w:rPr>
        <w:lastRenderedPageBreak/>
        <w:t>基金投资有可能出现亏损或基金份额净值低于初始面值。</w:t>
      </w:r>
    </w:p>
    <w:p w14:paraId="1774AC74" w14:textId="77777777" w:rsidR="0069510E"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w:t>
      </w:r>
      <w:r>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72089D01" w14:textId="77777777" w:rsidR="0069510E"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投资决策后，基金运营状况与基金净值变化引致的投资风险，由投资者自行承担。</w:t>
      </w:r>
    </w:p>
    <w:p w14:paraId="4F7C186A" w14:textId="775C583A" w:rsidR="0069510E"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本招募说明书所载内容截止日为2024年4月</w:t>
      </w:r>
      <w:r>
        <w:rPr>
          <w:rFonts w:asciiTheme="minorEastAsia" w:hAnsiTheme="minorEastAsia" w:cs="Arial"/>
          <w:sz w:val="24"/>
          <w:szCs w:val="24"/>
        </w:rPr>
        <w:t>30</w:t>
      </w:r>
      <w:r>
        <w:rPr>
          <w:rFonts w:asciiTheme="minorEastAsia" w:hAnsiTheme="minorEastAsia" w:cs="Arial" w:hint="eastAsia"/>
          <w:sz w:val="24"/>
          <w:szCs w:val="24"/>
        </w:rPr>
        <w:t>日，有关财务数据截止日为2024年3月31日，净值表现截止日为2024年3月31日，本报告中所列财务数据未经审计。</w:t>
      </w:r>
    </w:p>
    <w:p w14:paraId="66C16775" w14:textId="77777777" w:rsidR="0069510E"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本基金托管人国泰君安证券股份有限公司已复核了本次更新的招募说明书。</w:t>
      </w:r>
    </w:p>
    <w:p w14:paraId="24AAE240" w14:textId="77777777" w:rsidR="0069510E" w:rsidRDefault="0069510E">
      <w:pPr>
        <w:autoSpaceDE w:val="0"/>
        <w:autoSpaceDN w:val="0"/>
        <w:adjustRightInd w:val="0"/>
        <w:snapToGrid w:val="0"/>
        <w:spacing w:line="360" w:lineRule="auto"/>
        <w:ind w:firstLineChars="200" w:firstLine="480"/>
        <w:rPr>
          <w:rFonts w:asciiTheme="minorEastAsia" w:hAnsiTheme="minorEastAsia" w:cs="Arial"/>
          <w:sz w:val="24"/>
          <w:szCs w:val="24"/>
        </w:rPr>
      </w:pPr>
    </w:p>
    <w:p w14:paraId="4AB6768F" w14:textId="77777777" w:rsidR="0069510E" w:rsidRDefault="0069510E">
      <w:pPr>
        <w:autoSpaceDE w:val="0"/>
        <w:autoSpaceDN w:val="0"/>
        <w:adjustRightInd w:val="0"/>
        <w:snapToGrid w:val="0"/>
        <w:spacing w:line="360" w:lineRule="auto"/>
        <w:jc w:val="center"/>
        <w:rPr>
          <w:rFonts w:ascii="Arial" w:eastAsia="宋体" w:hAnsi="Arial" w:cs="Arial"/>
          <w:b/>
          <w:bCs/>
          <w:sz w:val="28"/>
          <w:szCs w:val="28"/>
        </w:rPr>
      </w:pPr>
    </w:p>
    <w:p w14:paraId="54EF2676" w14:textId="77777777" w:rsidR="0069510E" w:rsidRDefault="0069510E">
      <w:pPr>
        <w:widowControl/>
        <w:spacing w:line="360" w:lineRule="auto"/>
        <w:jc w:val="left"/>
        <w:rPr>
          <w:rFonts w:ascii="Times New Roman" w:eastAsia="宋体" w:hAnsi="Times New Roman" w:cs="Times New Roman"/>
          <w:b/>
          <w:kern w:val="0"/>
          <w:sz w:val="30"/>
          <w:szCs w:val="30"/>
        </w:rPr>
        <w:sectPr w:rsidR="0069510E">
          <w:headerReference w:type="even" r:id="rId12"/>
          <w:headerReference w:type="default" r:id="rId13"/>
          <w:headerReference w:type="first" r:id="rId14"/>
          <w:pgSz w:w="11906" w:h="16838"/>
          <w:pgMar w:top="1440" w:right="1800" w:bottom="1440" w:left="1800" w:header="851" w:footer="992" w:gutter="0"/>
          <w:pgNumType w:start="1"/>
          <w:cols w:space="720"/>
          <w:docGrid w:type="lines" w:linePitch="312"/>
        </w:sectPr>
      </w:pPr>
      <w:bookmarkStart w:id="14" w:name="_Toc139991730"/>
      <w:bookmarkStart w:id="15" w:name="_Toc32639"/>
      <w:bookmarkStart w:id="16" w:name="_Toc15517"/>
      <w:bookmarkStart w:id="17" w:name="_Toc141703880"/>
      <w:bookmarkStart w:id="18" w:name="_Toc23386"/>
      <w:bookmarkStart w:id="19" w:name="_Toc352229746"/>
      <w:bookmarkStart w:id="20" w:name="_Toc123112229"/>
      <w:bookmarkStart w:id="21" w:name="_Toc30935"/>
      <w:bookmarkStart w:id="22" w:name="_Toc6306"/>
      <w:bookmarkStart w:id="23" w:name="_Toc4867"/>
      <w:bookmarkStart w:id="24" w:name="_Toc123701389"/>
      <w:bookmarkStart w:id="25" w:name="_Toc4966"/>
      <w:bookmarkStart w:id="26" w:name="_Toc11660"/>
      <w:bookmarkStart w:id="27" w:name="_Toc8727"/>
      <w:bookmarkStart w:id="28" w:name="_Toc26897"/>
      <w:bookmarkStart w:id="29" w:name="_Toc29629"/>
      <w:bookmarkStart w:id="30" w:name="_Toc123112268"/>
      <w:bookmarkStart w:id="31" w:name="_Toc233456271"/>
      <w:bookmarkEnd w:id="0"/>
      <w:bookmarkEnd w:id="1"/>
      <w:bookmarkEnd w:id="2"/>
      <w:bookmarkEnd w:id="3"/>
    </w:p>
    <w:p w14:paraId="75A366E3" w14:textId="77777777" w:rsidR="0069510E" w:rsidRDefault="00000000">
      <w:pPr>
        <w:jc w:val="center"/>
        <w:rPr>
          <w:b/>
          <w:bCs/>
          <w:sz w:val="24"/>
        </w:rPr>
      </w:pPr>
      <w:r>
        <w:rPr>
          <w:b/>
          <w:bCs/>
          <w:sz w:val="24"/>
        </w:rPr>
        <w:lastRenderedPageBreak/>
        <w:t>目</w:t>
      </w:r>
      <w:r>
        <w:rPr>
          <w:b/>
          <w:bCs/>
          <w:sz w:val="24"/>
        </w:rPr>
        <w:t xml:space="preserve">    </w:t>
      </w:r>
      <w:r>
        <w:rPr>
          <w:rFonts w:hint="eastAsia"/>
          <w:b/>
          <w:bCs/>
          <w:sz w:val="24"/>
        </w:rPr>
        <w:t>录</w:t>
      </w:r>
    </w:p>
    <w:p w14:paraId="18AF137E" w14:textId="59D025CD" w:rsidR="0069510E" w:rsidRDefault="00000000">
      <w:pPr>
        <w:pStyle w:val="TOC1"/>
        <w:rPr>
          <w:rFonts w:asciiTheme="minorHAnsi" w:eastAsiaTheme="minorEastAsia" w:hAnsiTheme="minorHAnsi" w:cstheme="minorBidi"/>
          <w:noProof/>
          <w:szCs w:val="22"/>
          <w14:ligatures w14:val="standardContextual"/>
        </w:rPr>
      </w:pPr>
      <w:r>
        <w:rPr>
          <w:bCs/>
        </w:rPr>
        <w:fldChar w:fldCharType="begin"/>
      </w:r>
      <w:r>
        <w:rPr>
          <w:bCs/>
        </w:rPr>
        <w:instrText xml:space="preserve"> TOC \o "1-1" \h \z \u </w:instrText>
      </w:r>
      <w:r>
        <w:rPr>
          <w:bCs/>
        </w:rPr>
        <w:fldChar w:fldCharType="separate"/>
      </w:r>
      <w:hyperlink w:anchor="_Toc136963801" w:history="1">
        <w:r>
          <w:rPr>
            <w:rStyle w:val="afc"/>
            <w:noProof/>
          </w:rPr>
          <w:t>第一部分</w:t>
        </w:r>
        <w:r>
          <w:rPr>
            <w:rStyle w:val="afc"/>
            <w:noProof/>
          </w:rPr>
          <w:t xml:space="preserve">  </w:t>
        </w:r>
        <w:r>
          <w:rPr>
            <w:rStyle w:val="afc"/>
            <w:noProof/>
          </w:rPr>
          <w:t>绪言</w:t>
        </w:r>
        <w:r>
          <w:rPr>
            <w:noProof/>
          </w:rPr>
          <w:tab/>
        </w:r>
        <w:r>
          <w:rPr>
            <w:noProof/>
          </w:rPr>
          <w:fldChar w:fldCharType="begin"/>
        </w:r>
        <w:r>
          <w:rPr>
            <w:noProof/>
          </w:rPr>
          <w:instrText xml:space="preserve"> PAGEREF _Toc136963801 \h </w:instrText>
        </w:r>
        <w:r>
          <w:rPr>
            <w:noProof/>
          </w:rPr>
        </w:r>
        <w:r>
          <w:rPr>
            <w:noProof/>
          </w:rPr>
          <w:fldChar w:fldCharType="separate"/>
        </w:r>
        <w:r w:rsidR="0022553B">
          <w:rPr>
            <w:noProof/>
          </w:rPr>
          <w:t>4</w:t>
        </w:r>
        <w:r>
          <w:rPr>
            <w:noProof/>
          </w:rPr>
          <w:fldChar w:fldCharType="end"/>
        </w:r>
      </w:hyperlink>
    </w:p>
    <w:p w14:paraId="0F8B9A86" w14:textId="3DE393E3" w:rsidR="0069510E" w:rsidRDefault="00000000">
      <w:pPr>
        <w:pStyle w:val="TOC1"/>
        <w:rPr>
          <w:rFonts w:asciiTheme="minorHAnsi" w:eastAsiaTheme="minorEastAsia" w:hAnsiTheme="minorHAnsi" w:cstheme="minorBidi"/>
          <w:noProof/>
          <w:szCs w:val="22"/>
          <w14:ligatures w14:val="standardContextual"/>
        </w:rPr>
      </w:pPr>
      <w:hyperlink w:anchor="_Toc136963802" w:history="1">
        <w:r>
          <w:rPr>
            <w:rStyle w:val="afc"/>
            <w:noProof/>
          </w:rPr>
          <w:t>第二部分</w:t>
        </w:r>
        <w:r>
          <w:rPr>
            <w:rStyle w:val="afc"/>
            <w:noProof/>
          </w:rPr>
          <w:t xml:space="preserve">  </w:t>
        </w:r>
        <w:r>
          <w:rPr>
            <w:rStyle w:val="afc"/>
            <w:noProof/>
          </w:rPr>
          <w:t>释义</w:t>
        </w:r>
        <w:r>
          <w:rPr>
            <w:noProof/>
          </w:rPr>
          <w:tab/>
        </w:r>
        <w:r>
          <w:rPr>
            <w:noProof/>
          </w:rPr>
          <w:fldChar w:fldCharType="begin"/>
        </w:r>
        <w:r>
          <w:rPr>
            <w:noProof/>
          </w:rPr>
          <w:instrText xml:space="preserve"> PAGEREF _Toc136963802 \h </w:instrText>
        </w:r>
        <w:r>
          <w:rPr>
            <w:noProof/>
          </w:rPr>
        </w:r>
        <w:r>
          <w:rPr>
            <w:noProof/>
          </w:rPr>
          <w:fldChar w:fldCharType="separate"/>
        </w:r>
        <w:r w:rsidR="0022553B">
          <w:rPr>
            <w:noProof/>
          </w:rPr>
          <w:t>5</w:t>
        </w:r>
        <w:r>
          <w:rPr>
            <w:noProof/>
          </w:rPr>
          <w:fldChar w:fldCharType="end"/>
        </w:r>
      </w:hyperlink>
    </w:p>
    <w:p w14:paraId="79B3C0AC" w14:textId="393A0825" w:rsidR="0069510E" w:rsidRDefault="00000000">
      <w:pPr>
        <w:pStyle w:val="TOC1"/>
        <w:rPr>
          <w:rFonts w:asciiTheme="minorHAnsi" w:eastAsiaTheme="minorEastAsia" w:hAnsiTheme="minorHAnsi" w:cstheme="minorBidi"/>
          <w:noProof/>
          <w:szCs w:val="22"/>
          <w14:ligatures w14:val="standardContextual"/>
        </w:rPr>
      </w:pPr>
      <w:hyperlink w:anchor="_Toc136963803" w:history="1">
        <w:r>
          <w:rPr>
            <w:rStyle w:val="afc"/>
            <w:noProof/>
          </w:rPr>
          <w:t>第三部分</w:t>
        </w:r>
        <w:r>
          <w:rPr>
            <w:rStyle w:val="afc"/>
            <w:noProof/>
          </w:rPr>
          <w:t xml:space="preserve">  </w:t>
        </w:r>
        <w:r>
          <w:rPr>
            <w:rStyle w:val="afc"/>
            <w:noProof/>
          </w:rPr>
          <w:t>基金管理人</w:t>
        </w:r>
        <w:r>
          <w:rPr>
            <w:noProof/>
          </w:rPr>
          <w:tab/>
        </w:r>
        <w:r>
          <w:rPr>
            <w:noProof/>
          </w:rPr>
          <w:fldChar w:fldCharType="begin"/>
        </w:r>
        <w:r>
          <w:rPr>
            <w:noProof/>
          </w:rPr>
          <w:instrText xml:space="preserve"> PAGEREF _Toc136963803 \h </w:instrText>
        </w:r>
        <w:r>
          <w:rPr>
            <w:noProof/>
          </w:rPr>
        </w:r>
        <w:r>
          <w:rPr>
            <w:noProof/>
          </w:rPr>
          <w:fldChar w:fldCharType="separate"/>
        </w:r>
        <w:r w:rsidR="0022553B">
          <w:rPr>
            <w:noProof/>
          </w:rPr>
          <w:t>10</w:t>
        </w:r>
        <w:r>
          <w:rPr>
            <w:noProof/>
          </w:rPr>
          <w:fldChar w:fldCharType="end"/>
        </w:r>
      </w:hyperlink>
    </w:p>
    <w:p w14:paraId="7FF376F3" w14:textId="6A08D727" w:rsidR="0069510E" w:rsidRDefault="00000000">
      <w:pPr>
        <w:pStyle w:val="TOC1"/>
        <w:rPr>
          <w:rFonts w:asciiTheme="minorHAnsi" w:eastAsiaTheme="minorEastAsia" w:hAnsiTheme="minorHAnsi" w:cstheme="minorBidi"/>
          <w:noProof/>
          <w:szCs w:val="22"/>
          <w14:ligatures w14:val="standardContextual"/>
        </w:rPr>
      </w:pPr>
      <w:hyperlink w:anchor="_Toc136963804" w:history="1">
        <w:r>
          <w:rPr>
            <w:rStyle w:val="afc"/>
            <w:noProof/>
          </w:rPr>
          <w:t>第四部分</w:t>
        </w:r>
        <w:r>
          <w:rPr>
            <w:rStyle w:val="afc"/>
            <w:noProof/>
          </w:rPr>
          <w:t xml:space="preserve">  </w:t>
        </w:r>
        <w:r>
          <w:rPr>
            <w:rStyle w:val="afc"/>
            <w:noProof/>
          </w:rPr>
          <w:t>基金托管人</w:t>
        </w:r>
        <w:r>
          <w:rPr>
            <w:noProof/>
          </w:rPr>
          <w:tab/>
        </w:r>
        <w:r>
          <w:rPr>
            <w:noProof/>
          </w:rPr>
          <w:fldChar w:fldCharType="begin"/>
        </w:r>
        <w:r>
          <w:rPr>
            <w:noProof/>
          </w:rPr>
          <w:instrText xml:space="preserve"> PAGEREF _Toc136963804 \h </w:instrText>
        </w:r>
        <w:r>
          <w:rPr>
            <w:noProof/>
          </w:rPr>
        </w:r>
        <w:r>
          <w:rPr>
            <w:noProof/>
          </w:rPr>
          <w:fldChar w:fldCharType="separate"/>
        </w:r>
        <w:r w:rsidR="0022553B">
          <w:rPr>
            <w:noProof/>
          </w:rPr>
          <w:t>21</w:t>
        </w:r>
        <w:r>
          <w:rPr>
            <w:noProof/>
          </w:rPr>
          <w:fldChar w:fldCharType="end"/>
        </w:r>
      </w:hyperlink>
    </w:p>
    <w:p w14:paraId="3A273AD8" w14:textId="6D3C715B" w:rsidR="0069510E" w:rsidRDefault="00000000">
      <w:pPr>
        <w:pStyle w:val="TOC1"/>
        <w:rPr>
          <w:rFonts w:asciiTheme="minorHAnsi" w:eastAsiaTheme="minorEastAsia" w:hAnsiTheme="minorHAnsi" w:cstheme="minorBidi"/>
          <w:noProof/>
          <w:szCs w:val="22"/>
          <w14:ligatures w14:val="standardContextual"/>
        </w:rPr>
      </w:pPr>
      <w:hyperlink w:anchor="_Toc136963805" w:history="1">
        <w:r>
          <w:rPr>
            <w:rStyle w:val="afc"/>
            <w:noProof/>
          </w:rPr>
          <w:t>第五部分</w:t>
        </w:r>
        <w:r>
          <w:rPr>
            <w:rStyle w:val="afc"/>
            <w:noProof/>
          </w:rPr>
          <w:t xml:space="preserve">  </w:t>
        </w:r>
        <w:r>
          <w:rPr>
            <w:rStyle w:val="afc"/>
            <w:noProof/>
          </w:rPr>
          <w:t>相关服务机构</w:t>
        </w:r>
        <w:r>
          <w:rPr>
            <w:noProof/>
          </w:rPr>
          <w:tab/>
        </w:r>
        <w:r>
          <w:rPr>
            <w:noProof/>
          </w:rPr>
          <w:fldChar w:fldCharType="begin"/>
        </w:r>
        <w:r>
          <w:rPr>
            <w:noProof/>
          </w:rPr>
          <w:instrText xml:space="preserve"> PAGEREF _Toc136963805 \h </w:instrText>
        </w:r>
        <w:r>
          <w:rPr>
            <w:noProof/>
          </w:rPr>
        </w:r>
        <w:r>
          <w:rPr>
            <w:noProof/>
          </w:rPr>
          <w:fldChar w:fldCharType="separate"/>
        </w:r>
        <w:r w:rsidR="0022553B">
          <w:rPr>
            <w:noProof/>
          </w:rPr>
          <w:t>25</w:t>
        </w:r>
        <w:r>
          <w:rPr>
            <w:noProof/>
          </w:rPr>
          <w:fldChar w:fldCharType="end"/>
        </w:r>
      </w:hyperlink>
    </w:p>
    <w:p w14:paraId="0E093FF9" w14:textId="1B2288BA" w:rsidR="0069510E" w:rsidRDefault="00000000">
      <w:pPr>
        <w:pStyle w:val="TOC1"/>
        <w:rPr>
          <w:rFonts w:asciiTheme="minorHAnsi" w:eastAsiaTheme="minorEastAsia" w:hAnsiTheme="minorHAnsi" w:cstheme="minorBidi"/>
          <w:noProof/>
          <w:szCs w:val="22"/>
          <w14:ligatures w14:val="standardContextual"/>
        </w:rPr>
      </w:pPr>
      <w:hyperlink w:anchor="_Toc136963806" w:history="1">
        <w:r>
          <w:rPr>
            <w:rStyle w:val="afc"/>
            <w:noProof/>
          </w:rPr>
          <w:t>第六部分</w:t>
        </w:r>
        <w:r>
          <w:rPr>
            <w:rStyle w:val="afc"/>
            <w:noProof/>
          </w:rPr>
          <w:t xml:space="preserve">  </w:t>
        </w:r>
        <w:r>
          <w:rPr>
            <w:rStyle w:val="afc"/>
            <w:noProof/>
          </w:rPr>
          <w:t>基金的募集</w:t>
        </w:r>
        <w:r>
          <w:rPr>
            <w:noProof/>
          </w:rPr>
          <w:tab/>
        </w:r>
        <w:r>
          <w:rPr>
            <w:noProof/>
          </w:rPr>
          <w:fldChar w:fldCharType="begin"/>
        </w:r>
        <w:r>
          <w:rPr>
            <w:noProof/>
          </w:rPr>
          <w:instrText xml:space="preserve"> PAGEREF _Toc136963806 \h </w:instrText>
        </w:r>
        <w:r>
          <w:rPr>
            <w:noProof/>
          </w:rPr>
        </w:r>
        <w:r>
          <w:rPr>
            <w:noProof/>
          </w:rPr>
          <w:fldChar w:fldCharType="separate"/>
        </w:r>
        <w:r w:rsidR="0022553B">
          <w:rPr>
            <w:noProof/>
          </w:rPr>
          <w:t>31</w:t>
        </w:r>
        <w:r>
          <w:rPr>
            <w:noProof/>
          </w:rPr>
          <w:fldChar w:fldCharType="end"/>
        </w:r>
      </w:hyperlink>
    </w:p>
    <w:p w14:paraId="13E7DC39" w14:textId="454D9412" w:rsidR="0069510E" w:rsidRDefault="00000000">
      <w:pPr>
        <w:pStyle w:val="TOC1"/>
        <w:rPr>
          <w:rFonts w:asciiTheme="minorHAnsi" w:eastAsiaTheme="minorEastAsia" w:hAnsiTheme="minorHAnsi" w:cstheme="minorBidi"/>
          <w:noProof/>
          <w:szCs w:val="22"/>
          <w14:ligatures w14:val="standardContextual"/>
        </w:rPr>
      </w:pPr>
      <w:hyperlink w:anchor="_Toc136963807" w:history="1">
        <w:r>
          <w:rPr>
            <w:rStyle w:val="afc"/>
            <w:noProof/>
          </w:rPr>
          <w:t>第七部分</w:t>
        </w:r>
        <w:r>
          <w:rPr>
            <w:rStyle w:val="afc"/>
            <w:noProof/>
          </w:rPr>
          <w:t xml:space="preserve">  </w:t>
        </w:r>
        <w:r>
          <w:rPr>
            <w:rStyle w:val="afc"/>
            <w:noProof/>
          </w:rPr>
          <w:t>基金合同的生效</w:t>
        </w:r>
        <w:r>
          <w:rPr>
            <w:noProof/>
          </w:rPr>
          <w:tab/>
        </w:r>
        <w:r>
          <w:rPr>
            <w:noProof/>
          </w:rPr>
          <w:fldChar w:fldCharType="begin"/>
        </w:r>
        <w:r>
          <w:rPr>
            <w:noProof/>
          </w:rPr>
          <w:instrText xml:space="preserve"> PAGEREF _Toc136963807 \h </w:instrText>
        </w:r>
        <w:r>
          <w:rPr>
            <w:noProof/>
          </w:rPr>
        </w:r>
        <w:r>
          <w:rPr>
            <w:noProof/>
          </w:rPr>
          <w:fldChar w:fldCharType="separate"/>
        </w:r>
        <w:r w:rsidR="0022553B">
          <w:rPr>
            <w:noProof/>
          </w:rPr>
          <w:t>32</w:t>
        </w:r>
        <w:r>
          <w:rPr>
            <w:noProof/>
          </w:rPr>
          <w:fldChar w:fldCharType="end"/>
        </w:r>
      </w:hyperlink>
    </w:p>
    <w:p w14:paraId="40F822FD" w14:textId="5C2EF9F8" w:rsidR="0069510E" w:rsidRDefault="00000000">
      <w:pPr>
        <w:pStyle w:val="TOC1"/>
        <w:rPr>
          <w:rFonts w:asciiTheme="minorHAnsi" w:eastAsiaTheme="minorEastAsia" w:hAnsiTheme="minorHAnsi" w:cstheme="minorBidi"/>
          <w:noProof/>
          <w:szCs w:val="22"/>
          <w14:ligatures w14:val="standardContextual"/>
        </w:rPr>
      </w:pPr>
      <w:hyperlink w:anchor="_Toc136963808" w:history="1">
        <w:r>
          <w:rPr>
            <w:rStyle w:val="afc"/>
            <w:noProof/>
          </w:rPr>
          <w:t>第八部分</w:t>
        </w:r>
        <w:r>
          <w:rPr>
            <w:rStyle w:val="afc"/>
            <w:noProof/>
          </w:rPr>
          <w:t xml:space="preserve">  </w:t>
        </w:r>
        <w:r>
          <w:rPr>
            <w:rStyle w:val="afc"/>
            <w:noProof/>
          </w:rPr>
          <w:t>基金份额的申购与赎回</w:t>
        </w:r>
        <w:r>
          <w:rPr>
            <w:noProof/>
          </w:rPr>
          <w:tab/>
        </w:r>
        <w:r>
          <w:rPr>
            <w:noProof/>
          </w:rPr>
          <w:fldChar w:fldCharType="begin"/>
        </w:r>
        <w:r>
          <w:rPr>
            <w:noProof/>
          </w:rPr>
          <w:instrText xml:space="preserve"> PAGEREF _Toc136963808 \h </w:instrText>
        </w:r>
        <w:r>
          <w:rPr>
            <w:noProof/>
          </w:rPr>
        </w:r>
        <w:r>
          <w:rPr>
            <w:noProof/>
          </w:rPr>
          <w:fldChar w:fldCharType="separate"/>
        </w:r>
        <w:r w:rsidR="0022553B">
          <w:rPr>
            <w:noProof/>
          </w:rPr>
          <w:t>33</w:t>
        </w:r>
        <w:r>
          <w:rPr>
            <w:noProof/>
          </w:rPr>
          <w:fldChar w:fldCharType="end"/>
        </w:r>
      </w:hyperlink>
    </w:p>
    <w:p w14:paraId="0A632B2A" w14:textId="3E08A00F" w:rsidR="0069510E" w:rsidRDefault="00000000">
      <w:pPr>
        <w:pStyle w:val="TOC1"/>
        <w:rPr>
          <w:rFonts w:asciiTheme="minorHAnsi" w:eastAsiaTheme="minorEastAsia" w:hAnsiTheme="minorHAnsi" w:cstheme="minorBidi"/>
          <w:noProof/>
          <w:szCs w:val="22"/>
          <w14:ligatures w14:val="standardContextual"/>
        </w:rPr>
      </w:pPr>
      <w:hyperlink w:anchor="_Toc136963809" w:history="1">
        <w:r>
          <w:rPr>
            <w:rStyle w:val="afc"/>
            <w:noProof/>
          </w:rPr>
          <w:t>第九部分</w:t>
        </w:r>
        <w:r>
          <w:rPr>
            <w:rStyle w:val="afc"/>
            <w:noProof/>
          </w:rPr>
          <w:t xml:space="preserve">  </w:t>
        </w:r>
        <w:r>
          <w:rPr>
            <w:rStyle w:val="afc"/>
            <w:noProof/>
          </w:rPr>
          <w:t>基金的投资</w:t>
        </w:r>
        <w:r>
          <w:rPr>
            <w:noProof/>
          </w:rPr>
          <w:tab/>
        </w:r>
        <w:r>
          <w:rPr>
            <w:noProof/>
          </w:rPr>
          <w:fldChar w:fldCharType="begin"/>
        </w:r>
        <w:r>
          <w:rPr>
            <w:noProof/>
          </w:rPr>
          <w:instrText xml:space="preserve"> PAGEREF _Toc136963809 \h </w:instrText>
        </w:r>
        <w:r>
          <w:rPr>
            <w:noProof/>
          </w:rPr>
        </w:r>
        <w:r>
          <w:rPr>
            <w:noProof/>
          </w:rPr>
          <w:fldChar w:fldCharType="separate"/>
        </w:r>
        <w:r w:rsidR="0022553B">
          <w:rPr>
            <w:noProof/>
          </w:rPr>
          <w:t>44</w:t>
        </w:r>
        <w:r>
          <w:rPr>
            <w:noProof/>
          </w:rPr>
          <w:fldChar w:fldCharType="end"/>
        </w:r>
      </w:hyperlink>
    </w:p>
    <w:p w14:paraId="197BA946" w14:textId="1DEDD78D" w:rsidR="0069510E" w:rsidRDefault="00000000">
      <w:pPr>
        <w:pStyle w:val="TOC1"/>
        <w:rPr>
          <w:rFonts w:asciiTheme="minorHAnsi" w:eastAsiaTheme="minorEastAsia" w:hAnsiTheme="minorHAnsi" w:cstheme="minorBidi"/>
          <w:noProof/>
          <w:szCs w:val="22"/>
          <w14:ligatures w14:val="standardContextual"/>
        </w:rPr>
      </w:pPr>
      <w:hyperlink w:anchor="_Toc136963810" w:history="1">
        <w:r>
          <w:rPr>
            <w:rStyle w:val="afc"/>
            <w:noProof/>
          </w:rPr>
          <w:t>第十部分</w:t>
        </w:r>
        <w:r>
          <w:rPr>
            <w:rStyle w:val="afc"/>
            <w:noProof/>
          </w:rPr>
          <w:t xml:space="preserve">  </w:t>
        </w:r>
        <w:r>
          <w:rPr>
            <w:rStyle w:val="afc"/>
            <w:noProof/>
          </w:rPr>
          <w:t>基金的财产</w:t>
        </w:r>
        <w:r>
          <w:rPr>
            <w:noProof/>
          </w:rPr>
          <w:tab/>
        </w:r>
        <w:r>
          <w:rPr>
            <w:noProof/>
          </w:rPr>
          <w:fldChar w:fldCharType="begin"/>
        </w:r>
        <w:r>
          <w:rPr>
            <w:noProof/>
          </w:rPr>
          <w:instrText xml:space="preserve"> PAGEREF _Toc136963810 \h </w:instrText>
        </w:r>
        <w:r>
          <w:rPr>
            <w:noProof/>
          </w:rPr>
        </w:r>
        <w:r>
          <w:rPr>
            <w:noProof/>
          </w:rPr>
          <w:fldChar w:fldCharType="separate"/>
        </w:r>
        <w:r w:rsidR="0022553B">
          <w:rPr>
            <w:noProof/>
          </w:rPr>
          <w:t>60</w:t>
        </w:r>
        <w:r>
          <w:rPr>
            <w:noProof/>
          </w:rPr>
          <w:fldChar w:fldCharType="end"/>
        </w:r>
      </w:hyperlink>
    </w:p>
    <w:p w14:paraId="3819B30E" w14:textId="7FBB1128" w:rsidR="0069510E" w:rsidRDefault="00000000">
      <w:pPr>
        <w:pStyle w:val="TOC1"/>
        <w:rPr>
          <w:rFonts w:asciiTheme="minorHAnsi" w:eastAsiaTheme="minorEastAsia" w:hAnsiTheme="minorHAnsi" w:cstheme="minorBidi"/>
          <w:noProof/>
          <w:szCs w:val="22"/>
          <w14:ligatures w14:val="standardContextual"/>
        </w:rPr>
      </w:pPr>
      <w:hyperlink w:anchor="_Toc136963811" w:history="1">
        <w:r>
          <w:rPr>
            <w:rStyle w:val="afc"/>
            <w:noProof/>
          </w:rPr>
          <w:t>第十一部分</w:t>
        </w:r>
        <w:r>
          <w:rPr>
            <w:rStyle w:val="afc"/>
            <w:noProof/>
          </w:rPr>
          <w:t xml:space="preserve">  </w:t>
        </w:r>
        <w:r>
          <w:rPr>
            <w:rStyle w:val="afc"/>
            <w:noProof/>
          </w:rPr>
          <w:t>基金资产的估值</w:t>
        </w:r>
        <w:r>
          <w:rPr>
            <w:noProof/>
          </w:rPr>
          <w:tab/>
        </w:r>
        <w:r>
          <w:rPr>
            <w:noProof/>
          </w:rPr>
          <w:fldChar w:fldCharType="begin"/>
        </w:r>
        <w:r>
          <w:rPr>
            <w:noProof/>
          </w:rPr>
          <w:instrText xml:space="preserve"> PAGEREF _Toc136963811 \h </w:instrText>
        </w:r>
        <w:r>
          <w:rPr>
            <w:noProof/>
          </w:rPr>
        </w:r>
        <w:r>
          <w:rPr>
            <w:noProof/>
          </w:rPr>
          <w:fldChar w:fldCharType="separate"/>
        </w:r>
        <w:r w:rsidR="0022553B">
          <w:rPr>
            <w:noProof/>
          </w:rPr>
          <w:t>61</w:t>
        </w:r>
        <w:r>
          <w:rPr>
            <w:noProof/>
          </w:rPr>
          <w:fldChar w:fldCharType="end"/>
        </w:r>
      </w:hyperlink>
    </w:p>
    <w:p w14:paraId="4CF6E4A5" w14:textId="570E1E98" w:rsidR="0069510E" w:rsidRDefault="00000000">
      <w:pPr>
        <w:pStyle w:val="TOC1"/>
        <w:rPr>
          <w:rFonts w:asciiTheme="minorHAnsi" w:eastAsiaTheme="minorEastAsia" w:hAnsiTheme="minorHAnsi" w:cstheme="minorBidi"/>
          <w:noProof/>
          <w:szCs w:val="22"/>
          <w14:ligatures w14:val="standardContextual"/>
        </w:rPr>
      </w:pPr>
      <w:hyperlink w:anchor="_Toc136963812" w:history="1">
        <w:r>
          <w:rPr>
            <w:rStyle w:val="afc"/>
            <w:noProof/>
          </w:rPr>
          <w:t>第十二部分</w:t>
        </w:r>
        <w:r>
          <w:rPr>
            <w:rStyle w:val="afc"/>
            <w:noProof/>
          </w:rPr>
          <w:t xml:space="preserve">  </w:t>
        </w:r>
        <w:r>
          <w:rPr>
            <w:rStyle w:val="afc"/>
            <w:noProof/>
          </w:rPr>
          <w:t>基金的收益分配</w:t>
        </w:r>
        <w:r>
          <w:rPr>
            <w:noProof/>
          </w:rPr>
          <w:tab/>
        </w:r>
        <w:r>
          <w:rPr>
            <w:noProof/>
          </w:rPr>
          <w:fldChar w:fldCharType="begin"/>
        </w:r>
        <w:r>
          <w:rPr>
            <w:noProof/>
          </w:rPr>
          <w:instrText xml:space="preserve"> PAGEREF _Toc136963812 \h </w:instrText>
        </w:r>
        <w:r>
          <w:rPr>
            <w:noProof/>
          </w:rPr>
        </w:r>
        <w:r>
          <w:rPr>
            <w:noProof/>
          </w:rPr>
          <w:fldChar w:fldCharType="separate"/>
        </w:r>
        <w:r w:rsidR="0022553B">
          <w:rPr>
            <w:noProof/>
          </w:rPr>
          <w:t>67</w:t>
        </w:r>
        <w:r>
          <w:rPr>
            <w:noProof/>
          </w:rPr>
          <w:fldChar w:fldCharType="end"/>
        </w:r>
      </w:hyperlink>
    </w:p>
    <w:p w14:paraId="36AE6F80" w14:textId="6BC59DBA" w:rsidR="0069510E" w:rsidRDefault="00000000">
      <w:pPr>
        <w:pStyle w:val="TOC1"/>
        <w:rPr>
          <w:rFonts w:asciiTheme="minorHAnsi" w:eastAsiaTheme="minorEastAsia" w:hAnsiTheme="minorHAnsi" w:cstheme="minorBidi"/>
          <w:noProof/>
          <w:szCs w:val="22"/>
          <w14:ligatures w14:val="standardContextual"/>
        </w:rPr>
      </w:pPr>
      <w:hyperlink w:anchor="_Toc136963813" w:history="1">
        <w:r>
          <w:rPr>
            <w:rStyle w:val="afc"/>
            <w:noProof/>
          </w:rPr>
          <w:t>第十三部分</w:t>
        </w:r>
        <w:r>
          <w:rPr>
            <w:rStyle w:val="afc"/>
            <w:noProof/>
          </w:rPr>
          <w:t xml:space="preserve">  </w:t>
        </w:r>
        <w:r>
          <w:rPr>
            <w:rStyle w:val="afc"/>
            <w:noProof/>
          </w:rPr>
          <w:t>基金费用与税收</w:t>
        </w:r>
        <w:r>
          <w:rPr>
            <w:noProof/>
          </w:rPr>
          <w:tab/>
        </w:r>
        <w:r>
          <w:rPr>
            <w:noProof/>
          </w:rPr>
          <w:fldChar w:fldCharType="begin"/>
        </w:r>
        <w:r>
          <w:rPr>
            <w:noProof/>
          </w:rPr>
          <w:instrText xml:space="preserve"> PAGEREF _Toc136963813 \h </w:instrText>
        </w:r>
        <w:r>
          <w:rPr>
            <w:noProof/>
          </w:rPr>
        </w:r>
        <w:r>
          <w:rPr>
            <w:noProof/>
          </w:rPr>
          <w:fldChar w:fldCharType="separate"/>
        </w:r>
        <w:r w:rsidR="0022553B">
          <w:rPr>
            <w:noProof/>
          </w:rPr>
          <w:t>69</w:t>
        </w:r>
        <w:r>
          <w:rPr>
            <w:noProof/>
          </w:rPr>
          <w:fldChar w:fldCharType="end"/>
        </w:r>
      </w:hyperlink>
    </w:p>
    <w:p w14:paraId="5CF84802" w14:textId="2EB6368B" w:rsidR="0069510E" w:rsidRDefault="00000000">
      <w:pPr>
        <w:pStyle w:val="TOC1"/>
        <w:rPr>
          <w:rFonts w:asciiTheme="minorHAnsi" w:eastAsiaTheme="minorEastAsia" w:hAnsiTheme="minorHAnsi" w:cstheme="minorBidi"/>
          <w:noProof/>
          <w:szCs w:val="22"/>
          <w14:ligatures w14:val="standardContextual"/>
        </w:rPr>
      </w:pPr>
      <w:hyperlink w:anchor="_Toc136963814" w:history="1">
        <w:r>
          <w:rPr>
            <w:rStyle w:val="afc"/>
            <w:noProof/>
          </w:rPr>
          <w:t>第十四部分</w:t>
        </w:r>
        <w:r>
          <w:rPr>
            <w:rStyle w:val="afc"/>
            <w:noProof/>
          </w:rPr>
          <w:t xml:space="preserve">  </w:t>
        </w:r>
        <w:r>
          <w:rPr>
            <w:rStyle w:val="afc"/>
            <w:noProof/>
          </w:rPr>
          <w:t>基金的会计与审计</w:t>
        </w:r>
        <w:r>
          <w:rPr>
            <w:noProof/>
          </w:rPr>
          <w:tab/>
        </w:r>
        <w:r>
          <w:rPr>
            <w:noProof/>
          </w:rPr>
          <w:fldChar w:fldCharType="begin"/>
        </w:r>
        <w:r>
          <w:rPr>
            <w:noProof/>
          </w:rPr>
          <w:instrText xml:space="preserve"> PAGEREF _Toc136963814 \h </w:instrText>
        </w:r>
        <w:r>
          <w:rPr>
            <w:noProof/>
          </w:rPr>
        </w:r>
        <w:r>
          <w:rPr>
            <w:noProof/>
          </w:rPr>
          <w:fldChar w:fldCharType="separate"/>
        </w:r>
        <w:r w:rsidR="0022553B">
          <w:rPr>
            <w:noProof/>
          </w:rPr>
          <w:t>72</w:t>
        </w:r>
        <w:r>
          <w:rPr>
            <w:noProof/>
          </w:rPr>
          <w:fldChar w:fldCharType="end"/>
        </w:r>
      </w:hyperlink>
    </w:p>
    <w:p w14:paraId="3BEF4BA5" w14:textId="73716CE7" w:rsidR="0069510E" w:rsidRDefault="00000000">
      <w:pPr>
        <w:pStyle w:val="TOC1"/>
        <w:rPr>
          <w:rFonts w:asciiTheme="minorHAnsi" w:eastAsiaTheme="minorEastAsia" w:hAnsiTheme="minorHAnsi" w:cstheme="minorBidi"/>
          <w:noProof/>
          <w:szCs w:val="22"/>
          <w14:ligatures w14:val="standardContextual"/>
        </w:rPr>
      </w:pPr>
      <w:hyperlink w:anchor="_Toc136963815" w:history="1">
        <w:r>
          <w:rPr>
            <w:rStyle w:val="afc"/>
            <w:noProof/>
          </w:rPr>
          <w:t>第十五部分</w:t>
        </w:r>
        <w:r>
          <w:rPr>
            <w:rStyle w:val="afc"/>
            <w:noProof/>
          </w:rPr>
          <w:t xml:space="preserve">  </w:t>
        </w:r>
        <w:r>
          <w:rPr>
            <w:rStyle w:val="afc"/>
            <w:noProof/>
          </w:rPr>
          <w:t>基金的信息披露</w:t>
        </w:r>
        <w:r>
          <w:rPr>
            <w:noProof/>
          </w:rPr>
          <w:tab/>
        </w:r>
        <w:r>
          <w:rPr>
            <w:noProof/>
          </w:rPr>
          <w:fldChar w:fldCharType="begin"/>
        </w:r>
        <w:r>
          <w:rPr>
            <w:noProof/>
          </w:rPr>
          <w:instrText xml:space="preserve"> PAGEREF _Toc136963815 \h </w:instrText>
        </w:r>
        <w:r>
          <w:rPr>
            <w:noProof/>
          </w:rPr>
        </w:r>
        <w:r>
          <w:rPr>
            <w:noProof/>
          </w:rPr>
          <w:fldChar w:fldCharType="separate"/>
        </w:r>
        <w:r w:rsidR="0022553B">
          <w:rPr>
            <w:noProof/>
          </w:rPr>
          <w:t>73</w:t>
        </w:r>
        <w:r>
          <w:rPr>
            <w:noProof/>
          </w:rPr>
          <w:fldChar w:fldCharType="end"/>
        </w:r>
      </w:hyperlink>
    </w:p>
    <w:p w14:paraId="6635C764" w14:textId="7FA49F90" w:rsidR="0069510E" w:rsidRDefault="00000000">
      <w:pPr>
        <w:pStyle w:val="TOC1"/>
        <w:rPr>
          <w:rFonts w:asciiTheme="minorHAnsi" w:eastAsiaTheme="minorEastAsia" w:hAnsiTheme="minorHAnsi" w:cstheme="minorBidi"/>
          <w:noProof/>
          <w:szCs w:val="22"/>
          <w14:ligatures w14:val="standardContextual"/>
        </w:rPr>
      </w:pPr>
      <w:hyperlink w:anchor="_Toc136963816" w:history="1">
        <w:r>
          <w:rPr>
            <w:rStyle w:val="afc"/>
            <w:rFonts w:cs="Arial"/>
            <w:noProof/>
          </w:rPr>
          <w:t>第十六部分</w:t>
        </w:r>
        <w:r>
          <w:rPr>
            <w:rStyle w:val="afc"/>
            <w:rFonts w:cs="Arial"/>
            <w:noProof/>
          </w:rPr>
          <w:t xml:space="preserve"> </w:t>
        </w:r>
        <w:r>
          <w:rPr>
            <w:rStyle w:val="afc"/>
            <w:rFonts w:cs="Arial"/>
            <w:noProof/>
          </w:rPr>
          <w:t>侧袋机制</w:t>
        </w:r>
        <w:r>
          <w:rPr>
            <w:noProof/>
          </w:rPr>
          <w:tab/>
        </w:r>
        <w:r>
          <w:rPr>
            <w:noProof/>
          </w:rPr>
          <w:fldChar w:fldCharType="begin"/>
        </w:r>
        <w:r>
          <w:rPr>
            <w:noProof/>
          </w:rPr>
          <w:instrText xml:space="preserve"> PAGEREF _Toc136963816 \h </w:instrText>
        </w:r>
        <w:r>
          <w:rPr>
            <w:noProof/>
          </w:rPr>
        </w:r>
        <w:r>
          <w:rPr>
            <w:noProof/>
          </w:rPr>
          <w:fldChar w:fldCharType="separate"/>
        </w:r>
        <w:r w:rsidR="0022553B">
          <w:rPr>
            <w:noProof/>
          </w:rPr>
          <w:t>80</w:t>
        </w:r>
        <w:r>
          <w:rPr>
            <w:noProof/>
          </w:rPr>
          <w:fldChar w:fldCharType="end"/>
        </w:r>
      </w:hyperlink>
    </w:p>
    <w:p w14:paraId="382F27FD" w14:textId="7A12E2DE" w:rsidR="0069510E" w:rsidRDefault="00000000">
      <w:pPr>
        <w:pStyle w:val="TOC1"/>
        <w:rPr>
          <w:rFonts w:asciiTheme="minorHAnsi" w:eastAsiaTheme="minorEastAsia" w:hAnsiTheme="minorHAnsi" w:cstheme="minorBidi"/>
          <w:noProof/>
          <w:szCs w:val="22"/>
          <w14:ligatures w14:val="standardContextual"/>
        </w:rPr>
      </w:pPr>
      <w:hyperlink w:anchor="_Toc136963817" w:history="1">
        <w:r>
          <w:rPr>
            <w:rStyle w:val="afc"/>
            <w:noProof/>
          </w:rPr>
          <w:t>第十七部分</w:t>
        </w:r>
        <w:r>
          <w:rPr>
            <w:rStyle w:val="afc"/>
            <w:noProof/>
          </w:rPr>
          <w:t xml:space="preserve">  </w:t>
        </w:r>
        <w:r>
          <w:rPr>
            <w:rStyle w:val="afc"/>
            <w:noProof/>
          </w:rPr>
          <w:t>风险揭示</w:t>
        </w:r>
        <w:r>
          <w:rPr>
            <w:noProof/>
          </w:rPr>
          <w:tab/>
        </w:r>
        <w:r>
          <w:rPr>
            <w:noProof/>
          </w:rPr>
          <w:fldChar w:fldCharType="begin"/>
        </w:r>
        <w:r>
          <w:rPr>
            <w:noProof/>
          </w:rPr>
          <w:instrText xml:space="preserve"> PAGEREF _Toc136963817 \h </w:instrText>
        </w:r>
        <w:r>
          <w:rPr>
            <w:noProof/>
          </w:rPr>
        </w:r>
        <w:r>
          <w:rPr>
            <w:noProof/>
          </w:rPr>
          <w:fldChar w:fldCharType="separate"/>
        </w:r>
        <w:r w:rsidR="0022553B">
          <w:rPr>
            <w:noProof/>
          </w:rPr>
          <w:t>83</w:t>
        </w:r>
        <w:r>
          <w:rPr>
            <w:noProof/>
          </w:rPr>
          <w:fldChar w:fldCharType="end"/>
        </w:r>
      </w:hyperlink>
    </w:p>
    <w:p w14:paraId="041DD487" w14:textId="411ABF02" w:rsidR="0069510E" w:rsidRDefault="00000000">
      <w:pPr>
        <w:pStyle w:val="TOC1"/>
        <w:rPr>
          <w:rFonts w:asciiTheme="minorHAnsi" w:eastAsiaTheme="minorEastAsia" w:hAnsiTheme="minorHAnsi" w:cstheme="minorBidi"/>
          <w:noProof/>
          <w:szCs w:val="22"/>
          <w14:ligatures w14:val="standardContextual"/>
        </w:rPr>
      </w:pPr>
      <w:hyperlink w:anchor="_Toc136963818" w:history="1">
        <w:r>
          <w:rPr>
            <w:rStyle w:val="afc"/>
            <w:noProof/>
          </w:rPr>
          <w:t>第十八部分</w:t>
        </w:r>
        <w:r>
          <w:rPr>
            <w:rStyle w:val="afc"/>
            <w:noProof/>
          </w:rPr>
          <w:t xml:space="preserve">  </w:t>
        </w:r>
        <w:r>
          <w:rPr>
            <w:rStyle w:val="afc"/>
            <w:noProof/>
          </w:rPr>
          <w:t>基金合同的变更、终止与基金财产的清算</w:t>
        </w:r>
        <w:r>
          <w:rPr>
            <w:noProof/>
          </w:rPr>
          <w:tab/>
        </w:r>
        <w:r>
          <w:rPr>
            <w:noProof/>
          </w:rPr>
          <w:fldChar w:fldCharType="begin"/>
        </w:r>
        <w:r>
          <w:rPr>
            <w:noProof/>
          </w:rPr>
          <w:instrText xml:space="preserve"> PAGEREF _Toc136963818 \h </w:instrText>
        </w:r>
        <w:r>
          <w:rPr>
            <w:noProof/>
          </w:rPr>
        </w:r>
        <w:r>
          <w:rPr>
            <w:noProof/>
          </w:rPr>
          <w:fldChar w:fldCharType="separate"/>
        </w:r>
        <w:r w:rsidR="0022553B">
          <w:rPr>
            <w:noProof/>
          </w:rPr>
          <w:t>88</w:t>
        </w:r>
        <w:r>
          <w:rPr>
            <w:noProof/>
          </w:rPr>
          <w:fldChar w:fldCharType="end"/>
        </w:r>
      </w:hyperlink>
    </w:p>
    <w:p w14:paraId="076EFAB1" w14:textId="40AFEFED" w:rsidR="0069510E" w:rsidRDefault="00000000">
      <w:pPr>
        <w:pStyle w:val="TOC1"/>
        <w:rPr>
          <w:rFonts w:asciiTheme="minorHAnsi" w:eastAsiaTheme="minorEastAsia" w:hAnsiTheme="minorHAnsi" w:cstheme="minorBidi"/>
          <w:noProof/>
          <w:szCs w:val="22"/>
          <w14:ligatures w14:val="standardContextual"/>
        </w:rPr>
      </w:pPr>
      <w:hyperlink w:anchor="_Toc136963819" w:history="1">
        <w:r>
          <w:rPr>
            <w:rStyle w:val="afc"/>
            <w:noProof/>
          </w:rPr>
          <w:t>第十九部分</w:t>
        </w:r>
        <w:r>
          <w:rPr>
            <w:rStyle w:val="afc"/>
            <w:noProof/>
          </w:rPr>
          <w:t xml:space="preserve">  </w:t>
        </w:r>
        <w:r>
          <w:rPr>
            <w:rStyle w:val="afc"/>
            <w:noProof/>
          </w:rPr>
          <w:t>基金合同的内容摘要</w:t>
        </w:r>
        <w:r>
          <w:rPr>
            <w:noProof/>
          </w:rPr>
          <w:tab/>
        </w:r>
        <w:r>
          <w:rPr>
            <w:noProof/>
          </w:rPr>
          <w:fldChar w:fldCharType="begin"/>
        </w:r>
        <w:r>
          <w:rPr>
            <w:noProof/>
          </w:rPr>
          <w:instrText xml:space="preserve"> PAGEREF _Toc136963819 \h </w:instrText>
        </w:r>
        <w:r>
          <w:rPr>
            <w:noProof/>
          </w:rPr>
        </w:r>
        <w:r>
          <w:rPr>
            <w:noProof/>
          </w:rPr>
          <w:fldChar w:fldCharType="separate"/>
        </w:r>
        <w:r w:rsidR="0022553B">
          <w:rPr>
            <w:noProof/>
          </w:rPr>
          <w:t>90</w:t>
        </w:r>
        <w:r>
          <w:rPr>
            <w:noProof/>
          </w:rPr>
          <w:fldChar w:fldCharType="end"/>
        </w:r>
      </w:hyperlink>
    </w:p>
    <w:p w14:paraId="4793FBE4" w14:textId="2709A5AA" w:rsidR="0069510E" w:rsidRDefault="00000000">
      <w:pPr>
        <w:pStyle w:val="TOC1"/>
        <w:rPr>
          <w:rFonts w:asciiTheme="minorHAnsi" w:eastAsiaTheme="minorEastAsia" w:hAnsiTheme="minorHAnsi" w:cstheme="minorBidi"/>
          <w:noProof/>
          <w:szCs w:val="22"/>
          <w14:ligatures w14:val="standardContextual"/>
        </w:rPr>
      </w:pPr>
      <w:hyperlink w:anchor="_Toc136963820" w:history="1">
        <w:r>
          <w:rPr>
            <w:rStyle w:val="afc"/>
            <w:noProof/>
          </w:rPr>
          <w:t>第二十部分</w:t>
        </w:r>
        <w:r>
          <w:rPr>
            <w:rStyle w:val="afc"/>
            <w:noProof/>
          </w:rPr>
          <w:t xml:space="preserve">  </w:t>
        </w:r>
        <w:r>
          <w:rPr>
            <w:rStyle w:val="afc"/>
            <w:noProof/>
          </w:rPr>
          <w:t>基金托管协议的内容摘要</w:t>
        </w:r>
        <w:r>
          <w:rPr>
            <w:noProof/>
          </w:rPr>
          <w:tab/>
        </w:r>
        <w:r>
          <w:rPr>
            <w:noProof/>
          </w:rPr>
          <w:fldChar w:fldCharType="begin"/>
        </w:r>
        <w:r>
          <w:rPr>
            <w:noProof/>
          </w:rPr>
          <w:instrText xml:space="preserve"> PAGEREF _Toc136963820 \h </w:instrText>
        </w:r>
        <w:r>
          <w:rPr>
            <w:noProof/>
          </w:rPr>
        </w:r>
        <w:r>
          <w:rPr>
            <w:noProof/>
          </w:rPr>
          <w:fldChar w:fldCharType="separate"/>
        </w:r>
        <w:r w:rsidR="0022553B">
          <w:rPr>
            <w:noProof/>
          </w:rPr>
          <w:t>107</w:t>
        </w:r>
        <w:r>
          <w:rPr>
            <w:noProof/>
          </w:rPr>
          <w:fldChar w:fldCharType="end"/>
        </w:r>
      </w:hyperlink>
    </w:p>
    <w:p w14:paraId="13333E63" w14:textId="069AAC38" w:rsidR="0069510E" w:rsidRDefault="00000000">
      <w:pPr>
        <w:pStyle w:val="TOC1"/>
        <w:rPr>
          <w:rFonts w:asciiTheme="minorHAnsi" w:eastAsiaTheme="minorEastAsia" w:hAnsiTheme="minorHAnsi" w:cstheme="minorBidi"/>
          <w:noProof/>
          <w:szCs w:val="22"/>
          <w14:ligatures w14:val="standardContextual"/>
        </w:rPr>
      </w:pPr>
      <w:hyperlink w:anchor="_Toc136963821" w:history="1">
        <w:r>
          <w:rPr>
            <w:rStyle w:val="afc"/>
            <w:noProof/>
          </w:rPr>
          <w:t>第二十一部分</w:t>
        </w:r>
        <w:r>
          <w:rPr>
            <w:rStyle w:val="afc"/>
            <w:noProof/>
          </w:rPr>
          <w:t xml:space="preserve">  </w:t>
        </w:r>
        <w:r>
          <w:rPr>
            <w:rStyle w:val="afc"/>
            <w:noProof/>
          </w:rPr>
          <w:t>对基金份额持有人的服务</w:t>
        </w:r>
        <w:r>
          <w:rPr>
            <w:noProof/>
          </w:rPr>
          <w:tab/>
        </w:r>
        <w:r>
          <w:rPr>
            <w:noProof/>
          </w:rPr>
          <w:fldChar w:fldCharType="begin"/>
        </w:r>
        <w:r>
          <w:rPr>
            <w:noProof/>
          </w:rPr>
          <w:instrText xml:space="preserve"> PAGEREF _Toc136963821 \h </w:instrText>
        </w:r>
        <w:r>
          <w:rPr>
            <w:noProof/>
          </w:rPr>
        </w:r>
        <w:r>
          <w:rPr>
            <w:noProof/>
          </w:rPr>
          <w:fldChar w:fldCharType="separate"/>
        </w:r>
        <w:r w:rsidR="0022553B">
          <w:rPr>
            <w:noProof/>
          </w:rPr>
          <w:t>129</w:t>
        </w:r>
        <w:r>
          <w:rPr>
            <w:noProof/>
          </w:rPr>
          <w:fldChar w:fldCharType="end"/>
        </w:r>
      </w:hyperlink>
    </w:p>
    <w:p w14:paraId="2FED064D" w14:textId="4611A374" w:rsidR="0069510E" w:rsidRDefault="00000000">
      <w:pPr>
        <w:pStyle w:val="TOC1"/>
        <w:rPr>
          <w:rFonts w:asciiTheme="minorHAnsi" w:eastAsiaTheme="minorEastAsia" w:hAnsiTheme="minorHAnsi" w:cstheme="minorBidi"/>
          <w:noProof/>
          <w:szCs w:val="22"/>
          <w14:ligatures w14:val="standardContextual"/>
        </w:rPr>
      </w:pPr>
      <w:hyperlink w:anchor="_Toc136963822" w:history="1">
        <w:r>
          <w:rPr>
            <w:rStyle w:val="afc"/>
            <w:noProof/>
          </w:rPr>
          <w:t>第二十二部分</w:t>
        </w:r>
        <w:r>
          <w:rPr>
            <w:rStyle w:val="afc"/>
            <w:noProof/>
          </w:rPr>
          <w:t xml:space="preserve">  </w:t>
        </w:r>
        <w:r>
          <w:rPr>
            <w:rStyle w:val="afc"/>
            <w:noProof/>
          </w:rPr>
          <w:t>其他应披露事项</w:t>
        </w:r>
        <w:r>
          <w:rPr>
            <w:noProof/>
          </w:rPr>
          <w:tab/>
        </w:r>
        <w:r>
          <w:rPr>
            <w:noProof/>
          </w:rPr>
          <w:fldChar w:fldCharType="begin"/>
        </w:r>
        <w:r>
          <w:rPr>
            <w:noProof/>
          </w:rPr>
          <w:instrText xml:space="preserve"> PAGEREF _Toc136963822 \h </w:instrText>
        </w:r>
        <w:r>
          <w:rPr>
            <w:noProof/>
          </w:rPr>
        </w:r>
        <w:r>
          <w:rPr>
            <w:noProof/>
          </w:rPr>
          <w:fldChar w:fldCharType="separate"/>
        </w:r>
        <w:r w:rsidR="0022553B">
          <w:rPr>
            <w:noProof/>
          </w:rPr>
          <w:t>131</w:t>
        </w:r>
        <w:r>
          <w:rPr>
            <w:noProof/>
          </w:rPr>
          <w:fldChar w:fldCharType="end"/>
        </w:r>
      </w:hyperlink>
    </w:p>
    <w:p w14:paraId="33178380" w14:textId="1A254194" w:rsidR="0069510E" w:rsidRDefault="00000000">
      <w:pPr>
        <w:pStyle w:val="TOC1"/>
        <w:rPr>
          <w:rFonts w:asciiTheme="minorHAnsi" w:eastAsiaTheme="minorEastAsia" w:hAnsiTheme="minorHAnsi" w:cstheme="minorBidi"/>
          <w:noProof/>
          <w:szCs w:val="22"/>
          <w14:ligatures w14:val="standardContextual"/>
        </w:rPr>
      </w:pPr>
      <w:hyperlink w:anchor="_Toc136963823" w:history="1">
        <w:r>
          <w:rPr>
            <w:rStyle w:val="afc"/>
            <w:noProof/>
          </w:rPr>
          <w:t>第二十三部分</w:t>
        </w:r>
        <w:r>
          <w:rPr>
            <w:rStyle w:val="afc"/>
            <w:noProof/>
          </w:rPr>
          <w:t xml:space="preserve">  </w:t>
        </w:r>
        <w:r>
          <w:rPr>
            <w:rStyle w:val="afc"/>
            <w:noProof/>
          </w:rPr>
          <w:t>招募说明书存放及查阅方式</w:t>
        </w:r>
        <w:r>
          <w:rPr>
            <w:noProof/>
          </w:rPr>
          <w:tab/>
        </w:r>
        <w:r>
          <w:rPr>
            <w:noProof/>
          </w:rPr>
          <w:fldChar w:fldCharType="begin"/>
        </w:r>
        <w:r>
          <w:rPr>
            <w:noProof/>
          </w:rPr>
          <w:instrText xml:space="preserve"> PAGEREF _Toc136963823 \h </w:instrText>
        </w:r>
        <w:r>
          <w:rPr>
            <w:noProof/>
          </w:rPr>
        </w:r>
        <w:r>
          <w:rPr>
            <w:noProof/>
          </w:rPr>
          <w:fldChar w:fldCharType="separate"/>
        </w:r>
        <w:r w:rsidR="0022553B">
          <w:rPr>
            <w:noProof/>
          </w:rPr>
          <w:t>133</w:t>
        </w:r>
        <w:r>
          <w:rPr>
            <w:noProof/>
          </w:rPr>
          <w:fldChar w:fldCharType="end"/>
        </w:r>
      </w:hyperlink>
    </w:p>
    <w:p w14:paraId="281CA2F0" w14:textId="2F24F700" w:rsidR="0069510E" w:rsidRDefault="00000000">
      <w:pPr>
        <w:pStyle w:val="TOC1"/>
        <w:rPr>
          <w:rFonts w:asciiTheme="minorHAnsi" w:eastAsiaTheme="minorEastAsia" w:hAnsiTheme="minorHAnsi" w:cstheme="minorBidi"/>
          <w:noProof/>
          <w:szCs w:val="22"/>
          <w14:ligatures w14:val="standardContextual"/>
        </w:rPr>
      </w:pPr>
      <w:hyperlink w:anchor="_Toc136963824" w:history="1">
        <w:r>
          <w:rPr>
            <w:rStyle w:val="afc"/>
            <w:noProof/>
          </w:rPr>
          <w:t>第二十四部分</w:t>
        </w:r>
        <w:r>
          <w:rPr>
            <w:rStyle w:val="afc"/>
            <w:noProof/>
          </w:rPr>
          <w:t xml:space="preserve">  </w:t>
        </w:r>
        <w:r>
          <w:rPr>
            <w:rStyle w:val="afc"/>
            <w:noProof/>
          </w:rPr>
          <w:t>备查文件</w:t>
        </w:r>
        <w:r>
          <w:rPr>
            <w:noProof/>
          </w:rPr>
          <w:tab/>
        </w:r>
        <w:r>
          <w:rPr>
            <w:noProof/>
          </w:rPr>
          <w:fldChar w:fldCharType="begin"/>
        </w:r>
        <w:r>
          <w:rPr>
            <w:noProof/>
          </w:rPr>
          <w:instrText xml:space="preserve"> PAGEREF _Toc136963824 \h </w:instrText>
        </w:r>
        <w:r>
          <w:rPr>
            <w:noProof/>
          </w:rPr>
        </w:r>
        <w:r>
          <w:rPr>
            <w:noProof/>
          </w:rPr>
          <w:fldChar w:fldCharType="separate"/>
        </w:r>
        <w:r w:rsidR="0022553B">
          <w:rPr>
            <w:noProof/>
          </w:rPr>
          <w:t>134</w:t>
        </w:r>
        <w:r>
          <w:rPr>
            <w:noProof/>
          </w:rPr>
          <w:fldChar w:fldCharType="end"/>
        </w:r>
      </w:hyperlink>
    </w:p>
    <w:p w14:paraId="6DA39811" w14:textId="77777777" w:rsidR="0069510E" w:rsidRDefault="00000000">
      <w:pPr>
        <w:sectPr w:rsidR="0069510E">
          <w:headerReference w:type="even" r:id="rId15"/>
          <w:headerReference w:type="default" r:id="rId16"/>
          <w:headerReference w:type="first" r:id="rId17"/>
          <w:pgSz w:w="11906" w:h="16838"/>
          <w:pgMar w:top="1440" w:right="1800" w:bottom="1440" w:left="1800" w:header="851" w:footer="992" w:gutter="0"/>
          <w:pgNumType w:chapStyle="1"/>
          <w:cols w:space="720"/>
          <w:docGrid w:type="lines" w:linePitch="312"/>
        </w:sectPr>
      </w:pPr>
      <w:r>
        <w:fldChar w:fldCharType="end"/>
      </w:r>
      <w:bookmarkStart w:id="32" w:name="_Toc416264537"/>
      <w:bookmarkStart w:id="33" w:name="_Toc263092309"/>
      <w:bookmarkStart w:id="34" w:name="_Toc352229747"/>
      <w:bookmarkStart w:id="35" w:name="_Toc21301"/>
      <w:bookmarkStart w:id="36" w:name="_Toc13020"/>
      <w:bookmarkStart w:id="37" w:name="_Toc819"/>
      <w:bookmarkStart w:id="38" w:name="_Toc19592"/>
      <w:bookmarkStart w:id="39" w:name="_Toc6617"/>
      <w:bookmarkStart w:id="40" w:name="_Toc2465"/>
      <w:bookmarkStart w:id="41" w:name="_Toc3224"/>
      <w:bookmarkStart w:id="42" w:name="_Toc31551"/>
      <w:bookmarkStart w:id="43" w:name="_Toc24860"/>
      <w:bookmarkStart w:id="44" w:name="_Toc22864"/>
      <w:bookmarkStart w:id="45" w:name="_Toc258829399"/>
      <w:bookmarkStart w:id="46" w:name="_Toc1506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380DBDEF" w14:textId="77777777" w:rsidR="0069510E" w:rsidRDefault="00000000">
      <w:pPr>
        <w:pStyle w:val="1"/>
        <w:jc w:val="center"/>
        <w:rPr>
          <w:sz w:val="30"/>
          <w:szCs w:val="30"/>
        </w:rPr>
      </w:pPr>
      <w:bookmarkStart w:id="47" w:name="_Toc68266288"/>
      <w:bookmarkStart w:id="48" w:name="_Toc136963801"/>
      <w:r>
        <w:rPr>
          <w:rFonts w:hint="eastAsia"/>
          <w:sz w:val="30"/>
          <w:szCs w:val="30"/>
        </w:rPr>
        <w:lastRenderedPageBreak/>
        <w:t>第一部分</w:t>
      </w:r>
      <w:r>
        <w:rPr>
          <w:sz w:val="30"/>
          <w:szCs w:val="30"/>
        </w:rPr>
        <w:t xml:space="preserve">  </w:t>
      </w:r>
      <w:r>
        <w:rPr>
          <w:rFonts w:hint="eastAsia"/>
          <w:sz w:val="30"/>
          <w:szCs w:val="30"/>
        </w:rPr>
        <w:t>绪言</w:t>
      </w:r>
      <w:bookmarkEnd w:id="32"/>
      <w:bookmarkEnd w:id="33"/>
      <w:bookmarkEnd w:id="47"/>
      <w:bookmarkEnd w:id="48"/>
    </w:p>
    <w:p w14:paraId="023C5A1C" w14:textId="77777777" w:rsidR="0069510E"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银混合型证券投资基金招募说明书》（以下简称“招募说明书”或“本招募说明书”）依照《中华人民共和国证券投资基金法》（以下简称“《基金法》”）、《公开募集证券投资基金运作管理办法》（以下简称“《运作办法》”）、《公开募集证券投资基金销售机构监督管理办法》（以下简称“《销售办法》”）、《</w:t>
      </w:r>
      <w:r>
        <w:rPr>
          <w:rFonts w:hint="eastAsia"/>
          <w:bCs/>
          <w:kern w:val="0"/>
          <w:sz w:val="24"/>
        </w:rPr>
        <w:t>公开募集证券投资基金信息披露管理办法</w:t>
      </w:r>
      <w:r>
        <w:rPr>
          <w:rFonts w:asciiTheme="minorEastAsia" w:hAnsiTheme="minorEastAsia" w:cs="Arial" w:hint="eastAsia"/>
          <w:sz w:val="24"/>
          <w:szCs w:val="24"/>
        </w:rPr>
        <w:t>》（以下简称“《信息披露办法》”）、《公开募集开放式证券投资基金流动性风险管理规定》（以下简称“《管理规定》”）以及《富荣福银混合型证券投资基金基金合同》（以下简称“基金合同”）编写。</w:t>
      </w:r>
    </w:p>
    <w:p w14:paraId="6059A74E" w14:textId="77777777" w:rsidR="0069510E"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6A7451F3" w14:textId="77777777" w:rsidR="0069510E"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w:t>
      </w:r>
      <w:proofErr w:type="gramStart"/>
      <w:r>
        <w:rPr>
          <w:rFonts w:asciiTheme="minorEastAsia" w:hAnsiTheme="minorEastAsia" w:cs="Arial" w:hint="eastAsia"/>
          <w:sz w:val="24"/>
          <w:szCs w:val="24"/>
        </w:rPr>
        <w:t>荣福银</w:t>
      </w:r>
      <w:proofErr w:type="gramEnd"/>
      <w:r>
        <w:rPr>
          <w:rFonts w:asciiTheme="minorEastAsia" w:hAnsiTheme="minorEastAsia" w:cs="Arial" w:hint="eastAsia"/>
          <w:sz w:val="24"/>
          <w:szCs w:val="24"/>
        </w:rPr>
        <w:t>混合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0B78B65D" w14:textId="77777777" w:rsidR="0069510E"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30F8D485" w14:textId="77777777" w:rsidR="0069510E" w:rsidRDefault="0069510E">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69510E">
          <w:headerReference w:type="even" r:id="rId18"/>
          <w:headerReference w:type="default" r:id="rId19"/>
          <w:footerReference w:type="default" r:id="rId20"/>
          <w:headerReference w:type="first" r:id="rId21"/>
          <w:pgSz w:w="11906" w:h="16838"/>
          <w:pgMar w:top="1440" w:right="1800" w:bottom="1440" w:left="1800" w:header="851" w:footer="992" w:gutter="0"/>
          <w:pgNumType w:chapStyle="1"/>
          <w:cols w:space="720"/>
          <w:docGrid w:type="lines" w:linePitch="312"/>
        </w:sectPr>
      </w:pPr>
      <w:bookmarkStart w:id="49" w:name="_Toc22708"/>
      <w:bookmarkStart w:id="50" w:name="_Toc24571"/>
      <w:bookmarkStart w:id="51" w:name="_Toc733"/>
      <w:bookmarkStart w:id="52" w:name="_Toc352229748"/>
      <w:bookmarkStart w:id="53" w:name="_Toc20318"/>
      <w:bookmarkStart w:id="54" w:name="_Toc6683"/>
      <w:bookmarkStart w:id="55" w:name="_Toc18631"/>
      <w:bookmarkStart w:id="56" w:name="_Toc545"/>
      <w:bookmarkStart w:id="57" w:name="_Toc20627"/>
      <w:bookmarkStart w:id="58" w:name="_Toc6149"/>
      <w:bookmarkStart w:id="59" w:name="_Toc13288"/>
      <w:bookmarkStart w:id="60" w:name="_Toc5246"/>
      <w:bookmarkStart w:id="61" w:name="_Toc233456272"/>
      <w:bookmarkStart w:id="62"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54FDB7C6" w14:textId="77777777" w:rsidR="0069510E" w:rsidRDefault="00000000">
      <w:pPr>
        <w:pStyle w:val="1"/>
        <w:jc w:val="center"/>
        <w:rPr>
          <w:sz w:val="30"/>
          <w:szCs w:val="30"/>
        </w:rPr>
      </w:pPr>
      <w:bookmarkStart w:id="63" w:name="_Toc136963802"/>
      <w:bookmarkStart w:id="64" w:name="_Toc68266289"/>
      <w:r>
        <w:rPr>
          <w:rFonts w:hint="eastAsia"/>
          <w:sz w:val="30"/>
          <w:szCs w:val="30"/>
        </w:rPr>
        <w:lastRenderedPageBreak/>
        <w:t>第二部分</w:t>
      </w:r>
      <w:r>
        <w:rPr>
          <w:sz w:val="30"/>
          <w:szCs w:val="30"/>
        </w:rPr>
        <w:t xml:space="preserve">  </w:t>
      </w:r>
      <w:r>
        <w:rPr>
          <w:rFonts w:hint="eastAsia"/>
          <w:sz w:val="30"/>
          <w:szCs w:val="30"/>
        </w:rPr>
        <w:t>释义</w:t>
      </w:r>
      <w:bookmarkEnd w:id="63"/>
      <w:bookmarkEnd w:id="64"/>
    </w:p>
    <w:p w14:paraId="24800F62"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5FDADE05"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w:t>
      </w:r>
      <w:proofErr w:type="gramStart"/>
      <w:r>
        <w:rPr>
          <w:rFonts w:asciiTheme="minorEastAsia" w:hAnsiTheme="minorEastAsia" w:cs="Times New Roman" w:hint="eastAsia"/>
          <w:sz w:val="24"/>
          <w:szCs w:val="24"/>
        </w:rPr>
        <w:t>指富荣福银</w:t>
      </w:r>
      <w:proofErr w:type="gramEnd"/>
      <w:r>
        <w:rPr>
          <w:rFonts w:asciiTheme="minorEastAsia" w:hAnsiTheme="minorEastAsia" w:cs="Times New Roman" w:hint="eastAsia"/>
          <w:sz w:val="24"/>
          <w:szCs w:val="24"/>
        </w:rPr>
        <w:t>混合型证券投资基金</w:t>
      </w:r>
    </w:p>
    <w:p w14:paraId="6A84413A"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w:t>
      </w:r>
      <w:proofErr w:type="gramStart"/>
      <w:r>
        <w:rPr>
          <w:rFonts w:asciiTheme="minorEastAsia" w:hAnsiTheme="minorEastAsia" w:cs="Times New Roman" w:hint="eastAsia"/>
          <w:sz w:val="24"/>
          <w:szCs w:val="24"/>
        </w:rPr>
        <w:t>指富荣基金</w:t>
      </w:r>
      <w:proofErr w:type="gramEnd"/>
      <w:r>
        <w:rPr>
          <w:rFonts w:asciiTheme="minorEastAsia" w:hAnsiTheme="minorEastAsia" w:cs="Times New Roman" w:hint="eastAsia"/>
          <w:sz w:val="24"/>
          <w:szCs w:val="24"/>
        </w:rPr>
        <w:t>管理有限公司</w:t>
      </w:r>
    </w:p>
    <w:p w14:paraId="6EC73EFC"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、基金托管人：指国泰君安证券股份有限公司</w:t>
      </w:r>
    </w:p>
    <w:p w14:paraId="6CC83F7B"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、基金合同：指《富荣福银混合型证券投资基金基金合同》及对基金合同的任何有效修订和补充</w:t>
      </w:r>
    </w:p>
    <w:p w14:paraId="59384E4A"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、托管协议：指基金管理人与基金托管人就本基金签订之《富荣福银混合型证券投资基金托管协议》及对该托管协议的任何有效修订和补充</w:t>
      </w:r>
    </w:p>
    <w:p w14:paraId="6020496B"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、招募说明书或本招募说明书：指《富荣福银混合型证券投资基金招募说明书》及其更新</w:t>
      </w:r>
    </w:p>
    <w:p w14:paraId="51AD7439"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7</w:t>
      </w:r>
      <w:r>
        <w:rPr>
          <w:rFonts w:asciiTheme="minorEastAsia" w:hAnsiTheme="minorEastAsia" w:cs="Times New Roman" w:hint="eastAsia"/>
          <w:sz w:val="24"/>
          <w:szCs w:val="24"/>
        </w:rPr>
        <w:t>、基金份额发售公告：指《富荣福银混合型证券投资基金基金份额发售公告》</w:t>
      </w:r>
    </w:p>
    <w:p w14:paraId="06508D32"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5B456C83"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、《基金法》：指</w:t>
      </w:r>
      <w:r>
        <w:rPr>
          <w:rFonts w:asciiTheme="minorEastAsia" w:hAnsiTheme="minorEastAsia" w:cs="Times New Roman"/>
          <w:sz w:val="24"/>
          <w:szCs w:val="24"/>
        </w:rPr>
        <w:t>2003年10月28日经第十届全国人民代表大会常务委员会第五次会议通过，经2012年12月28日第十一届全国人民代表大会常务委员会第三十次会议修订，自2013年6月1日起实施</w:t>
      </w:r>
      <w:r>
        <w:rPr>
          <w:rFonts w:asciiTheme="minorEastAsia" w:hAnsiTheme="minorEastAsia" w:cs="Times New Roman" w:hint="eastAsia"/>
          <w:sz w:val="24"/>
          <w:szCs w:val="24"/>
        </w:rPr>
        <w:t>，并经</w:t>
      </w:r>
      <w:r>
        <w:rPr>
          <w:rFonts w:asciiTheme="minorEastAsia" w:hAnsiTheme="minorEastAsia" w:cs="Times New Roman"/>
          <w:sz w:val="24"/>
          <w:szCs w:val="24"/>
        </w:rPr>
        <w:t>2015年4月24日第十二届全国人民代表大会常务委员会第十四次会议《全国人民代表大会常务委员会关于修改&lt;中华人民共和国港口法&gt;等七部法律的决定》修正</w:t>
      </w:r>
      <w:r>
        <w:rPr>
          <w:rFonts w:asciiTheme="minorEastAsia" w:hAnsiTheme="minorEastAsia" w:cs="Times New Roman" w:hint="eastAsia"/>
          <w:sz w:val="24"/>
          <w:szCs w:val="24"/>
        </w:rPr>
        <w:t>的《中华人民共和国证券投资基金法》及颁布机关对其不时做出的修订</w:t>
      </w:r>
    </w:p>
    <w:p w14:paraId="1160C405"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、《销售办法》：</w:t>
      </w:r>
      <w:r>
        <w:rPr>
          <w:rFonts w:asciiTheme="minorEastAsia" w:hAnsiTheme="minorEastAsia" w:cs="Times New Roman"/>
          <w:sz w:val="24"/>
          <w:szCs w:val="24"/>
        </w:rPr>
        <w:t xml:space="preserve"> </w:t>
      </w:r>
      <w:r>
        <w:rPr>
          <w:rFonts w:asciiTheme="minorEastAsia" w:hAnsiTheme="minorEastAsia" w:cs="Times New Roman" w:hint="eastAsia"/>
          <w:sz w:val="24"/>
          <w:szCs w:val="24"/>
        </w:rPr>
        <w:t>指中国证监会</w:t>
      </w:r>
      <w:r>
        <w:rPr>
          <w:rFonts w:asciiTheme="minorEastAsia" w:hAnsiTheme="minorEastAsia" w:cs="Times New Roman"/>
          <w:sz w:val="24"/>
          <w:szCs w:val="24"/>
        </w:rPr>
        <w:t>2020年8月28日颁布、同年10月1日实施的《公开募集证券投资基金销售机构监督管理办法》及颁布机关对其不时做出的修订</w:t>
      </w:r>
    </w:p>
    <w:p w14:paraId="484CB2E8"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、《信息披露办法》：</w:t>
      </w:r>
      <w:r>
        <w:rPr>
          <w:rFonts w:hint="eastAsia"/>
          <w:bCs/>
          <w:kern w:val="0"/>
          <w:sz w:val="24"/>
        </w:rPr>
        <w:t>指中国证监会</w:t>
      </w:r>
      <w:r>
        <w:rPr>
          <w:bCs/>
          <w:kern w:val="0"/>
          <w:sz w:val="24"/>
        </w:rPr>
        <w:t>2019</w:t>
      </w:r>
      <w:r>
        <w:rPr>
          <w:rFonts w:hint="eastAsia"/>
          <w:bCs/>
          <w:kern w:val="0"/>
          <w:sz w:val="24"/>
        </w:rPr>
        <w:t>年</w:t>
      </w:r>
      <w:r>
        <w:rPr>
          <w:bCs/>
          <w:kern w:val="0"/>
          <w:sz w:val="24"/>
        </w:rPr>
        <w:t>7</w:t>
      </w:r>
      <w:r>
        <w:rPr>
          <w:rFonts w:hint="eastAsia"/>
          <w:bCs/>
          <w:kern w:val="0"/>
          <w:sz w:val="24"/>
        </w:rPr>
        <w:t>月</w:t>
      </w:r>
      <w:r>
        <w:rPr>
          <w:bCs/>
          <w:kern w:val="0"/>
          <w:sz w:val="24"/>
        </w:rPr>
        <w:t>26</w:t>
      </w:r>
      <w:r>
        <w:rPr>
          <w:rFonts w:hint="eastAsia"/>
          <w:bCs/>
          <w:kern w:val="0"/>
          <w:sz w:val="24"/>
        </w:rPr>
        <w:t>日颁布、同年</w:t>
      </w:r>
      <w:r>
        <w:rPr>
          <w:bCs/>
          <w:kern w:val="0"/>
          <w:sz w:val="24"/>
        </w:rPr>
        <w:t>9</w:t>
      </w:r>
      <w:r>
        <w:rPr>
          <w:rFonts w:hint="eastAsia"/>
          <w:bCs/>
          <w:kern w:val="0"/>
          <w:sz w:val="24"/>
        </w:rPr>
        <w:t>月</w:t>
      </w:r>
      <w:r>
        <w:rPr>
          <w:bCs/>
          <w:kern w:val="0"/>
          <w:sz w:val="24"/>
        </w:rPr>
        <w:t>1</w:t>
      </w:r>
      <w:r>
        <w:rPr>
          <w:rFonts w:hint="eastAsia"/>
          <w:bCs/>
          <w:kern w:val="0"/>
          <w:sz w:val="24"/>
        </w:rPr>
        <w:t>日实施的</w:t>
      </w:r>
      <w:r>
        <w:rPr>
          <w:rFonts w:hint="eastAsia"/>
          <w:bCs/>
          <w:sz w:val="24"/>
        </w:rPr>
        <w:t>，并经</w:t>
      </w:r>
      <w:r>
        <w:rPr>
          <w:bCs/>
          <w:sz w:val="24"/>
        </w:rPr>
        <w:t>2020</w:t>
      </w:r>
      <w:r>
        <w:rPr>
          <w:rFonts w:hint="eastAsia"/>
          <w:bCs/>
          <w:sz w:val="24"/>
        </w:rPr>
        <w:t>年</w:t>
      </w:r>
      <w:r>
        <w:rPr>
          <w:bCs/>
          <w:sz w:val="24"/>
        </w:rPr>
        <w:t>3</w:t>
      </w:r>
      <w:r>
        <w:rPr>
          <w:rFonts w:hint="eastAsia"/>
          <w:bCs/>
          <w:sz w:val="24"/>
        </w:rPr>
        <w:t>月</w:t>
      </w:r>
      <w:r>
        <w:rPr>
          <w:bCs/>
          <w:sz w:val="24"/>
        </w:rPr>
        <w:t>20</w:t>
      </w:r>
      <w:r>
        <w:rPr>
          <w:rFonts w:hint="eastAsia"/>
          <w:bCs/>
          <w:sz w:val="24"/>
        </w:rPr>
        <w:t>日中国证监会《关于修改部分证券期货规章的决定》修正的</w:t>
      </w:r>
      <w:r>
        <w:rPr>
          <w:rFonts w:hint="eastAsia"/>
          <w:bCs/>
          <w:kern w:val="0"/>
          <w:sz w:val="24"/>
        </w:rPr>
        <w:t>《公开募集证券投资基金信息披露管理办法》</w:t>
      </w:r>
      <w:r>
        <w:rPr>
          <w:rFonts w:asciiTheme="minorEastAsia" w:hAnsiTheme="minorEastAsia" w:cs="Times New Roman" w:hint="eastAsia"/>
          <w:sz w:val="24"/>
          <w:szCs w:val="24"/>
        </w:rPr>
        <w:t>及颁布机关对其不时做出的修订</w:t>
      </w:r>
    </w:p>
    <w:p w14:paraId="417845DF"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w:t>
      </w:r>
      <w:r>
        <w:rPr>
          <w:rFonts w:asciiTheme="minorEastAsia" w:hAnsiTheme="minorEastAsia" w:cs="Times New Roman" w:hint="eastAsia"/>
          <w:sz w:val="24"/>
          <w:szCs w:val="24"/>
        </w:rPr>
        <w:lastRenderedPageBreak/>
        <w:t>的《公开募集证券投资基金运作管理办法》及颁布机关对其不时做出的修订</w:t>
      </w:r>
    </w:p>
    <w:p w14:paraId="3E1D62D0"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、《流动性风险管理规定》：指中国证监会</w:t>
      </w:r>
      <w:r>
        <w:rPr>
          <w:rFonts w:asciiTheme="minorEastAsia" w:hAnsiTheme="minorEastAsia" w:cs="Times New Roman"/>
          <w:sz w:val="24"/>
          <w:szCs w:val="24"/>
        </w:rPr>
        <w:t>2017年8月31日颁布、同年10月1日实施的《公开募集开放式证券投资基金流动性风险管理规定》及颁布机关对其不时做出的修订</w:t>
      </w:r>
    </w:p>
    <w:p w14:paraId="0864A77F"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14</w:t>
      </w:r>
      <w:r>
        <w:rPr>
          <w:rFonts w:asciiTheme="minorEastAsia" w:hAnsiTheme="minorEastAsia" w:cs="Times New Roman" w:hint="eastAsia"/>
          <w:sz w:val="24"/>
          <w:szCs w:val="24"/>
        </w:rPr>
        <w:t>、中国证监会：指中国证券监督管理委员会</w:t>
      </w:r>
    </w:p>
    <w:p w14:paraId="187A7620"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2D126BF0"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、个人投资者：指依据有关法律法规规定可投资于证券投资基金的自然人</w:t>
      </w:r>
    </w:p>
    <w:p w14:paraId="36C3A683"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0AD7BEA5" w14:textId="77777777" w:rsidR="0069510E" w:rsidRDefault="00000000">
      <w:pPr>
        <w:spacing w:line="360" w:lineRule="auto"/>
        <w:ind w:firstLineChars="200" w:firstLine="480"/>
        <w:rPr>
          <w:bCs/>
          <w:sz w:val="24"/>
        </w:rPr>
      </w:pPr>
      <w:r>
        <w:rPr>
          <w:rFonts w:asciiTheme="minorEastAsia" w:hAnsiTheme="minorEastAsia" w:cs="Times New Roman"/>
          <w:sz w:val="24"/>
          <w:szCs w:val="24"/>
        </w:rPr>
        <w:t>18</w:t>
      </w:r>
      <w:r>
        <w:rPr>
          <w:rFonts w:asciiTheme="minorEastAsia" w:hAnsiTheme="minorEastAsia" w:cs="Times New Roman" w:hint="eastAsia"/>
          <w:sz w:val="24"/>
          <w:szCs w:val="24"/>
        </w:rPr>
        <w:t>、</w:t>
      </w:r>
      <w:r>
        <w:rPr>
          <w:rFonts w:hint="eastAsia"/>
          <w:bCs/>
          <w:sz w:val="24"/>
        </w:rPr>
        <w:t>合格境外投资者：指符合《合格境外机构投资者和人民币合格境外机构投资者境内证券期货投资管理办法》（包括其不时修订）及相关法律法规规定使用来自境外的资金进行境内证券期货投资的境外机构投资者，包括合格境外机构投资者和人民币合格境外机构投资者</w:t>
      </w:r>
      <w:r>
        <w:rPr>
          <w:bCs/>
          <w:sz w:val="24"/>
        </w:rPr>
        <w:t xml:space="preserve"> </w:t>
      </w:r>
    </w:p>
    <w:p w14:paraId="11B96542"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、投资人、投资者：指个人投资者、机构投资者、合格境外投资者以及法律法规或中国证监会允许购买证券投资基金的其他投资人的合称</w:t>
      </w:r>
    </w:p>
    <w:p w14:paraId="106E59FD"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、基金份额持有人：指依基金合同和招募说明书合法取得基金份额的投资人</w:t>
      </w:r>
    </w:p>
    <w:p w14:paraId="747EFD8C"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21</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46D1DE5E"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、销售机构：</w:t>
      </w:r>
      <w:proofErr w:type="gramStart"/>
      <w:r>
        <w:rPr>
          <w:rFonts w:asciiTheme="minorEastAsia" w:hAnsiTheme="minorEastAsia" w:cs="Times New Roman" w:hint="eastAsia"/>
          <w:sz w:val="24"/>
          <w:szCs w:val="24"/>
        </w:rPr>
        <w:t>指富荣基金</w:t>
      </w:r>
      <w:proofErr w:type="gramEnd"/>
      <w:r>
        <w:rPr>
          <w:rFonts w:asciiTheme="minorEastAsia" w:hAnsiTheme="minorEastAsia" w:cs="Times New Roman" w:hint="eastAsia"/>
          <w:sz w:val="24"/>
          <w:szCs w:val="24"/>
        </w:rPr>
        <w:t>管理有限公司以及符合《销售办法》和中国证监会规定的其他条件，取得基金销售业务资格并与基金管理人签订了基金销售服务协议，办理基金销售业务的机构</w:t>
      </w:r>
    </w:p>
    <w:p w14:paraId="7C4C9562"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Theme="minorEastAsia" w:hAnsiTheme="minorEastAsia" w:cs="Times New Roman" w:hint="eastAsia"/>
          <w:sz w:val="24"/>
          <w:szCs w:val="24"/>
        </w:rPr>
        <w:t>非交易</w:t>
      </w:r>
      <w:proofErr w:type="gramEnd"/>
      <w:r>
        <w:rPr>
          <w:rFonts w:asciiTheme="minorEastAsia" w:hAnsiTheme="minorEastAsia" w:cs="Times New Roman" w:hint="eastAsia"/>
          <w:sz w:val="24"/>
          <w:szCs w:val="24"/>
        </w:rPr>
        <w:t>过户等</w:t>
      </w:r>
    </w:p>
    <w:p w14:paraId="210BDD9E"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、登记机构：</w:t>
      </w:r>
      <w:proofErr w:type="gramStart"/>
      <w:r>
        <w:rPr>
          <w:rFonts w:asciiTheme="minorEastAsia" w:hAnsiTheme="minorEastAsia" w:cs="Times New Roman" w:hint="eastAsia"/>
          <w:sz w:val="24"/>
          <w:szCs w:val="24"/>
        </w:rPr>
        <w:t>指办理</w:t>
      </w:r>
      <w:proofErr w:type="gramEnd"/>
      <w:r>
        <w:rPr>
          <w:rFonts w:asciiTheme="minorEastAsia" w:hAnsiTheme="minorEastAsia" w:cs="Times New Roman" w:hint="eastAsia"/>
          <w:sz w:val="24"/>
          <w:szCs w:val="24"/>
        </w:rPr>
        <w:t>登记业务的机构。基金登记机构为富</w:t>
      </w:r>
      <w:proofErr w:type="gramStart"/>
      <w:r>
        <w:rPr>
          <w:rFonts w:asciiTheme="minorEastAsia" w:hAnsiTheme="minorEastAsia" w:cs="Times New Roman" w:hint="eastAsia"/>
          <w:sz w:val="24"/>
          <w:szCs w:val="24"/>
        </w:rPr>
        <w:t>荣基金</w:t>
      </w:r>
      <w:proofErr w:type="gramEnd"/>
      <w:r>
        <w:rPr>
          <w:rFonts w:asciiTheme="minorEastAsia" w:hAnsiTheme="minorEastAsia" w:cs="Times New Roman" w:hint="eastAsia"/>
          <w:sz w:val="24"/>
          <w:szCs w:val="24"/>
        </w:rPr>
        <w:t>管理有限公司或接受富</w:t>
      </w:r>
      <w:proofErr w:type="gramStart"/>
      <w:r>
        <w:rPr>
          <w:rFonts w:asciiTheme="minorEastAsia" w:hAnsiTheme="minorEastAsia" w:cs="Times New Roman" w:hint="eastAsia"/>
          <w:sz w:val="24"/>
          <w:szCs w:val="24"/>
        </w:rPr>
        <w:t>荣基金</w:t>
      </w:r>
      <w:proofErr w:type="gramEnd"/>
      <w:r>
        <w:rPr>
          <w:rFonts w:asciiTheme="minorEastAsia" w:hAnsiTheme="minorEastAsia" w:cs="Times New Roman" w:hint="eastAsia"/>
          <w:sz w:val="24"/>
          <w:szCs w:val="24"/>
        </w:rPr>
        <w:t>管理有限公司委托代为办理登记业务的机构</w:t>
      </w:r>
    </w:p>
    <w:p w14:paraId="5F41CA8B"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、基金账户：指登记机构为投资人开立的、记录其持有的、基金管理人所</w:t>
      </w:r>
      <w:r>
        <w:rPr>
          <w:rFonts w:asciiTheme="minorEastAsia" w:hAnsiTheme="minorEastAsia" w:cs="Times New Roman" w:hint="eastAsia"/>
          <w:sz w:val="24"/>
          <w:szCs w:val="24"/>
        </w:rPr>
        <w:lastRenderedPageBreak/>
        <w:t>管理的基金份额余额及其变动情况的账户</w:t>
      </w:r>
    </w:p>
    <w:p w14:paraId="7A040FA8"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、基金交易账户：指销售机构为投资人开立的、记录投资人通过该销售机构办理认购、申购、赎回、转换、转托管及定期定额投资等业务而引起基金份额变动及结余情况的账户</w:t>
      </w:r>
    </w:p>
    <w:p w14:paraId="08D9A615"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20C52575"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28</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463ACB53"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5897167A"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、存续期：指基金合同生效至终止之间的不定期期限</w:t>
      </w:r>
    </w:p>
    <w:p w14:paraId="374632AB"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31</w:t>
      </w:r>
      <w:r>
        <w:rPr>
          <w:rFonts w:asciiTheme="minorEastAsia" w:hAnsiTheme="minorEastAsia" w:cs="Times New Roman" w:hint="eastAsia"/>
          <w:sz w:val="24"/>
          <w:szCs w:val="24"/>
        </w:rPr>
        <w:t>、工作日：指上海证券交易所、深圳证券交易所的正常交易日</w:t>
      </w:r>
    </w:p>
    <w:p w14:paraId="1B1296A0"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33293D0F"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proofErr w:type="gramStart"/>
      <w:r>
        <w:rPr>
          <w:rFonts w:asciiTheme="minorEastAsia" w:hAnsiTheme="minorEastAsia" w:cs="Times New Roman" w:hint="eastAsia"/>
          <w:sz w:val="24"/>
          <w:szCs w:val="24"/>
        </w:rPr>
        <w:t>个</w:t>
      </w:r>
      <w:proofErr w:type="gramEnd"/>
      <w:r>
        <w:rPr>
          <w:rFonts w:asciiTheme="minorEastAsia" w:hAnsiTheme="minorEastAsia" w:cs="Times New Roman" w:hint="eastAsia"/>
          <w:sz w:val="24"/>
          <w:szCs w:val="24"/>
        </w:rPr>
        <w:t>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r>
        <w:rPr>
          <w:rFonts w:asciiTheme="minorEastAsia" w:hAnsiTheme="minorEastAsia" w:cs="Times New Roman"/>
          <w:sz w:val="24"/>
          <w:szCs w:val="24"/>
        </w:rPr>
        <w:t>n为自然数</w:t>
      </w:r>
    </w:p>
    <w:p w14:paraId="5018467C"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、开放日：指为投资人办理基金份额申购、赎回或其他业务的工作日</w:t>
      </w:r>
    </w:p>
    <w:p w14:paraId="4E54DB50"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、开放时间：指开放日基金接受申购、赎回或其他交易的时间段</w:t>
      </w:r>
    </w:p>
    <w:p w14:paraId="286E64DB"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2E1FE267"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、认购：指在基金募集期内，投资人根据基金合同和招募说明书的规定申请购买基金份额的行为</w:t>
      </w:r>
    </w:p>
    <w:p w14:paraId="183D4FC7"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、申购：指基金合同生效后，投资人根据基金合同和招募说明书的规定申请购买基金份额的行为</w:t>
      </w:r>
    </w:p>
    <w:p w14:paraId="032A4E47"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0909AA20"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份额的行为</w:t>
      </w:r>
    </w:p>
    <w:p w14:paraId="52D0472C"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lastRenderedPageBreak/>
        <w:t>41</w:t>
      </w:r>
      <w:r>
        <w:rPr>
          <w:rFonts w:asciiTheme="minorEastAsia" w:hAnsiTheme="minorEastAsia" w:cs="Times New Roman" w:hint="eastAsia"/>
          <w:sz w:val="24"/>
          <w:szCs w:val="24"/>
        </w:rPr>
        <w:t>、转托管：指基金份额持有人在本基金的不同销售机构之间实施的变更所持基金份额销售机构的操作</w:t>
      </w:r>
    </w:p>
    <w:p w14:paraId="1B4740A3"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178779B8"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43554CC7"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、元：指人民币元</w:t>
      </w:r>
    </w:p>
    <w:p w14:paraId="3A6F4C54"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5AD00AC8"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、基金资产总值：指基金拥有的各类有价证券、银行存款本息、基金应收款项及其他资产的价值总和</w:t>
      </w:r>
    </w:p>
    <w:p w14:paraId="7A3A7371"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、基金资产净值：指基金资产总值减去基金负债后的价值</w:t>
      </w:r>
    </w:p>
    <w:p w14:paraId="2F6BBF9F"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48</w:t>
      </w:r>
      <w:r>
        <w:rPr>
          <w:rFonts w:asciiTheme="minorEastAsia" w:hAnsiTheme="minorEastAsia" w:cs="Times New Roman" w:hint="eastAsia"/>
          <w:sz w:val="24"/>
          <w:szCs w:val="24"/>
        </w:rPr>
        <w:t>、基金份额净值：指计算日基金资产净值除以计算日基金份额总数</w:t>
      </w:r>
    </w:p>
    <w:p w14:paraId="53A2FD1E"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49</w:t>
      </w:r>
      <w:r>
        <w:rPr>
          <w:rFonts w:asciiTheme="minorEastAsia" w:hAnsiTheme="minorEastAsia" w:cs="Times New Roman" w:hint="eastAsia"/>
          <w:sz w:val="24"/>
          <w:szCs w:val="24"/>
        </w:rPr>
        <w:t>、基金资产估值：指计算评估基金资产和负债的价值，以确定基金资产净值和基金份额净值的过程</w:t>
      </w:r>
    </w:p>
    <w:p w14:paraId="2ED5573E"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50、规定媒介：指符合中国证监会规定条件的用以进行信息披露的全国性报刊（以下简称“规定报刊”）及《信息披露办法》规定的互联网网站（以下简称“规定网站”，包括基金管理人网站、基金托管人网站、中国证监会基金电子披露网站）等媒介</w:t>
      </w:r>
    </w:p>
    <w:p w14:paraId="4980BC37"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51、不可抗力：指基金合同当事人不能预见、不能避免且不能克服的客观事件</w:t>
      </w:r>
    </w:p>
    <w:p w14:paraId="6AC169E3"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52、流动性受限资产：指由于法律法规、监管、合同或操作障碍等原因无法以合理价格予以变现的资产，包括但不限于到期日在10个交易日以上的逆回购与银行定期存款（</w:t>
      </w:r>
      <w:proofErr w:type="gramStart"/>
      <w:r>
        <w:rPr>
          <w:rFonts w:asciiTheme="minorEastAsia" w:hAnsiTheme="minorEastAsia" w:cs="Times New Roman" w:hint="eastAsia"/>
          <w:sz w:val="24"/>
          <w:szCs w:val="24"/>
        </w:rPr>
        <w:t>含协议</w:t>
      </w:r>
      <w:proofErr w:type="gramEnd"/>
      <w:r>
        <w:rPr>
          <w:rFonts w:asciiTheme="minorEastAsia" w:hAnsiTheme="minorEastAsia" w:cs="Times New Roman" w:hint="eastAsia"/>
          <w:sz w:val="24"/>
          <w:szCs w:val="24"/>
        </w:rPr>
        <w:t>约定有条件提前支取的银行存款）、停牌股票、流通受限的新股及非公开发行股票、资产支持证券、因发行人债务违约无法进行转让或交易的债券等</w:t>
      </w:r>
    </w:p>
    <w:p w14:paraId="1908167D"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53、摆动定价机制：指当开放式基金遭遇大额申购赎回时，通过调整基金份额净值的方式，将基金调整投资组合的市场冲击成本分配给实际申购、赎回的投</w:t>
      </w:r>
      <w:r>
        <w:rPr>
          <w:rFonts w:asciiTheme="minorEastAsia" w:hAnsiTheme="minorEastAsia" w:cs="Times New Roman" w:hint="eastAsia"/>
          <w:sz w:val="24"/>
          <w:szCs w:val="24"/>
        </w:rPr>
        <w:lastRenderedPageBreak/>
        <w:t>资者，从而减少对存量基金份额持有人利益的不利影响，确保投资者的合法权益不受损害并得到公平对待</w:t>
      </w:r>
    </w:p>
    <w:p w14:paraId="665377E6"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54、基金份额类别：指根据认购/申购费用、赎回费用、销售服务费用收取方式的不同将本</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份额分为不同的类别，各基金份额类别分别设置代码，并分别计算和公告基金份额净值</w:t>
      </w:r>
    </w:p>
    <w:p w14:paraId="2B2B9F21"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55、A类基金份额：指在投资人认购/申购时收取认购/申购费用但不从本类别基金资产中计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服务费、赎回时根据持有期限收取赎回费用的基金份额类别</w:t>
      </w:r>
    </w:p>
    <w:p w14:paraId="43847008"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56、C类基金份额：指从本类别基金资产中计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服务费而不收取认购</w:t>
      </w:r>
      <w:r>
        <w:rPr>
          <w:rFonts w:asciiTheme="minorEastAsia" w:hAnsiTheme="minorEastAsia" w:cs="Times New Roman"/>
          <w:sz w:val="24"/>
          <w:szCs w:val="24"/>
        </w:rPr>
        <w:t>/申购费用、赎回时根据持有期限收取赎回费用的基金份额类别</w:t>
      </w:r>
    </w:p>
    <w:p w14:paraId="4ACAC1D7"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57、销售服务费：指从基金资产中计提的，用于本基金市场推广、销售以及基金份额持有人服务的费用</w:t>
      </w:r>
    </w:p>
    <w:p w14:paraId="5F7B3443"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58、基金产品资料概要：指《富荣福</w:t>
      </w:r>
      <w:r>
        <w:rPr>
          <w:rFonts w:asciiTheme="minorEastAsia" w:hAnsiTheme="minorEastAsia" w:cs="Times New Roman" w:hint="eastAsia"/>
          <w:sz w:val="24"/>
          <w:szCs w:val="24"/>
        </w:rPr>
        <w:t>银混合型证券投资基金基金产品资料概要》及其更新</w:t>
      </w:r>
    </w:p>
    <w:p w14:paraId="1490E268"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59、</w:t>
      </w:r>
      <w:proofErr w:type="gramStart"/>
      <w:r>
        <w:rPr>
          <w:rFonts w:asciiTheme="minorEastAsia" w:hAnsiTheme="minorEastAsia" w:cs="Times New Roman" w:hint="eastAsia"/>
          <w:sz w:val="24"/>
          <w:szCs w:val="24"/>
        </w:rPr>
        <w:t>侧袋机制</w:t>
      </w:r>
      <w:proofErr w:type="gramEnd"/>
      <w:r>
        <w:rPr>
          <w:rFonts w:asciiTheme="minorEastAsia" w:hAnsiTheme="minorEastAsia" w:cs="Times New Roman" w:hint="eastAsia"/>
          <w:sz w:val="24"/>
          <w:szCs w:val="24"/>
        </w:rPr>
        <w:t>：指将基金投资组合中的特定资产从原有账户分离至一个专门账户进行处置清算，目的在于有效隔离并化解风险，确保投资者得到公平对待，属于流动性风险管理工具。</w:t>
      </w:r>
      <w:proofErr w:type="gramStart"/>
      <w:r>
        <w:rPr>
          <w:rFonts w:asciiTheme="minorEastAsia" w:hAnsiTheme="minorEastAsia" w:cs="Times New Roman" w:hint="eastAsia"/>
          <w:sz w:val="24"/>
          <w:szCs w:val="24"/>
        </w:rPr>
        <w:t>侧袋机制</w:t>
      </w:r>
      <w:proofErr w:type="gramEnd"/>
      <w:r>
        <w:rPr>
          <w:rFonts w:asciiTheme="minorEastAsia" w:hAnsiTheme="minorEastAsia" w:cs="Times New Roman" w:hint="eastAsia"/>
          <w:sz w:val="24"/>
          <w:szCs w:val="24"/>
        </w:rPr>
        <w:t>实施期间，原有账户称为主袋账户，专门账户</w:t>
      </w:r>
      <w:proofErr w:type="gramStart"/>
      <w:r>
        <w:rPr>
          <w:rFonts w:asciiTheme="minorEastAsia" w:hAnsiTheme="minorEastAsia" w:cs="Times New Roman" w:hint="eastAsia"/>
          <w:sz w:val="24"/>
          <w:szCs w:val="24"/>
        </w:rPr>
        <w:t>称为侧袋账户</w:t>
      </w:r>
      <w:proofErr w:type="gramEnd"/>
    </w:p>
    <w:p w14:paraId="154A711F"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60、特定资产：包括：（一）无可参考的活跃市场价格且采用估值技术</w:t>
      </w:r>
      <w:proofErr w:type="gramStart"/>
      <w:r>
        <w:rPr>
          <w:rFonts w:asciiTheme="minorEastAsia" w:hAnsiTheme="minorEastAsia" w:cs="Times New Roman" w:hint="eastAsia"/>
          <w:sz w:val="24"/>
          <w:szCs w:val="24"/>
        </w:rPr>
        <w:t>仍导致</w:t>
      </w:r>
      <w:proofErr w:type="gramEnd"/>
      <w:r>
        <w:rPr>
          <w:rFonts w:asciiTheme="minorEastAsia" w:hAnsiTheme="minorEastAsia" w:cs="Times New Roman" w:hint="eastAsia"/>
          <w:sz w:val="24"/>
          <w:szCs w:val="24"/>
        </w:rPr>
        <w:t>公允价值存在重大不确定性的资产；（二）</w:t>
      </w:r>
      <w:proofErr w:type="gramStart"/>
      <w:r>
        <w:rPr>
          <w:rFonts w:asciiTheme="minorEastAsia" w:hAnsiTheme="minorEastAsia" w:cs="Times New Roman" w:hint="eastAsia"/>
          <w:sz w:val="24"/>
          <w:szCs w:val="24"/>
        </w:rPr>
        <w:t>按摊余成本</w:t>
      </w:r>
      <w:proofErr w:type="gramEnd"/>
      <w:r>
        <w:rPr>
          <w:rFonts w:asciiTheme="minorEastAsia" w:hAnsiTheme="minorEastAsia" w:cs="Times New Roman" w:hint="eastAsia"/>
          <w:sz w:val="24"/>
          <w:szCs w:val="24"/>
        </w:rPr>
        <w:t>计量且计提资产减值</w:t>
      </w:r>
      <w:proofErr w:type="gramStart"/>
      <w:r>
        <w:rPr>
          <w:rFonts w:asciiTheme="minorEastAsia" w:hAnsiTheme="minorEastAsia" w:cs="Times New Roman" w:hint="eastAsia"/>
          <w:sz w:val="24"/>
          <w:szCs w:val="24"/>
        </w:rPr>
        <w:t>准备仍导致</w:t>
      </w:r>
      <w:proofErr w:type="gramEnd"/>
      <w:r>
        <w:rPr>
          <w:rFonts w:asciiTheme="minorEastAsia" w:hAnsiTheme="minorEastAsia" w:cs="Times New Roman" w:hint="eastAsia"/>
          <w:sz w:val="24"/>
          <w:szCs w:val="24"/>
        </w:rPr>
        <w:t>资产价值存在重大不确定性的资产；（三）其他资产价值存在重大不确定性的资产</w:t>
      </w:r>
    </w:p>
    <w:p w14:paraId="63E274B9" w14:textId="77777777" w:rsidR="0069510E" w:rsidRDefault="00000000">
      <w:pPr>
        <w:spacing w:line="360" w:lineRule="auto"/>
        <w:ind w:firstLineChars="200" w:firstLine="480"/>
        <w:rPr>
          <w:b/>
          <w:bCs/>
        </w:rPr>
        <w:sectPr w:rsidR="0069510E">
          <w:headerReference w:type="even" r:id="rId22"/>
          <w:headerReference w:type="default" r:id="rId23"/>
          <w:footerReference w:type="default" r:id="rId24"/>
          <w:headerReference w:type="first" r:id="rId25"/>
          <w:pgSz w:w="11906" w:h="16838"/>
          <w:pgMar w:top="1440" w:right="1800" w:bottom="1440" w:left="1800" w:header="851" w:footer="992" w:gutter="0"/>
          <w:pgNumType w:start="5" w:chapStyle="1"/>
          <w:cols w:space="720"/>
          <w:docGrid w:type="lines" w:linePitch="312"/>
        </w:sectPr>
      </w:pPr>
      <w:r>
        <w:rPr>
          <w:rFonts w:asciiTheme="minorEastAsia" w:hAnsiTheme="minorEastAsia" w:cs="Times New Roman" w:hint="eastAsia"/>
          <w:sz w:val="24"/>
          <w:szCs w:val="24"/>
        </w:rPr>
        <w:t>以上释义中涉及法律法规、业务规则的内容，法律法规、业务规则修订后，如适用本基金，相关内容以修订后法律法规、业务规则为准。</w:t>
      </w:r>
    </w:p>
    <w:p w14:paraId="01A4BB79" w14:textId="77777777" w:rsidR="0069510E" w:rsidRDefault="00000000">
      <w:pPr>
        <w:pStyle w:val="1"/>
        <w:jc w:val="center"/>
        <w:rPr>
          <w:sz w:val="30"/>
          <w:szCs w:val="30"/>
        </w:rPr>
      </w:pPr>
      <w:bookmarkStart w:id="65" w:name="_Toc416264539"/>
      <w:bookmarkStart w:id="66" w:name="_Toc68266290"/>
      <w:bookmarkStart w:id="67" w:name="_Toc263092311"/>
      <w:bookmarkStart w:id="68" w:name="_Toc136963803"/>
      <w:bookmarkStart w:id="69" w:name="_Toc352229749"/>
      <w:bookmarkStart w:id="70" w:name="_Toc410197817"/>
      <w:bookmarkStart w:id="71" w:name="_Toc24682"/>
      <w:bookmarkStart w:id="72" w:name="_Toc27226"/>
      <w:bookmarkStart w:id="73" w:name="_Toc90742321"/>
      <w:bookmarkStart w:id="74" w:name="_Toc29948"/>
      <w:bookmarkStart w:id="75" w:name="_Toc16265"/>
      <w:bookmarkStart w:id="76" w:name="_Toc3266"/>
      <w:bookmarkStart w:id="77" w:name="_Toc90742390"/>
      <w:bookmarkStart w:id="78" w:name="_Toc90742688"/>
      <w:bookmarkStart w:id="79" w:name="_Toc22074"/>
      <w:bookmarkStart w:id="80" w:name="_Toc6714"/>
      <w:bookmarkStart w:id="81" w:name="_Toc29784"/>
      <w:bookmarkStart w:id="82" w:name="_Toc15203"/>
      <w:bookmarkStart w:id="83" w:name="_Toc7151"/>
      <w:bookmarkStart w:id="84" w:name="_Toc27189"/>
      <w:bookmarkEnd w:id="49"/>
      <w:bookmarkEnd w:id="50"/>
      <w:bookmarkEnd w:id="51"/>
      <w:bookmarkEnd w:id="52"/>
      <w:bookmarkEnd w:id="53"/>
      <w:bookmarkEnd w:id="54"/>
      <w:bookmarkEnd w:id="55"/>
      <w:bookmarkEnd w:id="56"/>
      <w:bookmarkEnd w:id="57"/>
      <w:bookmarkEnd w:id="58"/>
      <w:bookmarkEnd w:id="59"/>
      <w:bookmarkEnd w:id="60"/>
      <w:r>
        <w:rPr>
          <w:rFonts w:hint="eastAsia"/>
          <w:sz w:val="30"/>
          <w:szCs w:val="30"/>
        </w:rPr>
        <w:lastRenderedPageBreak/>
        <w:t>第三部分</w:t>
      </w:r>
      <w:r>
        <w:rPr>
          <w:sz w:val="30"/>
          <w:szCs w:val="30"/>
        </w:rPr>
        <w:t xml:space="preserve">  </w:t>
      </w:r>
      <w:r>
        <w:rPr>
          <w:rFonts w:hint="eastAsia"/>
          <w:sz w:val="30"/>
          <w:szCs w:val="30"/>
        </w:rPr>
        <w:t>基金管理人</w:t>
      </w:r>
      <w:bookmarkEnd w:id="65"/>
      <w:bookmarkEnd w:id="66"/>
      <w:bookmarkEnd w:id="67"/>
      <w:bookmarkEnd w:id="68"/>
    </w:p>
    <w:p w14:paraId="27B8B167" w14:textId="77777777" w:rsidR="0069510E" w:rsidRDefault="00000000">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737A88D8" w14:textId="77777777" w:rsidR="0069510E" w:rsidRDefault="00000000">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w:t>
      </w:r>
      <w:proofErr w:type="gramStart"/>
      <w:r>
        <w:rPr>
          <w:rFonts w:asciiTheme="minorEastAsia" w:hAnsiTheme="minorEastAsia" w:cs="Times New Roman" w:hint="eastAsia"/>
          <w:kern w:val="0"/>
          <w:sz w:val="24"/>
          <w:szCs w:val="24"/>
        </w:rPr>
        <w:t>荣基金</w:t>
      </w:r>
      <w:proofErr w:type="gramEnd"/>
      <w:r>
        <w:rPr>
          <w:rFonts w:asciiTheme="minorEastAsia" w:hAnsiTheme="minorEastAsia" w:cs="Times New Roman" w:hint="eastAsia"/>
          <w:kern w:val="0"/>
          <w:sz w:val="24"/>
          <w:szCs w:val="24"/>
        </w:rPr>
        <w:t>管理有限公司</w:t>
      </w:r>
    </w:p>
    <w:p w14:paraId="3EE0B64D" w14:textId="77777777" w:rsidR="0069510E" w:rsidRDefault="00000000">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住所：广东省广州市南沙区横</w:t>
      </w:r>
      <w:proofErr w:type="gramStart"/>
      <w:r>
        <w:rPr>
          <w:rFonts w:asciiTheme="minorEastAsia" w:hAnsiTheme="minorEastAsia" w:cs="Times New Roman" w:hint="eastAsia"/>
          <w:kern w:val="0"/>
          <w:sz w:val="24"/>
          <w:szCs w:val="24"/>
        </w:rPr>
        <w:t>沥</w:t>
      </w:r>
      <w:proofErr w:type="gramEnd"/>
      <w:r>
        <w:rPr>
          <w:rFonts w:asciiTheme="minorEastAsia" w:hAnsiTheme="minorEastAsia" w:cs="Times New Roman" w:hint="eastAsia"/>
          <w:kern w:val="0"/>
          <w:sz w:val="24"/>
          <w:szCs w:val="24"/>
        </w:rPr>
        <w:t>镇汇通二街2号3110房</w:t>
      </w:r>
    </w:p>
    <w:p w14:paraId="4DBE7287" w14:textId="77777777" w:rsidR="0069510E" w:rsidRDefault="00000000">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w:t>
      </w:r>
      <w:r>
        <w:rPr>
          <w:rFonts w:asciiTheme="minorEastAsia" w:hAnsiTheme="minorEastAsia" w:cs="Times New Roman" w:hint="eastAsia"/>
          <w:kern w:val="0"/>
          <w:sz w:val="24"/>
          <w:szCs w:val="24"/>
        </w:rPr>
        <w:t>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kern w:val="0"/>
          <w:sz w:val="24"/>
          <w:szCs w:val="24"/>
        </w:rPr>
        <w:t>24</w:t>
      </w:r>
      <w:r>
        <w:rPr>
          <w:rFonts w:asciiTheme="minorEastAsia" w:hAnsiTheme="minorEastAsia" w:cs="Times New Roman" w:hint="eastAsia"/>
          <w:kern w:val="0"/>
          <w:sz w:val="24"/>
          <w:szCs w:val="24"/>
        </w:rPr>
        <w:t>层</w:t>
      </w:r>
    </w:p>
    <w:p w14:paraId="1E3C749F" w14:textId="77777777" w:rsidR="0069510E" w:rsidRDefault="00000000">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w:t>
      </w:r>
      <w:r>
        <w:rPr>
          <w:rFonts w:ascii="Arial Unicode MS" w:hAnsi="Arial Unicode MS" w:cs="Arial" w:hint="eastAsia"/>
          <w:kern w:val="0"/>
          <w:sz w:val="24"/>
        </w:rPr>
        <w:t>王亦伟</w:t>
      </w:r>
    </w:p>
    <w:p w14:paraId="1052A77F" w14:textId="77777777" w:rsidR="0069510E" w:rsidRDefault="00000000">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w:t>
      </w:r>
      <w:r>
        <w:rPr>
          <w:rFonts w:asciiTheme="minorEastAsia" w:hAnsiTheme="minorEastAsia" w:cs="Times New Roman"/>
          <w:kern w:val="0"/>
          <w:sz w:val="24"/>
          <w:szCs w:val="24"/>
        </w:rPr>
        <w:t>2016年1月25日</w:t>
      </w:r>
    </w:p>
    <w:p w14:paraId="4DF05B4C" w14:textId="77777777" w:rsidR="0069510E" w:rsidRDefault="00000000">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w:t>
      </w:r>
      <w:r>
        <w:rPr>
          <w:rFonts w:asciiTheme="minorEastAsia" w:hAnsiTheme="minorEastAsia" w:cs="Times New Roman"/>
          <w:kern w:val="0"/>
          <w:sz w:val="24"/>
          <w:szCs w:val="24"/>
        </w:rPr>
        <w:t>2亿元人民币</w:t>
      </w:r>
    </w:p>
    <w:p w14:paraId="18EB5A3D" w14:textId="77777777" w:rsidR="0069510E" w:rsidRDefault="00000000">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存续期间：持续经营</w:t>
      </w:r>
    </w:p>
    <w:p w14:paraId="17F191A8" w14:textId="77777777" w:rsidR="0069510E" w:rsidRDefault="00000000">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联系人：罗艳</w:t>
      </w:r>
    </w:p>
    <w:p w14:paraId="296D960D" w14:textId="77777777" w:rsidR="0069510E" w:rsidRDefault="00000000">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w:t>
      </w:r>
      <w:r>
        <w:rPr>
          <w:rFonts w:asciiTheme="minorEastAsia" w:hAnsiTheme="minorEastAsia" w:cs="Times New Roman"/>
          <w:kern w:val="0"/>
          <w:sz w:val="24"/>
          <w:szCs w:val="24"/>
        </w:rPr>
        <w:t>0755）8435 6637</w:t>
      </w:r>
    </w:p>
    <w:p w14:paraId="6C223727" w14:textId="77777777" w:rsidR="0069510E" w:rsidRDefault="00000000">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股权结构：</w:t>
      </w:r>
      <w:r>
        <w:rPr>
          <w:rFonts w:asciiTheme="minorEastAsia" w:hAnsiTheme="minorEastAsia" w:cs="Arial"/>
          <w:kern w:val="0"/>
          <w:sz w:val="24"/>
          <w:szCs w:val="24"/>
        </w:rPr>
        <w:t xml:space="preserve">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69510E" w14:paraId="1B96EBD8"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7AAC97A" w14:textId="77777777" w:rsidR="0069510E" w:rsidRDefault="00000000">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6E004654" w14:textId="77777777" w:rsidR="0069510E" w:rsidRDefault="00000000">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出资比例</w:t>
            </w:r>
          </w:p>
        </w:tc>
      </w:tr>
      <w:tr w:rsidR="0069510E" w14:paraId="06C679C5"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7E28388" w14:textId="77777777" w:rsidR="0069510E" w:rsidRDefault="00000000">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7DCA584" w14:textId="77777777" w:rsidR="0069510E" w:rsidRDefault="00000000">
            <w:pPr>
              <w:spacing w:line="360" w:lineRule="auto"/>
              <w:jc w:val="center"/>
              <w:rPr>
                <w:rFonts w:asciiTheme="minorEastAsia" w:hAnsiTheme="minorEastAsia" w:cs="Arial"/>
                <w:kern w:val="0"/>
                <w:sz w:val="24"/>
                <w:szCs w:val="24"/>
              </w:rPr>
            </w:pPr>
            <w:r>
              <w:rPr>
                <w:rFonts w:asciiTheme="minorEastAsia" w:hAnsiTheme="minorEastAsia" w:cs="Arial"/>
                <w:kern w:val="0"/>
                <w:sz w:val="24"/>
                <w:szCs w:val="24"/>
              </w:rPr>
              <w:t>50%</w:t>
            </w:r>
          </w:p>
        </w:tc>
      </w:tr>
      <w:tr w:rsidR="0069510E" w14:paraId="4E7D0DD7"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73A329E" w14:textId="77777777" w:rsidR="0069510E" w:rsidRDefault="00000000">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5EB485C7" w14:textId="77777777" w:rsidR="0069510E" w:rsidRDefault="00000000">
            <w:pPr>
              <w:spacing w:line="360" w:lineRule="auto"/>
              <w:jc w:val="center"/>
              <w:rPr>
                <w:rFonts w:asciiTheme="minorEastAsia" w:hAnsiTheme="minorEastAsia" w:cs="Arial"/>
                <w:kern w:val="0"/>
                <w:sz w:val="24"/>
                <w:szCs w:val="24"/>
              </w:rPr>
            </w:pPr>
            <w:r>
              <w:rPr>
                <w:rFonts w:asciiTheme="minorEastAsia" w:hAnsiTheme="minorEastAsia" w:cs="Arial"/>
                <w:kern w:val="0"/>
                <w:sz w:val="24"/>
                <w:szCs w:val="24"/>
              </w:rPr>
              <w:t>45.1%</w:t>
            </w:r>
          </w:p>
        </w:tc>
      </w:tr>
      <w:tr w:rsidR="0069510E" w14:paraId="1EE09A7C"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E88D62F" w14:textId="77777777" w:rsidR="0069510E" w:rsidRDefault="00000000">
            <w:pPr>
              <w:spacing w:line="360" w:lineRule="auto"/>
              <w:jc w:val="center"/>
              <w:rPr>
                <w:rFonts w:asciiTheme="minorEastAsia" w:hAnsiTheme="minorEastAsia" w:cs="Arial"/>
                <w:kern w:val="0"/>
                <w:sz w:val="24"/>
                <w:szCs w:val="24"/>
              </w:rPr>
            </w:pPr>
            <w:proofErr w:type="gramStart"/>
            <w:r>
              <w:rPr>
                <w:rFonts w:asciiTheme="minorEastAsia" w:hAnsiTheme="minorEastAsia" w:cs="Arial" w:hint="eastAsia"/>
                <w:kern w:val="0"/>
                <w:sz w:val="24"/>
                <w:szCs w:val="24"/>
              </w:rPr>
              <w:t>湖南省典勤投资</w:t>
            </w:r>
            <w:proofErr w:type="gramEnd"/>
            <w:r>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528DA430" w14:textId="77777777" w:rsidR="0069510E" w:rsidRDefault="00000000">
            <w:pPr>
              <w:spacing w:line="360" w:lineRule="auto"/>
              <w:jc w:val="center"/>
              <w:rPr>
                <w:rFonts w:asciiTheme="minorEastAsia" w:hAnsiTheme="minorEastAsia" w:cs="Arial"/>
                <w:kern w:val="0"/>
                <w:sz w:val="24"/>
                <w:szCs w:val="24"/>
              </w:rPr>
            </w:pPr>
            <w:r>
              <w:rPr>
                <w:rFonts w:asciiTheme="minorEastAsia" w:hAnsiTheme="minorEastAsia" w:cs="Arial"/>
                <w:kern w:val="0"/>
                <w:sz w:val="24"/>
                <w:szCs w:val="24"/>
              </w:rPr>
              <w:t>4.9%</w:t>
            </w:r>
          </w:p>
        </w:tc>
      </w:tr>
    </w:tbl>
    <w:p w14:paraId="299340BE" w14:textId="77777777" w:rsidR="0069510E" w:rsidRDefault="0069510E">
      <w:pPr>
        <w:adjustRightInd w:val="0"/>
        <w:snapToGrid w:val="0"/>
        <w:spacing w:line="360" w:lineRule="auto"/>
        <w:ind w:firstLineChars="200" w:firstLine="480"/>
        <w:rPr>
          <w:rFonts w:asciiTheme="minorEastAsia" w:hAnsiTheme="minorEastAsia" w:cs="Arial"/>
          <w:kern w:val="0"/>
          <w:sz w:val="24"/>
          <w:szCs w:val="24"/>
        </w:rPr>
      </w:pPr>
    </w:p>
    <w:p w14:paraId="11278D9F" w14:textId="77777777" w:rsidR="0069510E" w:rsidRDefault="00000000">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3570C303" w14:textId="77777777" w:rsidR="0069510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1、董事会成员</w:t>
      </w:r>
    </w:p>
    <w:p w14:paraId="41F6110C" w14:textId="0BC6D120" w:rsidR="0069510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w:t>
      </w:r>
      <w:proofErr w:type="gramStart"/>
      <w:r>
        <w:rPr>
          <w:rFonts w:asciiTheme="minorEastAsia" w:hAnsiTheme="minorEastAsia" w:cs="Arial" w:hint="eastAsia"/>
          <w:kern w:val="0"/>
          <w:sz w:val="24"/>
          <w:szCs w:val="24"/>
        </w:rPr>
        <w:t>投</w:t>
      </w:r>
      <w:proofErr w:type="gramEnd"/>
      <w:r>
        <w:rPr>
          <w:rFonts w:asciiTheme="minorEastAsia" w:hAnsiTheme="minorEastAsia" w:cs="Arial" w:hint="eastAsia"/>
          <w:kern w:val="0"/>
          <w:sz w:val="24"/>
          <w:szCs w:val="24"/>
        </w:rPr>
        <w:t>投资有限公司总经理、党支部书记、董事、董事长，广州新中轴建设有限公司财务总监、董事长、法人代表。现任广州产业投资基金管理有限公司党委书记、董事长、法定代表人，广州城</w:t>
      </w:r>
      <w:proofErr w:type="gramStart"/>
      <w:r>
        <w:rPr>
          <w:rFonts w:asciiTheme="minorEastAsia" w:hAnsiTheme="minorEastAsia" w:cs="Arial" w:hint="eastAsia"/>
          <w:kern w:val="0"/>
          <w:sz w:val="24"/>
          <w:szCs w:val="24"/>
        </w:rPr>
        <w:t>恒</w:t>
      </w:r>
      <w:proofErr w:type="gramEnd"/>
      <w:r>
        <w:rPr>
          <w:rFonts w:asciiTheme="minorEastAsia" w:hAnsiTheme="minorEastAsia" w:cs="Arial" w:hint="eastAsia"/>
          <w:kern w:val="0"/>
          <w:sz w:val="24"/>
          <w:szCs w:val="24"/>
        </w:rPr>
        <w:t>城市更新投资有限公司董事长、法定代表人，广州市城</w:t>
      </w:r>
      <w:proofErr w:type="gramStart"/>
      <w:r>
        <w:rPr>
          <w:rFonts w:asciiTheme="minorEastAsia" w:hAnsiTheme="minorEastAsia" w:cs="Arial" w:hint="eastAsia"/>
          <w:kern w:val="0"/>
          <w:sz w:val="24"/>
          <w:szCs w:val="24"/>
        </w:rPr>
        <w:t>投</w:t>
      </w:r>
      <w:proofErr w:type="gramEnd"/>
      <w:r>
        <w:rPr>
          <w:rFonts w:asciiTheme="minorEastAsia" w:hAnsiTheme="minorEastAsia" w:cs="Arial" w:hint="eastAsia"/>
          <w:kern w:val="0"/>
          <w:sz w:val="24"/>
          <w:szCs w:val="24"/>
        </w:rPr>
        <w:t>投资有限公司董事，富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管理有限公司董事长、法定代表人。</w:t>
      </w:r>
    </w:p>
    <w:p w14:paraId="17F8D3BA" w14:textId="65517AB6" w:rsidR="0069510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杨小舟先生，董事，大连理工大学硕士研究生。历任交通银行沈阳分行国际部国际结算员、信贷科科长、中信银行沈阳皇姑支行副行长、广发银行南湖支行</w:t>
      </w:r>
      <w:r>
        <w:rPr>
          <w:rFonts w:asciiTheme="minorEastAsia" w:hAnsiTheme="minorEastAsia" w:cs="Arial" w:hint="eastAsia"/>
          <w:kern w:val="0"/>
          <w:sz w:val="24"/>
          <w:szCs w:val="24"/>
        </w:rPr>
        <w:lastRenderedPageBreak/>
        <w:t>行长、广发银行沈阳直属支行行长助理、副行长、行长兼党委书记、广发银行沈阳分行行长兼党委书记、广发银行深圳分行行长兼党委书记、富荣基金管理有限公司董事长。现任富荣基金管理公司总经理、首席信息官。</w:t>
      </w:r>
    </w:p>
    <w:p w14:paraId="3FDF3C4B" w14:textId="77777777" w:rsidR="0069510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赵宏伟先生，董事，对外经济贸易大学硕士。历任北京大成律师事务所证券律师、当代北方（北京）投资有限公司总裁、黑龙江北美工业大麻科技有限公司总裁，广州产业投资基金管理有限公司风险管理部总经理、法</w:t>
      </w:r>
      <w:proofErr w:type="gramStart"/>
      <w:r>
        <w:rPr>
          <w:rFonts w:asciiTheme="minorEastAsia" w:hAnsiTheme="minorEastAsia" w:cs="Arial" w:hint="eastAsia"/>
          <w:kern w:val="0"/>
          <w:sz w:val="24"/>
          <w:szCs w:val="24"/>
        </w:rPr>
        <w:t>务风控部</w:t>
      </w:r>
      <w:proofErr w:type="gramEnd"/>
      <w:r>
        <w:rPr>
          <w:rFonts w:asciiTheme="minorEastAsia" w:hAnsiTheme="minorEastAsia" w:cs="Arial" w:hint="eastAsia"/>
          <w:kern w:val="0"/>
          <w:sz w:val="24"/>
          <w:szCs w:val="24"/>
        </w:rPr>
        <w:t>总经理。现任广州产业投资基金管理有限公司投资管理部总经理，广州基金国际股权投资基金管理有限公司党支部副书记、总经理，富荣基金管理有限公司董事。</w:t>
      </w:r>
    </w:p>
    <w:p w14:paraId="7218EC26" w14:textId="77777777" w:rsidR="0069510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郭涛先生，董事，上海交通大学高级管理人员工商管理专业硕士。现任</w:t>
      </w:r>
      <w:proofErr w:type="gramStart"/>
      <w:r>
        <w:rPr>
          <w:rFonts w:asciiTheme="minorEastAsia" w:hAnsiTheme="minorEastAsia" w:cs="Arial" w:hint="eastAsia"/>
          <w:kern w:val="0"/>
          <w:sz w:val="24"/>
          <w:szCs w:val="24"/>
        </w:rPr>
        <w:t>深圳市亿尔德</w:t>
      </w:r>
      <w:proofErr w:type="gramEnd"/>
      <w:r>
        <w:rPr>
          <w:rFonts w:asciiTheme="minorEastAsia" w:hAnsiTheme="minorEastAsia" w:cs="Arial" w:hint="eastAsia"/>
          <w:kern w:val="0"/>
          <w:sz w:val="24"/>
          <w:szCs w:val="24"/>
        </w:rPr>
        <w:t>投资有限公司总经理、执行董事，</w:t>
      </w:r>
      <w:proofErr w:type="gramStart"/>
      <w:r>
        <w:rPr>
          <w:rFonts w:asciiTheme="minorEastAsia" w:hAnsiTheme="minorEastAsia" w:cs="Arial" w:hint="eastAsia"/>
          <w:kern w:val="0"/>
          <w:sz w:val="24"/>
          <w:szCs w:val="24"/>
        </w:rPr>
        <w:t>微愿数智</w:t>
      </w:r>
      <w:proofErr w:type="gramEnd"/>
      <w:r>
        <w:rPr>
          <w:rFonts w:asciiTheme="minorEastAsia" w:hAnsiTheme="minorEastAsia" w:cs="Arial" w:hint="eastAsia"/>
          <w:kern w:val="0"/>
          <w:sz w:val="24"/>
          <w:szCs w:val="24"/>
        </w:rPr>
        <w:t>（深圳）健康科技有限公司总经理、执行董事，</w:t>
      </w:r>
      <w:proofErr w:type="gramStart"/>
      <w:r>
        <w:rPr>
          <w:rFonts w:asciiTheme="minorEastAsia" w:hAnsiTheme="minorEastAsia" w:cs="Arial" w:hint="eastAsia"/>
          <w:kern w:val="0"/>
          <w:sz w:val="24"/>
          <w:szCs w:val="24"/>
        </w:rPr>
        <w:t>深圳市盈投荣达</w:t>
      </w:r>
      <w:proofErr w:type="gramEnd"/>
      <w:r>
        <w:rPr>
          <w:rFonts w:asciiTheme="minorEastAsia" w:hAnsiTheme="minorEastAsia" w:cs="Arial" w:hint="eastAsia"/>
          <w:kern w:val="0"/>
          <w:sz w:val="24"/>
          <w:szCs w:val="24"/>
        </w:rPr>
        <w:t>科技有限公司董事长、总经理，深圳市嘉年印</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有限公司董事长，深圳市盈实发展有限公司董事长，深圳市</w:t>
      </w:r>
      <w:proofErr w:type="gramStart"/>
      <w:r>
        <w:rPr>
          <w:rFonts w:asciiTheme="minorEastAsia" w:hAnsiTheme="minorEastAsia" w:cs="Arial" w:hint="eastAsia"/>
          <w:kern w:val="0"/>
          <w:sz w:val="24"/>
          <w:szCs w:val="24"/>
        </w:rPr>
        <w:t>盈致未来文创管理</w:t>
      </w:r>
      <w:proofErr w:type="gramEnd"/>
      <w:r>
        <w:rPr>
          <w:rFonts w:asciiTheme="minorEastAsia" w:hAnsiTheme="minorEastAsia" w:cs="Arial" w:hint="eastAsia"/>
          <w:kern w:val="0"/>
          <w:sz w:val="24"/>
          <w:szCs w:val="24"/>
        </w:rPr>
        <w:t>有限公司董事长，深圳市益德置业有限公司总经理、董事，</w:t>
      </w:r>
      <w:proofErr w:type="gramStart"/>
      <w:r>
        <w:rPr>
          <w:rFonts w:asciiTheme="minorEastAsia" w:hAnsiTheme="minorEastAsia" w:cs="Arial" w:hint="eastAsia"/>
          <w:kern w:val="0"/>
          <w:sz w:val="24"/>
          <w:szCs w:val="24"/>
        </w:rPr>
        <w:t>盈投控股</w:t>
      </w:r>
      <w:proofErr w:type="gramEnd"/>
      <w:r>
        <w:rPr>
          <w:rFonts w:asciiTheme="minorEastAsia" w:hAnsiTheme="minorEastAsia" w:cs="Arial" w:hint="eastAsia"/>
          <w:kern w:val="0"/>
          <w:sz w:val="24"/>
          <w:szCs w:val="24"/>
        </w:rPr>
        <w:t>有限公司总经理、董事，深圳市铭嘉达信息咨询有限公司董事，深圳市理得文化发展有限公司董事，乐百氏（广东）饮用水有限公司董事，深圳安吉尔饮水产业集团有限公司董事，</w:t>
      </w:r>
      <w:proofErr w:type="gramStart"/>
      <w:r>
        <w:rPr>
          <w:rFonts w:asciiTheme="minorEastAsia" w:hAnsiTheme="minorEastAsia" w:cs="Arial" w:hint="eastAsia"/>
          <w:kern w:val="0"/>
          <w:sz w:val="24"/>
          <w:szCs w:val="24"/>
        </w:rPr>
        <w:t>昊</w:t>
      </w:r>
      <w:proofErr w:type="gramEnd"/>
      <w:r>
        <w:rPr>
          <w:rFonts w:asciiTheme="minorEastAsia" w:hAnsiTheme="minorEastAsia" w:cs="Arial" w:hint="eastAsia"/>
          <w:kern w:val="0"/>
          <w:sz w:val="24"/>
          <w:szCs w:val="24"/>
        </w:rPr>
        <w:t>华化工科技集团股份有限公司董事，深圳嘉年实业股份有限公司董事；深圳市</w:t>
      </w:r>
      <w:proofErr w:type="gramStart"/>
      <w:r>
        <w:rPr>
          <w:rFonts w:asciiTheme="minorEastAsia" w:hAnsiTheme="minorEastAsia" w:cs="Arial" w:hint="eastAsia"/>
          <w:kern w:val="0"/>
          <w:sz w:val="24"/>
          <w:szCs w:val="24"/>
        </w:rPr>
        <w:t>盈投发展</w:t>
      </w:r>
      <w:proofErr w:type="gramEnd"/>
      <w:r>
        <w:rPr>
          <w:rFonts w:asciiTheme="minorEastAsia" w:hAnsiTheme="minorEastAsia" w:cs="Arial" w:hint="eastAsia"/>
          <w:kern w:val="0"/>
          <w:sz w:val="24"/>
          <w:szCs w:val="24"/>
        </w:rPr>
        <w:t>有限公司董事，绍兴安吉尔环境科技有限公司董事，深圳市银珠塑料制品有限公司董事，深圳安吉尔服务营销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津沪深生物医药科技有限公司董事，深圳上合高金投资管理有限公司监事，富荣基金管理有限公司董事。</w:t>
      </w:r>
    </w:p>
    <w:p w14:paraId="4449A36F" w14:textId="77777777" w:rsidR="0069510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余</w:t>
      </w:r>
      <w:proofErr w:type="gramStart"/>
      <w:r>
        <w:rPr>
          <w:rFonts w:asciiTheme="minorEastAsia" w:hAnsiTheme="minorEastAsia" w:cs="Arial" w:hint="eastAsia"/>
          <w:kern w:val="0"/>
          <w:sz w:val="24"/>
          <w:szCs w:val="24"/>
        </w:rPr>
        <w:t>关健</w:t>
      </w:r>
      <w:proofErr w:type="gramEnd"/>
      <w:r>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Pr>
          <w:rFonts w:asciiTheme="minorEastAsia" w:hAnsiTheme="minorEastAsia" w:cs="Arial" w:hint="eastAsia"/>
          <w:kern w:val="0"/>
          <w:sz w:val="24"/>
          <w:szCs w:val="24"/>
        </w:rPr>
        <w:t>邦</w:t>
      </w:r>
      <w:proofErr w:type="gramEnd"/>
      <w:r>
        <w:rPr>
          <w:rFonts w:asciiTheme="minorEastAsia" w:hAnsiTheme="minorEastAsia" w:cs="Arial" w:hint="eastAsia"/>
          <w:kern w:val="0"/>
          <w:sz w:val="24"/>
          <w:szCs w:val="24"/>
        </w:rPr>
        <w:t>信资产管理公司董事总经理、对外贸易集团股份有限公司董事长、东方资产管理公司办事处总经理、东银实业（深圳）有限公司董事、深圳金田股份有限公司独立董事、申科滑动轴承股份有限公司独立董事。现任富荣基金管理有限公司独立董事。</w:t>
      </w:r>
    </w:p>
    <w:p w14:paraId="6FC04840" w14:textId="77777777" w:rsidR="0069510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刘宝瑞先生，独立董事，历任中国人民银行宝坻支行会计、中国农业银行天</w:t>
      </w:r>
      <w:r>
        <w:rPr>
          <w:rFonts w:asciiTheme="minorEastAsia" w:hAnsiTheme="minorEastAsia" w:cs="Arial" w:hint="eastAsia"/>
          <w:kern w:val="0"/>
          <w:sz w:val="24"/>
          <w:szCs w:val="24"/>
        </w:rPr>
        <w:lastRenderedPageBreak/>
        <w:t>津分行人力资源部副处长、中国农业银行天津分行国际业务部副总经理、总经理、中国农业银行天津分行资金计划处处长、深圳发展银行总行行长助理、副行长、党委委员、中国金融国际投资有限公司执行董事，现任深圳第一金融服务有限公司董事长、湖南银行独立董事、天津银行监事、富荣基金管理有限公司独立董事。</w:t>
      </w:r>
    </w:p>
    <w:p w14:paraId="37DD96E3" w14:textId="32239021" w:rsidR="0069510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张刚先生，独立董事，内蒙古大学民</w:t>
      </w:r>
      <w:proofErr w:type="gramStart"/>
      <w:r>
        <w:rPr>
          <w:rFonts w:asciiTheme="minorEastAsia" w:hAnsiTheme="minorEastAsia" w:cs="Arial" w:hint="eastAsia"/>
          <w:kern w:val="0"/>
          <w:sz w:val="24"/>
          <w:szCs w:val="24"/>
        </w:rPr>
        <w:t>商法学</w:t>
      </w:r>
      <w:proofErr w:type="gramEnd"/>
      <w:r>
        <w:rPr>
          <w:rFonts w:asciiTheme="minorEastAsia" w:hAnsiTheme="minorEastAsia" w:cs="Arial" w:hint="eastAsia"/>
          <w:kern w:val="0"/>
          <w:sz w:val="24"/>
          <w:szCs w:val="24"/>
        </w:rPr>
        <w:t>硕士研究生。曾任内蒙古大学教师、北京王玉梅律师事务所律师、北京建元律师事务所合伙人、宁夏中银绒业股份有限公司独立董事。现任北京大成律师事务所高级合伙人、富荣基金管理有限公司独立董事。</w:t>
      </w:r>
    </w:p>
    <w:p w14:paraId="4AF262D3" w14:textId="77777777" w:rsidR="0069510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2、监事会成员</w:t>
      </w:r>
    </w:p>
    <w:p w14:paraId="4FC602C1" w14:textId="77777777" w:rsidR="0069510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7A64989A" w14:textId="77777777" w:rsidR="0069510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冯晓霖女士，监事，硕士。</w:t>
      </w:r>
      <w:bookmarkStart w:id="85" w:name="_Hlk155769278"/>
      <w:r>
        <w:rPr>
          <w:rFonts w:asciiTheme="minorEastAsia" w:hAnsiTheme="minorEastAsia" w:cs="Arial" w:hint="eastAsia"/>
          <w:kern w:val="0"/>
          <w:sz w:val="24"/>
          <w:szCs w:val="24"/>
        </w:rPr>
        <w:t>曾任深圳市嘉</w:t>
      </w:r>
      <w:proofErr w:type="gramStart"/>
      <w:r>
        <w:rPr>
          <w:rFonts w:asciiTheme="minorEastAsia" w:hAnsiTheme="minorEastAsia" w:cs="Arial" w:hint="eastAsia"/>
          <w:kern w:val="0"/>
          <w:sz w:val="24"/>
          <w:szCs w:val="24"/>
        </w:rPr>
        <w:t>霖</w:t>
      </w:r>
      <w:proofErr w:type="gramEnd"/>
      <w:r>
        <w:rPr>
          <w:rFonts w:asciiTheme="minorEastAsia" w:hAnsiTheme="minorEastAsia" w:cs="Arial" w:hint="eastAsia"/>
          <w:kern w:val="0"/>
          <w:sz w:val="24"/>
          <w:szCs w:val="24"/>
        </w:rPr>
        <w:t>置业集团有限公司法</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w:t>
      </w:r>
      <w:proofErr w:type="gramStart"/>
      <w:r>
        <w:rPr>
          <w:rFonts w:asciiTheme="minorEastAsia" w:hAnsiTheme="minorEastAsia" w:cs="Arial" w:hint="eastAsia"/>
          <w:kern w:val="0"/>
          <w:sz w:val="24"/>
          <w:szCs w:val="24"/>
        </w:rPr>
        <w:t>现任盈投控股</w:t>
      </w:r>
      <w:proofErr w:type="gramEnd"/>
      <w:r>
        <w:rPr>
          <w:rFonts w:asciiTheme="minorEastAsia" w:hAnsiTheme="minorEastAsia" w:cs="Arial" w:hint="eastAsia"/>
          <w:kern w:val="0"/>
          <w:sz w:val="24"/>
          <w:szCs w:val="24"/>
        </w:rPr>
        <w:t>有限公司法</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主管、富荣基金管理有限公司监事。</w:t>
      </w:r>
      <w:bookmarkEnd w:id="85"/>
    </w:p>
    <w:p w14:paraId="003F3AC5" w14:textId="77777777" w:rsidR="0069510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魏丽红女士，职工监事，大专。现任富荣基金管理有限公司职工监事。</w:t>
      </w:r>
    </w:p>
    <w:p w14:paraId="14BE3D8F" w14:textId="77777777" w:rsidR="0069510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3、高级管理人员</w:t>
      </w:r>
    </w:p>
    <w:p w14:paraId="4757318F" w14:textId="226EF7CC" w:rsidR="0069510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杨小舟先生，总经理、兼任首席信息官，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富荣基金管理有限公司董事长。现任富荣基金管理有限公司总经理、首席信息官。</w:t>
      </w:r>
    </w:p>
    <w:p w14:paraId="77151589" w14:textId="77777777" w:rsidR="0069510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史克新先生，副总经理，EMBA硕士。历任珠海会计师事务所注册会计师，君安证券有限公司审计师，北大方正投资有限公司副总经理，兴安证券东莞营业部总经理，深圳丽晶生物技术有限公司董事长，金元证券股份有限公司副监事长、审计部总经理，金元顺</w:t>
      </w:r>
      <w:proofErr w:type="gramStart"/>
      <w:r>
        <w:rPr>
          <w:rFonts w:asciiTheme="minorEastAsia" w:hAnsiTheme="minorEastAsia" w:cs="Arial" w:hint="eastAsia"/>
          <w:kern w:val="0"/>
          <w:sz w:val="24"/>
          <w:szCs w:val="24"/>
        </w:rPr>
        <w:t>安基金</w:t>
      </w:r>
      <w:proofErr w:type="gramEnd"/>
      <w:r>
        <w:rPr>
          <w:rFonts w:asciiTheme="minorEastAsia" w:hAnsiTheme="minorEastAsia" w:cs="Arial" w:hint="eastAsia"/>
          <w:kern w:val="0"/>
          <w:sz w:val="24"/>
          <w:szCs w:val="24"/>
        </w:rPr>
        <w:t>管理有限公司董事，金元证券股份有限公司经纪管理总部总经理，金元证券股份有限公司深圳分公司总经理，金元证券股份有限公司互联网创新专项办公室总经理等。现任富荣基金管理有限公司副总经理。</w:t>
      </w:r>
    </w:p>
    <w:p w14:paraId="29312462" w14:textId="162501A3" w:rsidR="0069510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5D4D95A6" w14:textId="77777777" w:rsidR="0069510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4、本</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w:t>
      </w:r>
    </w:p>
    <w:p w14:paraId="0472D72D" w14:textId="77777777" w:rsidR="0069510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lastRenderedPageBreak/>
        <w:t>李天翔先生，</w:t>
      </w:r>
      <w:r>
        <w:rPr>
          <w:rFonts w:asciiTheme="minorEastAsia" w:hAnsiTheme="minorEastAsia" w:cs="Arial"/>
          <w:kern w:val="0"/>
          <w:sz w:val="24"/>
          <w:szCs w:val="24"/>
        </w:rPr>
        <w:t>2017</w:t>
      </w:r>
      <w:r>
        <w:rPr>
          <w:rFonts w:asciiTheme="minorEastAsia" w:hAnsiTheme="minorEastAsia" w:cs="Arial" w:hint="eastAsia"/>
          <w:kern w:val="0"/>
          <w:sz w:val="24"/>
          <w:szCs w:val="24"/>
        </w:rPr>
        <w:t>年</w:t>
      </w:r>
      <w:r>
        <w:rPr>
          <w:rFonts w:asciiTheme="minorEastAsia" w:hAnsiTheme="minorEastAsia" w:cs="Arial"/>
          <w:kern w:val="0"/>
          <w:sz w:val="24"/>
          <w:szCs w:val="24"/>
        </w:rPr>
        <w:t>7</w:t>
      </w:r>
      <w:r>
        <w:rPr>
          <w:rFonts w:asciiTheme="minorEastAsia" w:hAnsiTheme="minorEastAsia" w:cs="Arial" w:hint="eastAsia"/>
          <w:kern w:val="0"/>
          <w:sz w:val="24"/>
          <w:szCs w:val="24"/>
        </w:rPr>
        <w:t>月至</w:t>
      </w:r>
      <w:r>
        <w:rPr>
          <w:rFonts w:asciiTheme="minorEastAsia" w:hAnsiTheme="minorEastAsia" w:cs="Arial"/>
          <w:kern w:val="0"/>
          <w:sz w:val="24"/>
          <w:szCs w:val="24"/>
        </w:rPr>
        <w:t>2019</w:t>
      </w:r>
      <w:r>
        <w:rPr>
          <w:rFonts w:asciiTheme="minorEastAsia" w:hAnsiTheme="minorEastAsia" w:cs="Arial" w:hint="eastAsia"/>
          <w:kern w:val="0"/>
          <w:sz w:val="24"/>
          <w:szCs w:val="24"/>
        </w:rPr>
        <w:t>年</w:t>
      </w:r>
      <w:r>
        <w:rPr>
          <w:rFonts w:asciiTheme="minorEastAsia" w:hAnsiTheme="minorEastAsia" w:cs="Arial"/>
          <w:kern w:val="0"/>
          <w:sz w:val="24"/>
          <w:szCs w:val="24"/>
        </w:rPr>
        <w:t>4</w:t>
      </w:r>
      <w:r>
        <w:rPr>
          <w:rFonts w:asciiTheme="minorEastAsia" w:hAnsiTheme="minorEastAsia" w:cs="Arial" w:hint="eastAsia"/>
          <w:kern w:val="0"/>
          <w:sz w:val="24"/>
          <w:szCs w:val="24"/>
        </w:rPr>
        <w:t>月，就职于</w:t>
      </w:r>
      <w:proofErr w:type="gramStart"/>
      <w:r>
        <w:rPr>
          <w:rFonts w:asciiTheme="minorEastAsia" w:hAnsiTheme="minorEastAsia" w:cs="Arial" w:hint="eastAsia"/>
          <w:kern w:val="0"/>
          <w:sz w:val="24"/>
          <w:szCs w:val="24"/>
        </w:rPr>
        <w:t>中融基金</w:t>
      </w:r>
      <w:proofErr w:type="gramEnd"/>
      <w:r>
        <w:rPr>
          <w:rFonts w:asciiTheme="minorEastAsia" w:hAnsiTheme="minorEastAsia" w:cs="Arial" w:hint="eastAsia"/>
          <w:kern w:val="0"/>
          <w:sz w:val="24"/>
          <w:szCs w:val="24"/>
        </w:rPr>
        <w:t>管理有限公司，任周期行业研究员。</w:t>
      </w:r>
      <w:r>
        <w:rPr>
          <w:rFonts w:asciiTheme="minorEastAsia" w:hAnsiTheme="minorEastAsia" w:cs="Arial"/>
          <w:kern w:val="0"/>
          <w:sz w:val="24"/>
          <w:szCs w:val="24"/>
        </w:rPr>
        <w:t>2020</w:t>
      </w:r>
      <w:r>
        <w:rPr>
          <w:rFonts w:asciiTheme="minorEastAsia" w:hAnsiTheme="minorEastAsia" w:cs="Arial" w:hint="eastAsia"/>
          <w:kern w:val="0"/>
          <w:sz w:val="24"/>
          <w:szCs w:val="24"/>
        </w:rPr>
        <w:t>年</w:t>
      </w:r>
      <w:r>
        <w:rPr>
          <w:rFonts w:asciiTheme="minorEastAsia" w:hAnsiTheme="minorEastAsia" w:cs="Arial"/>
          <w:kern w:val="0"/>
          <w:sz w:val="24"/>
          <w:szCs w:val="24"/>
        </w:rPr>
        <w:t>9</w:t>
      </w:r>
      <w:r>
        <w:rPr>
          <w:rFonts w:asciiTheme="minorEastAsia" w:hAnsiTheme="minorEastAsia" w:cs="Arial" w:hint="eastAsia"/>
          <w:kern w:val="0"/>
          <w:sz w:val="24"/>
          <w:szCs w:val="24"/>
        </w:rPr>
        <w:t>月加入富荣基金，历任富荣基金管理有限公司研究部周期行业和医药行业研究员，现任富荣中证</w:t>
      </w:r>
      <w:r>
        <w:rPr>
          <w:rFonts w:asciiTheme="minorEastAsia" w:hAnsiTheme="minorEastAsia" w:cs="Arial"/>
          <w:kern w:val="0"/>
          <w:sz w:val="24"/>
          <w:szCs w:val="24"/>
        </w:rPr>
        <w:t>500</w:t>
      </w:r>
      <w:r>
        <w:rPr>
          <w:rFonts w:asciiTheme="minorEastAsia" w:hAnsiTheme="minorEastAsia" w:cs="Arial" w:hint="eastAsia"/>
          <w:kern w:val="0"/>
          <w:sz w:val="24"/>
          <w:szCs w:val="24"/>
        </w:rPr>
        <w:t>指数增强型证券投资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w:t>
      </w:r>
      <w:r>
        <w:rPr>
          <w:rFonts w:asciiTheme="minorEastAsia" w:hAnsiTheme="minorEastAsia" w:cs="Arial"/>
          <w:kern w:val="0"/>
          <w:sz w:val="24"/>
          <w:szCs w:val="24"/>
        </w:rPr>
        <w:t>2022</w:t>
      </w:r>
      <w:r>
        <w:rPr>
          <w:rFonts w:asciiTheme="minorEastAsia" w:hAnsiTheme="minorEastAsia" w:cs="Arial" w:hint="eastAsia"/>
          <w:kern w:val="0"/>
          <w:sz w:val="24"/>
          <w:szCs w:val="24"/>
        </w:rPr>
        <w:t>年</w:t>
      </w:r>
      <w:r>
        <w:rPr>
          <w:rFonts w:asciiTheme="minorEastAsia" w:hAnsiTheme="minorEastAsia" w:cs="Arial"/>
          <w:kern w:val="0"/>
          <w:sz w:val="24"/>
          <w:szCs w:val="24"/>
        </w:rPr>
        <w:t>8</w:t>
      </w:r>
      <w:r>
        <w:rPr>
          <w:rFonts w:asciiTheme="minorEastAsia" w:hAnsiTheme="minorEastAsia" w:cs="Arial" w:hint="eastAsia"/>
          <w:kern w:val="0"/>
          <w:sz w:val="24"/>
          <w:szCs w:val="24"/>
        </w:rPr>
        <w:t>月</w:t>
      </w:r>
      <w:r>
        <w:rPr>
          <w:rFonts w:asciiTheme="minorEastAsia" w:hAnsiTheme="minorEastAsia" w:cs="Arial"/>
          <w:kern w:val="0"/>
          <w:sz w:val="24"/>
          <w:szCs w:val="24"/>
        </w:rPr>
        <w:t>18</w:t>
      </w:r>
      <w:r>
        <w:rPr>
          <w:rFonts w:asciiTheme="minorEastAsia" w:hAnsiTheme="minorEastAsia" w:cs="Arial" w:hint="eastAsia"/>
          <w:kern w:val="0"/>
          <w:sz w:val="24"/>
          <w:szCs w:val="24"/>
        </w:rPr>
        <w:t>日起任职）、富荣福康混合型证券投资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w:t>
      </w:r>
      <w:r>
        <w:rPr>
          <w:rFonts w:asciiTheme="minorEastAsia" w:hAnsiTheme="minorEastAsia" w:cs="Arial"/>
          <w:kern w:val="0"/>
          <w:sz w:val="24"/>
          <w:szCs w:val="24"/>
        </w:rPr>
        <w:t>2023</w:t>
      </w:r>
      <w:r>
        <w:rPr>
          <w:rFonts w:asciiTheme="minorEastAsia" w:hAnsiTheme="minorEastAsia" w:cs="Arial" w:hint="eastAsia"/>
          <w:kern w:val="0"/>
          <w:sz w:val="24"/>
          <w:szCs w:val="24"/>
        </w:rPr>
        <w:t>年</w:t>
      </w:r>
      <w:r>
        <w:rPr>
          <w:rFonts w:asciiTheme="minorEastAsia" w:hAnsiTheme="minorEastAsia" w:cs="Arial"/>
          <w:kern w:val="0"/>
          <w:sz w:val="24"/>
          <w:szCs w:val="24"/>
        </w:rPr>
        <w:t>3</w:t>
      </w:r>
      <w:r>
        <w:rPr>
          <w:rFonts w:asciiTheme="minorEastAsia" w:hAnsiTheme="minorEastAsia" w:cs="Arial" w:hint="eastAsia"/>
          <w:kern w:val="0"/>
          <w:sz w:val="24"/>
          <w:szCs w:val="24"/>
        </w:rPr>
        <w:t>月</w:t>
      </w:r>
      <w:r>
        <w:rPr>
          <w:rFonts w:asciiTheme="minorEastAsia" w:hAnsiTheme="minorEastAsia" w:cs="Arial"/>
          <w:kern w:val="0"/>
          <w:sz w:val="24"/>
          <w:szCs w:val="24"/>
        </w:rPr>
        <w:t>8</w:t>
      </w:r>
      <w:r>
        <w:rPr>
          <w:rFonts w:asciiTheme="minorEastAsia" w:hAnsiTheme="minorEastAsia" w:cs="Arial" w:hint="eastAsia"/>
          <w:kern w:val="0"/>
          <w:sz w:val="24"/>
          <w:szCs w:val="24"/>
        </w:rPr>
        <w:t>日任职）、</w:t>
      </w:r>
      <w:proofErr w:type="gramStart"/>
      <w:r>
        <w:rPr>
          <w:rFonts w:asciiTheme="minorEastAsia" w:hAnsiTheme="minorEastAsia" w:cs="Arial" w:hint="eastAsia"/>
          <w:kern w:val="0"/>
          <w:sz w:val="24"/>
          <w:szCs w:val="24"/>
        </w:rPr>
        <w:t>富荣福银混合型</w:t>
      </w:r>
      <w:proofErr w:type="gramEnd"/>
      <w:r>
        <w:rPr>
          <w:rFonts w:asciiTheme="minorEastAsia" w:hAnsiTheme="minorEastAsia" w:cs="Arial" w:hint="eastAsia"/>
          <w:kern w:val="0"/>
          <w:sz w:val="24"/>
          <w:szCs w:val="24"/>
        </w:rPr>
        <w:t>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w:t>
      </w:r>
      <w:r>
        <w:rPr>
          <w:rFonts w:asciiTheme="minorEastAsia" w:hAnsiTheme="minorEastAsia" w:cs="Arial"/>
          <w:kern w:val="0"/>
          <w:sz w:val="24"/>
          <w:szCs w:val="24"/>
        </w:rPr>
        <w:t>2024</w:t>
      </w:r>
      <w:r>
        <w:rPr>
          <w:rFonts w:asciiTheme="minorEastAsia" w:hAnsiTheme="minorEastAsia" w:cs="Arial" w:hint="eastAsia"/>
          <w:kern w:val="0"/>
          <w:sz w:val="24"/>
          <w:szCs w:val="24"/>
        </w:rPr>
        <w:t>年</w:t>
      </w:r>
      <w:r>
        <w:rPr>
          <w:rFonts w:asciiTheme="minorEastAsia" w:hAnsiTheme="minorEastAsia" w:cs="Arial"/>
          <w:kern w:val="0"/>
          <w:sz w:val="24"/>
          <w:szCs w:val="24"/>
        </w:rPr>
        <w:t>1</w:t>
      </w:r>
      <w:r>
        <w:rPr>
          <w:rFonts w:asciiTheme="minorEastAsia" w:hAnsiTheme="minorEastAsia" w:cs="Arial" w:hint="eastAsia"/>
          <w:kern w:val="0"/>
          <w:sz w:val="24"/>
          <w:szCs w:val="24"/>
        </w:rPr>
        <w:t>月</w:t>
      </w:r>
      <w:r>
        <w:rPr>
          <w:rFonts w:asciiTheme="minorEastAsia" w:hAnsiTheme="minorEastAsia" w:cs="Arial"/>
          <w:kern w:val="0"/>
          <w:sz w:val="24"/>
          <w:szCs w:val="24"/>
        </w:rPr>
        <w:t>8</w:t>
      </w:r>
      <w:r>
        <w:rPr>
          <w:rFonts w:asciiTheme="minorEastAsia" w:hAnsiTheme="minorEastAsia" w:cs="Arial" w:hint="eastAsia"/>
          <w:kern w:val="0"/>
          <w:sz w:val="24"/>
          <w:szCs w:val="24"/>
        </w:rPr>
        <w:t>日起任职）。</w:t>
      </w:r>
    </w:p>
    <w:p w14:paraId="44B592F8" w14:textId="77777777" w:rsidR="0069510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历任基金经理：李延峥（自2021年6月18日至2024年1月15日）。</w:t>
      </w:r>
    </w:p>
    <w:p w14:paraId="04D401B9" w14:textId="77777777" w:rsidR="0069510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5、投资决策委员会成员的姓名、</w:t>
      </w:r>
      <w:r>
        <w:rPr>
          <w:rFonts w:asciiTheme="minorEastAsia" w:hAnsiTheme="minorEastAsia" w:cs="Arial" w:hint="eastAsia"/>
          <w:kern w:val="0"/>
          <w:sz w:val="24"/>
          <w:szCs w:val="24"/>
        </w:rPr>
        <w:t>职务</w:t>
      </w:r>
    </w:p>
    <w:p w14:paraId="5452D093" w14:textId="77777777" w:rsidR="0069510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杨小舟先生，投资决策委员会主任委员、公司总经理、兼任首席信息官。</w:t>
      </w:r>
    </w:p>
    <w:p w14:paraId="0818845A" w14:textId="77777777" w:rsidR="0069510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史克新先生，投资决策委员会委员、公司副总经理。</w:t>
      </w:r>
    </w:p>
    <w:p w14:paraId="2F9A2838" w14:textId="77777777" w:rsidR="0069510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邓宇翔先生，投资决策委员会委员、权益投资部总经理、基金经理。</w:t>
      </w:r>
    </w:p>
    <w:p w14:paraId="4805B6AC" w14:textId="77777777" w:rsidR="0069510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郎骋成先生，投资决策委员会委员、研究部总经理、基金经理。</w:t>
      </w:r>
    </w:p>
    <w:p w14:paraId="1E3DC585" w14:textId="77777777" w:rsidR="0069510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宋芳女士，投资决策委员会委员、固定收益部总经理、基金经理。</w:t>
      </w:r>
    </w:p>
    <w:p w14:paraId="42CF3B69" w14:textId="77777777" w:rsidR="0069510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孟飞先生，投资决策委员会委员、固定收益部副总经理、基金经理。</w:t>
      </w:r>
    </w:p>
    <w:p w14:paraId="2919DEB0" w14:textId="77777777" w:rsidR="0069510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李黄海先生，投资决策委员会委员、基金经理。</w:t>
      </w:r>
    </w:p>
    <w:p w14:paraId="6080D8E2" w14:textId="77777777" w:rsidR="0069510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李延峥先生，投资决策委员会委员、投资决策委员会秘书、研究部总经理助理、基金经理。</w:t>
      </w:r>
    </w:p>
    <w:p w14:paraId="4A0D32DD" w14:textId="77777777" w:rsidR="0069510E" w:rsidRDefault="00000000">
      <w:pPr>
        <w:adjustRightInd w:val="0"/>
        <w:snapToGrid w:val="0"/>
        <w:spacing w:line="360" w:lineRule="auto"/>
        <w:ind w:firstLineChars="200" w:firstLine="480"/>
        <w:rPr>
          <w:rFonts w:asciiTheme="minorEastAsia" w:hAnsiTheme="minorEastAsia" w:cs="Arial"/>
          <w:color w:val="FF0000"/>
          <w:sz w:val="24"/>
          <w:szCs w:val="24"/>
        </w:rPr>
      </w:pPr>
      <w:r>
        <w:rPr>
          <w:rFonts w:asciiTheme="minorEastAsia" w:hAnsiTheme="minorEastAsia" w:cs="Arial"/>
          <w:kern w:val="0"/>
          <w:sz w:val="24"/>
          <w:szCs w:val="24"/>
        </w:rPr>
        <w:t>6、上述人员之间不存在近亲属关系。</w:t>
      </w:r>
    </w:p>
    <w:p w14:paraId="77651D2D" w14:textId="77777777" w:rsidR="0069510E" w:rsidRDefault="00000000">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7D1D3FD4" w14:textId="77777777" w:rsidR="0069510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1、依法募集资金，办理或者委托经中国证监会认定的其他机构代为办理基金份额的发售、申购、赎回和登记事宜；</w:t>
      </w:r>
    </w:p>
    <w:p w14:paraId="6626AB37" w14:textId="77777777" w:rsidR="0069510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2、办理基金备案手续；</w:t>
      </w:r>
    </w:p>
    <w:p w14:paraId="748338EA" w14:textId="77777777" w:rsidR="0069510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3、自《基金合同》生效之日起，以诚实信用、谨慎勤勉的原则管理和运用基金财产；</w:t>
      </w:r>
    </w:p>
    <w:p w14:paraId="692B6456" w14:textId="77777777" w:rsidR="0069510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4、配备足够的具有专业资格的人员进行基金投资分析、决策，以专业化的经营方式管理和运作基金财产；</w:t>
      </w:r>
    </w:p>
    <w:p w14:paraId="40B536D8" w14:textId="77777777" w:rsidR="0069510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5、建立健全内部风险控制、监察与稽核、财务管理及人事管理等制度，保证所管理的基金财产和基金管理人的财产相互独立，对所管理的不同基金分别管理，分别记账，进行证券投资；</w:t>
      </w:r>
    </w:p>
    <w:p w14:paraId="0305E320" w14:textId="77777777" w:rsidR="0069510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6、除依据《基金法》、《基金合同》及其他有关规定外，不得利用基金财产</w:t>
      </w:r>
      <w:r>
        <w:rPr>
          <w:rFonts w:asciiTheme="minorEastAsia" w:hAnsiTheme="minorEastAsia" w:cs="Times New Roman"/>
          <w:sz w:val="24"/>
          <w:szCs w:val="24"/>
        </w:rPr>
        <w:lastRenderedPageBreak/>
        <w:t>为自己及任何第三人谋取利益，不得委托第三人运作基金财产；</w:t>
      </w:r>
    </w:p>
    <w:p w14:paraId="13E6F042" w14:textId="77777777" w:rsidR="0069510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7、依法接受基金托管人的监督；</w:t>
      </w:r>
    </w:p>
    <w:p w14:paraId="1D9BDF36" w14:textId="77777777" w:rsidR="0069510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8、采取适当合理的措施使计算基金份额认购、申购、赎回和注销价格的方法符合《基金合同》等法律文件的规定，按有关规定计算并公告基金净值信息，确定基金份额申购、赎回</w:t>
      </w:r>
      <w:r>
        <w:rPr>
          <w:rFonts w:asciiTheme="minorEastAsia" w:hAnsiTheme="minorEastAsia" w:cs="Times New Roman" w:hint="eastAsia"/>
          <w:sz w:val="24"/>
          <w:szCs w:val="24"/>
        </w:rPr>
        <w:t>的价格；</w:t>
      </w:r>
    </w:p>
    <w:p w14:paraId="7FCECCD1" w14:textId="77777777" w:rsidR="0069510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9、进行基金会计核算并编制基金财务会计报告；</w:t>
      </w:r>
    </w:p>
    <w:p w14:paraId="3B946297" w14:textId="77777777" w:rsidR="0069510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10、编制季度</w:t>
      </w:r>
      <w:r>
        <w:rPr>
          <w:rFonts w:asciiTheme="minorEastAsia" w:hAnsiTheme="minorEastAsia" w:cs="Times New Roman" w:hint="eastAsia"/>
          <w:sz w:val="24"/>
          <w:szCs w:val="24"/>
        </w:rPr>
        <w:t>报告、中期报告和年度报告；</w:t>
      </w:r>
    </w:p>
    <w:p w14:paraId="46970DA7" w14:textId="77777777" w:rsidR="0069510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11、严格按照《基金法》、《基金合同》及其他有关规定，履行信息披露及报告义务；</w:t>
      </w:r>
    </w:p>
    <w:p w14:paraId="2BF38E7E" w14:textId="77777777" w:rsidR="0069510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12、保守基金商业秘密，不泄露基金投资计划、投资意向等。除《基金法》、《基金合同》及其他有关规定另有规定外，在基金信息公开披露前应予保密，不向他人泄露</w:t>
      </w:r>
      <w:r>
        <w:rPr>
          <w:rFonts w:asciiTheme="minorEastAsia" w:hAnsiTheme="minorEastAsia" w:cs="Times New Roman" w:hint="eastAsia"/>
          <w:sz w:val="24"/>
          <w:szCs w:val="24"/>
        </w:rPr>
        <w:t>，但依法向监管机构、司法机关及审计、法律等外部专业顾问提供的除外；</w:t>
      </w:r>
    </w:p>
    <w:p w14:paraId="39AE54E9" w14:textId="77777777" w:rsidR="0069510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13、按《基金合同》的约定确定基金收益分配方案，及时向基金份额持有人分配基金收益；</w:t>
      </w:r>
    </w:p>
    <w:p w14:paraId="6FFC4004" w14:textId="77777777" w:rsidR="0069510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14、按规定受理申购与赎回申请，及时、足额支付赎回款项；</w:t>
      </w:r>
    </w:p>
    <w:p w14:paraId="3B30BD55" w14:textId="77777777" w:rsidR="0069510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15、依据《基金法》、《基金合同》及其他有关规定召集基金份额持有人大会或配合基金托管人、基金份额持有人依法召集基金份额持有人大会；</w:t>
      </w:r>
    </w:p>
    <w:p w14:paraId="57DC44A9" w14:textId="77777777" w:rsidR="0069510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16、按规定保存基金财产管理业务活动的会计账册、报表、记录和其他相关资料</w:t>
      </w:r>
      <w:r>
        <w:rPr>
          <w:rFonts w:asciiTheme="minorEastAsia" w:hAnsiTheme="minorEastAsia" w:cs="Times New Roman" w:hint="eastAsia"/>
          <w:sz w:val="24"/>
          <w:szCs w:val="24"/>
        </w:rPr>
        <w:t>，保存期限不低于法律法规规定的最低期限；</w:t>
      </w:r>
    </w:p>
    <w:p w14:paraId="3842FEFB" w14:textId="77777777" w:rsidR="0069510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D3CB91F" w14:textId="77777777" w:rsidR="0069510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18、组织并参加基金财产清算小组，参与基金财产的保管、清理、估价、变现和分配；</w:t>
      </w:r>
    </w:p>
    <w:p w14:paraId="1D96E794" w14:textId="77777777" w:rsidR="0069510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19、面临解散、依法被撤销或者被依法宣告破产时，及时报告中国证监会并通知基金托管人；</w:t>
      </w:r>
    </w:p>
    <w:p w14:paraId="413EE26C" w14:textId="77777777" w:rsidR="0069510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20、因违反《基金合同》导致基金财产的损失或损害基金份额持有人合法权益时，应当承担赔偿责任，其赔偿责任不因其退任而免除；</w:t>
      </w:r>
    </w:p>
    <w:p w14:paraId="248111EB" w14:textId="77777777" w:rsidR="0069510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lastRenderedPageBreak/>
        <w:t>21、监督基金托管人按法律法规和《基金合同》规定履行自己的义务，基金托管人违反《基金合同》造成基金财产损失时，基金管理人应为基金份额持有人利益向基金托管人追偿；</w:t>
      </w:r>
    </w:p>
    <w:p w14:paraId="06991F32" w14:textId="77777777" w:rsidR="0069510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22、当基金管理人将其义务委托第三方处理时，应当对第三方处理有关基金事务的行为承担责任；</w:t>
      </w:r>
    </w:p>
    <w:p w14:paraId="3B4E64D5" w14:textId="77777777" w:rsidR="0069510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23、以基金管理人名义，代表基金份额持有人利益行使诉讼权利或实施其他法律行为；</w:t>
      </w:r>
    </w:p>
    <w:p w14:paraId="497F048A" w14:textId="77777777" w:rsidR="0069510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24、基金管理人在募集期间未能达到基金的备案条件，《基金合同》不能生效，基金管理人承担全部募集费用，将已募集资金</w:t>
      </w:r>
      <w:r>
        <w:rPr>
          <w:rFonts w:asciiTheme="minorEastAsia" w:hAnsiTheme="minorEastAsia" w:cs="Times New Roman" w:hint="eastAsia"/>
          <w:sz w:val="24"/>
          <w:szCs w:val="24"/>
        </w:rPr>
        <w:t>并加计银行同期存款利息在基金募集期结束后</w:t>
      </w:r>
      <w:r>
        <w:rPr>
          <w:rFonts w:asciiTheme="minorEastAsia" w:hAnsiTheme="minorEastAsia" w:cs="Times New Roman"/>
          <w:sz w:val="24"/>
          <w:szCs w:val="24"/>
        </w:rPr>
        <w:t>30日内退还基金认购人；</w:t>
      </w:r>
    </w:p>
    <w:p w14:paraId="28DDEEB6" w14:textId="77777777" w:rsidR="0069510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25、执行生效的基金份额持有人大会的决议；</w:t>
      </w:r>
    </w:p>
    <w:p w14:paraId="651B8805" w14:textId="77777777" w:rsidR="0069510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26、建立并保存基金份额持有人名册；</w:t>
      </w:r>
    </w:p>
    <w:p w14:paraId="6C3E01BA" w14:textId="77777777" w:rsidR="0069510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27、法律法规及中国证监会规定的和《基金合同》约定的其他义务。</w:t>
      </w:r>
    </w:p>
    <w:p w14:paraId="21D53B93" w14:textId="77777777" w:rsidR="0069510E" w:rsidRDefault="00000000">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0C5B4BC0" w14:textId="77777777" w:rsidR="0069510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1、基金管理人承诺不从事违反《中华人民共和国证券法》的行为，并承诺建立健全内部控制制度，采取有效措施，防止违反《中华人民共和国证券法》行为的发生； </w:t>
      </w:r>
    </w:p>
    <w:p w14:paraId="2575B3F5" w14:textId="77777777" w:rsidR="0069510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2、基金管理人承诺不从事违反《基金法》的行为，并承诺建立健全内部风险控制制度，采取有效措施，防止下列行为的发生：</w:t>
      </w:r>
    </w:p>
    <w:p w14:paraId="2F85821D" w14:textId="77777777" w:rsidR="0069510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1）将基金管理人固有财产或者他人财产混同于基金财产从事证券投资；</w:t>
      </w:r>
    </w:p>
    <w:p w14:paraId="2FDD70A5" w14:textId="77777777" w:rsidR="0069510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2）不公平地对待管理的不同基金财产；</w:t>
      </w:r>
    </w:p>
    <w:p w14:paraId="5D37492C" w14:textId="77777777" w:rsidR="0069510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3）利用基金财产或者职务之便为基金份额持有人以外的第三人牟取利益；</w:t>
      </w:r>
    </w:p>
    <w:p w14:paraId="2CFF1805" w14:textId="77777777" w:rsidR="0069510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4）向基金份额持有人违规承诺收益或者承担损失；</w:t>
      </w:r>
    </w:p>
    <w:p w14:paraId="51493508" w14:textId="77777777" w:rsidR="0069510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5）侵占、挪用基金财产；</w:t>
      </w:r>
    </w:p>
    <w:p w14:paraId="00845D1C" w14:textId="77777777" w:rsidR="0069510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6）泄露因职务便利获取的未公开信息、利用该信息从事或者明示、暗示</w:t>
      </w:r>
      <w:r>
        <w:rPr>
          <w:rFonts w:asciiTheme="minorEastAsia" w:hAnsiTheme="minorEastAsia" w:cs="Times New Roman" w:hint="eastAsia"/>
          <w:sz w:val="24"/>
          <w:szCs w:val="24"/>
        </w:rPr>
        <w:t>他人从事相关的交易活动；</w:t>
      </w:r>
    </w:p>
    <w:p w14:paraId="70F4AF8B" w14:textId="77777777" w:rsidR="0069510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7）玩忽职守，不按照规定履行职责；</w:t>
      </w:r>
    </w:p>
    <w:p w14:paraId="75FF666C" w14:textId="77777777" w:rsidR="0069510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 xml:space="preserve">8）法律、行政法规和中国证监会规定禁止的其他行为。 </w:t>
      </w:r>
    </w:p>
    <w:p w14:paraId="62093D6F" w14:textId="77777777" w:rsidR="0069510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3、基金管理人承诺严格遵守基金合同，并承诺建立健全内部控制制度，采</w:t>
      </w:r>
      <w:r>
        <w:rPr>
          <w:rFonts w:asciiTheme="minorEastAsia" w:hAnsiTheme="minorEastAsia" w:cs="Times New Roman"/>
          <w:sz w:val="24"/>
          <w:szCs w:val="24"/>
        </w:rPr>
        <w:lastRenderedPageBreak/>
        <w:t xml:space="preserve">取有效措施，防止违反基金合同行为的发生； </w:t>
      </w:r>
    </w:p>
    <w:p w14:paraId="1786C370" w14:textId="77777777" w:rsidR="0069510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4、基金管理人承诺加强人员管理，强化职业操守，督促和约束员工遵守国家有关法律法规及行业规范，诚实信用、勤勉尽责；</w:t>
      </w:r>
    </w:p>
    <w:p w14:paraId="280459AF" w14:textId="77777777" w:rsidR="0069510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5、基金管理人承诺不从事其他法规规定禁止从事的行为。 </w:t>
      </w:r>
    </w:p>
    <w:p w14:paraId="49F158AE" w14:textId="77777777" w:rsidR="0069510E" w:rsidRDefault="00000000">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4AE3D756" w14:textId="77777777" w:rsidR="0069510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1、依照有关法律法规和基金合同的规定，本着谨慎的原则为基金份额持有人谋取最大利益；</w:t>
      </w:r>
    </w:p>
    <w:p w14:paraId="21C8ED10" w14:textId="77777777" w:rsidR="0069510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 xml:space="preserve">2、不利用职务之便为自己、受雇人或任何第三者牟取利益； </w:t>
      </w:r>
    </w:p>
    <w:p w14:paraId="343B4B17" w14:textId="77777777" w:rsidR="0069510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3、不泄露在任职期间知悉的有关证券、基金的商业秘密，尚未依法公开的基金投资内容、基金投资计划等信息，或利用该信息从事或者明示、暗示他人从事相关的交易活动；</w:t>
      </w:r>
    </w:p>
    <w:p w14:paraId="61BC87BF" w14:textId="77777777" w:rsidR="0069510E"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4、不以任何形式为其他组织或个人进行证券交易。</w:t>
      </w:r>
    </w:p>
    <w:p w14:paraId="18B094CA" w14:textId="77777777" w:rsidR="0069510E" w:rsidRDefault="00000000">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4948BA29" w14:textId="77777777" w:rsidR="0069510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6" w:name="_Toc416264540"/>
      <w:bookmarkStart w:id="87" w:name="_Toc352229750"/>
      <w:bookmarkStart w:id="88" w:name="_Toc410197818"/>
      <w:bookmarkStart w:id="89" w:name="_Toc263092312"/>
      <w:bookmarkEnd w:id="69"/>
      <w:bookmarkEnd w:id="70"/>
      <w:bookmarkEnd w:id="71"/>
      <w:r>
        <w:rPr>
          <w:rFonts w:asciiTheme="minorEastAsia" w:hAnsiTheme="minorEastAsia" w:cs="Arial"/>
          <w:sz w:val="24"/>
          <w:szCs w:val="24"/>
        </w:rPr>
        <w:t>1、风险控制目标</w:t>
      </w:r>
    </w:p>
    <w:p w14:paraId="061A9A41" w14:textId="77777777" w:rsidR="0069510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1）在有效控制风险的前提下，实现基金份额持有人利益最大化；</w:t>
      </w:r>
    </w:p>
    <w:p w14:paraId="459C5D8B" w14:textId="77777777" w:rsidR="0069510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2）确保国家有关法律法规、行业规章和公司各项规章制度的贯彻执行；</w:t>
      </w:r>
    </w:p>
    <w:p w14:paraId="1ABD849A" w14:textId="77777777" w:rsidR="0069510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3）建立符合现代企业制度要求的法人治理结构，形成科学合理的决策机制、执行机制和监督机制；</w:t>
      </w:r>
    </w:p>
    <w:p w14:paraId="7394B905" w14:textId="77777777" w:rsidR="0069510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4）将各种风险控制在合理的范围内，保障公司发展战略和经营目标的全面实施，维护基金份额持有人、公司及公司股东的合法权益；</w:t>
      </w:r>
    </w:p>
    <w:p w14:paraId="2B8AF40C" w14:textId="77777777" w:rsidR="0069510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5）建立行之有效的风险控制系统，保障业务稳健运行，减轻或规避各种风险对公司发展战略和经营目标的干扰。</w:t>
      </w:r>
    </w:p>
    <w:p w14:paraId="0CC13453" w14:textId="77777777" w:rsidR="0069510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2、建立风险控制制度应遵循的原则</w:t>
      </w:r>
    </w:p>
    <w:p w14:paraId="6B00FDF6" w14:textId="77777777" w:rsidR="0069510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1）全面性原则：风险控制制度应覆盖公司的各项业务、各个部门和各级人员，并渗透到决策、执行、监督、反馈等各个经营环节；</w:t>
      </w:r>
    </w:p>
    <w:p w14:paraId="201BADD8" w14:textId="77777777" w:rsidR="0069510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 xml:space="preserve"> （2）审慎性原则：内部风险控制的核心是有效防范各种风险，公司组织体</w:t>
      </w:r>
      <w:r>
        <w:rPr>
          <w:rFonts w:asciiTheme="minorEastAsia" w:hAnsiTheme="minorEastAsia" w:cs="Arial" w:hint="eastAsia"/>
          <w:sz w:val="24"/>
          <w:szCs w:val="24"/>
        </w:rPr>
        <w:t>系的构成、内部管理制度的建立都要以防范风险、审慎经营为出发点；</w:t>
      </w:r>
    </w:p>
    <w:p w14:paraId="60E90B76" w14:textId="77777777" w:rsidR="0069510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67699F75" w14:textId="77777777" w:rsidR="0069510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lastRenderedPageBreak/>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A17336E" w14:textId="77777777" w:rsidR="0069510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 xml:space="preserve"> （5）适时性原则：内部风险控制应随着公司经营战略、经营方针、经营理念等内部环境的变化和国家法律、法规、政策制度等外部环境的改变及时进行相应的修改和完善；</w:t>
      </w:r>
    </w:p>
    <w:p w14:paraId="471CDA54" w14:textId="77777777" w:rsidR="0069510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3、风险控制体系</w:t>
      </w:r>
    </w:p>
    <w:p w14:paraId="38F09A6A" w14:textId="77777777" w:rsidR="0069510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1）风险控制制度体系</w:t>
      </w:r>
    </w:p>
    <w:p w14:paraId="01609C71" w14:textId="77777777" w:rsidR="0069510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725E5CE9" w14:textId="77777777" w:rsidR="0069510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2）风险控制组织体系</w:t>
      </w:r>
    </w:p>
    <w:p w14:paraId="291F49E3" w14:textId="77777777" w:rsidR="0069510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3062566B" w14:textId="77777777" w:rsidR="0069510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479A0F40" w14:textId="77777777" w:rsidR="0069510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7C47F5EB" w14:textId="77777777" w:rsidR="0069510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6FB2393F" w14:textId="77777777" w:rsidR="0069510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234B0FEA" w14:textId="77777777" w:rsidR="0069510E" w:rsidRDefault="00000000">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w:t>
      </w:r>
      <w:r>
        <w:rPr>
          <w:rFonts w:asciiTheme="minorEastAsia" w:hAnsiTheme="minorEastAsia" w:cs="Arial" w:hint="eastAsia"/>
          <w:sz w:val="24"/>
          <w:szCs w:val="24"/>
        </w:rPr>
        <w:lastRenderedPageBreak/>
        <w:t>项业务符合法律法规、监管要求、公司制度及受托资产合同的规定；审批基金投资的关联方证券名单和关联交易；风险管理委员会认为其他需关注的事项。</w:t>
      </w:r>
    </w:p>
    <w:p w14:paraId="11AE3863" w14:textId="77777777" w:rsidR="0069510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63B5E02A" w14:textId="77777777" w:rsidR="0069510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53659FEC" w14:textId="77777777" w:rsidR="0069510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4、关于授权、研究、投资、交易等方面的控制点</w:t>
      </w:r>
    </w:p>
    <w:p w14:paraId="7CB4F374" w14:textId="77777777" w:rsidR="0069510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1）授权制度</w:t>
      </w:r>
    </w:p>
    <w:p w14:paraId="44EC975C" w14:textId="77777777" w:rsidR="0069510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437785C1" w14:textId="77777777" w:rsidR="0069510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2）研究业务</w:t>
      </w:r>
    </w:p>
    <w:p w14:paraId="5B531514" w14:textId="77777777" w:rsidR="0069510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1D5C838C" w14:textId="77777777" w:rsidR="0069510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3）基金投资业务</w:t>
      </w:r>
    </w:p>
    <w:p w14:paraId="012F5F31" w14:textId="77777777" w:rsidR="0069510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w:t>
      </w:r>
      <w:r>
        <w:rPr>
          <w:rFonts w:asciiTheme="minorEastAsia" w:hAnsiTheme="minorEastAsia" w:cs="Arial" w:hint="eastAsia"/>
          <w:sz w:val="24"/>
          <w:szCs w:val="24"/>
        </w:rPr>
        <w:lastRenderedPageBreak/>
        <w:t>险权限额度内；对于投资结果建立科学的投资管理业绩评价体系。</w:t>
      </w:r>
    </w:p>
    <w:p w14:paraId="1163794D" w14:textId="77777777" w:rsidR="0069510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4）交易业务</w:t>
      </w:r>
    </w:p>
    <w:p w14:paraId="30312FAE" w14:textId="77777777" w:rsidR="0069510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69FEE7BC" w14:textId="77777777" w:rsidR="0069510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5）基金会计核算</w:t>
      </w:r>
    </w:p>
    <w:p w14:paraId="730CFE5C" w14:textId="77777777" w:rsidR="0069510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5486F686" w14:textId="77777777" w:rsidR="0069510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6）信息披露</w:t>
      </w:r>
    </w:p>
    <w:p w14:paraId="58AC4A1F" w14:textId="77777777" w:rsidR="0069510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64A46020" w14:textId="77777777" w:rsidR="0069510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7）监察稽核</w:t>
      </w:r>
    </w:p>
    <w:p w14:paraId="110895CD" w14:textId="77777777" w:rsidR="0069510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11679BB6" w14:textId="77777777" w:rsidR="0069510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4ECD5E79" w14:textId="77777777" w:rsidR="0069510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sz w:val="24"/>
          <w:szCs w:val="24"/>
        </w:rPr>
        <w:t>5、风险管理和内部控制的措施</w:t>
      </w:r>
    </w:p>
    <w:p w14:paraId="37AE1B21" w14:textId="77777777" w:rsidR="0069510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1）建立内控结构，完善内控制度：公司建立、健全了内控结构，高管人</w:t>
      </w:r>
      <w:r>
        <w:rPr>
          <w:rFonts w:asciiTheme="minorEastAsia" w:hAnsiTheme="minorEastAsia" w:cs="Arial"/>
          <w:sz w:val="24"/>
          <w:szCs w:val="24"/>
        </w:rPr>
        <w:lastRenderedPageBreak/>
        <w:t>员具有明确的内控分工，确保各项业务活动有恰当的组织和授权，确保监察活动的独立进行，并得到高管人员的支持。</w:t>
      </w:r>
    </w:p>
    <w:p w14:paraId="2D538C4B" w14:textId="77777777" w:rsidR="0069510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7939E1C6" w14:textId="77777777" w:rsidR="0069510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3）建立、健全岗位责任制：建立、健全了岗位责任制，使每个员工都明确自己的任务、职责，并及时将各自工作领域中的风险隐患上报，以防范和减少风险。</w:t>
      </w:r>
    </w:p>
    <w:p w14:paraId="3C97628A" w14:textId="77777777" w:rsidR="0069510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16AC1A7B" w14:textId="77777777" w:rsidR="0069510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5）建立有效的内部监控系统：建立了足够、有效的内部监控系统，如计算机预警系统、投资监控系统，能对可能出现的各种风险进行全面和实时的监控。</w:t>
      </w:r>
    </w:p>
    <w:p w14:paraId="6380AC0F" w14:textId="77777777" w:rsidR="0069510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5A55B14F" w14:textId="77777777" w:rsidR="0069510E"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7）提供足够的培训：制定了完整的培训计划，为所有员工提供足够和适当的培训，使员工明确其职责所在，控制风险。</w:t>
      </w:r>
    </w:p>
    <w:p w14:paraId="24801930" w14:textId="77777777" w:rsidR="0069510E" w:rsidRDefault="00000000">
      <w:pPr>
        <w:widowControl/>
        <w:adjustRightInd w:val="0"/>
        <w:snapToGrid w:val="0"/>
        <w:spacing w:line="360" w:lineRule="auto"/>
        <w:ind w:firstLineChars="200" w:firstLine="480"/>
        <w:rPr>
          <w:rFonts w:asciiTheme="minorEastAsia" w:hAnsiTheme="minorEastAsia" w:cs="Arial"/>
          <w:b/>
          <w:bCs/>
          <w:sz w:val="24"/>
          <w:szCs w:val="24"/>
        </w:rPr>
      </w:pPr>
      <w:r>
        <w:rPr>
          <w:rFonts w:asciiTheme="minorEastAsia" w:hAnsiTheme="minorEastAsia" w:cs="Arial"/>
          <w:sz w:val="24"/>
          <w:szCs w:val="24"/>
        </w:rPr>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90" w:name="_Toc238013745"/>
      <w:bookmarkStart w:id="91" w:name="_Toc238027832"/>
      <w:bookmarkEnd w:id="90"/>
      <w:bookmarkEnd w:id="91"/>
    </w:p>
    <w:p w14:paraId="61531915" w14:textId="77777777" w:rsidR="0069510E" w:rsidRDefault="0069510E">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69510E">
          <w:headerReference w:type="even" r:id="rId26"/>
          <w:headerReference w:type="default" r:id="rId27"/>
          <w:footerReference w:type="default" r:id="rId28"/>
          <w:headerReference w:type="first" r:id="rId29"/>
          <w:pgSz w:w="11906" w:h="16838"/>
          <w:pgMar w:top="1440" w:right="1800" w:bottom="1440" w:left="1800" w:header="851" w:footer="992" w:gutter="0"/>
          <w:pgNumType w:chapStyle="1"/>
          <w:cols w:space="720"/>
          <w:docGrid w:type="lines" w:linePitch="312"/>
        </w:sectPr>
      </w:pPr>
    </w:p>
    <w:p w14:paraId="4BF621E1" w14:textId="77777777" w:rsidR="0069510E" w:rsidRDefault="00000000">
      <w:pPr>
        <w:pStyle w:val="1"/>
        <w:jc w:val="center"/>
        <w:rPr>
          <w:sz w:val="30"/>
          <w:szCs w:val="30"/>
        </w:rPr>
      </w:pPr>
      <w:bookmarkStart w:id="92" w:name="_Toc68266291"/>
      <w:bookmarkStart w:id="93" w:name="_Toc136963804"/>
      <w:r>
        <w:rPr>
          <w:rFonts w:hint="eastAsia"/>
          <w:sz w:val="30"/>
          <w:szCs w:val="30"/>
        </w:rPr>
        <w:lastRenderedPageBreak/>
        <w:t>第四部分</w:t>
      </w:r>
      <w:r>
        <w:rPr>
          <w:sz w:val="30"/>
          <w:szCs w:val="30"/>
        </w:rPr>
        <w:t xml:space="preserve">  </w:t>
      </w:r>
      <w:r>
        <w:rPr>
          <w:rFonts w:hint="eastAsia"/>
          <w:sz w:val="30"/>
          <w:szCs w:val="30"/>
        </w:rPr>
        <w:t>基金托管人</w:t>
      </w:r>
      <w:bookmarkEnd w:id="92"/>
      <w:bookmarkEnd w:id="93"/>
    </w:p>
    <w:p w14:paraId="3C7E9A1E" w14:textId="77777777" w:rsidR="0069510E" w:rsidRDefault="00000000">
      <w:pPr>
        <w:spacing w:line="360" w:lineRule="auto"/>
        <w:ind w:firstLineChars="200" w:firstLine="480"/>
        <w:rPr>
          <w:sz w:val="24"/>
          <w:szCs w:val="24"/>
        </w:rPr>
      </w:pPr>
      <w:r>
        <w:rPr>
          <w:rFonts w:hint="eastAsia"/>
          <w:sz w:val="24"/>
          <w:szCs w:val="24"/>
        </w:rPr>
        <w:t>（一）基金托管人情况</w:t>
      </w:r>
    </w:p>
    <w:p w14:paraId="5FEB4185" w14:textId="77777777" w:rsidR="0069510E" w:rsidRDefault="00000000">
      <w:pPr>
        <w:spacing w:line="360" w:lineRule="auto"/>
        <w:ind w:firstLineChars="200" w:firstLine="480"/>
        <w:rPr>
          <w:sz w:val="24"/>
          <w:szCs w:val="24"/>
        </w:rPr>
      </w:pPr>
      <w:r>
        <w:rPr>
          <w:rFonts w:hint="eastAsia"/>
          <w:sz w:val="24"/>
          <w:szCs w:val="24"/>
        </w:rPr>
        <w:t>1</w:t>
      </w:r>
      <w:r>
        <w:rPr>
          <w:rFonts w:hint="eastAsia"/>
          <w:sz w:val="24"/>
          <w:szCs w:val="24"/>
        </w:rPr>
        <w:t>、基本情况</w:t>
      </w:r>
    </w:p>
    <w:p w14:paraId="5F3D763D" w14:textId="77777777" w:rsidR="0069510E" w:rsidRDefault="00000000">
      <w:pPr>
        <w:spacing w:line="360" w:lineRule="auto"/>
        <w:ind w:firstLineChars="200" w:firstLine="480"/>
        <w:rPr>
          <w:sz w:val="24"/>
          <w:szCs w:val="24"/>
        </w:rPr>
      </w:pPr>
      <w:r>
        <w:rPr>
          <w:rFonts w:hint="eastAsia"/>
          <w:sz w:val="24"/>
          <w:szCs w:val="24"/>
        </w:rPr>
        <w:t>名称：国泰君安证券股份有限公司</w:t>
      </w:r>
    </w:p>
    <w:p w14:paraId="53EDE3B7" w14:textId="77777777" w:rsidR="0069510E" w:rsidRDefault="00000000">
      <w:pPr>
        <w:spacing w:line="360" w:lineRule="auto"/>
        <w:ind w:firstLineChars="200" w:firstLine="480"/>
        <w:rPr>
          <w:sz w:val="24"/>
          <w:szCs w:val="24"/>
        </w:rPr>
      </w:pPr>
      <w:r>
        <w:rPr>
          <w:rFonts w:hint="eastAsia"/>
          <w:sz w:val="24"/>
          <w:szCs w:val="24"/>
        </w:rPr>
        <w:t>住所：</w:t>
      </w:r>
      <w:r>
        <w:rPr>
          <w:rFonts w:hint="eastAsia"/>
          <w:sz w:val="24"/>
          <w:szCs w:val="24"/>
        </w:rPr>
        <w:t xml:space="preserve"> </w:t>
      </w:r>
      <w:r>
        <w:rPr>
          <w:rFonts w:hint="eastAsia"/>
          <w:bCs/>
          <w:sz w:val="24"/>
          <w:szCs w:val="24"/>
        </w:rPr>
        <w:t>中国（上海）自由贸易试验区商城路</w:t>
      </w:r>
      <w:r>
        <w:rPr>
          <w:bCs/>
          <w:sz w:val="24"/>
          <w:szCs w:val="24"/>
        </w:rPr>
        <w:t>618</w:t>
      </w:r>
      <w:r>
        <w:rPr>
          <w:rFonts w:hint="eastAsia"/>
          <w:bCs/>
          <w:sz w:val="24"/>
          <w:szCs w:val="24"/>
        </w:rPr>
        <w:t>号</w:t>
      </w:r>
    </w:p>
    <w:p w14:paraId="6845D059" w14:textId="77777777" w:rsidR="0069510E" w:rsidRDefault="00000000">
      <w:pPr>
        <w:spacing w:line="360" w:lineRule="auto"/>
        <w:ind w:firstLineChars="200" w:firstLine="480"/>
        <w:rPr>
          <w:sz w:val="24"/>
          <w:szCs w:val="24"/>
        </w:rPr>
      </w:pPr>
      <w:r>
        <w:rPr>
          <w:rFonts w:hint="eastAsia"/>
          <w:sz w:val="24"/>
          <w:szCs w:val="24"/>
        </w:rPr>
        <w:t>办公地址：上海市静安区新闸路</w:t>
      </w:r>
      <w:r>
        <w:rPr>
          <w:rFonts w:hint="eastAsia"/>
          <w:sz w:val="24"/>
          <w:szCs w:val="24"/>
        </w:rPr>
        <w:t>669</w:t>
      </w:r>
      <w:r>
        <w:rPr>
          <w:rFonts w:hint="eastAsia"/>
          <w:sz w:val="24"/>
          <w:szCs w:val="24"/>
        </w:rPr>
        <w:t>号博华广场</w:t>
      </w:r>
      <w:r>
        <w:rPr>
          <w:rFonts w:hint="eastAsia"/>
          <w:sz w:val="24"/>
          <w:szCs w:val="24"/>
        </w:rPr>
        <w:t>19</w:t>
      </w:r>
      <w:r>
        <w:rPr>
          <w:rFonts w:hint="eastAsia"/>
          <w:sz w:val="24"/>
          <w:szCs w:val="24"/>
        </w:rPr>
        <w:t>楼</w:t>
      </w:r>
    </w:p>
    <w:p w14:paraId="5956E39C" w14:textId="77777777" w:rsidR="0069510E" w:rsidRDefault="00000000">
      <w:pPr>
        <w:spacing w:line="360" w:lineRule="auto"/>
        <w:ind w:firstLineChars="200" w:firstLine="480"/>
        <w:rPr>
          <w:sz w:val="24"/>
          <w:szCs w:val="24"/>
        </w:rPr>
      </w:pPr>
      <w:r>
        <w:rPr>
          <w:rFonts w:hint="eastAsia"/>
          <w:sz w:val="24"/>
          <w:szCs w:val="24"/>
        </w:rPr>
        <w:t>法定代表人：朱健</w:t>
      </w:r>
    </w:p>
    <w:p w14:paraId="7566CC7B" w14:textId="77777777" w:rsidR="0069510E" w:rsidRDefault="00000000">
      <w:pPr>
        <w:spacing w:line="360" w:lineRule="auto"/>
        <w:ind w:firstLineChars="200" w:firstLine="480"/>
        <w:rPr>
          <w:sz w:val="24"/>
          <w:szCs w:val="24"/>
        </w:rPr>
      </w:pPr>
      <w:r>
        <w:rPr>
          <w:rFonts w:hint="eastAsia"/>
          <w:sz w:val="24"/>
          <w:szCs w:val="24"/>
        </w:rPr>
        <w:t>成立时间：</w:t>
      </w:r>
      <w:r>
        <w:rPr>
          <w:rFonts w:hint="eastAsia"/>
          <w:sz w:val="24"/>
          <w:szCs w:val="24"/>
        </w:rPr>
        <w:t xml:space="preserve"> 1999</w:t>
      </w:r>
      <w:r>
        <w:rPr>
          <w:rFonts w:hint="eastAsia"/>
          <w:sz w:val="24"/>
          <w:szCs w:val="24"/>
        </w:rPr>
        <w:t>年</w:t>
      </w:r>
      <w:r>
        <w:rPr>
          <w:rFonts w:hint="eastAsia"/>
          <w:sz w:val="24"/>
          <w:szCs w:val="24"/>
        </w:rPr>
        <w:t>8</w:t>
      </w:r>
      <w:r>
        <w:rPr>
          <w:rFonts w:hint="eastAsia"/>
          <w:sz w:val="24"/>
          <w:szCs w:val="24"/>
        </w:rPr>
        <w:t>月</w:t>
      </w:r>
      <w:r>
        <w:rPr>
          <w:rFonts w:hint="eastAsia"/>
          <w:sz w:val="24"/>
          <w:szCs w:val="24"/>
        </w:rPr>
        <w:t>18</w:t>
      </w:r>
      <w:r>
        <w:rPr>
          <w:rFonts w:hint="eastAsia"/>
          <w:sz w:val="24"/>
          <w:szCs w:val="24"/>
        </w:rPr>
        <w:t>日</w:t>
      </w:r>
    </w:p>
    <w:p w14:paraId="03BF91B5" w14:textId="77777777" w:rsidR="0069510E" w:rsidRDefault="00000000">
      <w:pPr>
        <w:spacing w:line="360" w:lineRule="auto"/>
        <w:ind w:firstLineChars="200" w:firstLine="480"/>
        <w:rPr>
          <w:sz w:val="24"/>
          <w:szCs w:val="24"/>
        </w:rPr>
      </w:pPr>
      <w:r>
        <w:rPr>
          <w:rFonts w:hint="eastAsia"/>
          <w:sz w:val="24"/>
          <w:szCs w:val="24"/>
        </w:rPr>
        <w:t>组织形式：其他股份有限公司（上市）</w:t>
      </w:r>
    </w:p>
    <w:p w14:paraId="67458C84" w14:textId="77777777" w:rsidR="0069510E" w:rsidRDefault="00000000">
      <w:pPr>
        <w:pStyle w:val="aff2"/>
        <w:ind w:firstLine="480"/>
        <w:rPr>
          <w:szCs w:val="24"/>
        </w:rPr>
      </w:pPr>
      <w:r>
        <w:rPr>
          <w:szCs w:val="24"/>
        </w:rPr>
        <w:t>批准设立机关及批准设立文号：</w:t>
      </w:r>
      <w:r>
        <w:rPr>
          <w:rFonts w:hint="eastAsia"/>
          <w:szCs w:val="24"/>
        </w:rPr>
        <w:t>证监机构字</w:t>
      </w:r>
      <w:r>
        <w:rPr>
          <w:rFonts w:hint="eastAsia"/>
          <w:szCs w:val="24"/>
        </w:rPr>
        <w:t>[1999]77</w:t>
      </w:r>
      <w:r>
        <w:rPr>
          <w:rFonts w:hint="eastAsia"/>
          <w:szCs w:val="24"/>
        </w:rPr>
        <w:t>号</w:t>
      </w:r>
    </w:p>
    <w:p w14:paraId="722C93E5" w14:textId="77777777" w:rsidR="0069510E" w:rsidRDefault="00000000">
      <w:pPr>
        <w:spacing w:line="360" w:lineRule="auto"/>
        <w:ind w:firstLineChars="200" w:firstLine="480"/>
        <w:rPr>
          <w:sz w:val="24"/>
          <w:szCs w:val="24"/>
        </w:rPr>
      </w:pPr>
      <w:r>
        <w:rPr>
          <w:rFonts w:hint="eastAsia"/>
          <w:sz w:val="24"/>
          <w:szCs w:val="24"/>
        </w:rPr>
        <w:t>注册资本：</w:t>
      </w:r>
      <w:proofErr w:type="gramStart"/>
      <w:r>
        <w:rPr>
          <w:rFonts w:hint="eastAsia"/>
          <w:sz w:val="24"/>
          <w:szCs w:val="24"/>
        </w:rPr>
        <w:t>捌拾玖亿零肆佰陆拾壹万零捌佰壹拾陆</w:t>
      </w:r>
      <w:proofErr w:type="gramEnd"/>
      <w:r>
        <w:rPr>
          <w:rFonts w:hint="eastAsia"/>
          <w:sz w:val="24"/>
          <w:szCs w:val="24"/>
        </w:rPr>
        <w:t>元人民币</w:t>
      </w:r>
    </w:p>
    <w:p w14:paraId="3332A045" w14:textId="77777777" w:rsidR="0069510E" w:rsidRDefault="00000000">
      <w:pPr>
        <w:spacing w:line="360" w:lineRule="auto"/>
        <w:ind w:firstLineChars="200" w:firstLine="480"/>
        <w:rPr>
          <w:sz w:val="24"/>
          <w:szCs w:val="24"/>
        </w:rPr>
      </w:pPr>
      <w:r>
        <w:rPr>
          <w:rFonts w:hint="eastAsia"/>
          <w:sz w:val="24"/>
          <w:szCs w:val="24"/>
        </w:rPr>
        <w:t>存续期间：持续经营</w:t>
      </w:r>
    </w:p>
    <w:p w14:paraId="383B3615" w14:textId="77777777" w:rsidR="0069510E" w:rsidRDefault="00000000">
      <w:pPr>
        <w:spacing w:line="360" w:lineRule="auto"/>
        <w:ind w:firstLineChars="200" w:firstLine="480"/>
        <w:rPr>
          <w:sz w:val="24"/>
          <w:szCs w:val="24"/>
        </w:rPr>
      </w:pPr>
      <w:r>
        <w:rPr>
          <w:rFonts w:hint="eastAsia"/>
          <w:sz w:val="24"/>
          <w:szCs w:val="24"/>
        </w:rPr>
        <w:t>基金托管业务批准文号：证监许可</w:t>
      </w:r>
      <w:r>
        <w:rPr>
          <w:rFonts w:hint="eastAsia"/>
          <w:sz w:val="24"/>
          <w:szCs w:val="24"/>
        </w:rPr>
        <w:t>[2014]511</w:t>
      </w:r>
      <w:r>
        <w:rPr>
          <w:rFonts w:hint="eastAsia"/>
          <w:sz w:val="24"/>
          <w:szCs w:val="24"/>
        </w:rPr>
        <w:t>号</w:t>
      </w:r>
    </w:p>
    <w:p w14:paraId="52969440" w14:textId="77777777" w:rsidR="0069510E" w:rsidRDefault="00000000">
      <w:pPr>
        <w:spacing w:line="360" w:lineRule="auto"/>
        <w:ind w:firstLineChars="200" w:firstLine="480"/>
        <w:rPr>
          <w:sz w:val="24"/>
          <w:szCs w:val="24"/>
        </w:rPr>
      </w:pPr>
      <w:r>
        <w:rPr>
          <w:rFonts w:hint="eastAsia"/>
          <w:sz w:val="24"/>
          <w:szCs w:val="24"/>
        </w:rPr>
        <w:t>联系人：帅芳</w:t>
      </w:r>
      <w:r>
        <w:rPr>
          <w:rFonts w:hint="eastAsia"/>
          <w:sz w:val="24"/>
          <w:szCs w:val="24"/>
        </w:rPr>
        <w:t xml:space="preserve"> </w:t>
      </w:r>
    </w:p>
    <w:p w14:paraId="75C2462B" w14:textId="77777777" w:rsidR="0069510E" w:rsidRDefault="00000000">
      <w:pPr>
        <w:spacing w:line="360" w:lineRule="auto"/>
        <w:ind w:firstLineChars="200" w:firstLine="480"/>
        <w:rPr>
          <w:sz w:val="24"/>
          <w:szCs w:val="24"/>
        </w:rPr>
      </w:pPr>
      <w:r>
        <w:rPr>
          <w:rFonts w:hint="eastAsia"/>
          <w:sz w:val="24"/>
          <w:szCs w:val="24"/>
        </w:rPr>
        <w:t>联系电话：</w:t>
      </w:r>
      <w:r>
        <w:rPr>
          <w:rFonts w:hint="eastAsia"/>
          <w:sz w:val="24"/>
          <w:szCs w:val="24"/>
        </w:rPr>
        <w:t>021-38917599-5</w:t>
      </w:r>
    </w:p>
    <w:p w14:paraId="390AE78B" w14:textId="77777777" w:rsidR="0069510E" w:rsidRDefault="00000000">
      <w:pPr>
        <w:spacing w:line="360" w:lineRule="auto"/>
        <w:ind w:firstLineChars="200" w:firstLine="480"/>
        <w:rPr>
          <w:sz w:val="24"/>
          <w:szCs w:val="24"/>
        </w:rPr>
      </w:pPr>
      <w:r>
        <w:rPr>
          <w:rFonts w:hint="eastAsia"/>
          <w:sz w:val="24"/>
          <w:szCs w:val="24"/>
        </w:rPr>
        <w:t>国泰君安证券股份有限公司前身为国泰证券和</w:t>
      </w:r>
      <w:proofErr w:type="gramStart"/>
      <w:r>
        <w:rPr>
          <w:rFonts w:hint="eastAsia"/>
          <w:sz w:val="24"/>
          <w:szCs w:val="24"/>
        </w:rPr>
        <w:t>君安</w:t>
      </w:r>
      <w:proofErr w:type="gramEnd"/>
      <w:r>
        <w:rPr>
          <w:rFonts w:hint="eastAsia"/>
          <w:sz w:val="24"/>
          <w:szCs w:val="24"/>
        </w:rPr>
        <w:t>证券，</w:t>
      </w:r>
      <w:r>
        <w:rPr>
          <w:rFonts w:hint="eastAsia"/>
          <w:sz w:val="24"/>
          <w:szCs w:val="24"/>
        </w:rPr>
        <w:t>1999</w:t>
      </w:r>
      <w:r>
        <w:rPr>
          <w:rFonts w:hint="eastAsia"/>
          <w:sz w:val="24"/>
          <w:szCs w:val="24"/>
        </w:rPr>
        <w:t>年</w:t>
      </w:r>
      <w:r>
        <w:rPr>
          <w:rFonts w:hint="eastAsia"/>
          <w:sz w:val="24"/>
          <w:szCs w:val="24"/>
        </w:rPr>
        <w:t>8</w:t>
      </w:r>
      <w:r>
        <w:rPr>
          <w:rFonts w:hint="eastAsia"/>
          <w:sz w:val="24"/>
          <w:szCs w:val="24"/>
        </w:rPr>
        <w:t>月</w:t>
      </w:r>
      <w:r>
        <w:rPr>
          <w:rFonts w:hint="eastAsia"/>
          <w:sz w:val="24"/>
          <w:szCs w:val="24"/>
        </w:rPr>
        <w:t>18</w:t>
      </w:r>
      <w:r>
        <w:rPr>
          <w:rFonts w:hint="eastAsia"/>
          <w:sz w:val="24"/>
          <w:szCs w:val="24"/>
        </w:rPr>
        <w:t>日两公司合并新设为国泰君安证券股份有限公司。</w:t>
      </w:r>
      <w:r>
        <w:rPr>
          <w:sz w:val="24"/>
          <w:szCs w:val="24"/>
        </w:rPr>
        <w:t>2015</w:t>
      </w:r>
      <w:r>
        <w:rPr>
          <w:sz w:val="24"/>
          <w:szCs w:val="24"/>
        </w:rPr>
        <w:t>年</w:t>
      </w:r>
      <w:r>
        <w:rPr>
          <w:sz w:val="24"/>
          <w:szCs w:val="24"/>
        </w:rPr>
        <w:t>6</w:t>
      </w:r>
      <w:r>
        <w:rPr>
          <w:sz w:val="24"/>
          <w:szCs w:val="24"/>
        </w:rPr>
        <w:t>月</w:t>
      </w:r>
      <w:r>
        <w:rPr>
          <w:sz w:val="24"/>
          <w:szCs w:val="24"/>
        </w:rPr>
        <w:t>26</w:t>
      </w:r>
      <w:r>
        <w:rPr>
          <w:sz w:val="24"/>
          <w:szCs w:val="24"/>
        </w:rPr>
        <w:t>日</w:t>
      </w:r>
      <w:r>
        <w:rPr>
          <w:rFonts w:hint="eastAsia"/>
          <w:sz w:val="24"/>
          <w:szCs w:val="24"/>
        </w:rPr>
        <w:t>国泰君安证券股份有限公司</w:t>
      </w:r>
      <w:r>
        <w:rPr>
          <w:sz w:val="24"/>
          <w:szCs w:val="24"/>
        </w:rPr>
        <w:t>在上交所上市交易</w:t>
      </w:r>
      <w:r>
        <w:rPr>
          <w:rFonts w:hint="eastAsia"/>
          <w:sz w:val="24"/>
          <w:szCs w:val="24"/>
        </w:rPr>
        <w:t>，</w:t>
      </w:r>
      <w:r>
        <w:rPr>
          <w:sz w:val="24"/>
          <w:szCs w:val="24"/>
        </w:rPr>
        <w:t>证券简称为</w:t>
      </w:r>
      <w:r>
        <w:rPr>
          <w:sz w:val="24"/>
          <w:szCs w:val="24"/>
        </w:rPr>
        <w:t>“</w:t>
      </w:r>
      <w:r>
        <w:rPr>
          <w:sz w:val="24"/>
          <w:szCs w:val="24"/>
        </w:rPr>
        <w:t>国泰君安</w:t>
      </w:r>
      <w:r>
        <w:rPr>
          <w:sz w:val="24"/>
          <w:szCs w:val="24"/>
        </w:rPr>
        <w:t>”</w:t>
      </w:r>
      <w:r>
        <w:rPr>
          <w:rFonts w:hint="eastAsia"/>
          <w:sz w:val="24"/>
          <w:szCs w:val="24"/>
        </w:rPr>
        <w:t>，</w:t>
      </w:r>
      <w:r>
        <w:rPr>
          <w:sz w:val="24"/>
          <w:szCs w:val="24"/>
        </w:rPr>
        <w:t>证券代码为</w:t>
      </w:r>
      <w:r>
        <w:rPr>
          <w:sz w:val="24"/>
          <w:szCs w:val="24"/>
        </w:rPr>
        <w:t>“601211”</w:t>
      </w:r>
      <w:r>
        <w:rPr>
          <w:sz w:val="24"/>
          <w:szCs w:val="24"/>
        </w:rPr>
        <w:t>。</w:t>
      </w:r>
      <w:r>
        <w:rPr>
          <w:rFonts w:hint="eastAsia"/>
          <w:sz w:val="24"/>
          <w:szCs w:val="24"/>
        </w:rPr>
        <w:t>2017</w:t>
      </w:r>
      <w:r>
        <w:rPr>
          <w:rFonts w:hint="eastAsia"/>
          <w:sz w:val="24"/>
          <w:szCs w:val="24"/>
        </w:rPr>
        <w:t>年</w:t>
      </w:r>
      <w:r>
        <w:rPr>
          <w:rFonts w:hint="eastAsia"/>
          <w:sz w:val="24"/>
          <w:szCs w:val="24"/>
        </w:rPr>
        <w:t>4</w:t>
      </w:r>
      <w:r>
        <w:rPr>
          <w:rFonts w:hint="eastAsia"/>
          <w:sz w:val="24"/>
          <w:szCs w:val="24"/>
        </w:rPr>
        <w:t>月</w:t>
      </w:r>
      <w:r>
        <w:rPr>
          <w:rFonts w:hint="eastAsia"/>
          <w:sz w:val="24"/>
          <w:szCs w:val="24"/>
        </w:rPr>
        <w:t>11</w:t>
      </w:r>
      <w:r>
        <w:rPr>
          <w:rFonts w:hint="eastAsia"/>
          <w:sz w:val="24"/>
          <w:szCs w:val="24"/>
        </w:rPr>
        <w:t>日国泰君安证券股份有限公司在香港联交所主板挂牌并上市交易，</w:t>
      </w:r>
      <w:r>
        <w:rPr>
          <w:rFonts w:hint="eastAsia"/>
          <w:sz w:val="24"/>
          <w:szCs w:val="24"/>
        </w:rPr>
        <w:t>H</w:t>
      </w:r>
      <w:r>
        <w:rPr>
          <w:rFonts w:hint="eastAsia"/>
          <w:sz w:val="24"/>
          <w:szCs w:val="24"/>
        </w:rPr>
        <w:t>股股票中文简称“</w:t>
      </w:r>
      <w:proofErr w:type="gramStart"/>
      <w:r>
        <w:rPr>
          <w:rFonts w:hint="eastAsia"/>
          <w:sz w:val="24"/>
          <w:szCs w:val="24"/>
        </w:rPr>
        <w:t>國</w:t>
      </w:r>
      <w:proofErr w:type="gramEnd"/>
      <w:r>
        <w:rPr>
          <w:rFonts w:hint="eastAsia"/>
          <w:sz w:val="24"/>
          <w:szCs w:val="24"/>
        </w:rPr>
        <w:t>泰君安”，英文简称为“</w:t>
      </w:r>
      <w:r>
        <w:rPr>
          <w:rFonts w:hint="eastAsia"/>
          <w:sz w:val="24"/>
          <w:szCs w:val="24"/>
        </w:rPr>
        <w:t>GTJA</w:t>
      </w:r>
      <w:r>
        <w:rPr>
          <w:rFonts w:hint="eastAsia"/>
          <w:sz w:val="24"/>
          <w:szCs w:val="24"/>
        </w:rPr>
        <w:t>”，股票代码为“</w:t>
      </w:r>
      <w:r>
        <w:rPr>
          <w:rFonts w:hint="eastAsia"/>
          <w:sz w:val="24"/>
          <w:szCs w:val="24"/>
        </w:rPr>
        <w:t>02611</w:t>
      </w:r>
      <w:r>
        <w:rPr>
          <w:rFonts w:hint="eastAsia"/>
          <w:sz w:val="24"/>
          <w:szCs w:val="24"/>
        </w:rPr>
        <w:t>”。截至</w:t>
      </w:r>
      <w:r>
        <w:rPr>
          <w:rFonts w:hint="eastAsia"/>
          <w:sz w:val="24"/>
          <w:szCs w:val="24"/>
        </w:rPr>
        <w:t>2023</w:t>
      </w:r>
      <w:r>
        <w:rPr>
          <w:rFonts w:hint="eastAsia"/>
          <w:sz w:val="24"/>
          <w:szCs w:val="24"/>
        </w:rPr>
        <w:t>年</w:t>
      </w:r>
      <w:r>
        <w:rPr>
          <w:rFonts w:hint="eastAsia"/>
          <w:sz w:val="24"/>
          <w:szCs w:val="24"/>
        </w:rPr>
        <w:t>12</w:t>
      </w:r>
      <w:r>
        <w:rPr>
          <w:rFonts w:hint="eastAsia"/>
          <w:sz w:val="24"/>
          <w:szCs w:val="24"/>
        </w:rPr>
        <w:t>月</w:t>
      </w:r>
      <w:r>
        <w:rPr>
          <w:rFonts w:hint="eastAsia"/>
          <w:sz w:val="24"/>
          <w:szCs w:val="24"/>
        </w:rPr>
        <w:t>31</w:t>
      </w:r>
      <w:r>
        <w:rPr>
          <w:rFonts w:hint="eastAsia"/>
          <w:sz w:val="24"/>
          <w:szCs w:val="24"/>
        </w:rPr>
        <w:t>日，国泰君安证券股份有限公司注册资本为</w:t>
      </w:r>
      <w:r>
        <w:rPr>
          <w:rFonts w:hint="eastAsia"/>
          <w:sz w:val="24"/>
          <w:szCs w:val="24"/>
        </w:rPr>
        <w:t>89.04610816</w:t>
      </w:r>
      <w:r>
        <w:rPr>
          <w:rFonts w:hint="eastAsia"/>
          <w:sz w:val="24"/>
          <w:szCs w:val="24"/>
        </w:rPr>
        <w:t>亿元人民币，</w:t>
      </w:r>
      <w:r>
        <w:rPr>
          <w:rFonts w:hint="eastAsia"/>
          <w:bCs/>
          <w:sz w:val="24"/>
          <w:szCs w:val="24"/>
        </w:rPr>
        <w:t>直接设有</w:t>
      </w:r>
      <w:r>
        <w:rPr>
          <w:rFonts w:hint="eastAsia"/>
          <w:bCs/>
          <w:sz w:val="24"/>
          <w:szCs w:val="24"/>
        </w:rPr>
        <w:t>6</w:t>
      </w:r>
      <w:r>
        <w:rPr>
          <w:rFonts w:hint="eastAsia"/>
          <w:bCs/>
          <w:sz w:val="24"/>
          <w:szCs w:val="24"/>
        </w:rPr>
        <w:t>家境内子公司和</w:t>
      </w:r>
      <w:r>
        <w:rPr>
          <w:bCs/>
          <w:sz w:val="24"/>
          <w:szCs w:val="24"/>
        </w:rPr>
        <w:t>1</w:t>
      </w:r>
      <w:r>
        <w:rPr>
          <w:rFonts w:hint="eastAsia"/>
          <w:bCs/>
          <w:sz w:val="24"/>
          <w:szCs w:val="24"/>
        </w:rPr>
        <w:t>家境外子公司，并在全国设有</w:t>
      </w:r>
      <w:r>
        <w:rPr>
          <w:bCs/>
          <w:sz w:val="24"/>
          <w:szCs w:val="24"/>
        </w:rPr>
        <w:t>3</w:t>
      </w:r>
      <w:r>
        <w:rPr>
          <w:rFonts w:hint="eastAsia"/>
          <w:bCs/>
          <w:sz w:val="24"/>
          <w:szCs w:val="24"/>
        </w:rPr>
        <w:t>7</w:t>
      </w:r>
      <w:r>
        <w:rPr>
          <w:rFonts w:hint="eastAsia"/>
          <w:bCs/>
          <w:sz w:val="24"/>
          <w:szCs w:val="24"/>
        </w:rPr>
        <w:t>家证券分公司、</w:t>
      </w:r>
      <w:r>
        <w:rPr>
          <w:rFonts w:hint="eastAsia"/>
          <w:bCs/>
          <w:sz w:val="24"/>
          <w:szCs w:val="24"/>
        </w:rPr>
        <w:t>17</w:t>
      </w:r>
      <w:r>
        <w:rPr>
          <w:rFonts w:hint="eastAsia"/>
          <w:bCs/>
          <w:sz w:val="24"/>
          <w:szCs w:val="24"/>
        </w:rPr>
        <w:t>家期货分公司、</w:t>
      </w:r>
      <w:r>
        <w:rPr>
          <w:rFonts w:hint="eastAsia"/>
          <w:bCs/>
          <w:sz w:val="24"/>
          <w:szCs w:val="24"/>
        </w:rPr>
        <w:t>344</w:t>
      </w:r>
      <w:r>
        <w:rPr>
          <w:rFonts w:hint="eastAsia"/>
          <w:bCs/>
          <w:sz w:val="24"/>
          <w:szCs w:val="24"/>
        </w:rPr>
        <w:t>家证券营业部和</w:t>
      </w:r>
      <w:r>
        <w:rPr>
          <w:rFonts w:hint="eastAsia"/>
          <w:bCs/>
          <w:sz w:val="24"/>
          <w:szCs w:val="24"/>
        </w:rPr>
        <w:t>8</w:t>
      </w:r>
      <w:r>
        <w:rPr>
          <w:rFonts w:hint="eastAsia"/>
          <w:bCs/>
          <w:sz w:val="24"/>
          <w:szCs w:val="24"/>
        </w:rPr>
        <w:t>家期货营业部，是国内最早开展各</w:t>
      </w:r>
      <w:proofErr w:type="gramStart"/>
      <w:r>
        <w:rPr>
          <w:rFonts w:hint="eastAsia"/>
          <w:bCs/>
          <w:sz w:val="24"/>
          <w:szCs w:val="24"/>
        </w:rPr>
        <w:t>类创新</w:t>
      </w:r>
      <w:proofErr w:type="gramEnd"/>
      <w:r>
        <w:rPr>
          <w:rFonts w:hint="eastAsia"/>
          <w:bCs/>
          <w:sz w:val="24"/>
          <w:szCs w:val="24"/>
        </w:rPr>
        <w:t>业务的券商之一。</w:t>
      </w:r>
      <w:r>
        <w:rPr>
          <w:bCs/>
          <w:sz w:val="24"/>
          <w:szCs w:val="24"/>
        </w:rPr>
        <w:t>2008-20</w:t>
      </w:r>
      <w:r>
        <w:rPr>
          <w:rFonts w:hint="eastAsia"/>
          <w:bCs/>
          <w:sz w:val="24"/>
          <w:szCs w:val="24"/>
        </w:rPr>
        <w:t>23</w:t>
      </w:r>
      <w:r>
        <w:rPr>
          <w:rFonts w:hint="eastAsia"/>
          <w:bCs/>
          <w:sz w:val="24"/>
          <w:szCs w:val="24"/>
        </w:rPr>
        <w:t>年，公司连续十六年在中国证监会证券公司分类评价中被评为</w:t>
      </w:r>
      <w:r>
        <w:rPr>
          <w:bCs/>
          <w:sz w:val="24"/>
          <w:szCs w:val="24"/>
        </w:rPr>
        <w:t>A</w:t>
      </w:r>
      <w:r>
        <w:rPr>
          <w:rFonts w:hint="eastAsia"/>
          <w:bCs/>
          <w:sz w:val="24"/>
          <w:szCs w:val="24"/>
        </w:rPr>
        <w:t>类</w:t>
      </w:r>
      <w:r>
        <w:rPr>
          <w:bCs/>
          <w:sz w:val="24"/>
          <w:szCs w:val="24"/>
        </w:rPr>
        <w:t>AA</w:t>
      </w:r>
      <w:r>
        <w:rPr>
          <w:rFonts w:hint="eastAsia"/>
          <w:bCs/>
          <w:sz w:val="24"/>
          <w:szCs w:val="24"/>
        </w:rPr>
        <w:t>级，为目前证券公司获得的最高评级。</w:t>
      </w:r>
    </w:p>
    <w:p w14:paraId="72618627" w14:textId="77777777" w:rsidR="0069510E" w:rsidRDefault="00000000">
      <w:pPr>
        <w:spacing w:line="360" w:lineRule="auto"/>
        <w:ind w:firstLineChars="200" w:firstLine="480"/>
        <w:rPr>
          <w:sz w:val="24"/>
          <w:szCs w:val="24"/>
        </w:rPr>
      </w:pPr>
      <w:r>
        <w:rPr>
          <w:rFonts w:hint="eastAsia"/>
          <w:sz w:val="24"/>
          <w:szCs w:val="24"/>
        </w:rPr>
        <w:t>2</w:t>
      </w:r>
      <w:r>
        <w:rPr>
          <w:rFonts w:hint="eastAsia"/>
          <w:sz w:val="24"/>
          <w:szCs w:val="24"/>
        </w:rPr>
        <w:t>、主要人员情况</w:t>
      </w:r>
    </w:p>
    <w:p w14:paraId="22646B06" w14:textId="77777777" w:rsidR="0069510E" w:rsidRDefault="00000000">
      <w:pPr>
        <w:spacing w:line="360" w:lineRule="auto"/>
        <w:ind w:firstLineChars="200" w:firstLine="480"/>
        <w:rPr>
          <w:sz w:val="24"/>
          <w:szCs w:val="24"/>
        </w:rPr>
      </w:pPr>
      <w:r>
        <w:rPr>
          <w:rFonts w:hint="eastAsia"/>
          <w:sz w:val="24"/>
          <w:szCs w:val="24"/>
        </w:rPr>
        <w:t>陈忠义先生，中国国籍，无境外居留权，</w:t>
      </w:r>
      <w:r>
        <w:rPr>
          <w:rFonts w:hint="eastAsia"/>
          <w:sz w:val="24"/>
          <w:szCs w:val="24"/>
        </w:rPr>
        <w:t>1970</w:t>
      </w:r>
      <w:r>
        <w:rPr>
          <w:rFonts w:hint="eastAsia"/>
          <w:sz w:val="24"/>
          <w:szCs w:val="24"/>
        </w:rPr>
        <w:t>年</w:t>
      </w:r>
      <w:r>
        <w:rPr>
          <w:rFonts w:hint="eastAsia"/>
          <w:sz w:val="24"/>
          <w:szCs w:val="24"/>
        </w:rPr>
        <w:t>10</w:t>
      </w:r>
      <w:r>
        <w:rPr>
          <w:rFonts w:hint="eastAsia"/>
          <w:sz w:val="24"/>
          <w:szCs w:val="24"/>
        </w:rPr>
        <w:t>月出生，经济学学士，中级经济师，现任国泰君安证券资产托管部总经理。</w:t>
      </w:r>
      <w:r>
        <w:rPr>
          <w:rFonts w:hint="eastAsia"/>
          <w:sz w:val="24"/>
          <w:szCs w:val="24"/>
        </w:rPr>
        <w:t>1993</w:t>
      </w:r>
      <w:r>
        <w:rPr>
          <w:rFonts w:hint="eastAsia"/>
          <w:sz w:val="24"/>
          <w:szCs w:val="24"/>
        </w:rPr>
        <w:t>年参加工作，曾任职于君安证券清算部总经理助理、国泰君安证券营运中心副总经理、光大证券营运</w:t>
      </w:r>
      <w:r>
        <w:rPr>
          <w:rFonts w:hint="eastAsia"/>
          <w:sz w:val="24"/>
          <w:szCs w:val="24"/>
        </w:rPr>
        <w:lastRenderedPageBreak/>
        <w:t>管理总部总经理等职。“全国金融五一劳动奖章”、“金融服务能手”称号获得者，中国证券业协会托管结算专业委员会副主任委员，带领团队设计的“直通式证券清算质量管理国际化标准平台”，被评为上海市</w:t>
      </w:r>
      <w:r>
        <w:rPr>
          <w:rFonts w:hint="eastAsia"/>
          <w:sz w:val="24"/>
          <w:szCs w:val="24"/>
        </w:rPr>
        <w:t>2011</w:t>
      </w:r>
      <w:r>
        <w:rPr>
          <w:rFonts w:hint="eastAsia"/>
          <w:sz w:val="24"/>
          <w:szCs w:val="24"/>
        </w:rPr>
        <w:t>年度金融创新奖二等奖。</w:t>
      </w:r>
      <w:r>
        <w:rPr>
          <w:rFonts w:hint="eastAsia"/>
          <w:sz w:val="24"/>
          <w:szCs w:val="24"/>
        </w:rPr>
        <w:t>2014</w:t>
      </w:r>
      <w:r>
        <w:rPr>
          <w:rFonts w:hint="eastAsia"/>
          <w:sz w:val="24"/>
          <w:szCs w:val="24"/>
        </w:rPr>
        <w:t>年</w:t>
      </w:r>
      <w:r>
        <w:rPr>
          <w:rFonts w:hint="eastAsia"/>
          <w:sz w:val="24"/>
          <w:szCs w:val="24"/>
        </w:rPr>
        <w:t>2</w:t>
      </w:r>
      <w:r>
        <w:rPr>
          <w:rFonts w:hint="eastAsia"/>
          <w:sz w:val="24"/>
          <w:szCs w:val="24"/>
        </w:rPr>
        <w:t>月起任国泰君安证券资产托管部总经理。</w:t>
      </w:r>
    </w:p>
    <w:p w14:paraId="016A8B8B" w14:textId="77777777" w:rsidR="0069510E" w:rsidRDefault="00000000">
      <w:pPr>
        <w:spacing w:line="360" w:lineRule="auto"/>
        <w:ind w:firstLineChars="200" w:firstLine="480"/>
        <w:rPr>
          <w:sz w:val="24"/>
          <w:szCs w:val="24"/>
        </w:rPr>
      </w:pPr>
      <w:r>
        <w:rPr>
          <w:rFonts w:hint="eastAsia"/>
          <w:sz w:val="24"/>
          <w:szCs w:val="24"/>
        </w:rPr>
        <w:t>国泰君安证券总部</w:t>
      </w:r>
      <w:proofErr w:type="gramStart"/>
      <w:r>
        <w:rPr>
          <w:rFonts w:hint="eastAsia"/>
          <w:sz w:val="24"/>
          <w:szCs w:val="24"/>
        </w:rPr>
        <w:t>设资产</w:t>
      </w:r>
      <w:proofErr w:type="gramEnd"/>
      <w:r>
        <w:rPr>
          <w:rFonts w:hint="eastAsia"/>
          <w:sz w:val="24"/>
          <w:szCs w:val="24"/>
        </w:rPr>
        <w:t>托管部，现有员工全部具备基金从业资格及本科以上学历，管理人员及业务骨干均具有多年基金、证券和银行的从业经验，从业人员囊括了经济师、会计师、注册会计师、律师、国际注册内部审计师等中高级专业技术职称及专业资格，专业背景覆盖了金融、会计、经济、法律、计算机等各领域，是一支诚实勤勉、积极进取、专业分布合理，职业技能优良的资产托管从业人员队伍。</w:t>
      </w:r>
    </w:p>
    <w:p w14:paraId="6F77F61C" w14:textId="77777777" w:rsidR="0069510E" w:rsidRDefault="00000000">
      <w:pPr>
        <w:spacing w:line="360" w:lineRule="auto"/>
        <w:ind w:firstLineChars="200" w:firstLine="480"/>
        <w:rPr>
          <w:sz w:val="24"/>
          <w:szCs w:val="24"/>
        </w:rPr>
      </w:pPr>
      <w:r>
        <w:rPr>
          <w:rFonts w:hint="eastAsia"/>
          <w:sz w:val="24"/>
          <w:szCs w:val="24"/>
        </w:rPr>
        <w:t>3</w:t>
      </w:r>
      <w:r>
        <w:rPr>
          <w:rFonts w:hint="eastAsia"/>
          <w:sz w:val="24"/>
          <w:szCs w:val="24"/>
        </w:rPr>
        <w:t>、基金托管业务经营情况</w:t>
      </w:r>
    </w:p>
    <w:p w14:paraId="68298D3A" w14:textId="77777777" w:rsidR="0069510E" w:rsidRDefault="00000000">
      <w:pPr>
        <w:spacing w:line="360" w:lineRule="auto"/>
        <w:ind w:firstLineChars="200" w:firstLine="480"/>
        <w:rPr>
          <w:sz w:val="24"/>
          <w:szCs w:val="24"/>
        </w:rPr>
      </w:pPr>
      <w:r>
        <w:rPr>
          <w:rFonts w:hint="eastAsia"/>
          <w:sz w:val="24"/>
          <w:szCs w:val="24"/>
        </w:rPr>
        <w:t>国泰君安证券于</w:t>
      </w:r>
      <w:r>
        <w:rPr>
          <w:rFonts w:hint="eastAsia"/>
          <w:sz w:val="24"/>
          <w:szCs w:val="24"/>
        </w:rPr>
        <w:t>2013</w:t>
      </w:r>
      <w:r>
        <w:rPr>
          <w:rFonts w:hint="eastAsia"/>
          <w:sz w:val="24"/>
          <w:szCs w:val="24"/>
        </w:rPr>
        <w:t>年</w:t>
      </w:r>
      <w:r>
        <w:rPr>
          <w:rFonts w:hint="eastAsia"/>
          <w:sz w:val="24"/>
          <w:szCs w:val="24"/>
        </w:rPr>
        <w:t>4</w:t>
      </w:r>
      <w:r>
        <w:rPr>
          <w:rFonts w:hint="eastAsia"/>
          <w:sz w:val="24"/>
          <w:szCs w:val="24"/>
        </w:rPr>
        <w:t>月</w:t>
      </w:r>
      <w:r>
        <w:rPr>
          <w:rFonts w:hint="eastAsia"/>
          <w:sz w:val="24"/>
          <w:szCs w:val="24"/>
        </w:rPr>
        <w:t>3</w:t>
      </w:r>
      <w:r>
        <w:rPr>
          <w:rFonts w:hint="eastAsia"/>
          <w:sz w:val="24"/>
          <w:szCs w:val="24"/>
        </w:rPr>
        <w:t>日取得私募基金综合托管业务资格，于</w:t>
      </w:r>
      <w:r>
        <w:rPr>
          <w:rFonts w:hint="eastAsia"/>
          <w:sz w:val="24"/>
          <w:szCs w:val="24"/>
        </w:rPr>
        <w:t>2014</w:t>
      </w:r>
      <w:r>
        <w:rPr>
          <w:rFonts w:hint="eastAsia"/>
          <w:sz w:val="24"/>
          <w:szCs w:val="24"/>
        </w:rPr>
        <w:t>年</w:t>
      </w:r>
      <w:r>
        <w:rPr>
          <w:rFonts w:hint="eastAsia"/>
          <w:sz w:val="24"/>
          <w:szCs w:val="24"/>
        </w:rPr>
        <w:t>5</w:t>
      </w:r>
      <w:r>
        <w:rPr>
          <w:rFonts w:hint="eastAsia"/>
          <w:sz w:val="24"/>
          <w:szCs w:val="24"/>
        </w:rPr>
        <w:t>月</w:t>
      </w:r>
      <w:r>
        <w:rPr>
          <w:rFonts w:hint="eastAsia"/>
          <w:sz w:val="24"/>
          <w:szCs w:val="24"/>
        </w:rPr>
        <w:t>20</w:t>
      </w:r>
      <w:r>
        <w:rPr>
          <w:rFonts w:hint="eastAsia"/>
          <w:sz w:val="24"/>
          <w:szCs w:val="24"/>
        </w:rPr>
        <w:t>日取得证券投资基金托管资格，可为各类公开募集基金、非公开募集基金提供托管服务。国泰君安证券坚守“诚信专业、质量为本”的服务宗旨，通过组建经验丰富的专业团队、搭建安全高效的业务系统，为基金份额持有人提供值得信赖的托管服务。国泰君安证券获得证券投资基金托管资格以来，广泛开展了公募基金、基金专户、</w:t>
      </w:r>
      <w:proofErr w:type="gramStart"/>
      <w:r>
        <w:rPr>
          <w:rFonts w:hint="eastAsia"/>
          <w:sz w:val="24"/>
          <w:szCs w:val="24"/>
        </w:rPr>
        <w:t>券商资管计划</w:t>
      </w:r>
      <w:proofErr w:type="gramEnd"/>
      <w:r>
        <w:rPr>
          <w:rFonts w:hint="eastAsia"/>
          <w:sz w:val="24"/>
          <w:szCs w:val="24"/>
        </w:rPr>
        <w:t>、私募基金等基金托管业务，与建信、平安、天弘、易方达、富国、长信等多家基金公司及其子公司建立了托管合作关系，截止</w:t>
      </w:r>
      <w:r>
        <w:rPr>
          <w:rFonts w:hint="eastAsia"/>
          <w:sz w:val="24"/>
          <w:szCs w:val="24"/>
        </w:rPr>
        <w:t>2024</w:t>
      </w:r>
      <w:r>
        <w:rPr>
          <w:rFonts w:hint="eastAsia"/>
          <w:sz w:val="24"/>
          <w:szCs w:val="24"/>
        </w:rPr>
        <w:t>年</w:t>
      </w:r>
      <w:r>
        <w:rPr>
          <w:rFonts w:hint="eastAsia"/>
          <w:sz w:val="24"/>
          <w:szCs w:val="24"/>
        </w:rPr>
        <w:t>4</w:t>
      </w:r>
      <w:r>
        <w:rPr>
          <w:rFonts w:hint="eastAsia"/>
          <w:sz w:val="24"/>
          <w:szCs w:val="24"/>
        </w:rPr>
        <w:t>月</w:t>
      </w:r>
      <w:r>
        <w:rPr>
          <w:rFonts w:hint="eastAsia"/>
          <w:sz w:val="24"/>
          <w:szCs w:val="24"/>
        </w:rPr>
        <w:t>30</w:t>
      </w:r>
      <w:r>
        <w:rPr>
          <w:rFonts w:hint="eastAsia"/>
          <w:sz w:val="24"/>
          <w:szCs w:val="24"/>
        </w:rPr>
        <w:t>日托管公</w:t>
      </w:r>
      <w:proofErr w:type="gramStart"/>
      <w:r>
        <w:rPr>
          <w:rFonts w:hint="eastAsia"/>
          <w:sz w:val="24"/>
          <w:szCs w:val="24"/>
        </w:rPr>
        <w:t>募基金</w:t>
      </w:r>
      <w:proofErr w:type="gramEnd"/>
      <w:r>
        <w:rPr>
          <w:rFonts w:hint="eastAsia"/>
          <w:sz w:val="24"/>
          <w:szCs w:val="24"/>
        </w:rPr>
        <w:t>69</w:t>
      </w:r>
      <w:r>
        <w:rPr>
          <w:rFonts w:hint="eastAsia"/>
          <w:sz w:val="24"/>
          <w:szCs w:val="24"/>
        </w:rPr>
        <w:t>只，专业的服务和可靠的运营获得了管理人的一致认可。</w:t>
      </w:r>
    </w:p>
    <w:p w14:paraId="1D1BD598" w14:textId="77777777" w:rsidR="0069510E" w:rsidRDefault="00000000">
      <w:pPr>
        <w:spacing w:line="360" w:lineRule="auto"/>
        <w:ind w:firstLineChars="200" w:firstLine="480"/>
        <w:rPr>
          <w:sz w:val="24"/>
          <w:szCs w:val="24"/>
        </w:rPr>
      </w:pPr>
      <w:r>
        <w:rPr>
          <w:rFonts w:hint="eastAsia"/>
          <w:sz w:val="24"/>
          <w:szCs w:val="24"/>
        </w:rPr>
        <w:t>（二）基金托管人的内部控制制度</w:t>
      </w:r>
    </w:p>
    <w:p w14:paraId="4FDDF4CB" w14:textId="77777777" w:rsidR="0069510E" w:rsidRDefault="00000000">
      <w:pPr>
        <w:spacing w:line="360" w:lineRule="auto"/>
        <w:ind w:firstLineChars="200" w:firstLine="480"/>
        <w:rPr>
          <w:sz w:val="24"/>
          <w:szCs w:val="24"/>
        </w:rPr>
      </w:pPr>
      <w:r>
        <w:rPr>
          <w:rFonts w:hint="eastAsia"/>
          <w:sz w:val="24"/>
          <w:szCs w:val="24"/>
        </w:rPr>
        <w:t>1</w:t>
      </w:r>
      <w:r>
        <w:rPr>
          <w:rFonts w:hint="eastAsia"/>
          <w:sz w:val="24"/>
          <w:szCs w:val="24"/>
        </w:rPr>
        <w:t>、内部控制目标</w:t>
      </w:r>
    </w:p>
    <w:p w14:paraId="11050204" w14:textId="77777777" w:rsidR="0069510E" w:rsidRDefault="00000000">
      <w:pPr>
        <w:spacing w:line="360" w:lineRule="auto"/>
        <w:ind w:firstLineChars="200" w:firstLine="480"/>
        <w:rPr>
          <w:sz w:val="24"/>
          <w:szCs w:val="24"/>
        </w:rPr>
      </w:pPr>
      <w:r>
        <w:rPr>
          <w:rFonts w:hint="eastAsia"/>
          <w:sz w:val="24"/>
          <w:szCs w:val="24"/>
        </w:rPr>
        <w:t>严格遵守国家法律法规、行业规章及公司内相关管理规定，加强内部管理，保证资产托管部业务规章的健全和各项规章的贯彻执行，通过对各种风险的梳理、评估、监控，有效地实现对各项业务风险的监控和管理，确保业务稳健运行，保护基金份额持有人的合法权益。</w:t>
      </w:r>
      <w:r>
        <w:rPr>
          <w:rFonts w:hint="eastAsia"/>
          <w:sz w:val="24"/>
          <w:szCs w:val="24"/>
        </w:rPr>
        <w:t xml:space="preserve"> </w:t>
      </w:r>
    </w:p>
    <w:p w14:paraId="082B0702" w14:textId="77777777" w:rsidR="0069510E" w:rsidRDefault="00000000">
      <w:pPr>
        <w:spacing w:line="360" w:lineRule="auto"/>
        <w:ind w:firstLineChars="200" w:firstLine="480"/>
        <w:rPr>
          <w:sz w:val="24"/>
          <w:szCs w:val="24"/>
        </w:rPr>
      </w:pPr>
      <w:r>
        <w:rPr>
          <w:rFonts w:hint="eastAsia"/>
          <w:sz w:val="24"/>
          <w:szCs w:val="24"/>
        </w:rPr>
        <w:t>2</w:t>
      </w:r>
      <w:r>
        <w:rPr>
          <w:rFonts w:hint="eastAsia"/>
          <w:sz w:val="24"/>
          <w:szCs w:val="24"/>
        </w:rPr>
        <w:t>、内部控制组织结构</w:t>
      </w:r>
    </w:p>
    <w:p w14:paraId="75B88A00" w14:textId="77777777" w:rsidR="0069510E" w:rsidRDefault="00000000">
      <w:pPr>
        <w:spacing w:line="360" w:lineRule="auto"/>
        <w:ind w:firstLineChars="200" w:firstLine="480"/>
        <w:rPr>
          <w:sz w:val="24"/>
          <w:szCs w:val="24"/>
        </w:rPr>
      </w:pPr>
      <w:r>
        <w:rPr>
          <w:rFonts w:hint="eastAsia"/>
          <w:sz w:val="24"/>
          <w:szCs w:val="24"/>
        </w:rPr>
        <w:t>国泰君安证券在董事会中内设风险控制委员会，是公司风险管理的最高决策机构；公司在经营管理层面设置风险管理委员会，对公司经营风险实行统筹管理，</w:t>
      </w:r>
      <w:r>
        <w:rPr>
          <w:rFonts w:hint="eastAsia"/>
          <w:sz w:val="24"/>
          <w:szCs w:val="24"/>
        </w:rPr>
        <w:lastRenderedPageBreak/>
        <w:t>对风险管理重大事项进行审议与决策；风险管理部门包括专职履行风险管理职责的风险管理部、合</w:t>
      </w:r>
      <w:proofErr w:type="gramStart"/>
      <w:r>
        <w:rPr>
          <w:rFonts w:hint="eastAsia"/>
          <w:sz w:val="24"/>
          <w:szCs w:val="24"/>
        </w:rPr>
        <w:t>规</w:t>
      </w:r>
      <w:proofErr w:type="gramEnd"/>
      <w:r>
        <w:rPr>
          <w:rFonts w:hint="eastAsia"/>
          <w:sz w:val="24"/>
          <w:szCs w:val="24"/>
        </w:rPr>
        <w:t>部、法律部、稽核审计部，以及计划财务部、信息技术部、营运中心等履行其他风险管理职责的部门。</w:t>
      </w:r>
    </w:p>
    <w:p w14:paraId="43931DA2" w14:textId="77777777" w:rsidR="0069510E" w:rsidRDefault="00000000">
      <w:pPr>
        <w:spacing w:line="360" w:lineRule="auto"/>
        <w:ind w:firstLineChars="200" w:firstLine="480"/>
        <w:rPr>
          <w:sz w:val="24"/>
          <w:szCs w:val="24"/>
        </w:rPr>
      </w:pPr>
      <w:r>
        <w:rPr>
          <w:rFonts w:hint="eastAsia"/>
          <w:sz w:val="24"/>
          <w:szCs w:val="24"/>
        </w:rPr>
        <w:t>资产托管部设置</w:t>
      </w:r>
      <w:proofErr w:type="gramStart"/>
      <w:r>
        <w:rPr>
          <w:rFonts w:hint="eastAsia"/>
          <w:sz w:val="24"/>
          <w:szCs w:val="24"/>
        </w:rPr>
        <w:t>风控合规</w:t>
      </w:r>
      <w:proofErr w:type="gramEnd"/>
      <w:r>
        <w:rPr>
          <w:rFonts w:hint="eastAsia"/>
          <w:sz w:val="24"/>
          <w:szCs w:val="24"/>
        </w:rPr>
        <w:t>岗和稽核监控岗，负责制定本部门风险管理规章制度，分析报告部门整体风险管理状况，评估检查风险管理执行情况并提出改进建议，抓住要害环节和关键风险，协助业务运营岗位进行专项化解，监督风险薄弱环节的整改情况；同时部门设置风险评估及处置小组，由资产托管部总经理及各小组、运营中心负责人组成，负责对重大风险事项进行评估、确定风险管理违规事项的处理意见、突发事件应急管理等事项。</w:t>
      </w:r>
      <w:r>
        <w:rPr>
          <w:rFonts w:hint="eastAsia"/>
          <w:sz w:val="24"/>
          <w:szCs w:val="24"/>
        </w:rPr>
        <w:t xml:space="preserve"> </w:t>
      </w:r>
    </w:p>
    <w:p w14:paraId="7DE49E99" w14:textId="77777777" w:rsidR="0069510E" w:rsidRDefault="00000000">
      <w:pPr>
        <w:spacing w:line="360" w:lineRule="auto"/>
        <w:ind w:firstLineChars="200" w:firstLine="480"/>
        <w:rPr>
          <w:sz w:val="24"/>
          <w:szCs w:val="24"/>
        </w:rPr>
      </w:pPr>
      <w:r>
        <w:rPr>
          <w:rFonts w:hint="eastAsia"/>
          <w:sz w:val="24"/>
          <w:szCs w:val="24"/>
        </w:rPr>
        <w:t>3</w:t>
      </w:r>
      <w:r>
        <w:rPr>
          <w:rFonts w:hint="eastAsia"/>
          <w:sz w:val="24"/>
          <w:szCs w:val="24"/>
        </w:rPr>
        <w:t>、内部控制制度及措施</w:t>
      </w:r>
    </w:p>
    <w:p w14:paraId="46A5501D" w14:textId="77777777" w:rsidR="0069510E" w:rsidRDefault="00000000">
      <w:pPr>
        <w:spacing w:line="360" w:lineRule="auto"/>
        <w:ind w:firstLineChars="200" w:firstLine="480"/>
        <w:rPr>
          <w:sz w:val="24"/>
          <w:szCs w:val="24"/>
        </w:rPr>
      </w:pPr>
      <w:r>
        <w:rPr>
          <w:rFonts w:hint="eastAsia"/>
          <w:sz w:val="24"/>
          <w:szCs w:val="24"/>
        </w:rPr>
        <w:t>根据《基金法》、《运作办法》、《证券投资基金托管业务管理办法》等法律法规，基金托管</w:t>
      </w:r>
      <w:proofErr w:type="gramStart"/>
      <w:r>
        <w:rPr>
          <w:rFonts w:hint="eastAsia"/>
          <w:sz w:val="24"/>
          <w:szCs w:val="24"/>
        </w:rPr>
        <w:t>人制</w:t>
      </w:r>
      <w:proofErr w:type="gramEnd"/>
      <w:r>
        <w:rPr>
          <w:rFonts w:hint="eastAsia"/>
          <w:sz w:val="24"/>
          <w:szCs w:val="24"/>
        </w:rPr>
        <w:t>定了一整套严密、高效的证券投资基金托管管理规章制度，确保基金托管业务运行的规范、安全、高效，包括《国泰君安证券资产托管业务管理暂行办法》、《国泰君安证券资产托管部内部控制与风险管理操作规程》、《国泰君安证券资产托管部稽核监控操作规程》、《国泰君安证券资产托管部突发事件与危机处理规程》、《国泰君安证券资产托管部保密规程》、《国泰君安证券资产托管部资产保管操作规程》、《国泰君安证券资产托管部档案管理操作规程》等，并根据市场变化和基金业务的发展不断加以完善。做到业务管理制度化，技术系统完整独立，核心作业区实行封闭管理，业务分工合理，有关信息披露由专人负责。</w:t>
      </w:r>
    </w:p>
    <w:p w14:paraId="4EFF3E2D" w14:textId="77777777" w:rsidR="0069510E" w:rsidRDefault="00000000">
      <w:pPr>
        <w:spacing w:line="360" w:lineRule="auto"/>
        <w:ind w:firstLineChars="200" w:firstLine="480"/>
        <w:rPr>
          <w:sz w:val="24"/>
          <w:szCs w:val="24"/>
        </w:rPr>
      </w:pPr>
      <w:r>
        <w:rPr>
          <w:rFonts w:hint="eastAsia"/>
          <w:sz w:val="24"/>
          <w:szCs w:val="24"/>
        </w:rPr>
        <w:t>基金托管人通过基金托管业务各环节风险的事前揭示、事中控制和事后稽核的动态管理过程来实施内部风险控制；安全保管基金财产，保持基金财产的独立性；实行经营场所封闭式双门禁管理，并配备录音和录像监控系统；建立独立的托管运营系统并进行防火墙设置；实施严格的岗位冲突矩阵管理，重要岗位设置双人复核机制，建立严格有效的操作制约体系；深入进行职业道德教育，树立内控优先的理念，培养部门全体员工的风险防范和保密意识；配备专门的稽核监控岗对基金托管业务运行进行内部稽核审查，以保证基金托管业务内部控制的有效性。</w:t>
      </w:r>
    </w:p>
    <w:p w14:paraId="310135CA" w14:textId="77777777" w:rsidR="0069510E" w:rsidRDefault="00000000">
      <w:pPr>
        <w:spacing w:line="360" w:lineRule="auto"/>
        <w:ind w:firstLineChars="200" w:firstLine="480"/>
        <w:rPr>
          <w:sz w:val="24"/>
          <w:szCs w:val="24"/>
        </w:rPr>
      </w:pPr>
      <w:r>
        <w:rPr>
          <w:rFonts w:hint="eastAsia"/>
          <w:sz w:val="24"/>
          <w:szCs w:val="24"/>
        </w:rPr>
        <w:t>（三）基金托管人对基金管理人运作基金进行监督的方法和程序</w:t>
      </w:r>
    </w:p>
    <w:p w14:paraId="16796060" w14:textId="77777777" w:rsidR="0069510E" w:rsidRDefault="00000000">
      <w:pPr>
        <w:spacing w:line="360" w:lineRule="auto"/>
        <w:ind w:firstLineChars="200" w:firstLine="480"/>
        <w:rPr>
          <w:sz w:val="24"/>
          <w:szCs w:val="24"/>
        </w:rPr>
      </w:pPr>
      <w:r>
        <w:rPr>
          <w:rFonts w:hint="eastAsia"/>
          <w:sz w:val="24"/>
          <w:szCs w:val="24"/>
        </w:rPr>
        <w:t>1</w:t>
      </w:r>
      <w:r>
        <w:rPr>
          <w:rFonts w:hint="eastAsia"/>
          <w:sz w:val="24"/>
          <w:szCs w:val="24"/>
        </w:rPr>
        <w:t>、监督方法</w:t>
      </w:r>
    </w:p>
    <w:p w14:paraId="4972FC1F" w14:textId="77777777" w:rsidR="0069510E" w:rsidRDefault="00000000">
      <w:pPr>
        <w:spacing w:line="360" w:lineRule="auto"/>
        <w:ind w:firstLineChars="200" w:firstLine="480"/>
        <w:rPr>
          <w:sz w:val="24"/>
          <w:szCs w:val="24"/>
        </w:rPr>
      </w:pPr>
      <w:r>
        <w:rPr>
          <w:rFonts w:hint="eastAsia"/>
          <w:sz w:val="24"/>
          <w:szCs w:val="24"/>
        </w:rPr>
        <w:lastRenderedPageBreak/>
        <w:t>基金托管人根据《基金法》、《运作办法》等有关法律法规的规定及《基金合同》约定，制定投资监督标准与监督流程，对基金合同生效之后所委托资产的投资范围、投资比例、投资限制等进行严格监督，及时提示管理人违规风险，并定期编写基金投资运作监督报告，报送中国证监会。在日常为基金投资运作所提供的基金清算和核算服务环节中，对基金管理人发送的投资指令、基金管理人对基金资产的核算、基金资产净值的计算、对各基金费用的提取与开支情况、基金的申购资金的到账与赎回资金的划付、基金收益分配等行为的合法性、合</w:t>
      </w:r>
      <w:proofErr w:type="gramStart"/>
      <w:r>
        <w:rPr>
          <w:rFonts w:hint="eastAsia"/>
          <w:sz w:val="24"/>
          <w:szCs w:val="24"/>
        </w:rPr>
        <w:t>规</w:t>
      </w:r>
      <w:proofErr w:type="gramEnd"/>
      <w:r>
        <w:rPr>
          <w:rFonts w:hint="eastAsia"/>
          <w:sz w:val="24"/>
          <w:szCs w:val="24"/>
        </w:rPr>
        <w:t>性进行监督和核查。</w:t>
      </w:r>
    </w:p>
    <w:p w14:paraId="5B3F0268" w14:textId="77777777" w:rsidR="0069510E" w:rsidRDefault="00000000">
      <w:pPr>
        <w:spacing w:line="360" w:lineRule="auto"/>
        <w:ind w:firstLineChars="200" w:firstLine="480"/>
        <w:rPr>
          <w:sz w:val="24"/>
          <w:szCs w:val="24"/>
        </w:rPr>
      </w:pPr>
      <w:r>
        <w:rPr>
          <w:rFonts w:hint="eastAsia"/>
          <w:sz w:val="24"/>
          <w:szCs w:val="24"/>
        </w:rPr>
        <w:t>2</w:t>
      </w:r>
      <w:r>
        <w:rPr>
          <w:rFonts w:hint="eastAsia"/>
          <w:sz w:val="24"/>
          <w:szCs w:val="24"/>
        </w:rPr>
        <w:t>、监督程序</w:t>
      </w:r>
      <w:r>
        <w:rPr>
          <w:rFonts w:hint="eastAsia"/>
          <w:sz w:val="24"/>
          <w:szCs w:val="24"/>
        </w:rPr>
        <w:t xml:space="preserve"> </w:t>
      </w:r>
    </w:p>
    <w:p w14:paraId="1B4C451F" w14:textId="77777777" w:rsidR="0069510E" w:rsidRDefault="00000000">
      <w:pPr>
        <w:spacing w:line="360" w:lineRule="auto"/>
        <w:ind w:firstLineChars="200" w:firstLine="480"/>
        <w:rPr>
          <w:sz w:val="24"/>
          <w:szCs w:val="24"/>
        </w:rPr>
      </w:pPr>
      <w:r>
        <w:rPr>
          <w:rFonts w:hint="eastAsia"/>
          <w:sz w:val="24"/>
          <w:szCs w:val="24"/>
        </w:rPr>
        <w:t>基金托管人发现基金管理人有违反《基金法》、《运作办法》等有关法律法规和《基金合同》的行为，应当及时通知基金管理人予以纠正，基金管理人收到通知后及时核对确认并进行调整。基金托管人有权随时对通知事项进行复查，督促基金管理人改正。基金管理人对基金托管人通知的违规事项未能在限期内纠正的，基金托管人应报告中国证监会。基金托管人发现基金管理人有重大违规行为，应立即报告中国证监会，同时通知基金管理人限期纠正。</w:t>
      </w:r>
    </w:p>
    <w:p w14:paraId="3447FEC1" w14:textId="7B675E83" w:rsidR="0069510E" w:rsidRDefault="0069510E">
      <w:pPr>
        <w:tabs>
          <w:tab w:val="left" w:pos="1110"/>
        </w:tabs>
        <w:adjustRightInd w:val="0"/>
        <w:snapToGrid w:val="0"/>
        <w:spacing w:line="360" w:lineRule="auto"/>
        <w:ind w:firstLineChars="200" w:firstLine="480"/>
        <w:rPr>
          <w:rFonts w:asciiTheme="minorEastAsia" w:hAnsiTheme="minorEastAsia" w:cs="Arial"/>
          <w:bCs/>
          <w:sz w:val="24"/>
          <w:szCs w:val="24"/>
        </w:rPr>
      </w:pPr>
    </w:p>
    <w:p w14:paraId="490503C9" w14:textId="77777777" w:rsidR="0069510E" w:rsidRDefault="0069510E">
      <w:pPr>
        <w:tabs>
          <w:tab w:val="left" w:pos="1110"/>
        </w:tabs>
        <w:adjustRightInd w:val="0"/>
        <w:snapToGrid w:val="0"/>
        <w:spacing w:line="360" w:lineRule="auto"/>
        <w:ind w:firstLineChars="200" w:firstLine="482"/>
        <w:rPr>
          <w:rFonts w:asciiTheme="minorEastAsia" w:hAnsiTheme="minorEastAsia" w:cs="Arial"/>
          <w:b/>
          <w:bCs/>
          <w:sz w:val="24"/>
          <w:szCs w:val="24"/>
        </w:rPr>
      </w:pPr>
    </w:p>
    <w:p w14:paraId="606F0F68" w14:textId="77777777" w:rsidR="0069510E" w:rsidRDefault="0069510E">
      <w:pPr>
        <w:tabs>
          <w:tab w:val="left" w:pos="1110"/>
        </w:tabs>
        <w:adjustRightInd w:val="0"/>
        <w:snapToGrid w:val="0"/>
        <w:spacing w:line="360" w:lineRule="auto"/>
        <w:ind w:firstLineChars="200" w:firstLine="482"/>
        <w:rPr>
          <w:rFonts w:asciiTheme="minorEastAsia" w:hAnsiTheme="minorEastAsia" w:cs="Arial"/>
          <w:b/>
          <w:bCs/>
          <w:sz w:val="24"/>
          <w:szCs w:val="24"/>
        </w:rPr>
      </w:pPr>
    </w:p>
    <w:p w14:paraId="1FAEFD5F" w14:textId="77777777" w:rsidR="0069510E" w:rsidRDefault="0069510E">
      <w:pPr>
        <w:tabs>
          <w:tab w:val="left" w:pos="1110"/>
        </w:tabs>
        <w:adjustRightInd w:val="0"/>
        <w:snapToGrid w:val="0"/>
        <w:spacing w:line="360" w:lineRule="auto"/>
        <w:ind w:firstLineChars="200" w:firstLine="480"/>
        <w:rPr>
          <w:rFonts w:asciiTheme="minorEastAsia" w:hAnsiTheme="minorEastAsia" w:cs="Arial"/>
          <w:bCs/>
          <w:sz w:val="24"/>
          <w:szCs w:val="24"/>
        </w:rPr>
      </w:pPr>
    </w:p>
    <w:p w14:paraId="173AF144" w14:textId="77777777" w:rsidR="0069510E" w:rsidRDefault="00000000">
      <w:pPr>
        <w:widowControl/>
        <w:jc w:val="left"/>
        <w:rPr>
          <w:rFonts w:asciiTheme="minorEastAsia" w:hAnsiTheme="minorEastAsia" w:cs="Arial"/>
          <w:bCs/>
          <w:sz w:val="24"/>
          <w:szCs w:val="24"/>
        </w:rPr>
      </w:pPr>
      <w:r>
        <w:rPr>
          <w:rFonts w:asciiTheme="minorEastAsia" w:hAnsiTheme="minorEastAsia" w:cs="Arial"/>
          <w:bCs/>
          <w:sz w:val="24"/>
          <w:szCs w:val="24"/>
        </w:rPr>
        <w:br w:type="page"/>
      </w:r>
    </w:p>
    <w:p w14:paraId="4B4689AE" w14:textId="77777777" w:rsidR="0069510E" w:rsidRDefault="00000000">
      <w:pPr>
        <w:pStyle w:val="1"/>
        <w:jc w:val="center"/>
        <w:rPr>
          <w:sz w:val="30"/>
          <w:szCs w:val="30"/>
        </w:rPr>
      </w:pPr>
      <w:bookmarkStart w:id="94" w:name="_Toc214873594"/>
      <w:bookmarkStart w:id="95" w:name="_Toc263092313"/>
      <w:bookmarkStart w:id="96" w:name="_Toc136963805"/>
      <w:bookmarkStart w:id="97" w:name="_Toc416264541"/>
      <w:bookmarkStart w:id="98" w:name="_Toc68266292"/>
      <w:bookmarkStart w:id="99" w:name="_Toc139991736"/>
      <w:bookmarkStart w:id="100" w:name="_Toc141703886"/>
      <w:bookmarkStart w:id="101" w:name="_Toc10463"/>
      <w:bookmarkStart w:id="102" w:name="_Toc48649707"/>
      <w:bookmarkStart w:id="103" w:name="_Toc11081"/>
      <w:bookmarkStart w:id="104" w:name="_Toc1270"/>
      <w:bookmarkStart w:id="105" w:name="_Toc123051452"/>
      <w:bookmarkStart w:id="106" w:name="_Toc1427"/>
      <w:bookmarkStart w:id="107" w:name="_Toc352229752"/>
      <w:bookmarkStart w:id="108" w:name="_Toc352229751"/>
      <w:bookmarkStart w:id="109" w:name="_Toc20733"/>
      <w:bookmarkStart w:id="110" w:name="_Toc98560352"/>
      <w:bookmarkStart w:id="111" w:name="_Toc123112234"/>
      <w:bookmarkStart w:id="112" w:name="_Toc4003"/>
      <w:bookmarkStart w:id="113" w:name="_Toc123102453"/>
      <w:bookmarkStart w:id="114" w:name="_Toc79392606"/>
      <w:bookmarkStart w:id="115" w:name="_Toc23822"/>
      <w:bookmarkStart w:id="116" w:name="_Toc610"/>
      <w:bookmarkStart w:id="117" w:name="_Toc7920"/>
      <w:bookmarkStart w:id="118" w:name="_Toc17244"/>
      <w:bookmarkStart w:id="119" w:name="_Toc23261"/>
      <w:bookmarkEnd w:id="72"/>
      <w:bookmarkEnd w:id="73"/>
      <w:bookmarkEnd w:id="74"/>
      <w:bookmarkEnd w:id="75"/>
      <w:bookmarkEnd w:id="76"/>
      <w:bookmarkEnd w:id="77"/>
      <w:bookmarkEnd w:id="78"/>
      <w:bookmarkEnd w:id="79"/>
      <w:bookmarkEnd w:id="80"/>
      <w:bookmarkEnd w:id="81"/>
      <w:bookmarkEnd w:id="82"/>
      <w:bookmarkEnd w:id="83"/>
      <w:bookmarkEnd w:id="84"/>
      <w:bookmarkEnd w:id="86"/>
      <w:bookmarkEnd w:id="87"/>
      <w:bookmarkEnd w:id="88"/>
      <w:bookmarkEnd w:id="89"/>
      <w:r>
        <w:rPr>
          <w:rFonts w:hint="eastAsia"/>
          <w:sz w:val="30"/>
          <w:szCs w:val="30"/>
        </w:rPr>
        <w:lastRenderedPageBreak/>
        <w:t>第五部分</w:t>
      </w:r>
      <w:r>
        <w:rPr>
          <w:sz w:val="30"/>
          <w:szCs w:val="30"/>
        </w:rPr>
        <w:t xml:space="preserve">  </w:t>
      </w:r>
      <w:r>
        <w:rPr>
          <w:rFonts w:hint="eastAsia"/>
          <w:sz w:val="30"/>
          <w:szCs w:val="30"/>
        </w:rPr>
        <w:t>相关服务机构</w:t>
      </w:r>
      <w:bookmarkEnd w:id="94"/>
      <w:bookmarkEnd w:id="95"/>
      <w:bookmarkEnd w:id="96"/>
      <w:bookmarkEnd w:id="97"/>
      <w:bookmarkEnd w:id="98"/>
    </w:p>
    <w:p w14:paraId="6C1CB917" w14:textId="77777777" w:rsidR="0069510E" w:rsidRDefault="00000000">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14:paraId="24F5A23D" w14:textId="77777777" w:rsidR="0069510E" w:rsidRDefault="00000000">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1、直销机构：富荣基金管理有限公司直销中心</w:t>
      </w:r>
    </w:p>
    <w:p w14:paraId="7E5DD3CD" w14:textId="77777777" w:rsidR="0069510E" w:rsidRDefault="00000000">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注册地址：广东省广州市南沙区横</w:t>
      </w:r>
      <w:proofErr w:type="gramStart"/>
      <w:r>
        <w:rPr>
          <w:rFonts w:asciiTheme="minorEastAsia" w:hAnsiTheme="minorEastAsia" w:cs="Arial" w:hint="eastAsia"/>
          <w:sz w:val="24"/>
          <w:szCs w:val="24"/>
        </w:rPr>
        <w:t>沥</w:t>
      </w:r>
      <w:proofErr w:type="gramEnd"/>
      <w:r>
        <w:rPr>
          <w:rFonts w:asciiTheme="minorEastAsia" w:hAnsiTheme="minorEastAsia" w:cs="Arial" w:hint="eastAsia"/>
          <w:sz w:val="24"/>
          <w:szCs w:val="24"/>
        </w:rPr>
        <w:t>镇汇通二街2号3110房</w:t>
      </w:r>
    </w:p>
    <w:p w14:paraId="709350E9" w14:textId="77777777" w:rsidR="0069510E" w:rsidRDefault="00000000">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w:t>
      </w:r>
      <w:r>
        <w:rPr>
          <w:rFonts w:asciiTheme="minorEastAsia" w:hAnsiTheme="minorEastAsia" w:cs="Times New Roman" w:hint="eastAsia"/>
          <w:kern w:val="0"/>
          <w:sz w:val="24"/>
          <w:szCs w:val="24"/>
        </w:rPr>
        <w:t>深圳市福田区八卦四路</w:t>
      </w:r>
      <w:r>
        <w:rPr>
          <w:rFonts w:asciiTheme="minorEastAsia" w:hAnsiTheme="minorEastAsia" w:cs="Times New Roman"/>
          <w:kern w:val="0"/>
          <w:sz w:val="24"/>
          <w:szCs w:val="24"/>
        </w:rPr>
        <w:t>52号安吉</w:t>
      </w:r>
      <w:r>
        <w:rPr>
          <w:rFonts w:asciiTheme="minorEastAsia" w:hAnsiTheme="minorEastAsia" w:cs="Times New Roman" w:hint="eastAsia"/>
          <w:kern w:val="0"/>
          <w:sz w:val="24"/>
          <w:szCs w:val="24"/>
        </w:rPr>
        <w:t>尔大厦</w:t>
      </w:r>
      <w:r>
        <w:rPr>
          <w:rFonts w:asciiTheme="minorEastAsia" w:hAnsiTheme="minorEastAsia" w:cs="Times New Roman"/>
          <w:kern w:val="0"/>
          <w:sz w:val="24"/>
          <w:szCs w:val="24"/>
        </w:rPr>
        <w:t>24层</w:t>
      </w:r>
    </w:p>
    <w:p w14:paraId="5E93FB25" w14:textId="77777777" w:rsidR="0069510E" w:rsidRDefault="00000000">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法定代表人：王亦伟</w:t>
      </w:r>
    </w:p>
    <w:p w14:paraId="6E16A80F" w14:textId="77777777" w:rsidR="0069510E" w:rsidRDefault="00000000">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w:t>
      </w:r>
      <w:r>
        <w:rPr>
          <w:rFonts w:asciiTheme="minorEastAsia" w:hAnsiTheme="minorEastAsia" w:cs="Arial"/>
          <w:sz w:val="24"/>
          <w:szCs w:val="24"/>
        </w:rPr>
        <w:t>0755-84356629</w:t>
      </w:r>
    </w:p>
    <w:p w14:paraId="763A3DAF" w14:textId="77777777" w:rsidR="0069510E" w:rsidRDefault="00000000">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w:t>
      </w:r>
      <w:r>
        <w:rPr>
          <w:rFonts w:asciiTheme="minorEastAsia" w:hAnsiTheme="minorEastAsia" w:cs="Arial"/>
          <w:sz w:val="24"/>
          <w:szCs w:val="24"/>
        </w:rPr>
        <w:t>0755-</w:t>
      </w:r>
      <w:r>
        <w:rPr>
          <w:rFonts w:asciiTheme="minorEastAsia" w:hAnsiTheme="minorEastAsia" w:cs="Arial"/>
          <w:kern w:val="0"/>
          <w:sz w:val="24"/>
          <w:szCs w:val="24"/>
        </w:rPr>
        <w:t>83230902</w:t>
      </w:r>
    </w:p>
    <w:p w14:paraId="335D54B1" w14:textId="77777777" w:rsidR="0069510E" w:rsidRDefault="00000000">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w:t>
      </w:r>
      <w:r>
        <w:rPr>
          <w:rFonts w:asciiTheme="minorEastAsia" w:hAnsiTheme="minorEastAsia" w:cs="Arial"/>
          <w:sz w:val="24"/>
          <w:szCs w:val="24"/>
        </w:rPr>
        <w:t>4006855600</w:t>
      </w:r>
    </w:p>
    <w:p w14:paraId="1E86D65B" w14:textId="77777777" w:rsidR="0069510E" w:rsidRDefault="00000000">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t>
      </w:r>
      <w:r>
        <w:rPr>
          <w:rFonts w:asciiTheme="minorEastAsia" w:hAnsiTheme="minorEastAsia" w:cs="Arial"/>
          <w:sz w:val="24"/>
          <w:szCs w:val="24"/>
        </w:rPr>
        <w:t>www.furamc.com.cn</w:t>
      </w:r>
    </w:p>
    <w:p w14:paraId="35DA228C" w14:textId="77777777" w:rsidR="0069510E" w:rsidRDefault="00000000">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2、其他销售机构：</w:t>
      </w:r>
      <w:r>
        <w:rPr>
          <w:rFonts w:asciiTheme="minorEastAsia" w:hAnsiTheme="minorEastAsia" w:cs="Arial" w:hint="eastAsia"/>
          <w:sz w:val="24"/>
          <w:szCs w:val="24"/>
        </w:rPr>
        <w:t>具体名单详见本基金份额发售公告以及基金管理人网站。</w:t>
      </w:r>
    </w:p>
    <w:tbl>
      <w:tblPr>
        <w:tblStyle w:val="afa"/>
        <w:tblW w:w="8295" w:type="dxa"/>
        <w:tblLayout w:type="fixed"/>
        <w:tblLook w:val="04A0" w:firstRow="1" w:lastRow="0" w:firstColumn="1" w:lastColumn="0" w:noHBand="0" w:noVBand="1"/>
      </w:tblPr>
      <w:tblGrid>
        <w:gridCol w:w="675"/>
        <w:gridCol w:w="2581"/>
        <w:gridCol w:w="5039"/>
      </w:tblGrid>
      <w:tr w:rsidR="0069510E" w14:paraId="5ABF838C" w14:textId="77777777">
        <w:tc>
          <w:tcPr>
            <w:tcW w:w="675" w:type="dxa"/>
            <w:tcBorders>
              <w:top w:val="single" w:sz="4" w:space="0" w:color="auto"/>
              <w:left w:val="single" w:sz="4" w:space="0" w:color="auto"/>
              <w:bottom w:val="single" w:sz="4" w:space="0" w:color="auto"/>
              <w:right w:val="single" w:sz="4" w:space="0" w:color="auto"/>
            </w:tcBorders>
          </w:tcPr>
          <w:p w14:paraId="0C6C2543" w14:textId="77777777" w:rsidR="0069510E" w:rsidRDefault="00000000">
            <w:pPr>
              <w:spacing w:line="360" w:lineRule="auto"/>
              <w:jc w:val="center"/>
              <w:rPr>
                <w:rFonts w:asciiTheme="minorEastAsia" w:hAnsiTheme="minorEastAsia" w:cs="Arial"/>
              </w:rPr>
            </w:pPr>
            <w:r>
              <w:rPr>
                <w:rFonts w:asciiTheme="minorEastAsia" w:hAnsiTheme="minorEastAsia" w:cs="Arial" w:hint="eastAsia"/>
              </w:rPr>
              <w:t>序号</w:t>
            </w:r>
          </w:p>
        </w:tc>
        <w:tc>
          <w:tcPr>
            <w:tcW w:w="2581" w:type="dxa"/>
            <w:tcBorders>
              <w:top w:val="single" w:sz="4" w:space="0" w:color="auto"/>
              <w:left w:val="single" w:sz="4" w:space="0" w:color="auto"/>
              <w:bottom w:val="single" w:sz="4" w:space="0" w:color="auto"/>
              <w:right w:val="single" w:sz="4" w:space="0" w:color="auto"/>
            </w:tcBorders>
          </w:tcPr>
          <w:p w14:paraId="2BDE2AFF" w14:textId="77777777" w:rsidR="0069510E" w:rsidRDefault="00000000">
            <w:pPr>
              <w:spacing w:line="360" w:lineRule="auto"/>
              <w:jc w:val="center"/>
              <w:rPr>
                <w:rFonts w:asciiTheme="minorEastAsia" w:hAnsiTheme="minorEastAsia" w:cs="Arial"/>
              </w:rPr>
            </w:pPr>
            <w:r>
              <w:rPr>
                <w:rFonts w:asciiTheme="minorEastAsia" w:hAnsiTheme="minorEastAsia" w:cs="Arial" w:hint="eastAsia"/>
              </w:rPr>
              <w:t>代销机构名称</w:t>
            </w:r>
          </w:p>
        </w:tc>
        <w:tc>
          <w:tcPr>
            <w:tcW w:w="5039" w:type="dxa"/>
            <w:tcBorders>
              <w:top w:val="single" w:sz="4" w:space="0" w:color="auto"/>
              <w:left w:val="single" w:sz="4" w:space="0" w:color="auto"/>
              <w:bottom w:val="single" w:sz="4" w:space="0" w:color="auto"/>
              <w:right w:val="single" w:sz="4" w:space="0" w:color="auto"/>
            </w:tcBorders>
          </w:tcPr>
          <w:p w14:paraId="05244032" w14:textId="77777777" w:rsidR="0069510E" w:rsidRDefault="00000000">
            <w:pPr>
              <w:spacing w:line="360" w:lineRule="auto"/>
              <w:jc w:val="center"/>
              <w:rPr>
                <w:rFonts w:asciiTheme="minorEastAsia" w:hAnsiTheme="minorEastAsia" w:cs="Arial"/>
              </w:rPr>
            </w:pPr>
            <w:r>
              <w:rPr>
                <w:rFonts w:asciiTheme="minorEastAsia" w:hAnsiTheme="minorEastAsia" w:cs="Arial" w:hint="eastAsia"/>
              </w:rPr>
              <w:t>代销机构信息</w:t>
            </w:r>
          </w:p>
        </w:tc>
      </w:tr>
      <w:tr w:rsidR="0069510E" w14:paraId="0294B36A" w14:textId="77777777">
        <w:tc>
          <w:tcPr>
            <w:tcW w:w="675" w:type="dxa"/>
          </w:tcPr>
          <w:p w14:paraId="00267358" w14:textId="77777777" w:rsidR="0069510E" w:rsidRDefault="00000000" w:rsidP="004A5EC5">
            <w:pPr>
              <w:jc w:val="center"/>
              <w:rPr>
                <w:rFonts w:ascii="宋体" w:hAnsi="宋体" w:cs="Arial"/>
              </w:rPr>
            </w:pPr>
            <w:r>
              <w:rPr>
                <w:rFonts w:ascii="宋体" w:hAnsi="宋体" w:cs="Arial" w:hint="eastAsia"/>
              </w:rPr>
              <w:t>1</w:t>
            </w:r>
          </w:p>
        </w:tc>
        <w:tc>
          <w:tcPr>
            <w:tcW w:w="2581" w:type="dxa"/>
          </w:tcPr>
          <w:p w14:paraId="5E23B682" w14:textId="77777777" w:rsidR="0069510E" w:rsidRPr="004A5EC5" w:rsidRDefault="00000000" w:rsidP="004A5EC5">
            <w:pPr>
              <w:jc w:val="left"/>
              <w:rPr>
                <w:rFonts w:ascii="宋体" w:hAnsi="宋体" w:cs="Arial"/>
              </w:rPr>
            </w:pPr>
            <w:r w:rsidRPr="004A5EC5">
              <w:rPr>
                <w:rFonts w:ascii="宋体" w:hAnsi="宋体" w:cs="Arial" w:hint="eastAsia"/>
              </w:rPr>
              <w:t>上海基</w:t>
            </w:r>
            <w:proofErr w:type="gramStart"/>
            <w:r w:rsidRPr="004A5EC5">
              <w:rPr>
                <w:rFonts w:ascii="宋体" w:hAnsi="宋体" w:cs="Arial" w:hint="eastAsia"/>
              </w:rPr>
              <w:t>煜</w:t>
            </w:r>
            <w:proofErr w:type="gramEnd"/>
            <w:r w:rsidRPr="004A5EC5">
              <w:rPr>
                <w:rFonts w:ascii="宋体" w:hAnsi="宋体" w:cs="Arial" w:hint="eastAsia"/>
              </w:rPr>
              <w:t>基金销售有限公司</w:t>
            </w:r>
          </w:p>
        </w:tc>
        <w:tc>
          <w:tcPr>
            <w:tcW w:w="5039" w:type="dxa"/>
          </w:tcPr>
          <w:p w14:paraId="1B1D7445" w14:textId="77777777" w:rsidR="0069510E" w:rsidRPr="004A5EC5" w:rsidRDefault="00000000" w:rsidP="004A5EC5">
            <w:pPr>
              <w:snapToGrid w:val="0"/>
              <w:jc w:val="left"/>
              <w:rPr>
                <w:rFonts w:ascii="宋体" w:hAnsi="宋体" w:cs="Arial"/>
              </w:rPr>
            </w:pPr>
            <w:r w:rsidRPr="004A5EC5">
              <w:rPr>
                <w:rFonts w:ascii="宋体" w:hAnsi="宋体" w:cs="Arial" w:hint="eastAsia"/>
              </w:rPr>
              <w:t>注册</w:t>
            </w:r>
            <w:r w:rsidRPr="004A5EC5">
              <w:rPr>
                <w:rFonts w:ascii="宋体" w:hAnsi="宋体" w:cs="Arial"/>
              </w:rPr>
              <w:t>(办公)地址：上海市浦东</w:t>
            </w:r>
            <w:proofErr w:type="gramStart"/>
            <w:r w:rsidRPr="004A5EC5">
              <w:rPr>
                <w:rFonts w:ascii="宋体" w:hAnsi="宋体" w:cs="Arial" w:hint="eastAsia"/>
              </w:rPr>
              <w:t>新区银</w:t>
            </w:r>
            <w:proofErr w:type="gramEnd"/>
            <w:r w:rsidRPr="004A5EC5">
              <w:rPr>
                <w:rFonts w:ascii="宋体" w:hAnsi="宋体" w:cs="Arial" w:hint="eastAsia"/>
              </w:rPr>
              <w:t>城中路</w:t>
            </w:r>
            <w:r w:rsidRPr="004A5EC5">
              <w:rPr>
                <w:rFonts w:ascii="宋体" w:hAnsi="宋体" w:cs="Arial"/>
              </w:rPr>
              <w:t>488号</w:t>
            </w:r>
          </w:p>
          <w:p w14:paraId="5402312A" w14:textId="77777777" w:rsidR="0069510E" w:rsidRPr="004A5EC5" w:rsidRDefault="00000000" w:rsidP="004A5EC5">
            <w:pPr>
              <w:snapToGrid w:val="0"/>
              <w:jc w:val="left"/>
              <w:rPr>
                <w:rFonts w:ascii="宋体" w:hAnsi="宋体" w:cs="Arial"/>
              </w:rPr>
            </w:pPr>
            <w:r w:rsidRPr="004A5EC5">
              <w:rPr>
                <w:rFonts w:ascii="宋体" w:hAnsi="宋体" w:cs="Arial" w:hint="eastAsia"/>
              </w:rPr>
              <w:t>太平金融大厦</w:t>
            </w:r>
            <w:r w:rsidRPr="004A5EC5">
              <w:rPr>
                <w:rFonts w:ascii="宋体" w:hAnsi="宋体" w:cs="Arial"/>
              </w:rPr>
              <w:t>1503室</w:t>
            </w:r>
          </w:p>
          <w:p w14:paraId="7324F7A4" w14:textId="77777777" w:rsidR="0069510E" w:rsidRPr="004A5EC5" w:rsidRDefault="00000000" w:rsidP="004A5EC5">
            <w:pPr>
              <w:snapToGrid w:val="0"/>
              <w:jc w:val="left"/>
              <w:rPr>
                <w:rFonts w:ascii="宋体" w:hAnsi="宋体" w:cs="Arial"/>
              </w:rPr>
            </w:pPr>
            <w:r w:rsidRPr="004A5EC5">
              <w:rPr>
                <w:rFonts w:ascii="宋体" w:hAnsi="宋体" w:cs="Arial" w:hint="eastAsia"/>
              </w:rPr>
              <w:t>客服电话：</w:t>
            </w:r>
            <w:r w:rsidRPr="004A5EC5">
              <w:rPr>
                <w:rFonts w:ascii="宋体" w:hAnsi="宋体" w:cs="Arial"/>
              </w:rPr>
              <w:t>400-820-5369</w:t>
            </w:r>
          </w:p>
          <w:p w14:paraId="6C3D312E" w14:textId="77777777" w:rsidR="0069510E" w:rsidRPr="004A5EC5" w:rsidRDefault="00000000" w:rsidP="004A5EC5">
            <w:pPr>
              <w:snapToGrid w:val="0"/>
              <w:jc w:val="left"/>
              <w:rPr>
                <w:rFonts w:ascii="宋体" w:hAnsi="宋体" w:cs="Arial"/>
              </w:rPr>
            </w:pPr>
            <w:r w:rsidRPr="004A5EC5">
              <w:rPr>
                <w:rFonts w:ascii="宋体" w:hAnsi="宋体" w:cs="Arial" w:hint="eastAsia"/>
              </w:rPr>
              <w:t>公司网址：</w:t>
            </w:r>
            <w:hyperlink r:id="rId30" w:tgtFrame="_blank" w:history="1">
              <w:r w:rsidRPr="004A5EC5">
                <w:rPr>
                  <w:rFonts w:ascii="宋体" w:hAnsi="宋体" w:cs="Arial"/>
                </w:rPr>
                <w:t>www.jiyufund.com.cn</w:t>
              </w:r>
            </w:hyperlink>
          </w:p>
        </w:tc>
      </w:tr>
      <w:tr w:rsidR="0069510E" w14:paraId="7E01FC57" w14:textId="77777777">
        <w:tc>
          <w:tcPr>
            <w:tcW w:w="675" w:type="dxa"/>
          </w:tcPr>
          <w:p w14:paraId="1DB3AD2C" w14:textId="77777777" w:rsidR="0069510E" w:rsidRDefault="00000000" w:rsidP="004A5EC5">
            <w:pPr>
              <w:jc w:val="center"/>
              <w:rPr>
                <w:rFonts w:ascii="宋体" w:hAnsi="宋体" w:cs="Arial"/>
              </w:rPr>
            </w:pPr>
            <w:r>
              <w:rPr>
                <w:rFonts w:ascii="宋体" w:hAnsi="宋体" w:cs="Arial" w:hint="eastAsia"/>
              </w:rPr>
              <w:t>2</w:t>
            </w:r>
          </w:p>
        </w:tc>
        <w:tc>
          <w:tcPr>
            <w:tcW w:w="2581" w:type="dxa"/>
          </w:tcPr>
          <w:p w14:paraId="1107254A" w14:textId="77777777" w:rsidR="0069510E" w:rsidRPr="004A5EC5" w:rsidRDefault="00000000" w:rsidP="004A5EC5">
            <w:pPr>
              <w:jc w:val="left"/>
              <w:rPr>
                <w:rFonts w:ascii="宋体" w:hAnsi="宋体" w:cs="Arial"/>
              </w:rPr>
            </w:pPr>
            <w:r w:rsidRPr="004A5EC5">
              <w:rPr>
                <w:rFonts w:ascii="宋体" w:hAnsi="宋体" w:cs="Arial" w:hint="eastAsia"/>
              </w:rPr>
              <w:t>上海好买基金销售有限公司</w:t>
            </w:r>
          </w:p>
        </w:tc>
        <w:tc>
          <w:tcPr>
            <w:tcW w:w="5039" w:type="dxa"/>
          </w:tcPr>
          <w:p w14:paraId="5A2E4A1E" w14:textId="77777777" w:rsidR="0069510E" w:rsidRPr="004A5EC5" w:rsidRDefault="00000000" w:rsidP="004A5EC5">
            <w:pPr>
              <w:snapToGrid w:val="0"/>
              <w:jc w:val="left"/>
              <w:rPr>
                <w:rFonts w:ascii="宋体" w:hAnsi="宋体" w:cs="Arial"/>
              </w:rPr>
            </w:pPr>
            <w:r w:rsidRPr="004A5EC5">
              <w:rPr>
                <w:rFonts w:ascii="宋体" w:hAnsi="宋体" w:cs="Arial" w:hint="eastAsia"/>
              </w:rPr>
              <w:t>注册</w:t>
            </w:r>
            <w:r w:rsidRPr="004A5EC5">
              <w:rPr>
                <w:rFonts w:ascii="宋体" w:hAnsi="宋体" w:cs="Arial"/>
              </w:rPr>
              <w:t>(办公)地址：上海市浦东新区张杨路500号华</w:t>
            </w:r>
            <w:proofErr w:type="gramStart"/>
            <w:r w:rsidRPr="004A5EC5">
              <w:rPr>
                <w:rFonts w:ascii="宋体" w:hAnsi="宋体" w:cs="Arial" w:hint="eastAsia"/>
              </w:rPr>
              <w:t>润时代</w:t>
            </w:r>
            <w:proofErr w:type="gramEnd"/>
            <w:r w:rsidRPr="004A5EC5">
              <w:rPr>
                <w:rFonts w:ascii="宋体" w:hAnsi="宋体" w:cs="Arial" w:hint="eastAsia"/>
              </w:rPr>
              <w:t>广场</w:t>
            </w:r>
            <w:r w:rsidRPr="004A5EC5">
              <w:rPr>
                <w:rFonts w:ascii="宋体" w:hAnsi="宋体" w:cs="Arial"/>
              </w:rPr>
              <w:t>10、11、12、14层</w:t>
            </w:r>
          </w:p>
          <w:p w14:paraId="3CDE509E" w14:textId="77777777" w:rsidR="0069510E" w:rsidRPr="004A5EC5" w:rsidRDefault="00000000" w:rsidP="004A5EC5">
            <w:pPr>
              <w:snapToGrid w:val="0"/>
              <w:jc w:val="left"/>
              <w:rPr>
                <w:rFonts w:ascii="宋体" w:hAnsi="宋体" w:cs="Arial"/>
              </w:rPr>
            </w:pPr>
            <w:r w:rsidRPr="004A5EC5">
              <w:rPr>
                <w:rFonts w:ascii="宋体" w:hAnsi="宋体" w:cs="Arial" w:hint="eastAsia"/>
              </w:rPr>
              <w:t>客服电话：</w:t>
            </w:r>
            <w:r w:rsidRPr="004A5EC5">
              <w:rPr>
                <w:rFonts w:ascii="宋体" w:hAnsi="宋体" w:cs="Arial"/>
              </w:rPr>
              <w:t>400-700-9665</w:t>
            </w:r>
          </w:p>
          <w:p w14:paraId="37C79092" w14:textId="77777777" w:rsidR="0069510E" w:rsidRPr="004A5EC5" w:rsidRDefault="00000000" w:rsidP="004A5EC5">
            <w:pPr>
              <w:snapToGrid w:val="0"/>
              <w:jc w:val="left"/>
              <w:rPr>
                <w:rFonts w:ascii="宋体" w:hAnsi="宋体" w:cs="Arial"/>
              </w:rPr>
            </w:pPr>
            <w:r w:rsidRPr="004A5EC5">
              <w:rPr>
                <w:rFonts w:ascii="宋体" w:hAnsi="宋体" w:cs="Arial" w:hint="eastAsia"/>
              </w:rPr>
              <w:t>公司网址：</w:t>
            </w:r>
            <w:r w:rsidRPr="004A5EC5">
              <w:rPr>
                <w:rFonts w:ascii="宋体" w:hAnsi="宋体" w:cs="Arial"/>
              </w:rPr>
              <w:t>www.ehowbuy.com</w:t>
            </w:r>
          </w:p>
        </w:tc>
      </w:tr>
      <w:tr w:rsidR="0069510E" w14:paraId="50084A41" w14:textId="77777777">
        <w:tc>
          <w:tcPr>
            <w:tcW w:w="675" w:type="dxa"/>
          </w:tcPr>
          <w:p w14:paraId="2D3A8480" w14:textId="77777777" w:rsidR="0069510E" w:rsidRDefault="00000000" w:rsidP="004A5EC5">
            <w:pPr>
              <w:jc w:val="center"/>
              <w:rPr>
                <w:rFonts w:ascii="宋体" w:hAnsi="宋体" w:cs="Arial"/>
              </w:rPr>
            </w:pPr>
            <w:r>
              <w:rPr>
                <w:rFonts w:ascii="宋体" w:hAnsi="宋体" w:cs="Arial" w:hint="eastAsia"/>
              </w:rPr>
              <w:t>3</w:t>
            </w:r>
          </w:p>
        </w:tc>
        <w:tc>
          <w:tcPr>
            <w:tcW w:w="2581" w:type="dxa"/>
          </w:tcPr>
          <w:p w14:paraId="38F9F5BF" w14:textId="77777777" w:rsidR="0069510E" w:rsidRPr="004A5EC5" w:rsidRDefault="00000000" w:rsidP="004A5EC5">
            <w:pPr>
              <w:jc w:val="left"/>
              <w:rPr>
                <w:rFonts w:ascii="宋体" w:hAnsi="宋体" w:cs="Arial"/>
              </w:rPr>
            </w:pPr>
            <w:r w:rsidRPr="004A5EC5">
              <w:rPr>
                <w:rFonts w:ascii="宋体" w:hAnsi="宋体" w:cs="Arial" w:hint="eastAsia"/>
              </w:rPr>
              <w:t>京东肯特瑞基金销售有限公司</w:t>
            </w:r>
          </w:p>
        </w:tc>
        <w:tc>
          <w:tcPr>
            <w:tcW w:w="5039" w:type="dxa"/>
          </w:tcPr>
          <w:p w14:paraId="685572A8" w14:textId="77777777" w:rsidR="0069510E" w:rsidRPr="004A5EC5" w:rsidRDefault="00000000" w:rsidP="004A5EC5">
            <w:pPr>
              <w:snapToGrid w:val="0"/>
              <w:jc w:val="left"/>
              <w:rPr>
                <w:rFonts w:ascii="宋体" w:hAnsi="宋体" w:cs="Arial"/>
              </w:rPr>
            </w:pPr>
            <w:r w:rsidRPr="004A5EC5">
              <w:rPr>
                <w:rFonts w:ascii="宋体" w:hAnsi="宋体" w:cs="Arial" w:hint="eastAsia"/>
              </w:rPr>
              <w:t>注册</w:t>
            </w:r>
            <w:r w:rsidRPr="004A5EC5">
              <w:rPr>
                <w:rFonts w:ascii="宋体" w:hAnsi="宋体" w:cs="Arial"/>
              </w:rPr>
              <w:t>(办公)地址：北京市海淀区知春路76号(写字楼)1号楼4层1-7-2</w:t>
            </w:r>
          </w:p>
          <w:p w14:paraId="311C81CE" w14:textId="77777777" w:rsidR="0069510E" w:rsidRPr="004A5EC5" w:rsidRDefault="00000000" w:rsidP="004A5EC5">
            <w:pPr>
              <w:snapToGrid w:val="0"/>
              <w:jc w:val="left"/>
              <w:rPr>
                <w:rFonts w:ascii="宋体" w:hAnsi="宋体" w:cs="Arial"/>
              </w:rPr>
            </w:pPr>
            <w:r w:rsidRPr="004A5EC5">
              <w:rPr>
                <w:rFonts w:ascii="宋体" w:hAnsi="宋体" w:cs="Arial" w:hint="eastAsia"/>
              </w:rPr>
              <w:t>客服电话：</w:t>
            </w:r>
            <w:r w:rsidRPr="004A5EC5">
              <w:rPr>
                <w:rFonts w:ascii="宋体" w:hAnsi="宋体" w:cs="Arial"/>
              </w:rPr>
              <w:t>95118</w:t>
            </w:r>
          </w:p>
          <w:p w14:paraId="2DAC8F75" w14:textId="77777777" w:rsidR="0069510E" w:rsidRPr="004A5EC5" w:rsidRDefault="00000000" w:rsidP="004A5EC5">
            <w:pPr>
              <w:snapToGrid w:val="0"/>
              <w:jc w:val="left"/>
              <w:rPr>
                <w:rFonts w:ascii="宋体" w:hAnsi="宋体" w:cs="Arial"/>
              </w:rPr>
            </w:pPr>
            <w:r w:rsidRPr="004A5EC5">
              <w:rPr>
                <w:rFonts w:ascii="宋体" w:hAnsi="宋体" w:cs="Arial" w:hint="eastAsia"/>
              </w:rPr>
              <w:t>公司网址：</w:t>
            </w:r>
            <w:r w:rsidRPr="004A5EC5">
              <w:rPr>
                <w:rFonts w:ascii="宋体" w:hAnsi="宋体" w:cs="Arial"/>
              </w:rPr>
              <w:t>https://kenterui.jd.com/</w:t>
            </w:r>
          </w:p>
        </w:tc>
      </w:tr>
      <w:tr w:rsidR="0069510E" w14:paraId="10B6A6DB" w14:textId="77777777">
        <w:tc>
          <w:tcPr>
            <w:tcW w:w="675" w:type="dxa"/>
          </w:tcPr>
          <w:p w14:paraId="691575C7" w14:textId="77777777" w:rsidR="0069510E" w:rsidRDefault="00000000" w:rsidP="004A5EC5">
            <w:pPr>
              <w:jc w:val="center"/>
              <w:rPr>
                <w:rFonts w:ascii="宋体" w:hAnsi="宋体" w:cs="Arial"/>
              </w:rPr>
            </w:pPr>
            <w:r>
              <w:rPr>
                <w:rFonts w:ascii="宋体" w:hAnsi="宋体" w:cs="Arial" w:hint="eastAsia"/>
              </w:rPr>
              <w:t>4</w:t>
            </w:r>
          </w:p>
        </w:tc>
        <w:tc>
          <w:tcPr>
            <w:tcW w:w="2581" w:type="dxa"/>
          </w:tcPr>
          <w:p w14:paraId="77544F25" w14:textId="77777777" w:rsidR="0069510E" w:rsidRPr="004A5EC5" w:rsidRDefault="00000000" w:rsidP="004A5EC5">
            <w:pPr>
              <w:jc w:val="left"/>
              <w:rPr>
                <w:rFonts w:ascii="宋体" w:hAnsi="宋体" w:cs="Arial"/>
              </w:rPr>
            </w:pPr>
            <w:r w:rsidRPr="004A5EC5">
              <w:rPr>
                <w:rFonts w:ascii="宋体" w:hAnsi="宋体" w:cs="Arial" w:hint="eastAsia"/>
              </w:rPr>
              <w:t>浙江同花</w:t>
            </w:r>
            <w:proofErr w:type="gramStart"/>
            <w:r w:rsidRPr="004A5EC5">
              <w:rPr>
                <w:rFonts w:ascii="宋体" w:hAnsi="宋体" w:cs="Arial" w:hint="eastAsia"/>
              </w:rPr>
              <w:t>顺基金</w:t>
            </w:r>
            <w:proofErr w:type="gramEnd"/>
            <w:r w:rsidRPr="004A5EC5">
              <w:rPr>
                <w:rFonts w:ascii="宋体" w:hAnsi="宋体" w:cs="Arial" w:hint="eastAsia"/>
              </w:rPr>
              <w:t>销售有限公司</w:t>
            </w:r>
          </w:p>
        </w:tc>
        <w:tc>
          <w:tcPr>
            <w:tcW w:w="5039" w:type="dxa"/>
          </w:tcPr>
          <w:p w14:paraId="786D484E" w14:textId="77777777" w:rsidR="0069510E" w:rsidRPr="004A5EC5" w:rsidRDefault="00000000" w:rsidP="004A5EC5">
            <w:pPr>
              <w:snapToGrid w:val="0"/>
              <w:jc w:val="left"/>
              <w:rPr>
                <w:rFonts w:ascii="宋体" w:hAnsi="宋体" w:cs="Arial"/>
              </w:rPr>
            </w:pPr>
            <w:r w:rsidRPr="004A5EC5">
              <w:rPr>
                <w:rFonts w:ascii="宋体" w:hAnsi="宋体" w:cs="Arial" w:hint="eastAsia"/>
              </w:rPr>
              <w:t>注册</w:t>
            </w:r>
            <w:r w:rsidRPr="004A5EC5">
              <w:rPr>
                <w:rFonts w:ascii="宋体" w:hAnsi="宋体" w:cs="Arial"/>
              </w:rPr>
              <w:t>(办公)地址：杭州市西湖区文二西路1号元茂大厦903室</w:t>
            </w:r>
          </w:p>
          <w:p w14:paraId="137BE0EF" w14:textId="77777777" w:rsidR="0069510E" w:rsidRPr="004A5EC5" w:rsidRDefault="00000000" w:rsidP="004A5EC5">
            <w:pPr>
              <w:snapToGrid w:val="0"/>
              <w:jc w:val="left"/>
              <w:rPr>
                <w:rFonts w:ascii="宋体" w:hAnsi="宋体" w:cs="Arial"/>
              </w:rPr>
            </w:pPr>
            <w:r w:rsidRPr="004A5EC5">
              <w:rPr>
                <w:rFonts w:ascii="宋体" w:hAnsi="宋体" w:cs="Arial" w:hint="eastAsia"/>
              </w:rPr>
              <w:t>客户服务电话：</w:t>
            </w:r>
            <w:r w:rsidRPr="004A5EC5">
              <w:rPr>
                <w:rFonts w:ascii="宋体" w:hAnsi="宋体" w:cs="Arial"/>
              </w:rPr>
              <w:t>952555</w:t>
            </w:r>
          </w:p>
          <w:p w14:paraId="1270E966" w14:textId="77777777" w:rsidR="0069510E" w:rsidRPr="004A5EC5" w:rsidRDefault="00000000" w:rsidP="004A5EC5">
            <w:pPr>
              <w:snapToGrid w:val="0"/>
              <w:jc w:val="left"/>
              <w:rPr>
                <w:rFonts w:ascii="宋体" w:hAnsi="宋体" w:cs="Arial"/>
              </w:rPr>
            </w:pPr>
            <w:r w:rsidRPr="004A5EC5">
              <w:rPr>
                <w:rFonts w:ascii="宋体" w:hAnsi="宋体" w:cs="Arial" w:hint="eastAsia"/>
              </w:rPr>
              <w:t>网址：</w:t>
            </w:r>
            <w:hyperlink r:id="rId31" w:history="1">
              <w:r w:rsidRPr="004A5EC5">
                <w:rPr>
                  <w:rFonts w:ascii="宋体" w:hAnsi="宋体" w:cs="Arial"/>
                </w:rPr>
                <w:t>www.5ifund.com</w:t>
              </w:r>
            </w:hyperlink>
          </w:p>
        </w:tc>
      </w:tr>
      <w:tr w:rsidR="0069510E" w14:paraId="1F50997F" w14:textId="77777777">
        <w:tc>
          <w:tcPr>
            <w:tcW w:w="675" w:type="dxa"/>
          </w:tcPr>
          <w:p w14:paraId="4A2BC6E5" w14:textId="77777777" w:rsidR="0069510E" w:rsidRDefault="00000000" w:rsidP="004A5EC5">
            <w:pPr>
              <w:jc w:val="center"/>
              <w:rPr>
                <w:rFonts w:ascii="宋体" w:hAnsi="宋体" w:cs="Arial"/>
              </w:rPr>
            </w:pPr>
            <w:r>
              <w:rPr>
                <w:rFonts w:ascii="宋体" w:hAnsi="宋体" w:cs="Arial" w:hint="eastAsia"/>
              </w:rPr>
              <w:t>5</w:t>
            </w:r>
          </w:p>
        </w:tc>
        <w:tc>
          <w:tcPr>
            <w:tcW w:w="2581" w:type="dxa"/>
          </w:tcPr>
          <w:p w14:paraId="0C7A26E5" w14:textId="77777777" w:rsidR="0069510E" w:rsidRPr="004A5EC5" w:rsidRDefault="00000000" w:rsidP="004A5EC5">
            <w:pPr>
              <w:jc w:val="left"/>
              <w:rPr>
                <w:rFonts w:ascii="宋体" w:hAnsi="宋体" w:cs="Arial"/>
              </w:rPr>
            </w:pPr>
            <w:r w:rsidRPr="004A5EC5">
              <w:rPr>
                <w:rFonts w:ascii="宋体" w:hAnsi="宋体" w:cs="Arial" w:hint="eastAsia"/>
              </w:rPr>
              <w:t>上海陆金</w:t>
            </w:r>
            <w:proofErr w:type="gramStart"/>
            <w:r w:rsidRPr="004A5EC5">
              <w:rPr>
                <w:rFonts w:ascii="宋体" w:hAnsi="宋体" w:cs="Arial" w:hint="eastAsia"/>
              </w:rPr>
              <w:t>所基金</w:t>
            </w:r>
            <w:proofErr w:type="gramEnd"/>
            <w:r w:rsidRPr="004A5EC5">
              <w:rPr>
                <w:rFonts w:ascii="宋体" w:hAnsi="宋体" w:cs="Arial" w:hint="eastAsia"/>
              </w:rPr>
              <w:t>销售有限公司</w:t>
            </w:r>
          </w:p>
        </w:tc>
        <w:tc>
          <w:tcPr>
            <w:tcW w:w="5039" w:type="dxa"/>
          </w:tcPr>
          <w:p w14:paraId="4532E1A7" w14:textId="77777777" w:rsidR="0069510E" w:rsidRPr="004A5EC5" w:rsidRDefault="00000000" w:rsidP="004A5EC5">
            <w:pPr>
              <w:snapToGrid w:val="0"/>
              <w:jc w:val="left"/>
              <w:rPr>
                <w:rFonts w:ascii="宋体" w:hAnsi="宋体" w:cs="Arial"/>
              </w:rPr>
            </w:pPr>
            <w:r w:rsidRPr="004A5EC5">
              <w:rPr>
                <w:rFonts w:ascii="宋体" w:hAnsi="宋体" w:cs="Arial" w:hint="eastAsia"/>
              </w:rPr>
              <w:t>注册</w:t>
            </w:r>
            <w:r w:rsidRPr="004A5EC5">
              <w:rPr>
                <w:rFonts w:ascii="宋体" w:hAnsi="宋体" w:cs="Arial"/>
              </w:rPr>
              <w:t>(办公)地址：中国（上海）自由贸易试验区源深路1088</w:t>
            </w:r>
            <w:r w:rsidRPr="004A5EC5">
              <w:rPr>
                <w:rFonts w:ascii="宋体" w:hAnsi="宋体" w:cs="Arial" w:hint="eastAsia"/>
              </w:rPr>
              <w:t>号</w:t>
            </w:r>
            <w:r w:rsidRPr="004A5EC5">
              <w:rPr>
                <w:rFonts w:ascii="宋体" w:hAnsi="宋体" w:cs="Arial"/>
              </w:rPr>
              <w:t>7层</w:t>
            </w:r>
          </w:p>
          <w:p w14:paraId="4C07A1ED" w14:textId="77777777" w:rsidR="0069510E" w:rsidRPr="004A5EC5" w:rsidRDefault="00000000" w:rsidP="004A5EC5">
            <w:pPr>
              <w:snapToGrid w:val="0"/>
              <w:jc w:val="left"/>
              <w:rPr>
                <w:rFonts w:ascii="宋体" w:hAnsi="宋体" w:cs="Arial"/>
              </w:rPr>
            </w:pPr>
            <w:r w:rsidRPr="004A5EC5">
              <w:rPr>
                <w:rFonts w:ascii="宋体" w:hAnsi="宋体" w:cs="Arial" w:hint="eastAsia"/>
              </w:rPr>
              <w:t>客服电话：</w:t>
            </w:r>
            <w:r w:rsidRPr="004A5EC5">
              <w:rPr>
                <w:rFonts w:ascii="宋体" w:hAnsi="宋体" w:cs="Arial"/>
              </w:rPr>
              <w:t>4008219031</w:t>
            </w:r>
          </w:p>
          <w:p w14:paraId="5BDBEE44" w14:textId="77777777" w:rsidR="0069510E" w:rsidRPr="004A5EC5" w:rsidRDefault="00000000" w:rsidP="004A5EC5">
            <w:pPr>
              <w:snapToGrid w:val="0"/>
              <w:jc w:val="left"/>
              <w:rPr>
                <w:rFonts w:ascii="宋体" w:hAnsi="宋体" w:cs="Arial"/>
              </w:rPr>
            </w:pPr>
            <w:r w:rsidRPr="004A5EC5">
              <w:rPr>
                <w:rFonts w:ascii="宋体" w:hAnsi="宋体" w:cs="Arial" w:hint="eastAsia"/>
              </w:rPr>
              <w:t>公司网址：</w:t>
            </w:r>
            <w:r w:rsidRPr="004A5EC5">
              <w:rPr>
                <w:rFonts w:ascii="宋体" w:hAnsi="宋体" w:cs="Arial"/>
              </w:rPr>
              <w:t>www.lufunds.com</w:t>
            </w:r>
          </w:p>
        </w:tc>
      </w:tr>
      <w:tr w:rsidR="0069510E" w14:paraId="3E34838D" w14:textId="77777777">
        <w:tc>
          <w:tcPr>
            <w:tcW w:w="675" w:type="dxa"/>
          </w:tcPr>
          <w:p w14:paraId="721D5B1A" w14:textId="77777777" w:rsidR="0069510E" w:rsidRDefault="00000000" w:rsidP="004A5EC5">
            <w:pPr>
              <w:jc w:val="center"/>
              <w:rPr>
                <w:rFonts w:ascii="宋体" w:hAnsi="宋体" w:cs="Arial"/>
              </w:rPr>
            </w:pPr>
            <w:r>
              <w:rPr>
                <w:rFonts w:ascii="宋体" w:hAnsi="宋体" w:cs="Arial" w:hint="eastAsia"/>
              </w:rPr>
              <w:t>6</w:t>
            </w:r>
          </w:p>
        </w:tc>
        <w:tc>
          <w:tcPr>
            <w:tcW w:w="2581" w:type="dxa"/>
          </w:tcPr>
          <w:p w14:paraId="6B3CD699" w14:textId="77777777" w:rsidR="0069510E" w:rsidRPr="004A5EC5" w:rsidRDefault="00000000" w:rsidP="004A5EC5">
            <w:pPr>
              <w:jc w:val="left"/>
              <w:rPr>
                <w:rFonts w:ascii="宋体" w:hAnsi="宋体" w:cs="Arial"/>
              </w:rPr>
            </w:pPr>
            <w:r w:rsidRPr="004A5EC5">
              <w:rPr>
                <w:rFonts w:ascii="宋体" w:hAnsi="宋体" w:cs="Arial" w:hint="eastAsia"/>
              </w:rPr>
              <w:t>上海联泰资产管理有限公司</w:t>
            </w:r>
          </w:p>
        </w:tc>
        <w:tc>
          <w:tcPr>
            <w:tcW w:w="5039" w:type="dxa"/>
          </w:tcPr>
          <w:p w14:paraId="1801A9FD" w14:textId="77777777" w:rsidR="0069510E" w:rsidRPr="004A5EC5" w:rsidRDefault="00000000" w:rsidP="004A5EC5">
            <w:pPr>
              <w:snapToGrid w:val="0"/>
              <w:jc w:val="left"/>
              <w:rPr>
                <w:rFonts w:ascii="宋体" w:hAnsi="宋体" w:cs="Arial"/>
              </w:rPr>
            </w:pPr>
            <w:r w:rsidRPr="004A5EC5">
              <w:rPr>
                <w:rFonts w:ascii="宋体" w:hAnsi="宋体" w:cs="Arial" w:hint="eastAsia"/>
              </w:rPr>
              <w:t>注册</w:t>
            </w:r>
            <w:r w:rsidRPr="004A5EC5">
              <w:rPr>
                <w:rFonts w:ascii="宋体" w:hAnsi="宋体" w:cs="Arial"/>
              </w:rPr>
              <w:t>(办公)地址：上海市虹口区北外滩</w:t>
            </w:r>
            <w:proofErr w:type="gramStart"/>
            <w:r w:rsidRPr="004A5EC5">
              <w:rPr>
                <w:rFonts w:ascii="宋体" w:hAnsi="宋体" w:cs="Arial" w:hint="eastAsia"/>
              </w:rPr>
              <w:t>临潼路</w:t>
            </w:r>
            <w:proofErr w:type="gramEnd"/>
            <w:r w:rsidRPr="004A5EC5">
              <w:rPr>
                <w:rFonts w:ascii="宋体" w:hAnsi="宋体" w:cs="Arial"/>
              </w:rPr>
              <w:t>188号</w:t>
            </w:r>
          </w:p>
          <w:p w14:paraId="12E312E0" w14:textId="77777777" w:rsidR="0069510E" w:rsidRPr="004A5EC5" w:rsidRDefault="00000000" w:rsidP="004A5EC5">
            <w:pPr>
              <w:snapToGrid w:val="0"/>
              <w:jc w:val="left"/>
              <w:rPr>
                <w:rFonts w:ascii="宋体" w:hAnsi="宋体" w:cs="Arial"/>
              </w:rPr>
            </w:pPr>
            <w:r w:rsidRPr="004A5EC5">
              <w:rPr>
                <w:rFonts w:ascii="宋体" w:hAnsi="宋体" w:cs="Arial" w:hint="eastAsia"/>
              </w:rPr>
              <w:t>客服电话：</w:t>
            </w:r>
            <w:r w:rsidRPr="004A5EC5">
              <w:rPr>
                <w:rFonts w:ascii="宋体" w:hAnsi="宋体" w:cs="Arial"/>
              </w:rPr>
              <w:t>400-118-1188</w:t>
            </w:r>
          </w:p>
          <w:p w14:paraId="2C57C530" w14:textId="77777777" w:rsidR="0069510E" w:rsidRPr="004A5EC5" w:rsidRDefault="00000000" w:rsidP="004A5EC5">
            <w:pPr>
              <w:snapToGrid w:val="0"/>
              <w:jc w:val="left"/>
              <w:rPr>
                <w:rFonts w:ascii="宋体" w:hAnsi="宋体" w:cs="Arial"/>
              </w:rPr>
            </w:pPr>
            <w:r w:rsidRPr="004A5EC5">
              <w:rPr>
                <w:rFonts w:ascii="宋体" w:hAnsi="宋体" w:cs="Arial" w:hint="eastAsia"/>
              </w:rPr>
              <w:t>公司网址：</w:t>
            </w:r>
            <w:r w:rsidRPr="004A5EC5">
              <w:rPr>
                <w:rFonts w:ascii="宋体" w:hAnsi="宋体" w:cs="Arial"/>
              </w:rPr>
              <w:t xml:space="preserve"> https://www.66liantai.com/</w:t>
            </w:r>
          </w:p>
        </w:tc>
      </w:tr>
      <w:tr w:rsidR="0069510E" w14:paraId="1D5F986A" w14:textId="77777777">
        <w:tc>
          <w:tcPr>
            <w:tcW w:w="675" w:type="dxa"/>
          </w:tcPr>
          <w:p w14:paraId="7FA78C24" w14:textId="77777777" w:rsidR="0069510E" w:rsidRDefault="00000000" w:rsidP="004A5EC5">
            <w:pPr>
              <w:jc w:val="center"/>
              <w:rPr>
                <w:rFonts w:ascii="宋体" w:hAnsi="宋体" w:cs="Arial"/>
              </w:rPr>
            </w:pPr>
            <w:r>
              <w:rPr>
                <w:rFonts w:ascii="宋体" w:hAnsi="宋体" w:cs="Arial" w:hint="eastAsia"/>
              </w:rPr>
              <w:t>7</w:t>
            </w:r>
          </w:p>
        </w:tc>
        <w:tc>
          <w:tcPr>
            <w:tcW w:w="2581" w:type="dxa"/>
          </w:tcPr>
          <w:p w14:paraId="59B82BB3" w14:textId="77777777" w:rsidR="0069510E" w:rsidRPr="004A5EC5" w:rsidRDefault="00000000" w:rsidP="004A5EC5">
            <w:pPr>
              <w:jc w:val="left"/>
              <w:rPr>
                <w:rFonts w:ascii="宋体" w:hAnsi="宋体" w:cs="Arial"/>
              </w:rPr>
            </w:pPr>
            <w:r w:rsidRPr="004A5EC5">
              <w:rPr>
                <w:rFonts w:ascii="宋体" w:hAnsi="宋体" w:cs="Arial" w:hint="eastAsia"/>
              </w:rPr>
              <w:t>上海天天基金销售有限公司</w:t>
            </w:r>
          </w:p>
        </w:tc>
        <w:tc>
          <w:tcPr>
            <w:tcW w:w="5039" w:type="dxa"/>
          </w:tcPr>
          <w:p w14:paraId="09715E27" w14:textId="77777777" w:rsidR="0069510E" w:rsidRPr="004A5EC5" w:rsidRDefault="00000000" w:rsidP="004A5EC5">
            <w:pPr>
              <w:snapToGrid w:val="0"/>
              <w:jc w:val="left"/>
              <w:rPr>
                <w:rFonts w:ascii="宋体" w:hAnsi="宋体" w:cs="Arial"/>
              </w:rPr>
            </w:pPr>
            <w:r w:rsidRPr="004A5EC5">
              <w:rPr>
                <w:rFonts w:ascii="宋体" w:hAnsi="宋体" w:cs="Arial" w:hint="eastAsia"/>
              </w:rPr>
              <w:t>注册</w:t>
            </w:r>
            <w:r w:rsidRPr="004A5EC5">
              <w:rPr>
                <w:rFonts w:ascii="宋体" w:hAnsi="宋体" w:cs="Arial"/>
              </w:rPr>
              <w:t>(办公)地址：上海市徐汇区宛平南路88号东方财富大厦</w:t>
            </w:r>
          </w:p>
          <w:p w14:paraId="5D35B5C3" w14:textId="77777777" w:rsidR="0069510E" w:rsidRPr="004A5EC5" w:rsidRDefault="00000000" w:rsidP="004A5EC5">
            <w:pPr>
              <w:snapToGrid w:val="0"/>
              <w:jc w:val="left"/>
              <w:rPr>
                <w:rFonts w:ascii="宋体" w:hAnsi="宋体" w:cs="Arial"/>
              </w:rPr>
            </w:pPr>
            <w:r w:rsidRPr="004A5EC5">
              <w:rPr>
                <w:rFonts w:ascii="宋体" w:hAnsi="宋体" w:cs="Arial" w:hint="eastAsia"/>
              </w:rPr>
              <w:t>客服电话：</w:t>
            </w:r>
            <w:r w:rsidRPr="004A5EC5">
              <w:rPr>
                <w:rFonts w:ascii="宋体" w:hAnsi="宋体" w:cs="Arial"/>
              </w:rPr>
              <w:t>95021</w:t>
            </w:r>
          </w:p>
          <w:p w14:paraId="708AF17F" w14:textId="77777777" w:rsidR="0069510E" w:rsidRPr="004A5EC5" w:rsidRDefault="00000000" w:rsidP="004A5EC5">
            <w:pPr>
              <w:snapToGrid w:val="0"/>
              <w:jc w:val="left"/>
              <w:rPr>
                <w:rFonts w:ascii="宋体" w:hAnsi="宋体" w:cs="Arial"/>
              </w:rPr>
            </w:pPr>
            <w:r w:rsidRPr="004A5EC5">
              <w:rPr>
                <w:rFonts w:ascii="宋体" w:hAnsi="宋体" w:cs="Arial" w:hint="eastAsia"/>
              </w:rPr>
              <w:t>公司网址：</w:t>
            </w:r>
            <w:r w:rsidRPr="004A5EC5">
              <w:rPr>
                <w:rFonts w:ascii="宋体" w:hAnsi="宋体" w:cs="Arial"/>
              </w:rPr>
              <w:t xml:space="preserve"> fund.eastmoney.com</w:t>
            </w:r>
          </w:p>
        </w:tc>
      </w:tr>
      <w:tr w:rsidR="0069510E" w14:paraId="5A9DB47B" w14:textId="77777777">
        <w:tc>
          <w:tcPr>
            <w:tcW w:w="675" w:type="dxa"/>
          </w:tcPr>
          <w:p w14:paraId="7766D6F9" w14:textId="77777777" w:rsidR="0069510E" w:rsidRDefault="00000000" w:rsidP="004A5EC5">
            <w:pPr>
              <w:jc w:val="center"/>
              <w:rPr>
                <w:rFonts w:ascii="宋体" w:hAnsi="宋体" w:cs="Arial"/>
              </w:rPr>
            </w:pPr>
            <w:r>
              <w:rPr>
                <w:rFonts w:ascii="宋体" w:hAnsi="宋体" w:cs="Arial" w:hint="eastAsia"/>
              </w:rPr>
              <w:t>8</w:t>
            </w:r>
          </w:p>
        </w:tc>
        <w:tc>
          <w:tcPr>
            <w:tcW w:w="2581" w:type="dxa"/>
          </w:tcPr>
          <w:p w14:paraId="3F51FEB3" w14:textId="77777777" w:rsidR="0069510E" w:rsidRPr="004A5EC5" w:rsidRDefault="00000000" w:rsidP="004A5EC5">
            <w:pPr>
              <w:jc w:val="left"/>
              <w:rPr>
                <w:rFonts w:ascii="宋体" w:hAnsi="宋体" w:cs="Arial"/>
              </w:rPr>
            </w:pPr>
            <w:r w:rsidRPr="004A5EC5">
              <w:rPr>
                <w:rFonts w:ascii="宋体" w:hAnsi="宋体" w:cs="Arial" w:hint="eastAsia"/>
              </w:rPr>
              <w:t>珠海</w:t>
            </w:r>
            <w:proofErr w:type="gramStart"/>
            <w:r w:rsidRPr="004A5EC5">
              <w:rPr>
                <w:rFonts w:ascii="宋体" w:hAnsi="宋体" w:cs="Arial" w:hint="eastAsia"/>
              </w:rPr>
              <w:t>盈米基金</w:t>
            </w:r>
            <w:proofErr w:type="gramEnd"/>
            <w:r w:rsidRPr="004A5EC5">
              <w:rPr>
                <w:rFonts w:ascii="宋体" w:hAnsi="宋体" w:cs="Arial" w:hint="eastAsia"/>
              </w:rPr>
              <w:t>销售有限公</w:t>
            </w:r>
            <w:r w:rsidRPr="004A5EC5">
              <w:rPr>
                <w:rFonts w:ascii="宋体" w:hAnsi="宋体" w:cs="Arial" w:hint="eastAsia"/>
              </w:rPr>
              <w:lastRenderedPageBreak/>
              <w:t>司</w:t>
            </w:r>
          </w:p>
        </w:tc>
        <w:tc>
          <w:tcPr>
            <w:tcW w:w="5039" w:type="dxa"/>
          </w:tcPr>
          <w:p w14:paraId="47A4F6C3" w14:textId="77777777" w:rsidR="0069510E" w:rsidRPr="004A5EC5" w:rsidRDefault="00000000" w:rsidP="004A5EC5">
            <w:pPr>
              <w:snapToGrid w:val="0"/>
              <w:jc w:val="left"/>
              <w:rPr>
                <w:rFonts w:ascii="宋体" w:hAnsi="宋体" w:cs="Arial"/>
              </w:rPr>
            </w:pPr>
            <w:r w:rsidRPr="004A5EC5">
              <w:rPr>
                <w:rFonts w:ascii="宋体" w:hAnsi="宋体" w:cs="Arial" w:hint="eastAsia"/>
              </w:rPr>
              <w:lastRenderedPageBreak/>
              <w:t>注册</w:t>
            </w:r>
            <w:r w:rsidRPr="004A5EC5">
              <w:rPr>
                <w:rFonts w:ascii="宋体" w:hAnsi="宋体" w:cs="Arial"/>
              </w:rPr>
              <w:t>(办公)地址：广州市海</w:t>
            </w:r>
            <w:proofErr w:type="gramStart"/>
            <w:r w:rsidRPr="004A5EC5">
              <w:rPr>
                <w:rFonts w:ascii="宋体" w:hAnsi="宋体" w:cs="Arial" w:hint="eastAsia"/>
              </w:rPr>
              <w:t>珠区阅江</w:t>
            </w:r>
            <w:proofErr w:type="gramEnd"/>
            <w:r w:rsidRPr="004A5EC5">
              <w:rPr>
                <w:rFonts w:ascii="宋体" w:hAnsi="宋体" w:cs="Arial" w:hint="eastAsia"/>
              </w:rPr>
              <w:t>中路</w:t>
            </w:r>
            <w:r w:rsidRPr="004A5EC5">
              <w:rPr>
                <w:rFonts w:ascii="宋体" w:hAnsi="宋体" w:cs="Arial"/>
              </w:rPr>
              <w:t>688号保利国际广场北塔33楼、8楼</w:t>
            </w:r>
          </w:p>
          <w:p w14:paraId="1E9B7999" w14:textId="77777777" w:rsidR="0069510E" w:rsidRPr="004A5EC5" w:rsidRDefault="00000000" w:rsidP="004A5EC5">
            <w:pPr>
              <w:snapToGrid w:val="0"/>
              <w:jc w:val="left"/>
              <w:rPr>
                <w:rFonts w:ascii="宋体" w:hAnsi="宋体" w:cs="Arial"/>
              </w:rPr>
            </w:pPr>
            <w:r w:rsidRPr="004A5EC5">
              <w:rPr>
                <w:rFonts w:ascii="宋体" w:hAnsi="宋体" w:cs="Arial" w:hint="eastAsia"/>
              </w:rPr>
              <w:lastRenderedPageBreak/>
              <w:t>客服电话：</w:t>
            </w:r>
            <w:r w:rsidRPr="004A5EC5">
              <w:rPr>
                <w:rFonts w:ascii="宋体" w:hAnsi="宋体" w:cs="Arial"/>
              </w:rPr>
              <w:t>020-89629066</w:t>
            </w:r>
          </w:p>
          <w:p w14:paraId="4D94A57E" w14:textId="77777777" w:rsidR="0069510E" w:rsidRPr="004A5EC5" w:rsidRDefault="00000000" w:rsidP="004A5EC5">
            <w:pPr>
              <w:snapToGrid w:val="0"/>
              <w:jc w:val="left"/>
              <w:rPr>
                <w:rFonts w:ascii="宋体" w:hAnsi="宋体" w:cs="Arial"/>
              </w:rPr>
            </w:pPr>
            <w:r w:rsidRPr="004A5EC5">
              <w:rPr>
                <w:rFonts w:ascii="宋体" w:hAnsi="宋体" w:cs="Arial" w:hint="eastAsia"/>
              </w:rPr>
              <w:t>公司网址：</w:t>
            </w:r>
            <w:r w:rsidRPr="004A5EC5">
              <w:rPr>
                <w:rFonts w:ascii="宋体" w:hAnsi="宋体" w:cs="Arial"/>
              </w:rPr>
              <w:t>www.yingmi.cn</w:t>
            </w:r>
          </w:p>
        </w:tc>
      </w:tr>
      <w:tr w:rsidR="0069510E" w14:paraId="5B6B4E17" w14:textId="77777777">
        <w:tc>
          <w:tcPr>
            <w:tcW w:w="675" w:type="dxa"/>
          </w:tcPr>
          <w:p w14:paraId="6F21A720" w14:textId="77777777" w:rsidR="0069510E" w:rsidRDefault="00000000" w:rsidP="004A5EC5">
            <w:pPr>
              <w:jc w:val="center"/>
              <w:rPr>
                <w:rFonts w:ascii="宋体" w:hAnsi="宋体" w:cs="Arial"/>
              </w:rPr>
            </w:pPr>
            <w:r>
              <w:rPr>
                <w:rFonts w:ascii="宋体" w:hAnsi="宋体" w:cs="Arial" w:hint="eastAsia"/>
              </w:rPr>
              <w:lastRenderedPageBreak/>
              <w:t>9</w:t>
            </w:r>
          </w:p>
        </w:tc>
        <w:tc>
          <w:tcPr>
            <w:tcW w:w="2581" w:type="dxa"/>
          </w:tcPr>
          <w:p w14:paraId="79156BA9" w14:textId="77777777" w:rsidR="0069510E" w:rsidRPr="004A5EC5" w:rsidRDefault="00000000" w:rsidP="004A5EC5">
            <w:pPr>
              <w:jc w:val="left"/>
              <w:rPr>
                <w:rFonts w:ascii="宋体" w:hAnsi="宋体" w:cs="Arial"/>
              </w:rPr>
            </w:pPr>
            <w:r w:rsidRPr="004A5EC5">
              <w:rPr>
                <w:rFonts w:ascii="宋体" w:hAnsi="宋体" w:cs="Arial" w:hint="eastAsia"/>
              </w:rPr>
              <w:t>北京汇成基金销售有限公司</w:t>
            </w:r>
          </w:p>
        </w:tc>
        <w:tc>
          <w:tcPr>
            <w:tcW w:w="5039" w:type="dxa"/>
          </w:tcPr>
          <w:p w14:paraId="45D0281B" w14:textId="77777777" w:rsidR="0069510E" w:rsidRPr="004A5EC5" w:rsidRDefault="00000000" w:rsidP="004A5EC5">
            <w:pPr>
              <w:snapToGrid w:val="0"/>
              <w:jc w:val="left"/>
              <w:rPr>
                <w:rFonts w:ascii="宋体" w:hAnsi="宋体" w:cs="Arial"/>
              </w:rPr>
            </w:pPr>
            <w:r w:rsidRPr="004A5EC5">
              <w:rPr>
                <w:rFonts w:ascii="宋体" w:hAnsi="宋体" w:cs="Arial" w:hint="eastAsia"/>
              </w:rPr>
              <w:t>注册</w:t>
            </w:r>
            <w:r w:rsidRPr="004A5EC5">
              <w:rPr>
                <w:rFonts w:ascii="宋体" w:hAnsi="宋体" w:cs="Arial"/>
              </w:rPr>
              <w:t>(办公)地址：北京市西城区宣武门外大街甲1号</w:t>
            </w:r>
            <w:proofErr w:type="gramStart"/>
            <w:r w:rsidRPr="004A5EC5">
              <w:rPr>
                <w:rFonts w:ascii="宋体" w:hAnsi="宋体" w:cs="Arial" w:hint="eastAsia"/>
              </w:rPr>
              <w:t>环球财讯中心</w:t>
            </w:r>
            <w:proofErr w:type="gramEnd"/>
            <w:r w:rsidRPr="004A5EC5">
              <w:rPr>
                <w:rFonts w:ascii="宋体" w:hAnsi="宋体" w:cs="Arial"/>
              </w:rPr>
              <w:t xml:space="preserve">D座401 </w:t>
            </w:r>
          </w:p>
          <w:p w14:paraId="5D9F7B6F" w14:textId="77777777" w:rsidR="0069510E" w:rsidRPr="004A5EC5" w:rsidRDefault="00000000" w:rsidP="004A5EC5">
            <w:pPr>
              <w:snapToGrid w:val="0"/>
              <w:jc w:val="left"/>
              <w:rPr>
                <w:rFonts w:ascii="宋体" w:hAnsi="宋体" w:cs="Arial"/>
              </w:rPr>
            </w:pPr>
            <w:r w:rsidRPr="004A5EC5">
              <w:rPr>
                <w:rFonts w:ascii="宋体" w:hAnsi="宋体" w:cs="Arial" w:hint="eastAsia"/>
              </w:rPr>
              <w:t>客服电话：</w:t>
            </w:r>
            <w:r w:rsidRPr="004A5EC5">
              <w:rPr>
                <w:rFonts w:ascii="宋体" w:hAnsi="宋体" w:cs="Arial"/>
              </w:rPr>
              <w:t>400-055-5728</w:t>
            </w:r>
          </w:p>
          <w:p w14:paraId="4A4F332E" w14:textId="77777777" w:rsidR="0069510E" w:rsidRPr="004A5EC5" w:rsidRDefault="00000000" w:rsidP="004A5EC5">
            <w:pPr>
              <w:snapToGrid w:val="0"/>
              <w:jc w:val="left"/>
              <w:rPr>
                <w:rFonts w:ascii="宋体" w:hAnsi="宋体" w:cs="Arial"/>
              </w:rPr>
            </w:pPr>
            <w:r w:rsidRPr="004A5EC5">
              <w:rPr>
                <w:rFonts w:ascii="宋体" w:hAnsi="宋体" w:cs="Arial" w:hint="eastAsia"/>
              </w:rPr>
              <w:t>公司网址：</w:t>
            </w:r>
            <w:r w:rsidRPr="004A5EC5">
              <w:rPr>
                <w:rFonts w:ascii="宋体" w:hAnsi="宋体" w:cs="Arial"/>
              </w:rPr>
              <w:t xml:space="preserve"> www.hcjijin.com</w:t>
            </w:r>
          </w:p>
        </w:tc>
      </w:tr>
      <w:tr w:rsidR="0069510E" w14:paraId="0F4DF4A0" w14:textId="77777777">
        <w:tc>
          <w:tcPr>
            <w:tcW w:w="675" w:type="dxa"/>
          </w:tcPr>
          <w:p w14:paraId="3E9FB527" w14:textId="77777777" w:rsidR="0069510E" w:rsidRDefault="00000000" w:rsidP="004A5EC5">
            <w:pPr>
              <w:jc w:val="center"/>
              <w:rPr>
                <w:rFonts w:ascii="宋体" w:hAnsi="宋体" w:cs="Arial"/>
              </w:rPr>
            </w:pPr>
            <w:r>
              <w:rPr>
                <w:rFonts w:ascii="宋体" w:hAnsi="宋体" w:cs="Arial" w:hint="eastAsia"/>
              </w:rPr>
              <w:t>10</w:t>
            </w:r>
          </w:p>
        </w:tc>
        <w:tc>
          <w:tcPr>
            <w:tcW w:w="2581" w:type="dxa"/>
          </w:tcPr>
          <w:p w14:paraId="0FF5691F" w14:textId="77777777" w:rsidR="0069510E" w:rsidRPr="004A5EC5" w:rsidRDefault="00000000" w:rsidP="004A5EC5">
            <w:pPr>
              <w:jc w:val="left"/>
              <w:rPr>
                <w:rFonts w:ascii="宋体" w:hAnsi="宋体" w:cs="Arial"/>
              </w:rPr>
            </w:pPr>
            <w:r w:rsidRPr="004A5EC5">
              <w:rPr>
                <w:rFonts w:ascii="宋体" w:hAnsi="宋体" w:cs="Arial" w:hint="eastAsia"/>
              </w:rPr>
              <w:t>上海</w:t>
            </w:r>
            <w:proofErr w:type="gramStart"/>
            <w:r w:rsidRPr="004A5EC5">
              <w:rPr>
                <w:rFonts w:ascii="宋体" w:hAnsi="宋体" w:cs="Arial" w:hint="eastAsia"/>
              </w:rPr>
              <w:t>凯</w:t>
            </w:r>
            <w:proofErr w:type="gramEnd"/>
            <w:r w:rsidRPr="004A5EC5">
              <w:rPr>
                <w:rFonts w:ascii="宋体" w:hAnsi="宋体" w:cs="Arial" w:hint="eastAsia"/>
              </w:rPr>
              <w:t>石财富基金销售有限公司</w:t>
            </w:r>
          </w:p>
        </w:tc>
        <w:tc>
          <w:tcPr>
            <w:tcW w:w="5039" w:type="dxa"/>
          </w:tcPr>
          <w:p w14:paraId="54CE7678" w14:textId="77777777" w:rsidR="0069510E" w:rsidRPr="004A5EC5" w:rsidRDefault="00000000" w:rsidP="004A5EC5">
            <w:pPr>
              <w:snapToGrid w:val="0"/>
              <w:jc w:val="left"/>
              <w:rPr>
                <w:rFonts w:ascii="宋体" w:hAnsi="宋体" w:cs="Arial"/>
              </w:rPr>
            </w:pPr>
            <w:r w:rsidRPr="004A5EC5">
              <w:rPr>
                <w:rFonts w:ascii="宋体" w:hAnsi="宋体" w:cs="Arial" w:hint="eastAsia"/>
              </w:rPr>
              <w:t>注册（办公）地址：上海市黄浦区延安东路</w:t>
            </w:r>
            <w:r w:rsidRPr="004A5EC5">
              <w:rPr>
                <w:rFonts w:ascii="宋体" w:hAnsi="宋体" w:cs="Arial"/>
              </w:rPr>
              <w:t>1号</w:t>
            </w:r>
            <w:proofErr w:type="gramStart"/>
            <w:r w:rsidRPr="004A5EC5">
              <w:rPr>
                <w:rFonts w:ascii="宋体" w:hAnsi="宋体" w:cs="Arial" w:hint="eastAsia"/>
              </w:rPr>
              <w:t>凯</w:t>
            </w:r>
            <w:proofErr w:type="gramEnd"/>
            <w:r w:rsidRPr="004A5EC5">
              <w:rPr>
                <w:rFonts w:ascii="宋体" w:hAnsi="宋体" w:cs="Arial" w:hint="eastAsia"/>
              </w:rPr>
              <w:t>石大厦</w:t>
            </w:r>
          </w:p>
          <w:p w14:paraId="0FA3B9E1" w14:textId="77777777" w:rsidR="0069510E" w:rsidRPr="004A5EC5" w:rsidRDefault="00000000" w:rsidP="004A5EC5">
            <w:pPr>
              <w:snapToGrid w:val="0"/>
              <w:jc w:val="left"/>
              <w:rPr>
                <w:rFonts w:ascii="宋体" w:hAnsi="宋体" w:cs="Arial"/>
              </w:rPr>
            </w:pPr>
            <w:r w:rsidRPr="004A5EC5">
              <w:rPr>
                <w:rFonts w:ascii="宋体" w:hAnsi="宋体" w:cs="Arial" w:hint="eastAsia"/>
              </w:rPr>
              <w:t>客户服务电话：</w:t>
            </w:r>
            <w:r w:rsidRPr="004A5EC5">
              <w:rPr>
                <w:rFonts w:ascii="宋体" w:hAnsi="宋体" w:cs="Arial"/>
              </w:rPr>
              <w:t>4006433389</w:t>
            </w:r>
          </w:p>
          <w:p w14:paraId="171EAFE0" w14:textId="77777777" w:rsidR="0069510E" w:rsidRPr="004A5EC5" w:rsidRDefault="00000000" w:rsidP="004A5EC5">
            <w:pPr>
              <w:snapToGrid w:val="0"/>
              <w:jc w:val="left"/>
              <w:rPr>
                <w:rFonts w:ascii="宋体" w:hAnsi="宋体" w:cs="Arial"/>
              </w:rPr>
            </w:pPr>
            <w:r w:rsidRPr="004A5EC5">
              <w:rPr>
                <w:rFonts w:ascii="宋体" w:hAnsi="宋体" w:cs="Arial" w:hint="eastAsia"/>
              </w:rPr>
              <w:t>网址：</w:t>
            </w:r>
            <w:hyperlink r:id="rId32" w:history="1">
              <w:r w:rsidRPr="004A5EC5">
                <w:rPr>
                  <w:rFonts w:ascii="宋体" w:hAnsi="宋体" w:cs="Arial"/>
                </w:rPr>
                <w:t>www.vstonewealth.com</w:t>
              </w:r>
            </w:hyperlink>
          </w:p>
        </w:tc>
      </w:tr>
      <w:tr w:rsidR="0069510E" w14:paraId="653077D8" w14:textId="77777777">
        <w:tc>
          <w:tcPr>
            <w:tcW w:w="675" w:type="dxa"/>
          </w:tcPr>
          <w:p w14:paraId="3CAE6635" w14:textId="77777777" w:rsidR="0069510E" w:rsidRDefault="00000000" w:rsidP="004A5EC5">
            <w:pPr>
              <w:jc w:val="center"/>
              <w:rPr>
                <w:rFonts w:ascii="宋体" w:hAnsi="宋体" w:cs="Arial"/>
              </w:rPr>
            </w:pPr>
            <w:r>
              <w:rPr>
                <w:rFonts w:ascii="宋体" w:hAnsi="宋体" w:cs="Arial" w:hint="eastAsia"/>
              </w:rPr>
              <w:t>11</w:t>
            </w:r>
          </w:p>
        </w:tc>
        <w:tc>
          <w:tcPr>
            <w:tcW w:w="2581" w:type="dxa"/>
          </w:tcPr>
          <w:p w14:paraId="0993CF0E" w14:textId="77777777" w:rsidR="0069510E" w:rsidRPr="004A5EC5" w:rsidRDefault="00000000" w:rsidP="004A5EC5">
            <w:pPr>
              <w:jc w:val="left"/>
              <w:rPr>
                <w:rFonts w:ascii="宋体" w:hAnsi="宋体" w:cs="Arial"/>
              </w:rPr>
            </w:pPr>
            <w:proofErr w:type="gramStart"/>
            <w:r w:rsidRPr="004A5EC5">
              <w:rPr>
                <w:rFonts w:ascii="宋体" w:hAnsi="宋体" w:cs="Arial" w:hint="eastAsia"/>
              </w:rPr>
              <w:t>泰信财富</w:t>
            </w:r>
            <w:proofErr w:type="gramEnd"/>
            <w:r w:rsidRPr="004A5EC5">
              <w:rPr>
                <w:rFonts w:ascii="宋体" w:hAnsi="宋体" w:cs="Arial" w:hint="eastAsia"/>
              </w:rPr>
              <w:t>基金销售有限公司</w:t>
            </w:r>
          </w:p>
        </w:tc>
        <w:tc>
          <w:tcPr>
            <w:tcW w:w="5039" w:type="dxa"/>
          </w:tcPr>
          <w:p w14:paraId="067B10B9" w14:textId="77777777" w:rsidR="0069510E" w:rsidRPr="004A5EC5" w:rsidRDefault="00000000">
            <w:pPr>
              <w:pStyle w:val="a6"/>
              <w:rPr>
                <w:rFonts w:ascii="宋体" w:eastAsiaTheme="minorEastAsia" w:hAnsi="宋体" w:cs="Arial"/>
                <w:szCs w:val="22"/>
              </w:rPr>
            </w:pPr>
            <w:r w:rsidRPr="004A5EC5">
              <w:rPr>
                <w:rFonts w:ascii="宋体" w:eastAsiaTheme="minorEastAsia" w:hAnsi="宋体" w:cs="Arial" w:hint="eastAsia"/>
                <w:szCs w:val="22"/>
              </w:rPr>
              <w:t>注册（办公）地址：北京市朝阳区建国</w:t>
            </w:r>
            <w:proofErr w:type="gramStart"/>
            <w:r w:rsidRPr="004A5EC5">
              <w:rPr>
                <w:rFonts w:ascii="宋体" w:eastAsiaTheme="minorEastAsia" w:hAnsi="宋体" w:cs="Arial" w:hint="eastAsia"/>
                <w:szCs w:val="22"/>
              </w:rPr>
              <w:t>路乙</w:t>
            </w:r>
            <w:r w:rsidRPr="004A5EC5">
              <w:rPr>
                <w:rFonts w:ascii="宋体" w:eastAsiaTheme="minorEastAsia" w:hAnsi="宋体" w:cs="Arial"/>
                <w:szCs w:val="22"/>
              </w:rPr>
              <w:t>118</w:t>
            </w:r>
            <w:r w:rsidRPr="004A5EC5">
              <w:rPr>
                <w:rFonts w:ascii="宋体" w:eastAsiaTheme="minorEastAsia" w:hAnsi="宋体" w:cs="Arial" w:hint="eastAsia"/>
                <w:szCs w:val="22"/>
              </w:rPr>
              <w:t>号京汇</w:t>
            </w:r>
            <w:proofErr w:type="gramEnd"/>
            <w:r w:rsidRPr="004A5EC5">
              <w:rPr>
                <w:rFonts w:ascii="宋体" w:eastAsiaTheme="minorEastAsia" w:hAnsi="宋体" w:cs="Arial" w:hint="eastAsia"/>
                <w:szCs w:val="22"/>
              </w:rPr>
              <w:t>大厦</w:t>
            </w:r>
            <w:r w:rsidRPr="004A5EC5">
              <w:rPr>
                <w:rFonts w:ascii="宋体" w:eastAsiaTheme="minorEastAsia" w:hAnsi="宋体" w:cs="Arial"/>
                <w:szCs w:val="22"/>
              </w:rPr>
              <w:t>1206</w:t>
            </w:r>
          </w:p>
          <w:p w14:paraId="3A3D4B5F" w14:textId="77777777" w:rsidR="0069510E" w:rsidRPr="004A5EC5" w:rsidRDefault="00000000">
            <w:pPr>
              <w:pStyle w:val="a6"/>
              <w:rPr>
                <w:rFonts w:ascii="宋体" w:eastAsiaTheme="minorEastAsia" w:hAnsi="宋体" w:cs="Arial"/>
                <w:szCs w:val="22"/>
              </w:rPr>
            </w:pPr>
            <w:r w:rsidRPr="004A5EC5">
              <w:rPr>
                <w:rFonts w:ascii="宋体" w:eastAsiaTheme="minorEastAsia" w:hAnsi="宋体" w:cs="Arial" w:hint="eastAsia"/>
                <w:szCs w:val="22"/>
              </w:rPr>
              <w:t>客户服务电话：</w:t>
            </w:r>
            <w:r w:rsidRPr="004A5EC5">
              <w:rPr>
                <w:rFonts w:ascii="宋体" w:eastAsiaTheme="minorEastAsia" w:hAnsi="宋体" w:cs="Arial"/>
                <w:szCs w:val="22"/>
              </w:rPr>
              <w:t xml:space="preserve">400-004-8821 </w:t>
            </w:r>
          </w:p>
          <w:p w14:paraId="5C813DE6" w14:textId="77777777" w:rsidR="0069510E" w:rsidRPr="004A5EC5" w:rsidRDefault="00000000" w:rsidP="004A5EC5">
            <w:pPr>
              <w:snapToGrid w:val="0"/>
              <w:jc w:val="left"/>
              <w:rPr>
                <w:rFonts w:ascii="宋体" w:hAnsi="宋体" w:cs="Arial"/>
              </w:rPr>
            </w:pPr>
            <w:r w:rsidRPr="004A5EC5">
              <w:rPr>
                <w:rFonts w:ascii="宋体" w:hAnsi="宋体" w:cs="Arial" w:hint="eastAsia"/>
              </w:rPr>
              <w:t>网址：</w:t>
            </w:r>
            <w:hyperlink r:id="rId33" w:history="1">
              <w:r w:rsidRPr="004A5EC5">
                <w:rPr>
                  <w:rFonts w:ascii="宋体" w:hAnsi="宋体" w:cs="Arial"/>
                </w:rPr>
                <w:t>www.taixincf.com</w:t>
              </w:r>
            </w:hyperlink>
          </w:p>
        </w:tc>
      </w:tr>
      <w:tr w:rsidR="0069510E" w14:paraId="2AB886DC" w14:textId="77777777">
        <w:tc>
          <w:tcPr>
            <w:tcW w:w="675" w:type="dxa"/>
          </w:tcPr>
          <w:p w14:paraId="0F728AC3" w14:textId="77777777" w:rsidR="0069510E" w:rsidRDefault="00000000" w:rsidP="004A5EC5">
            <w:pPr>
              <w:jc w:val="center"/>
              <w:rPr>
                <w:rFonts w:ascii="宋体" w:hAnsi="宋体" w:cs="Arial"/>
              </w:rPr>
            </w:pPr>
            <w:r>
              <w:rPr>
                <w:rFonts w:ascii="宋体" w:hAnsi="宋体" w:cs="Arial" w:hint="eastAsia"/>
              </w:rPr>
              <w:t>12</w:t>
            </w:r>
          </w:p>
        </w:tc>
        <w:tc>
          <w:tcPr>
            <w:tcW w:w="2581" w:type="dxa"/>
          </w:tcPr>
          <w:p w14:paraId="384226E5" w14:textId="77777777" w:rsidR="0069510E" w:rsidRPr="004A5EC5" w:rsidRDefault="00000000" w:rsidP="004A5EC5">
            <w:pPr>
              <w:jc w:val="left"/>
              <w:rPr>
                <w:rFonts w:ascii="宋体" w:hAnsi="宋体" w:cs="Arial"/>
              </w:rPr>
            </w:pPr>
            <w:r w:rsidRPr="004A5EC5">
              <w:rPr>
                <w:rFonts w:ascii="宋体" w:hAnsi="宋体" w:cs="Arial" w:hint="eastAsia"/>
              </w:rPr>
              <w:t>上海利得基金销售有限公司</w:t>
            </w:r>
          </w:p>
        </w:tc>
        <w:tc>
          <w:tcPr>
            <w:tcW w:w="5039" w:type="dxa"/>
          </w:tcPr>
          <w:p w14:paraId="5CDAE0AD" w14:textId="77777777" w:rsidR="0069510E" w:rsidRPr="004A5EC5" w:rsidRDefault="00000000" w:rsidP="004A5EC5">
            <w:pPr>
              <w:snapToGrid w:val="0"/>
              <w:jc w:val="left"/>
              <w:rPr>
                <w:rFonts w:ascii="宋体" w:hAnsi="宋体" w:cs="Arial"/>
              </w:rPr>
            </w:pPr>
            <w:r w:rsidRPr="004A5EC5">
              <w:rPr>
                <w:rFonts w:ascii="宋体" w:hAnsi="宋体" w:cs="Arial" w:hint="eastAsia"/>
              </w:rPr>
              <w:t>注册（办公）地址：上海市虹口区东大名路</w:t>
            </w:r>
            <w:r w:rsidRPr="004A5EC5">
              <w:rPr>
                <w:rFonts w:ascii="宋体" w:hAnsi="宋体" w:cs="Arial"/>
              </w:rPr>
              <w:t>1098号浦江国际金融广场53楼</w:t>
            </w:r>
          </w:p>
          <w:p w14:paraId="53EA439C" w14:textId="77777777" w:rsidR="0069510E" w:rsidRPr="004A5EC5" w:rsidRDefault="00000000" w:rsidP="004A5EC5">
            <w:pPr>
              <w:snapToGrid w:val="0"/>
              <w:jc w:val="left"/>
              <w:rPr>
                <w:rFonts w:ascii="宋体" w:hAnsi="宋体" w:cs="Arial"/>
              </w:rPr>
            </w:pPr>
            <w:r w:rsidRPr="004A5EC5">
              <w:rPr>
                <w:rFonts w:ascii="宋体" w:hAnsi="宋体" w:cs="Arial" w:hint="eastAsia"/>
              </w:rPr>
              <w:t>客户服务电话：</w:t>
            </w:r>
            <w:r w:rsidRPr="004A5EC5">
              <w:rPr>
                <w:rFonts w:ascii="宋体" w:hAnsi="宋体" w:cs="Arial"/>
              </w:rPr>
              <w:t>400-032-5885</w:t>
            </w:r>
          </w:p>
          <w:p w14:paraId="5D308DB0" w14:textId="77777777" w:rsidR="0069510E" w:rsidRPr="004A5EC5" w:rsidRDefault="00000000" w:rsidP="004A5EC5">
            <w:pPr>
              <w:snapToGrid w:val="0"/>
              <w:jc w:val="left"/>
              <w:rPr>
                <w:rFonts w:ascii="宋体" w:hAnsi="宋体" w:cs="Arial"/>
              </w:rPr>
            </w:pPr>
            <w:r w:rsidRPr="004A5EC5">
              <w:rPr>
                <w:rFonts w:ascii="宋体" w:hAnsi="宋体" w:cs="Arial" w:hint="eastAsia"/>
              </w:rPr>
              <w:t>网址：</w:t>
            </w:r>
            <w:r w:rsidRPr="004A5EC5">
              <w:rPr>
                <w:rFonts w:ascii="宋体" w:hAnsi="宋体" w:cs="Arial"/>
              </w:rPr>
              <w:t>www.leadfund.com.cn</w:t>
            </w:r>
          </w:p>
        </w:tc>
      </w:tr>
      <w:tr w:rsidR="0069510E" w14:paraId="44341713" w14:textId="77777777">
        <w:tc>
          <w:tcPr>
            <w:tcW w:w="675" w:type="dxa"/>
          </w:tcPr>
          <w:p w14:paraId="041A6B4F" w14:textId="77777777" w:rsidR="0069510E" w:rsidRDefault="00000000" w:rsidP="004A5EC5">
            <w:pPr>
              <w:jc w:val="center"/>
              <w:rPr>
                <w:rFonts w:ascii="宋体" w:hAnsi="宋体" w:cs="Arial"/>
              </w:rPr>
            </w:pPr>
            <w:r>
              <w:rPr>
                <w:rFonts w:ascii="宋体" w:hAnsi="宋体" w:cs="Arial" w:hint="eastAsia"/>
              </w:rPr>
              <w:t>13</w:t>
            </w:r>
          </w:p>
        </w:tc>
        <w:tc>
          <w:tcPr>
            <w:tcW w:w="2581" w:type="dxa"/>
          </w:tcPr>
          <w:p w14:paraId="049370D2" w14:textId="77777777" w:rsidR="0069510E" w:rsidRPr="004A5EC5" w:rsidRDefault="00000000" w:rsidP="004A5EC5">
            <w:pPr>
              <w:jc w:val="left"/>
              <w:rPr>
                <w:rFonts w:ascii="宋体" w:hAnsi="宋体" w:cs="Arial"/>
              </w:rPr>
            </w:pPr>
            <w:proofErr w:type="gramStart"/>
            <w:r w:rsidRPr="004A5EC5">
              <w:rPr>
                <w:rFonts w:ascii="宋体" w:hAnsi="宋体" w:cs="Arial" w:hint="eastAsia"/>
              </w:rPr>
              <w:t>玄元保险</w:t>
            </w:r>
            <w:proofErr w:type="gramEnd"/>
            <w:r w:rsidRPr="004A5EC5">
              <w:rPr>
                <w:rFonts w:ascii="宋体" w:hAnsi="宋体" w:cs="Arial" w:hint="eastAsia"/>
              </w:rPr>
              <w:t>代理有限公司</w:t>
            </w:r>
          </w:p>
        </w:tc>
        <w:tc>
          <w:tcPr>
            <w:tcW w:w="5039" w:type="dxa"/>
          </w:tcPr>
          <w:p w14:paraId="275BE7D5" w14:textId="77777777" w:rsidR="0069510E" w:rsidRPr="004A5EC5" w:rsidRDefault="00000000" w:rsidP="004A5EC5">
            <w:pPr>
              <w:snapToGrid w:val="0"/>
              <w:jc w:val="left"/>
              <w:rPr>
                <w:rFonts w:ascii="宋体" w:hAnsi="宋体" w:cs="Arial"/>
              </w:rPr>
            </w:pPr>
            <w:r w:rsidRPr="004A5EC5">
              <w:rPr>
                <w:rFonts w:ascii="宋体" w:hAnsi="宋体" w:cs="Arial" w:hint="eastAsia"/>
              </w:rPr>
              <w:t>注册（办公）地址</w:t>
            </w:r>
            <w:r w:rsidRPr="004A5EC5">
              <w:rPr>
                <w:rFonts w:ascii="宋体" w:hAnsi="宋体" w:cs="Arial"/>
              </w:rPr>
              <w:t xml:space="preserve">: </w:t>
            </w:r>
            <w:r w:rsidRPr="004A5EC5">
              <w:rPr>
                <w:rFonts w:ascii="宋体" w:hAnsi="宋体" w:cs="Arial" w:hint="eastAsia"/>
              </w:rPr>
              <w:t>中国（上海）自由贸易试验区张杨路</w:t>
            </w:r>
            <w:r w:rsidRPr="004A5EC5">
              <w:rPr>
                <w:rFonts w:ascii="宋体" w:hAnsi="宋体" w:cs="Arial"/>
              </w:rPr>
              <w:t>707</w:t>
            </w:r>
            <w:r w:rsidRPr="004A5EC5">
              <w:rPr>
                <w:rFonts w:ascii="宋体" w:hAnsi="宋体" w:cs="Arial" w:hint="eastAsia"/>
              </w:rPr>
              <w:t>号</w:t>
            </w:r>
            <w:r w:rsidRPr="004A5EC5">
              <w:rPr>
                <w:rFonts w:ascii="宋体" w:hAnsi="宋体" w:cs="Arial"/>
              </w:rPr>
              <w:t>1105</w:t>
            </w:r>
            <w:r w:rsidRPr="004A5EC5">
              <w:rPr>
                <w:rFonts w:ascii="宋体" w:hAnsi="宋体" w:cs="Arial" w:hint="eastAsia"/>
              </w:rPr>
              <w:t>室</w:t>
            </w:r>
          </w:p>
          <w:p w14:paraId="0BD98B0F" w14:textId="77777777" w:rsidR="0069510E" w:rsidRPr="004A5EC5" w:rsidRDefault="00000000" w:rsidP="004A5EC5">
            <w:pPr>
              <w:snapToGrid w:val="0"/>
              <w:jc w:val="left"/>
              <w:rPr>
                <w:rFonts w:ascii="宋体" w:hAnsi="宋体" w:cs="Arial"/>
              </w:rPr>
            </w:pPr>
            <w:r w:rsidRPr="004A5EC5">
              <w:rPr>
                <w:rFonts w:ascii="宋体" w:hAnsi="宋体" w:cs="Arial" w:hint="eastAsia"/>
              </w:rPr>
              <w:t>客户服务电话：</w:t>
            </w:r>
            <w:r w:rsidRPr="004A5EC5">
              <w:rPr>
                <w:rFonts w:ascii="宋体" w:hAnsi="宋体" w:cs="Arial"/>
              </w:rPr>
              <w:t>4000808208</w:t>
            </w:r>
          </w:p>
          <w:p w14:paraId="33B8662A" w14:textId="77777777" w:rsidR="0069510E" w:rsidRPr="004A5EC5" w:rsidRDefault="00000000" w:rsidP="004A5EC5">
            <w:pPr>
              <w:snapToGrid w:val="0"/>
              <w:jc w:val="left"/>
              <w:rPr>
                <w:rFonts w:ascii="宋体" w:hAnsi="宋体" w:cs="Arial"/>
              </w:rPr>
            </w:pPr>
            <w:r w:rsidRPr="004A5EC5">
              <w:rPr>
                <w:rFonts w:ascii="宋体" w:hAnsi="宋体" w:cs="Arial" w:hint="eastAsia"/>
              </w:rPr>
              <w:t>网址：</w:t>
            </w:r>
            <w:r w:rsidRPr="004A5EC5">
              <w:rPr>
                <w:rFonts w:ascii="宋体" w:hAnsi="宋体" w:cs="Arial"/>
              </w:rPr>
              <w:t>www.licaimofang.cn</w:t>
            </w:r>
          </w:p>
        </w:tc>
      </w:tr>
      <w:tr w:rsidR="0069510E" w14:paraId="42AC4F92" w14:textId="77777777">
        <w:tc>
          <w:tcPr>
            <w:tcW w:w="675" w:type="dxa"/>
          </w:tcPr>
          <w:p w14:paraId="1D660820" w14:textId="77777777" w:rsidR="0069510E" w:rsidRDefault="00000000" w:rsidP="004A5EC5">
            <w:pPr>
              <w:jc w:val="center"/>
              <w:rPr>
                <w:rFonts w:ascii="宋体" w:hAnsi="宋体" w:cs="Arial"/>
              </w:rPr>
            </w:pPr>
            <w:r>
              <w:rPr>
                <w:rFonts w:ascii="宋体" w:hAnsi="宋体" w:cs="Arial" w:hint="eastAsia"/>
              </w:rPr>
              <w:t>14</w:t>
            </w:r>
          </w:p>
        </w:tc>
        <w:tc>
          <w:tcPr>
            <w:tcW w:w="2581" w:type="dxa"/>
          </w:tcPr>
          <w:p w14:paraId="6E526D64" w14:textId="77777777" w:rsidR="0069510E" w:rsidRPr="004A5EC5" w:rsidRDefault="00000000" w:rsidP="004A5EC5">
            <w:pPr>
              <w:jc w:val="left"/>
              <w:rPr>
                <w:rFonts w:ascii="宋体" w:hAnsi="宋体" w:cs="Arial"/>
              </w:rPr>
            </w:pPr>
            <w:r w:rsidRPr="004A5EC5">
              <w:rPr>
                <w:rFonts w:ascii="宋体" w:hAnsi="宋体" w:cs="Arial" w:hint="eastAsia"/>
              </w:rPr>
              <w:t>北京度小满基金销售有限公司</w:t>
            </w:r>
          </w:p>
        </w:tc>
        <w:tc>
          <w:tcPr>
            <w:tcW w:w="5039" w:type="dxa"/>
          </w:tcPr>
          <w:p w14:paraId="6B3B9740" w14:textId="77777777" w:rsidR="0069510E" w:rsidRPr="004A5EC5" w:rsidRDefault="00000000" w:rsidP="004A5EC5">
            <w:pPr>
              <w:jc w:val="left"/>
              <w:rPr>
                <w:rFonts w:ascii="宋体" w:hAnsi="宋体" w:cs="Arial"/>
              </w:rPr>
            </w:pPr>
            <w:r w:rsidRPr="004A5EC5">
              <w:rPr>
                <w:rFonts w:ascii="宋体" w:hAnsi="宋体" w:cs="Arial" w:hint="eastAsia"/>
              </w:rPr>
              <w:t>注册（办公）地址</w:t>
            </w:r>
            <w:r w:rsidRPr="004A5EC5">
              <w:rPr>
                <w:rFonts w:ascii="宋体" w:hAnsi="宋体" w:cs="Arial"/>
              </w:rPr>
              <w:t>:</w:t>
            </w:r>
            <w:r w:rsidRPr="004A5EC5">
              <w:rPr>
                <w:rFonts w:ascii="宋体" w:hAnsi="宋体" w:cs="Arial" w:hint="eastAsia"/>
              </w:rPr>
              <w:t>北京市海淀区西北旺东路</w:t>
            </w:r>
            <w:r w:rsidRPr="004A5EC5">
              <w:rPr>
                <w:rFonts w:ascii="宋体" w:hAnsi="宋体" w:cs="Arial"/>
              </w:rPr>
              <w:t>10号院西区4号楼1层103室</w:t>
            </w:r>
          </w:p>
          <w:p w14:paraId="68267140" w14:textId="77777777" w:rsidR="0069510E" w:rsidRPr="004A5EC5" w:rsidRDefault="00000000" w:rsidP="004A5EC5">
            <w:pPr>
              <w:widowControl/>
              <w:jc w:val="left"/>
              <w:rPr>
                <w:rFonts w:ascii="宋体" w:hAnsi="宋体" w:cs="Arial"/>
              </w:rPr>
            </w:pPr>
            <w:r w:rsidRPr="004A5EC5">
              <w:rPr>
                <w:rFonts w:ascii="宋体" w:hAnsi="宋体" w:cs="Arial" w:hint="eastAsia"/>
              </w:rPr>
              <w:t>客服电话：</w:t>
            </w:r>
            <w:r w:rsidRPr="004A5EC5">
              <w:rPr>
                <w:rFonts w:ascii="宋体" w:hAnsi="宋体" w:cs="Arial"/>
              </w:rPr>
              <w:t>95055</w:t>
            </w:r>
          </w:p>
          <w:p w14:paraId="25D39FF5" w14:textId="77777777" w:rsidR="0069510E" w:rsidRPr="004A5EC5" w:rsidRDefault="00000000" w:rsidP="004A5EC5">
            <w:pPr>
              <w:snapToGrid w:val="0"/>
              <w:jc w:val="left"/>
              <w:rPr>
                <w:rFonts w:ascii="宋体" w:hAnsi="宋体" w:cs="Arial"/>
              </w:rPr>
            </w:pPr>
            <w:r w:rsidRPr="004A5EC5">
              <w:rPr>
                <w:rFonts w:ascii="宋体" w:hAnsi="宋体" w:cs="Arial" w:hint="eastAsia"/>
              </w:rPr>
              <w:t>网站：</w:t>
            </w:r>
            <w:r w:rsidRPr="004A5EC5">
              <w:rPr>
                <w:rFonts w:ascii="宋体" w:hAnsi="宋体" w:cs="Arial"/>
              </w:rPr>
              <w:t>www.duxiaoman.com</w:t>
            </w:r>
          </w:p>
        </w:tc>
      </w:tr>
      <w:tr w:rsidR="0069510E" w14:paraId="4D753582" w14:textId="77777777">
        <w:tc>
          <w:tcPr>
            <w:tcW w:w="675" w:type="dxa"/>
          </w:tcPr>
          <w:p w14:paraId="67757E83" w14:textId="77777777" w:rsidR="0069510E" w:rsidRDefault="00000000" w:rsidP="004A5EC5">
            <w:pPr>
              <w:jc w:val="center"/>
              <w:rPr>
                <w:rFonts w:ascii="宋体" w:hAnsi="宋体" w:cs="Arial"/>
              </w:rPr>
            </w:pPr>
            <w:r>
              <w:rPr>
                <w:rFonts w:ascii="宋体" w:hAnsi="宋体" w:cs="Arial" w:hint="eastAsia"/>
              </w:rPr>
              <w:t>15</w:t>
            </w:r>
          </w:p>
        </w:tc>
        <w:tc>
          <w:tcPr>
            <w:tcW w:w="2581" w:type="dxa"/>
          </w:tcPr>
          <w:p w14:paraId="218345B4" w14:textId="77777777" w:rsidR="0069510E" w:rsidRPr="004A5EC5" w:rsidRDefault="00000000" w:rsidP="004A5EC5">
            <w:pPr>
              <w:widowControl/>
              <w:jc w:val="left"/>
              <w:rPr>
                <w:rFonts w:ascii="宋体" w:hAnsi="宋体" w:cs="Arial"/>
              </w:rPr>
            </w:pPr>
            <w:r w:rsidRPr="004A5EC5">
              <w:rPr>
                <w:rFonts w:ascii="宋体" w:hAnsi="宋体" w:cs="Arial" w:hint="eastAsia"/>
              </w:rPr>
              <w:t>上海万得基金销售有限公司</w:t>
            </w:r>
            <w:r w:rsidRPr="004A5EC5">
              <w:rPr>
                <w:rFonts w:ascii="宋体" w:hAnsi="宋体" w:cs="Arial"/>
              </w:rPr>
              <w:t xml:space="preserve"> </w:t>
            </w:r>
          </w:p>
          <w:p w14:paraId="4415C343" w14:textId="77777777" w:rsidR="0069510E" w:rsidRPr="004A5EC5" w:rsidRDefault="0069510E" w:rsidP="004A5EC5">
            <w:pPr>
              <w:jc w:val="left"/>
              <w:rPr>
                <w:rFonts w:ascii="宋体" w:hAnsi="宋体" w:cs="Arial"/>
              </w:rPr>
            </w:pPr>
          </w:p>
        </w:tc>
        <w:tc>
          <w:tcPr>
            <w:tcW w:w="5039" w:type="dxa"/>
          </w:tcPr>
          <w:p w14:paraId="11F0B603" w14:textId="77777777" w:rsidR="0069510E" w:rsidRPr="004A5EC5" w:rsidRDefault="00000000" w:rsidP="004A5EC5">
            <w:pPr>
              <w:widowControl/>
              <w:jc w:val="left"/>
              <w:rPr>
                <w:rFonts w:ascii="宋体" w:hAnsi="宋体" w:cs="Arial"/>
              </w:rPr>
            </w:pPr>
            <w:r w:rsidRPr="004A5EC5">
              <w:rPr>
                <w:rFonts w:ascii="宋体" w:hAnsi="宋体" w:cs="Arial" w:hint="eastAsia"/>
              </w:rPr>
              <w:t>注册（办公）地址：中国（上海）浦东新区浦明路</w:t>
            </w:r>
            <w:r w:rsidRPr="004A5EC5">
              <w:rPr>
                <w:rFonts w:ascii="宋体" w:hAnsi="宋体" w:cs="Arial"/>
              </w:rPr>
              <w:t>1500</w:t>
            </w:r>
            <w:r w:rsidRPr="004A5EC5">
              <w:rPr>
                <w:rFonts w:ascii="宋体" w:hAnsi="宋体" w:cs="Arial" w:hint="eastAsia"/>
              </w:rPr>
              <w:t>号万得大厦</w:t>
            </w:r>
            <w:r w:rsidRPr="004A5EC5">
              <w:rPr>
                <w:rFonts w:ascii="宋体" w:hAnsi="宋体" w:cs="Arial"/>
              </w:rPr>
              <w:t>11</w:t>
            </w:r>
            <w:r w:rsidRPr="004A5EC5">
              <w:rPr>
                <w:rFonts w:ascii="宋体" w:hAnsi="宋体" w:cs="Arial" w:hint="eastAsia"/>
              </w:rPr>
              <w:t>楼</w:t>
            </w:r>
          </w:p>
          <w:p w14:paraId="5A834E4E" w14:textId="77777777" w:rsidR="0069510E" w:rsidRPr="004A5EC5" w:rsidRDefault="00000000" w:rsidP="004A5EC5">
            <w:pPr>
              <w:widowControl/>
              <w:jc w:val="left"/>
              <w:rPr>
                <w:rFonts w:ascii="宋体" w:hAnsi="宋体" w:cs="Arial"/>
              </w:rPr>
            </w:pPr>
            <w:r w:rsidRPr="004A5EC5">
              <w:rPr>
                <w:rFonts w:ascii="宋体" w:hAnsi="宋体" w:cs="Arial" w:hint="eastAsia"/>
              </w:rPr>
              <w:t>客户服务电话：</w:t>
            </w:r>
            <w:r w:rsidRPr="004A5EC5">
              <w:rPr>
                <w:rFonts w:ascii="宋体" w:hAnsi="宋体" w:cs="Arial"/>
              </w:rPr>
              <w:t xml:space="preserve">400-799-1888 </w:t>
            </w:r>
          </w:p>
          <w:p w14:paraId="7A5FEF88" w14:textId="77777777" w:rsidR="0069510E" w:rsidRPr="004A5EC5" w:rsidRDefault="00000000" w:rsidP="004A5EC5">
            <w:pPr>
              <w:snapToGrid w:val="0"/>
              <w:jc w:val="left"/>
              <w:rPr>
                <w:rFonts w:ascii="宋体" w:hAnsi="宋体" w:cs="Arial"/>
              </w:rPr>
            </w:pPr>
            <w:r w:rsidRPr="004A5EC5">
              <w:rPr>
                <w:rFonts w:ascii="宋体" w:hAnsi="宋体" w:cs="Arial" w:hint="eastAsia"/>
              </w:rPr>
              <w:t>网址：</w:t>
            </w:r>
            <w:r w:rsidRPr="004A5EC5">
              <w:rPr>
                <w:rFonts w:ascii="宋体" w:hAnsi="宋体" w:cs="Arial"/>
              </w:rPr>
              <w:t>www.520fund.com.cn</w:t>
            </w:r>
          </w:p>
        </w:tc>
      </w:tr>
      <w:tr w:rsidR="0069510E" w14:paraId="299A7D96" w14:textId="77777777">
        <w:tc>
          <w:tcPr>
            <w:tcW w:w="675" w:type="dxa"/>
          </w:tcPr>
          <w:p w14:paraId="249294DE" w14:textId="77777777" w:rsidR="0069510E" w:rsidRDefault="00000000" w:rsidP="004A5EC5">
            <w:pPr>
              <w:jc w:val="center"/>
              <w:rPr>
                <w:rFonts w:ascii="宋体" w:hAnsi="宋体" w:cs="Arial"/>
              </w:rPr>
            </w:pPr>
            <w:r>
              <w:rPr>
                <w:rFonts w:ascii="宋体" w:hAnsi="宋体" w:cs="Arial" w:hint="eastAsia"/>
              </w:rPr>
              <w:t>16</w:t>
            </w:r>
          </w:p>
        </w:tc>
        <w:tc>
          <w:tcPr>
            <w:tcW w:w="2581" w:type="dxa"/>
          </w:tcPr>
          <w:p w14:paraId="2665DDEB" w14:textId="77777777" w:rsidR="0069510E" w:rsidRPr="004A5EC5" w:rsidRDefault="00000000" w:rsidP="004A5EC5">
            <w:pPr>
              <w:widowControl/>
              <w:jc w:val="left"/>
              <w:rPr>
                <w:rFonts w:ascii="宋体" w:hAnsi="宋体" w:cs="Arial"/>
              </w:rPr>
            </w:pPr>
            <w:r w:rsidRPr="004A5EC5">
              <w:rPr>
                <w:rFonts w:ascii="宋体" w:hAnsi="宋体" w:cs="Arial" w:hint="eastAsia"/>
              </w:rPr>
              <w:t>泛华</w:t>
            </w:r>
            <w:proofErr w:type="gramStart"/>
            <w:r w:rsidRPr="004A5EC5">
              <w:rPr>
                <w:rFonts w:ascii="宋体" w:hAnsi="宋体" w:cs="Arial" w:hint="eastAsia"/>
              </w:rPr>
              <w:t>普益基金</w:t>
            </w:r>
            <w:proofErr w:type="gramEnd"/>
            <w:r w:rsidRPr="004A5EC5">
              <w:rPr>
                <w:rFonts w:ascii="宋体" w:hAnsi="宋体" w:cs="Arial" w:hint="eastAsia"/>
              </w:rPr>
              <w:t>销售有限公司</w:t>
            </w:r>
            <w:r w:rsidRPr="004A5EC5">
              <w:rPr>
                <w:rFonts w:ascii="宋体" w:hAnsi="宋体" w:cs="Arial"/>
              </w:rPr>
              <w:t xml:space="preserve"> </w:t>
            </w:r>
          </w:p>
          <w:p w14:paraId="2CFF4EF9" w14:textId="77777777" w:rsidR="0069510E" w:rsidRPr="004A5EC5" w:rsidRDefault="0069510E" w:rsidP="004A5EC5">
            <w:pPr>
              <w:jc w:val="left"/>
              <w:rPr>
                <w:rFonts w:ascii="宋体" w:hAnsi="宋体" w:cs="Arial"/>
              </w:rPr>
            </w:pPr>
          </w:p>
        </w:tc>
        <w:tc>
          <w:tcPr>
            <w:tcW w:w="5039" w:type="dxa"/>
          </w:tcPr>
          <w:p w14:paraId="59856EB0" w14:textId="77777777" w:rsidR="0069510E" w:rsidRPr="004A5EC5" w:rsidRDefault="00000000" w:rsidP="004A5EC5">
            <w:pPr>
              <w:widowControl/>
              <w:jc w:val="left"/>
              <w:rPr>
                <w:rFonts w:ascii="宋体" w:hAnsi="宋体" w:cs="Arial"/>
              </w:rPr>
            </w:pPr>
            <w:r w:rsidRPr="004A5EC5">
              <w:rPr>
                <w:rFonts w:ascii="宋体" w:hAnsi="宋体" w:cs="Arial" w:hint="eastAsia"/>
              </w:rPr>
              <w:t>注册（办公）地址：成都市成华区建设路</w:t>
            </w:r>
            <w:r w:rsidRPr="004A5EC5">
              <w:rPr>
                <w:rFonts w:ascii="宋体" w:hAnsi="宋体" w:cs="Arial"/>
              </w:rPr>
              <w:t>9</w:t>
            </w:r>
            <w:r w:rsidRPr="004A5EC5">
              <w:rPr>
                <w:rFonts w:ascii="宋体" w:hAnsi="宋体" w:cs="Arial" w:hint="eastAsia"/>
              </w:rPr>
              <w:t>号高地中心</w:t>
            </w:r>
            <w:r w:rsidRPr="004A5EC5">
              <w:rPr>
                <w:rFonts w:ascii="宋体" w:hAnsi="宋体" w:cs="Arial"/>
              </w:rPr>
              <w:t xml:space="preserve">1101 </w:t>
            </w:r>
            <w:r w:rsidRPr="004A5EC5">
              <w:rPr>
                <w:rFonts w:ascii="宋体" w:hAnsi="宋体" w:cs="Arial" w:hint="eastAsia"/>
              </w:rPr>
              <w:t>室</w:t>
            </w:r>
          </w:p>
          <w:p w14:paraId="6EF433AC" w14:textId="77777777" w:rsidR="0069510E" w:rsidRPr="004A5EC5" w:rsidRDefault="00000000" w:rsidP="004A5EC5">
            <w:pPr>
              <w:widowControl/>
              <w:jc w:val="left"/>
              <w:rPr>
                <w:rFonts w:ascii="宋体" w:hAnsi="宋体" w:cs="Arial"/>
              </w:rPr>
            </w:pPr>
            <w:r w:rsidRPr="004A5EC5">
              <w:rPr>
                <w:rFonts w:ascii="宋体" w:hAnsi="宋体" w:cs="Arial" w:hint="eastAsia"/>
              </w:rPr>
              <w:t>客户服务电话：</w:t>
            </w:r>
            <w:r w:rsidRPr="004A5EC5">
              <w:rPr>
                <w:rFonts w:ascii="宋体" w:hAnsi="宋体" w:cs="Arial"/>
              </w:rPr>
              <w:t xml:space="preserve">400-080-3388 </w:t>
            </w:r>
          </w:p>
          <w:p w14:paraId="296F303E" w14:textId="77777777" w:rsidR="0069510E" w:rsidRPr="004A5EC5" w:rsidRDefault="00000000" w:rsidP="004A5EC5">
            <w:pPr>
              <w:snapToGrid w:val="0"/>
              <w:jc w:val="left"/>
              <w:rPr>
                <w:rFonts w:ascii="宋体" w:hAnsi="宋体" w:cs="Arial"/>
              </w:rPr>
            </w:pPr>
            <w:r w:rsidRPr="004A5EC5">
              <w:rPr>
                <w:rFonts w:ascii="宋体" w:hAnsi="宋体" w:cs="Arial" w:hint="eastAsia"/>
              </w:rPr>
              <w:t>网址：</w:t>
            </w:r>
            <w:hyperlink r:id="rId34" w:history="1">
              <w:r w:rsidRPr="004A5EC5">
                <w:rPr>
                  <w:rFonts w:ascii="宋体" w:hAnsi="宋体" w:cs="Arial"/>
                </w:rPr>
                <w:t>www.puyifund.com</w:t>
              </w:r>
            </w:hyperlink>
          </w:p>
        </w:tc>
      </w:tr>
      <w:tr w:rsidR="0069510E" w14:paraId="6849B369" w14:textId="77777777">
        <w:tc>
          <w:tcPr>
            <w:tcW w:w="675" w:type="dxa"/>
          </w:tcPr>
          <w:p w14:paraId="26D0ACC6" w14:textId="77777777" w:rsidR="0069510E" w:rsidRDefault="00000000" w:rsidP="004A5EC5">
            <w:pPr>
              <w:jc w:val="center"/>
              <w:rPr>
                <w:rFonts w:ascii="宋体" w:hAnsi="宋体" w:cs="Arial"/>
              </w:rPr>
            </w:pPr>
            <w:r>
              <w:rPr>
                <w:rFonts w:ascii="宋体" w:hAnsi="宋体" w:cs="Arial" w:hint="eastAsia"/>
              </w:rPr>
              <w:t>17</w:t>
            </w:r>
          </w:p>
        </w:tc>
        <w:tc>
          <w:tcPr>
            <w:tcW w:w="2581" w:type="dxa"/>
          </w:tcPr>
          <w:p w14:paraId="2E80F422" w14:textId="77777777" w:rsidR="0069510E" w:rsidRPr="004A5EC5" w:rsidRDefault="00000000">
            <w:pPr>
              <w:pStyle w:val="a6"/>
              <w:rPr>
                <w:rFonts w:ascii="宋体" w:eastAsiaTheme="minorEastAsia" w:hAnsi="宋体" w:cs="Arial"/>
                <w:szCs w:val="22"/>
              </w:rPr>
            </w:pPr>
            <w:proofErr w:type="gramStart"/>
            <w:r w:rsidRPr="004A5EC5">
              <w:rPr>
                <w:rFonts w:ascii="宋体" w:eastAsiaTheme="minorEastAsia" w:hAnsi="宋体" w:cs="Arial" w:hint="eastAsia"/>
                <w:szCs w:val="22"/>
              </w:rPr>
              <w:t>腾安基金</w:t>
            </w:r>
            <w:proofErr w:type="gramEnd"/>
            <w:r w:rsidRPr="004A5EC5">
              <w:rPr>
                <w:rFonts w:ascii="宋体" w:eastAsiaTheme="minorEastAsia" w:hAnsi="宋体" w:cs="Arial" w:hint="eastAsia"/>
                <w:szCs w:val="22"/>
              </w:rPr>
              <w:t>销售（深圳）有限公司</w:t>
            </w:r>
          </w:p>
          <w:p w14:paraId="24228BC7" w14:textId="77777777" w:rsidR="0069510E" w:rsidRPr="004A5EC5" w:rsidRDefault="0069510E" w:rsidP="004A5EC5">
            <w:pPr>
              <w:jc w:val="left"/>
              <w:rPr>
                <w:rFonts w:ascii="宋体" w:hAnsi="宋体" w:cs="Arial"/>
              </w:rPr>
            </w:pPr>
          </w:p>
        </w:tc>
        <w:tc>
          <w:tcPr>
            <w:tcW w:w="5039" w:type="dxa"/>
          </w:tcPr>
          <w:p w14:paraId="5C591973" w14:textId="77777777" w:rsidR="0069510E" w:rsidRPr="004A5EC5" w:rsidRDefault="00000000">
            <w:pPr>
              <w:pStyle w:val="a6"/>
              <w:rPr>
                <w:rFonts w:ascii="宋体" w:eastAsiaTheme="minorEastAsia" w:hAnsi="宋体" w:cs="Arial"/>
                <w:szCs w:val="22"/>
              </w:rPr>
            </w:pPr>
            <w:r w:rsidRPr="004A5EC5">
              <w:rPr>
                <w:rFonts w:ascii="宋体" w:eastAsiaTheme="minorEastAsia" w:hAnsi="宋体" w:cs="Arial" w:hint="eastAsia"/>
                <w:szCs w:val="22"/>
              </w:rPr>
              <w:t>注册（办公）地址：深圳市南山区海天二路</w:t>
            </w:r>
            <w:proofErr w:type="gramStart"/>
            <w:r w:rsidRPr="004A5EC5">
              <w:rPr>
                <w:rFonts w:ascii="宋体" w:eastAsiaTheme="minorEastAsia" w:hAnsi="宋体" w:cs="Arial"/>
                <w:szCs w:val="22"/>
              </w:rPr>
              <w:t>33</w:t>
            </w:r>
            <w:r w:rsidRPr="004A5EC5">
              <w:rPr>
                <w:rFonts w:ascii="宋体" w:eastAsiaTheme="minorEastAsia" w:hAnsi="宋体" w:cs="Arial" w:hint="eastAsia"/>
                <w:szCs w:val="22"/>
              </w:rPr>
              <w:t>号腾讯滨海</w:t>
            </w:r>
            <w:proofErr w:type="gramEnd"/>
            <w:r w:rsidRPr="004A5EC5">
              <w:rPr>
                <w:rFonts w:ascii="宋体" w:eastAsiaTheme="minorEastAsia" w:hAnsi="宋体" w:cs="Arial" w:hint="eastAsia"/>
                <w:szCs w:val="22"/>
              </w:rPr>
              <w:t>大厦</w:t>
            </w:r>
            <w:r w:rsidRPr="004A5EC5">
              <w:rPr>
                <w:rFonts w:ascii="宋体" w:eastAsiaTheme="minorEastAsia" w:hAnsi="宋体" w:cs="Arial"/>
                <w:szCs w:val="22"/>
              </w:rPr>
              <w:t>15</w:t>
            </w:r>
            <w:r w:rsidRPr="004A5EC5">
              <w:rPr>
                <w:rFonts w:ascii="宋体" w:eastAsiaTheme="minorEastAsia" w:hAnsi="宋体" w:cs="Arial" w:hint="eastAsia"/>
                <w:szCs w:val="22"/>
              </w:rPr>
              <w:t>楼</w:t>
            </w:r>
          </w:p>
          <w:p w14:paraId="6132278B" w14:textId="77777777" w:rsidR="0069510E" w:rsidRPr="004A5EC5" w:rsidRDefault="00000000">
            <w:pPr>
              <w:pStyle w:val="a6"/>
              <w:rPr>
                <w:rFonts w:ascii="宋体" w:eastAsiaTheme="minorEastAsia" w:hAnsi="宋体" w:cs="Arial"/>
                <w:szCs w:val="22"/>
              </w:rPr>
            </w:pPr>
            <w:r w:rsidRPr="004A5EC5">
              <w:rPr>
                <w:rFonts w:ascii="宋体" w:eastAsiaTheme="minorEastAsia" w:hAnsi="宋体" w:cs="Arial" w:hint="eastAsia"/>
                <w:szCs w:val="22"/>
              </w:rPr>
              <w:t>客服电话：</w:t>
            </w:r>
            <w:r w:rsidRPr="004A5EC5">
              <w:rPr>
                <w:rFonts w:ascii="宋体" w:eastAsiaTheme="minorEastAsia" w:hAnsi="宋体" w:cs="Arial"/>
                <w:szCs w:val="22"/>
              </w:rPr>
              <w:t>4000-890-555</w:t>
            </w:r>
          </w:p>
          <w:p w14:paraId="5C23E65F" w14:textId="77777777" w:rsidR="0069510E" w:rsidRPr="004A5EC5" w:rsidRDefault="00000000" w:rsidP="004A5EC5">
            <w:pPr>
              <w:snapToGrid w:val="0"/>
              <w:jc w:val="left"/>
              <w:rPr>
                <w:rFonts w:ascii="宋体" w:hAnsi="宋体" w:cs="Arial"/>
              </w:rPr>
            </w:pPr>
            <w:r w:rsidRPr="004A5EC5">
              <w:rPr>
                <w:rFonts w:ascii="宋体" w:hAnsi="宋体" w:cs="Arial" w:hint="eastAsia"/>
              </w:rPr>
              <w:t>公司网站：</w:t>
            </w:r>
            <w:hyperlink r:id="rId35" w:history="1">
              <w:r w:rsidRPr="004A5EC5">
                <w:rPr>
                  <w:rFonts w:ascii="宋体" w:hAnsi="宋体" w:cs="Arial"/>
                </w:rPr>
                <w:t>www.txfund.com</w:t>
              </w:r>
            </w:hyperlink>
          </w:p>
        </w:tc>
      </w:tr>
      <w:tr w:rsidR="0069510E" w14:paraId="3542E312" w14:textId="77777777">
        <w:tc>
          <w:tcPr>
            <w:tcW w:w="675" w:type="dxa"/>
          </w:tcPr>
          <w:p w14:paraId="6E74A85F" w14:textId="77777777" w:rsidR="0069510E" w:rsidRDefault="00000000" w:rsidP="004A5EC5">
            <w:pPr>
              <w:jc w:val="center"/>
              <w:rPr>
                <w:rFonts w:ascii="宋体" w:hAnsi="宋体" w:cs="Arial"/>
              </w:rPr>
            </w:pPr>
            <w:r>
              <w:rPr>
                <w:rFonts w:ascii="宋体" w:hAnsi="宋体" w:cs="Arial" w:hint="eastAsia"/>
              </w:rPr>
              <w:t>18</w:t>
            </w:r>
          </w:p>
        </w:tc>
        <w:tc>
          <w:tcPr>
            <w:tcW w:w="2581" w:type="dxa"/>
          </w:tcPr>
          <w:p w14:paraId="0C6C2D91" w14:textId="77777777" w:rsidR="0069510E" w:rsidRPr="004A5EC5" w:rsidRDefault="00000000" w:rsidP="004A5EC5">
            <w:pPr>
              <w:widowControl/>
              <w:jc w:val="left"/>
              <w:rPr>
                <w:rFonts w:ascii="宋体" w:hAnsi="宋体" w:cs="Arial"/>
              </w:rPr>
            </w:pPr>
            <w:proofErr w:type="gramStart"/>
            <w:r w:rsidRPr="004A5EC5">
              <w:rPr>
                <w:rFonts w:ascii="宋体" w:hAnsi="宋体" w:cs="Arial" w:hint="eastAsia"/>
              </w:rPr>
              <w:t>众惠基金</w:t>
            </w:r>
            <w:proofErr w:type="gramEnd"/>
            <w:r w:rsidRPr="004A5EC5">
              <w:rPr>
                <w:rFonts w:ascii="宋体" w:hAnsi="宋体" w:cs="Arial" w:hint="eastAsia"/>
              </w:rPr>
              <w:t>销售有限公司</w:t>
            </w:r>
          </w:p>
          <w:p w14:paraId="2D1CBA44" w14:textId="77777777" w:rsidR="0069510E" w:rsidRPr="004A5EC5" w:rsidRDefault="0069510E" w:rsidP="004A5EC5">
            <w:pPr>
              <w:jc w:val="left"/>
              <w:rPr>
                <w:rFonts w:ascii="宋体" w:hAnsi="宋体" w:cs="Arial"/>
              </w:rPr>
            </w:pPr>
          </w:p>
        </w:tc>
        <w:tc>
          <w:tcPr>
            <w:tcW w:w="5039" w:type="dxa"/>
          </w:tcPr>
          <w:p w14:paraId="42228B16" w14:textId="77777777" w:rsidR="0069510E" w:rsidRPr="004A5EC5" w:rsidRDefault="00000000" w:rsidP="004A5EC5">
            <w:pPr>
              <w:widowControl/>
              <w:jc w:val="left"/>
              <w:rPr>
                <w:rFonts w:ascii="宋体" w:hAnsi="宋体" w:cs="Arial"/>
              </w:rPr>
            </w:pPr>
            <w:r w:rsidRPr="004A5EC5">
              <w:rPr>
                <w:rFonts w:ascii="宋体" w:hAnsi="宋体" w:cs="Arial" w:hint="eastAsia"/>
              </w:rPr>
              <w:t>注册（办公）地址：贵州省贵阳市观山湖区长岭北路贵阳国际金融中心二期商务区第</w:t>
            </w:r>
            <w:r w:rsidRPr="004A5EC5">
              <w:rPr>
                <w:rFonts w:ascii="宋体" w:hAnsi="宋体" w:cs="Arial"/>
              </w:rPr>
              <w:t>C4</w:t>
            </w:r>
            <w:r w:rsidRPr="004A5EC5">
              <w:rPr>
                <w:rFonts w:ascii="宋体" w:hAnsi="宋体" w:cs="Arial" w:hint="eastAsia"/>
              </w:rPr>
              <w:t>栋</w:t>
            </w:r>
            <w:r w:rsidRPr="004A5EC5">
              <w:rPr>
                <w:rFonts w:ascii="宋体" w:hAnsi="宋体" w:cs="Arial"/>
              </w:rPr>
              <w:t>30</w:t>
            </w:r>
            <w:r w:rsidRPr="004A5EC5">
              <w:rPr>
                <w:rFonts w:ascii="宋体" w:hAnsi="宋体" w:cs="Arial" w:hint="eastAsia"/>
              </w:rPr>
              <w:t>层</w:t>
            </w:r>
          </w:p>
          <w:p w14:paraId="423E904D" w14:textId="77777777" w:rsidR="0069510E" w:rsidRPr="004A5EC5" w:rsidRDefault="00000000" w:rsidP="004A5EC5">
            <w:pPr>
              <w:widowControl/>
              <w:jc w:val="left"/>
              <w:rPr>
                <w:rFonts w:ascii="宋体" w:hAnsi="宋体" w:cs="Arial"/>
              </w:rPr>
            </w:pPr>
            <w:r w:rsidRPr="004A5EC5">
              <w:rPr>
                <w:rFonts w:ascii="宋体" w:hAnsi="宋体" w:cs="Arial" w:hint="eastAsia"/>
              </w:rPr>
              <w:t>客服电话：</w:t>
            </w:r>
            <w:r w:rsidRPr="004A5EC5">
              <w:rPr>
                <w:rFonts w:ascii="宋体" w:hAnsi="宋体" w:cs="Arial"/>
              </w:rPr>
              <w:t>400-839-1818</w:t>
            </w:r>
          </w:p>
          <w:p w14:paraId="7532B47C" w14:textId="77777777" w:rsidR="0069510E" w:rsidRPr="004A5EC5" w:rsidRDefault="00000000" w:rsidP="004A5EC5">
            <w:pPr>
              <w:snapToGrid w:val="0"/>
              <w:jc w:val="left"/>
              <w:rPr>
                <w:rFonts w:ascii="宋体" w:hAnsi="宋体" w:cs="Arial"/>
              </w:rPr>
            </w:pPr>
            <w:r w:rsidRPr="004A5EC5">
              <w:rPr>
                <w:rFonts w:ascii="宋体" w:hAnsi="宋体" w:cs="Arial" w:hint="eastAsia"/>
              </w:rPr>
              <w:t>公司网站：</w:t>
            </w:r>
            <w:r w:rsidRPr="004A5EC5">
              <w:rPr>
                <w:rFonts w:ascii="宋体" w:hAnsi="宋体" w:cs="Arial"/>
              </w:rPr>
              <w:t>www.hyzhfund.com</w:t>
            </w:r>
          </w:p>
        </w:tc>
      </w:tr>
      <w:tr w:rsidR="0069510E" w14:paraId="744E2E92" w14:textId="77777777">
        <w:tc>
          <w:tcPr>
            <w:tcW w:w="675" w:type="dxa"/>
          </w:tcPr>
          <w:p w14:paraId="620E0447" w14:textId="77777777" w:rsidR="0069510E" w:rsidRDefault="00000000" w:rsidP="004A5EC5">
            <w:pPr>
              <w:jc w:val="center"/>
              <w:rPr>
                <w:rFonts w:ascii="宋体" w:hAnsi="宋体" w:cs="Arial"/>
              </w:rPr>
            </w:pPr>
            <w:r>
              <w:rPr>
                <w:rFonts w:ascii="宋体" w:hAnsi="宋体" w:cs="Arial" w:hint="eastAsia"/>
              </w:rPr>
              <w:t>19</w:t>
            </w:r>
          </w:p>
        </w:tc>
        <w:tc>
          <w:tcPr>
            <w:tcW w:w="2581" w:type="dxa"/>
          </w:tcPr>
          <w:p w14:paraId="4EC6F05C" w14:textId="77777777" w:rsidR="0069510E" w:rsidRPr="004A5EC5" w:rsidRDefault="00000000">
            <w:pPr>
              <w:pStyle w:val="a6"/>
              <w:rPr>
                <w:rFonts w:ascii="宋体" w:eastAsiaTheme="minorEastAsia" w:hAnsi="宋体" w:cs="Arial"/>
                <w:szCs w:val="22"/>
              </w:rPr>
            </w:pPr>
            <w:r w:rsidRPr="004A5EC5">
              <w:rPr>
                <w:rFonts w:ascii="宋体" w:eastAsiaTheme="minorEastAsia" w:hAnsi="宋体" w:cs="Arial" w:hint="eastAsia"/>
                <w:szCs w:val="22"/>
              </w:rPr>
              <w:t>北京中</w:t>
            </w:r>
            <w:proofErr w:type="gramStart"/>
            <w:r w:rsidRPr="004A5EC5">
              <w:rPr>
                <w:rFonts w:ascii="宋体" w:eastAsiaTheme="minorEastAsia" w:hAnsi="宋体" w:cs="Arial" w:hint="eastAsia"/>
                <w:szCs w:val="22"/>
              </w:rPr>
              <w:t>植基金</w:t>
            </w:r>
            <w:proofErr w:type="gramEnd"/>
            <w:r w:rsidRPr="004A5EC5">
              <w:rPr>
                <w:rFonts w:ascii="宋体" w:eastAsiaTheme="minorEastAsia" w:hAnsi="宋体" w:cs="Arial" w:hint="eastAsia"/>
                <w:szCs w:val="22"/>
              </w:rPr>
              <w:t>销售有限公司</w:t>
            </w:r>
          </w:p>
          <w:p w14:paraId="40FFC7B9" w14:textId="77777777" w:rsidR="0069510E" w:rsidRPr="004A5EC5" w:rsidRDefault="0069510E" w:rsidP="004A5EC5">
            <w:pPr>
              <w:jc w:val="left"/>
              <w:rPr>
                <w:rFonts w:ascii="宋体" w:hAnsi="宋体" w:cs="Arial"/>
              </w:rPr>
            </w:pPr>
          </w:p>
        </w:tc>
        <w:tc>
          <w:tcPr>
            <w:tcW w:w="5039" w:type="dxa"/>
          </w:tcPr>
          <w:p w14:paraId="2F9DD6EE" w14:textId="77777777" w:rsidR="0069510E" w:rsidRPr="004A5EC5" w:rsidRDefault="00000000">
            <w:pPr>
              <w:pStyle w:val="a6"/>
              <w:rPr>
                <w:rFonts w:ascii="宋体" w:eastAsiaTheme="minorEastAsia" w:hAnsi="宋体" w:cs="Arial"/>
                <w:szCs w:val="22"/>
              </w:rPr>
            </w:pPr>
            <w:r w:rsidRPr="004A5EC5">
              <w:rPr>
                <w:rFonts w:ascii="宋体" w:eastAsiaTheme="minorEastAsia" w:hAnsi="宋体" w:cs="Arial" w:hint="eastAsia"/>
                <w:szCs w:val="22"/>
              </w:rPr>
              <w:t>注册（办公）地址：北京市朝阳区建国路</w:t>
            </w:r>
            <w:r w:rsidRPr="004A5EC5">
              <w:rPr>
                <w:rFonts w:ascii="宋体" w:eastAsiaTheme="minorEastAsia" w:hAnsi="宋体" w:cs="Arial"/>
                <w:szCs w:val="22"/>
              </w:rPr>
              <w:t>91</w:t>
            </w:r>
            <w:r w:rsidRPr="004A5EC5">
              <w:rPr>
                <w:rFonts w:ascii="宋体" w:eastAsiaTheme="minorEastAsia" w:hAnsi="宋体" w:cs="Arial" w:hint="eastAsia"/>
                <w:szCs w:val="22"/>
              </w:rPr>
              <w:t>号金地中心</w:t>
            </w:r>
            <w:r w:rsidRPr="004A5EC5">
              <w:rPr>
                <w:rFonts w:ascii="宋体" w:eastAsiaTheme="minorEastAsia" w:hAnsi="宋体" w:cs="Arial"/>
                <w:szCs w:val="22"/>
              </w:rPr>
              <w:t>B</w:t>
            </w:r>
            <w:r w:rsidRPr="004A5EC5">
              <w:rPr>
                <w:rFonts w:ascii="宋体" w:eastAsiaTheme="minorEastAsia" w:hAnsi="宋体" w:cs="Arial" w:hint="eastAsia"/>
                <w:szCs w:val="22"/>
              </w:rPr>
              <w:t>座</w:t>
            </w:r>
            <w:r w:rsidRPr="004A5EC5">
              <w:rPr>
                <w:rFonts w:ascii="宋体" w:eastAsiaTheme="minorEastAsia" w:hAnsi="宋体" w:cs="Arial"/>
                <w:szCs w:val="22"/>
              </w:rPr>
              <w:t>21</w:t>
            </w:r>
            <w:r w:rsidRPr="004A5EC5">
              <w:rPr>
                <w:rFonts w:ascii="宋体" w:eastAsiaTheme="minorEastAsia" w:hAnsi="宋体" w:cs="Arial" w:hint="eastAsia"/>
                <w:szCs w:val="22"/>
              </w:rPr>
              <w:t>、</w:t>
            </w:r>
            <w:r w:rsidRPr="004A5EC5">
              <w:rPr>
                <w:rFonts w:ascii="宋体" w:eastAsiaTheme="minorEastAsia" w:hAnsi="宋体" w:cs="Arial"/>
                <w:szCs w:val="22"/>
              </w:rPr>
              <w:t>29</w:t>
            </w:r>
            <w:r w:rsidRPr="004A5EC5">
              <w:rPr>
                <w:rFonts w:ascii="宋体" w:eastAsiaTheme="minorEastAsia" w:hAnsi="宋体" w:cs="Arial" w:hint="eastAsia"/>
                <w:szCs w:val="22"/>
              </w:rPr>
              <w:t>层</w:t>
            </w:r>
          </w:p>
          <w:p w14:paraId="554B3051" w14:textId="77777777" w:rsidR="0069510E" w:rsidRPr="004A5EC5" w:rsidRDefault="00000000">
            <w:pPr>
              <w:pStyle w:val="a6"/>
              <w:rPr>
                <w:rFonts w:ascii="宋体" w:eastAsiaTheme="minorEastAsia" w:hAnsi="宋体" w:cs="Arial"/>
                <w:szCs w:val="22"/>
              </w:rPr>
            </w:pPr>
            <w:r w:rsidRPr="004A5EC5">
              <w:rPr>
                <w:rFonts w:ascii="宋体" w:eastAsiaTheme="minorEastAsia" w:hAnsi="宋体" w:cs="Arial" w:hint="eastAsia"/>
                <w:szCs w:val="22"/>
              </w:rPr>
              <w:t>客户服务电话：</w:t>
            </w:r>
            <w:r w:rsidRPr="004A5EC5">
              <w:rPr>
                <w:rFonts w:ascii="宋体" w:eastAsiaTheme="minorEastAsia" w:hAnsi="宋体" w:cs="Arial"/>
                <w:szCs w:val="22"/>
              </w:rPr>
              <w:t>400-8180-888</w:t>
            </w:r>
          </w:p>
          <w:p w14:paraId="408974AF" w14:textId="77777777" w:rsidR="0069510E" w:rsidRPr="004A5EC5" w:rsidRDefault="00000000" w:rsidP="004A5EC5">
            <w:pPr>
              <w:snapToGrid w:val="0"/>
              <w:jc w:val="left"/>
              <w:rPr>
                <w:rFonts w:ascii="宋体" w:hAnsi="宋体" w:cs="Arial"/>
              </w:rPr>
            </w:pPr>
            <w:r w:rsidRPr="004A5EC5">
              <w:rPr>
                <w:rFonts w:ascii="宋体" w:hAnsi="宋体" w:cs="Arial" w:hint="eastAsia"/>
              </w:rPr>
              <w:t>公司网站：</w:t>
            </w:r>
            <w:r w:rsidRPr="004A5EC5">
              <w:rPr>
                <w:rFonts w:ascii="宋体" w:hAnsi="宋体" w:cs="Arial"/>
              </w:rPr>
              <w:t>https://www.zzfund.com</w:t>
            </w:r>
          </w:p>
        </w:tc>
      </w:tr>
      <w:tr w:rsidR="0069510E" w14:paraId="2727E1C0" w14:textId="77777777">
        <w:tc>
          <w:tcPr>
            <w:tcW w:w="675" w:type="dxa"/>
          </w:tcPr>
          <w:p w14:paraId="765D7E70" w14:textId="77777777" w:rsidR="0069510E" w:rsidRDefault="00000000" w:rsidP="004A5EC5">
            <w:pPr>
              <w:jc w:val="center"/>
              <w:rPr>
                <w:rFonts w:ascii="宋体" w:hAnsi="宋体" w:cs="Arial"/>
              </w:rPr>
            </w:pPr>
            <w:r>
              <w:rPr>
                <w:rFonts w:ascii="宋体" w:hAnsi="宋体" w:cs="Arial" w:hint="eastAsia"/>
              </w:rPr>
              <w:t>20</w:t>
            </w:r>
          </w:p>
        </w:tc>
        <w:tc>
          <w:tcPr>
            <w:tcW w:w="2581" w:type="dxa"/>
          </w:tcPr>
          <w:p w14:paraId="7BC88200" w14:textId="77777777" w:rsidR="0069510E" w:rsidRPr="004A5EC5" w:rsidRDefault="00000000">
            <w:pPr>
              <w:pStyle w:val="a6"/>
              <w:rPr>
                <w:rFonts w:ascii="宋体" w:eastAsiaTheme="minorEastAsia" w:hAnsi="宋体" w:cs="Arial"/>
                <w:szCs w:val="22"/>
              </w:rPr>
            </w:pPr>
            <w:r w:rsidRPr="004A5EC5">
              <w:rPr>
                <w:rFonts w:ascii="宋体" w:eastAsiaTheme="minorEastAsia" w:hAnsi="宋体" w:cs="Arial" w:hint="eastAsia"/>
                <w:szCs w:val="22"/>
              </w:rPr>
              <w:t>北京</w:t>
            </w:r>
            <w:proofErr w:type="gramStart"/>
            <w:r w:rsidRPr="004A5EC5">
              <w:rPr>
                <w:rFonts w:ascii="宋体" w:eastAsiaTheme="minorEastAsia" w:hAnsi="宋体" w:cs="Arial" w:hint="eastAsia"/>
                <w:szCs w:val="22"/>
              </w:rPr>
              <w:t>创金启富基金</w:t>
            </w:r>
            <w:proofErr w:type="gramEnd"/>
            <w:r w:rsidRPr="004A5EC5">
              <w:rPr>
                <w:rFonts w:ascii="宋体" w:eastAsiaTheme="minorEastAsia" w:hAnsi="宋体" w:cs="Arial" w:hint="eastAsia"/>
                <w:szCs w:val="22"/>
              </w:rPr>
              <w:t>销售有</w:t>
            </w:r>
            <w:r w:rsidRPr="004A5EC5">
              <w:rPr>
                <w:rFonts w:ascii="宋体" w:eastAsiaTheme="minorEastAsia" w:hAnsi="宋体" w:cs="Arial" w:hint="eastAsia"/>
                <w:szCs w:val="22"/>
              </w:rPr>
              <w:lastRenderedPageBreak/>
              <w:t>限公司</w:t>
            </w:r>
          </w:p>
          <w:p w14:paraId="563028D1" w14:textId="77777777" w:rsidR="0069510E" w:rsidRPr="004A5EC5" w:rsidRDefault="0069510E" w:rsidP="004A5EC5">
            <w:pPr>
              <w:jc w:val="left"/>
              <w:rPr>
                <w:rFonts w:ascii="宋体" w:hAnsi="宋体" w:cs="Arial"/>
              </w:rPr>
            </w:pPr>
          </w:p>
        </w:tc>
        <w:tc>
          <w:tcPr>
            <w:tcW w:w="5039" w:type="dxa"/>
          </w:tcPr>
          <w:p w14:paraId="109ACCA5" w14:textId="77777777" w:rsidR="0069510E" w:rsidRPr="004A5EC5" w:rsidRDefault="00000000">
            <w:pPr>
              <w:pStyle w:val="a6"/>
              <w:rPr>
                <w:rFonts w:ascii="宋体" w:eastAsiaTheme="minorEastAsia" w:hAnsi="宋体" w:cs="Arial"/>
                <w:szCs w:val="22"/>
              </w:rPr>
            </w:pPr>
            <w:r w:rsidRPr="004A5EC5">
              <w:rPr>
                <w:rFonts w:ascii="宋体" w:eastAsiaTheme="minorEastAsia" w:hAnsi="宋体" w:cs="Arial" w:hint="eastAsia"/>
                <w:szCs w:val="22"/>
              </w:rPr>
              <w:lastRenderedPageBreak/>
              <w:t>注册（办公）地址：北京市西城区白纸坊东街</w:t>
            </w:r>
            <w:r w:rsidRPr="004A5EC5">
              <w:rPr>
                <w:rFonts w:ascii="宋体" w:eastAsiaTheme="minorEastAsia" w:hAnsi="宋体" w:cs="Arial"/>
                <w:szCs w:val="22"/>
              </w:rPr>
              <w:t>2</w:t>
            </w:r>
            <w:r w:rsidRPr="004A5EC5">
              <w:rPr>
                <w:rFonts w:ascii="宋体" w:eastAsiaTheme="minorEastAsia" w:hAnsi="宋体" w:cs="Arial" w:hint="eastAsia"/>
                <w:szCs w:val="22"/>
              </w:rPr>
              <w:t>号经</w:t>
            </w:r>
            <w:r w:rsidRPr="004A5EC5">
              <w:rPr>
                <w:rFonts w:ascii="宋体" w:eastAsiaTheme="minorEastAsia" w:hAnsi="宋体" w:cs="Arial" w:hint="eastAsia"/>
                <w:szCs w:val="22"/>
              </w:rPr>
              <w:lastRenderedPageBreak/>
              <w:t>济日报社</w:t>
            </w:r>
            <w:r w:rsidRPr="004A5EC5">
              <w:rPr>
                <w:rFonts w:ascii="宋体" w:eastAsiaTheme="minorEastAsia" w:hAnsi="宋体" w:cs="Arial"/>
                <w:szCs w:val="22"/>
              </w:rPr>
              <w:t>A</w:t>
            </w:r>
            <w:proofErr w:type="gramStart"/>
            <w:r w:rsidRPr="004A5EC5">
              <w:rPr>
                <w:rFonts w:ascii="宋体" w:eastAsiaTheme="minorEastAsia" w:hAnsi="宋体" w:cs="Arial" w:hint="eastAsia"/>
                <w:szCs w:val="22"/>
              </w:rPr>
              <w:t>座综合</w:t>
            </w:r>
            <w:proofErr w:type="gramEnd"/>
            <w:r w:rsidRPr="004A5EC5">
              <w:rPr>
                <w:rFonts w:ascii="宋体" w:eastAsiaTheme="minorEastAsia" w:hAnsi="宋体" w:cs="Arial" w:hint="eastAsia"/>
                <w:szCs w:val="22"/>
              </w:rPr>
              <w:t>楼</w:t>
            </w:r>
            <w:r w:rsidRPr="004A5EC5">
              <w:rPr>
                <w:rFonts w:ascii="宋体" w:eastAsiaTheme="minorEastAsia" w:hAnsi="宋体" w:cs="Arial"/>
                <w:szCs w:val="22"/>
              </w:rPr>
              <w:t>712</w:t>
            </w:r>
            <w:r w:rsidRPr="004A5EC5">
              <w:rPr>
                <w:rFonts w:ascii="宋体" w:eastAsiaTheme="minorEastAsia" w:hAnsi="宋体" w:cs="Arial" w:hint="eastAsia"/>
                <w:szCs w:val="22"/>
              </w:rPr>
              <w:t>室</w:t>
            </w:r>
          </w:p>
          <w:p w14:paraId="1DA98CF1" w14:textId="77777777" w:rsidR="0069510E" w:rsidRPr="004A5EC5" w:rsidRDefault="00000000">
            <w:pPr>
              <w:pStyle w:val="a6"/>
              <w:rPr>
                <w:rFonts w:ascii="宋体" w:eastAsiaTheme="minorEastAsia" w:hAnsi="宋体" w:cs="Arial"/>
                <w:szCs w:val="22"/>
              </w:rPr>
            </w:pPr>
            <w:r w:rsidRPr="004A5EC5">
              <w:rPr>
                <w:rFonts w:ascii="宋体" w:eastAsiaTheme="minorEastAsia" w:hAnsi="宋体" w:cs="Arial" w:hint="eastAsia"/>
                <w:szCs w:val="22"/>
              </w:rPr>
              <w:t>客服电话：</w:t>
            </w:r>
            <w:r w:rsidRPr="004A5EC5">
              <w:rPr>
                <w:rFonts w:ascii="宋体" w:eastAsiaTheme="minorEastAsia" w:hAnsi="宋体" w:cs="Arial"/>
                <w:szCs w:val="22"/>
              </w:rPr>
              <w:t xml:space="preserve">010-66154828 </w:t>
            </w:r>
          </w:p>
          <w:p w14:paraId="0C90B978" w14:textId="77777777" w:rsidR="0069510E" w:rsidRPr="004A5EC5" w:rsidRDefault="00000000" w:rsidP="004A5EC5">
            <w:pPr>
              <w:snapToGrid w:val="0"/>
              <w:jc w:val="left"/>
              <w:rPr>
                <w:rFonts w:ascii="宋体" w:hAnsi="宋体" w:cs="Arial"/>
              </w:rPr>
            </w:pPr>
            <w:r w:rsidRPr="004A5EC5">
              <w:rPr>
                <w:rFonts w:ascii="宋体" w:hAnsi="宋体" w:cs="Arial" w:hint="eastAsia"/>
              </w:rPr>
              <w:t>公司网站：</w:t>
            </w:r>
            <w:r w:rsidRPr="004A5EC5">
              <w:rPr>
                <w:rFonts w:ascii="宋体" w:hAnsi="宋体" w:cs="Arial"/>
              </w:rPr>
              <w:t>https://www.5irich.com/</w:t>
            </w:r>
          </w:p>
        </w:tc>
      </w:tr>
      <w:tr w:rsidR="0069510E" w14:paraId="33B18044" w14:textId="77777777">
        <w:tc>
          <w:tcPr>
            <w:tcW w:w="675" w:type="dxa"/>
          </w:tcPr>
          <w:p w14:paraId="400C3C38" w14:textId="77777777" w:rsidR="0069510E" w:rsidRDefault="00000000" w:rsidP="004A5EC5">
            <w:pPr>
              <w:jc w:val="center"/>
              <w:rPr>
                <w:rFonts w:ascii="宋体" w:hAnsi="宋体" w:cs="Arial"/>
              </w:rPr>
            </w:pPr>
            <w:r>
              <w:rPr>
                <w:rFonts w:ascii="宋体" w:hAnsi="宋体" w:cs="Arial" w:hint="eastAsia"/>
              </w:rPr>
              <w:lastRenderedPageBreak/>
              <w:t>21</w:t>
            </w:r>
          </w:p>
        </w:tc>
        <w:tc>
          <w:tcPr>
            <w:tcW w:w="2581" w:type="dxa"/>
          </w:tcPr>
          <w:p w14:paraId="306F1666" w14:textId="77777777" w:rsidR="0069510E" w:rsidRPr="004A5EC5" w:rsidRDefault="00000000">
            <w:pPr>
              <w:pStyle w:val="a6"/>
              <w:rPr>
                <w:rFonts w:ascii="宋体" w:eastAsiaTheme="minorEastAsia" w:hAnsi="宋体" w:cs="Arial"/>
                <w:szCs w:val="22"/>
              </w:rPr>
            </w:pPr>
            <w:r w:rsidRPr="004A5EC5">
              <w:rPr>
                <w:rFonts w:ascii="宋体" w:eastAsiaTheme="minorEastAsia" w:hAnsi="宋体" w:cs="Arial" w:hint="eastAsia"/>
                <w:szCs w:val="22"/>
              </w:rPr>
              <w:t>和讯信息科技有限公司</w:t>
            </w:r>
          </w:p>
          <w:p w14:paraId="30BB09AB" w14:textId="77777777" w:rsidR="0069510E" w:rsidRPr="004A5EC5" w:rsidRDefault="0069510E" w:rsidP="004A5EC5">
            <w:pPr>
              <w:jc w:val="left"/>
              <w:rPr>
                <w:rFonts w:ascii="宋体" w:hAnsi="宋体" w:cs="Arial"/>
              </w:rPr>
            </w:pPr>
          </w:p>
        </w:tc>
        <w:tc>
          <w:tcPr>
            <w:tcW w:w="5039" w:type="dxa"/>
          </w:tcPr>
          <w:p w14:paraId="126EAAF5" w14:textId="77777777" w:rsidR="0069510E" w:rsidRPr="004A5EC5" w:rsidRDefault="00000000">
            <w:pPr>
              <w:pStyle w:val="a6"/>
              <w:rPr>
                <w:rFonts w:ascii="宋体" w:eastAsiaTheme="minorEastAsia" w:hAnsi="宋体" w:cs="Arial"/>
                <w:szCs w:val="22"/>
              </w:rPr>
            </w:pPr>
            <w:r w:rsidRPr="004A5EC5">
              <w:rPr>
                <w:rFonts w:ascii="宋体" w:eastAsiaTheme="minorEastAsia" w:hAnsi="宋体" w:cs="Arial" w:hint="eastAsia"/>
                <w:szCs w:val="22"/>
              </w:rPr>
              <w:t>注册（办公）地址：北京市朝外大街</w:t>
            </w:r>
            <w:proofErr w:type="gramStart"/>
            <w:r w:rsidRPr="004A5EC5">
              <w:rPr>
                <w:rFonts w:ascii="宋体" w:eastAsiaTheme="minorEastAsia" w:hAnsi="宋体" w:cs="Arial"/>
                <w:szCs w:val="22"/>
              </w:rPr>
              <w:t>22</w:t>
            </w:r>
            <w:r w:rsidRPr="004A5EC5">
              <w:rPr>
                <w:rFonts w:ascii="宋体" w:eastAsiaTheme="minorEastAsia" w:hAnsi="宋体" w:cs="Arial" w:hint="eastAsia"/>
                <w:szCs w:val="22"/>
              </w:rPr>
              <w:t>号泛利大厦</w:t>
            </w:r>
            <w:proofErr w:type="gramEnd"/>
            <w:r w:rsidRPr="004A5EC5">
              <w:rPr>
                <w:rFonts w:ascii="宋体" w:eastAsiaTheme="minorEastAsia" w:hAnsi="宋体" w:cs="Arial"/>
                <w:szCs w:val="22"/>
              </w:rPr>
              <w:t>10</w:t>
            </w:r>
            <w:r w:rsidRPr="004A5EC5">
              <w:rPr>
                <w:rFonts w:ascii="宋体" w:eastAsiaTheme="minorEastAsia" w:hAnsi="宋体" w:cs="Arial" w:hint="eastAsia"/>
                <w:szCs w:val="22"/>
              </w:rPr>
              <w:t>层</w:t>
            </w:r>
          </w:p>
          <w:p w14:paraId="3AA13792" w14:textId="77777777" w:rsidR="0069510E" w:rsidRPr="004A5EC5" w:rsidRDefault="00000000">
            <w:pPr>
              <w:pStyle w:val="a6"/>
              <w:rPr>
                <w:rFonts w:ascii="宋体" w:eastAsiaTheme="minorEastAsia" w:hAnsi="宋体" w:cs="Arial"/>
                <w:szCs w:val="22"/>
              </w:rPr>
            </w:pPr>
            <w:r w:rsidRPr="004A5EC5">
              <w:rPr>
                <w:rFonts w:ascii="宋体" w:eastAsiaTheme="minorEastAsia" w:hAnsi="宋体" w:cs="Arial" w:hint="eastAsia"/>
                <w:szCs w:val="22"/>
              </w:rPr>
              <w:t>客服电话：</w:t>
            </w:r>
            <w:r w:rsidRPr="004A5EC5">
              <w:rPr>
                <w:rFonts w:ascii="宋体" w:eastAsiaTheme="minorEastAsia" w:hAnsi="宋体" w:cs="Arial"/>
                <w:szCs w:val="22"/>
              </w:rPr>
              <w:t>400-920-0022</w:t>
            </w:r>
          </w:p>
          <w:p w14:paraId="55DDA937" w14:textId="77777777" w:rsidR="0069510E" w:rsidRPr="004A5EC5" w:rsidRDefault="00000000" w:rsidP="004A5EC5">
            <w:pPr>
              <w:snapToGrid w:val="0"/>
              <w:jc w:val="left"/>
              <w:rPr>
                <w:rFonts w:ascii="宋体" w:hAnsi="宋体" w:cs="Arial"/>
              </w:rPr>
            </w:pPr>
            <w:r w:rsidRPr="004A5EC5">
              <w:rPr>
                <w:rFonts w:ascii="宋体" w:hAnsi="宋体" w:cs="Arial" w:hint="eastAsia"/>
              </w:rPr>
              <w:t>公司网站：</w:t>
            </w:r>
            <w:hyperlink r:id="rId36" w:history="1">
              <w:r w:rsidRPr="004A5EC5">
                <w:rPr>
                  <w:rFonts w:ascii="宋体" w:hAnsi="宋体" w:cs="Arial"/>
                </w:rPr>
                <w:t>www.licaike.com</w:t>
              </w:r>
            </w:hyperlink>
          </w:p>
        </w:tc>
      </w:tr>
      <w:tr w:rsidR="0069510E" w14:paraId="3E1F2C12" w14:textId="77777777">
        <w:tc>
          <w:tcPr>
            <w:tcW w:w="675" w:type="dxa"/>
          </w:tcPr>
          <w:p w14:paraId="3B929003" w14:textId="77777777" w:rsidR="0069510E" w:rsidRDefault="00000000" w:rsidP="004A5EC5">
            <w:pPr>
              <w:jc w:val="center"/>
              <w:rPr>
                <w:rFonts w:ascii="宋体" w:hAnsi="宋体" w:cs="Arial"/>
              </w:rPr>
            </w:pPr>
            <w:r>
              <w:rPr>
                <w:rFonts w:ascii="宋体" w:hAnsi="宋体" w:cs="Arial" w:hint="eastAsia"/>
              </w:rPr>
              <w:t>22</w:t>
            </w:r>
          </w:p>
        </w:tc>
        <w:tc>
          <w:tcPr>
            <w:tcW w:w="2581" w:type="dxa"/>
          </w:tcPr>
          <w:p w14:paraId="00AB9EBB" w14:textId="77777777" w:rsidR="0069510E" w:rsidRPr="004A5EC5" w:rsidRDefault="00000000" w:rsidP="004A5EC5">
            <w:pPr>
              <w:jc w:val="left"/>
              <w:rPr>
                <w:rFonts w:ascii="宋体" w:hAnsi="宋体" w:cs="Arial"/>
              </w:rPr>
            </w:pPr>
            <w:r w:rsidRPr="004A5EC5">
              <w:rPr>
                <w:rFonts w:ascii="宋体" w:hAnsi="宋体" w:cs="Arial" w:hint="eastAsia"/>
              </w:rPr>
              <w:t>上海</w:t>
            </w:r>
            <w:proofErr w:type="gramStart"/>
            <w:r w:rsidRPr="004A5EC5">
              <w:rPr>
                <w:rFonts w:ascii="宋体" w:hAnsi="宋体" w:cs="Arial" w:hint="eastAsia"/>
              </w:rPr>
              <w:t>陆享基金</w:t>
            </w:r>
            <w:proofErr w:type="gramEnd"/>
            <w:r w:rsidRPr="004A5EC5">
              <w:rPr>
                <w:rFonts w:ascii="宋体" w:hAnsi="宋体" w:cs="Arial" w:hint="eastAsia"/>
              </w:rPr>
              <w:t>销售有限公司</w:t>
            </w:r>
          </w:p>
        </w:tc>
        <w:tc>
          <w:tcPr>
            <w:tcW w:w="5039" w:type="dxa"/>
          </w:tcPr>
          <w:p w14:paraId="52F52507" w14:textId="77777777" w:rsidR="0069510E" w:rsidRPr="004A5EC5" w:rsidRDefault="00000000" w:rsidP="004A5EC5">
            <w:pPr>
              <w:snapToGrid w:val="0"/>
              <w:jc w:val="left"/>
              <w:rPr>
                <w:rFonts w:ascii="宋体" w:hAnsi="宋体" w:cs="Arial"/>
              </w:rPr>
            </w:pPr>
            <w:r w:rsidRPr="004A5EC5">
              <w:rPr>
                <w:rFonts w:ascii="宋体" w:hAnsi="宋体" w:cs="Arial" w:hint="eastAsia"/>
              </w:rPr>
              <w:t>注册（办公）地址：中国（上海）自由贸易试验区世纪大道</w:t>
            </w:r>
            <w:r w:rsidRPr="004A5EC5">
              <w:rPr>
                <w:rFonts w:ascii="宋体" w:hAnsi="宋体" w:cs="Arial"/>
              </w:rPr>
              <w:t>1196</w:t>
            </w:r>
            <w:r w:rsidRPr="004A5EC5">
              <w:rPr>
                <w:rFonts w:ascii="宋体" w:hAnsi="宋体" w:cs="Arial" w:hint="eastAsia"/>
              </w:rPr>
              <w:t>号世纪汇广场二座</w:t>
            </w:r>
            <w:r w:rsidRPr="004A5EC5">
              <w:rPr>
                <w:rFonts w:ascii="宋体" w:hAnsi="宋体" w:cs="Arial"/>
              </w:rPr>
              <w:t>16</w:t>
            </w:r>
            <w:r w:rsidRPr="004A5EC5">
              <w:rPr>
                <w:rFonts w:ascii="宋体" w:hAnsi="宋体" w:cs="Arial" w:hint="eastAsia"/>
              </w:rPr>
              <w:t>层</w:t>
            </w:r>
          </w:p>
          <w:p w14:paraId="219A671F" w14:textId="77777777" w:rsidR="0069510E" w:rsidRPr="004A5EC5" w:rsidRDefault="00000000" w:rsidP="004A5EC5">
            <w:pPr>
              <w:snapToGrid w:val="0"/>
              <w:jc w:val="left"/>
              <w:rPr>
                <w:rFonts w:ascii="宋体" w:hAnsi="宋体" w:cs="Arial"/>
              </w:rPr>
            </w:pPr>
            <w:r w:rsidRPr="004A5EC5">
              <w:rPr>
                <w:rFonts w:ascii="宋体" w:hAnsi="宋体" w:cs="Arial" w:hint="eastAsia"/>
              </w:rPr>
              <w:t>客服电话：</w:t>
            </w:r>
            <w:r w:rsidRPr="004A5EC5">
              <w:rPr>
                <w:rFonts w:ascii="宋体" w:hAnsi="宋体" w:cs="Arial"/>
              </w:rPr>
              <w:t>400-168-1235</w:t>
            </w:r>
          </w:p>
          <w:p w14:paraId="3B72CC94" w14:textId="77777777" w:rsidR="0069510E" w:rsidRPr="004A5EC5" w:rsidRDefault="00000000" w:rsidP="004A5EC5">
            <w:pPr>
              <w:snapToGrid w:val="0"/>
              <w:jc w:val="left"/>
              <w:rPr>
                <w:rFonts w:ascii="宋体" w:hAnsi="宋体" w:cs="Arial"/>
              </w:rPr>
            </w:pPr>
            <w:r w:rsidRPr="004A5EC5">
              <w:rPr>
                <w:rFonts w:ascii="宋体" w:hAnsi="宋体" w:cs="Arial" w:hint="eastAsia"/>
              </w:rPr>
              <w:t>公司网站：</w:t>
            </w:r>
            <w:r w:rsidRPr="004A5EC5">
              <w:rPr>
                <w:rFonts w:ascii="宋体" w:hAnsi="宋体" w:cs="Arial"/>
              </w:rPr>
              <w:t>www.luxxfund.com</w:t>
            </w:r>
          </w:p>
        </w:tc>
      </w:tr>
      <w:tr w:rsidR="0069510E" w14:paraId="617B43D6" w14:textId="77777777">
        <w:tc>
          <w:tcPr>
            <w:tcW w:w="675" w:type="dxa"/>
          </w:tcPr>
          <w:p w14:paraId="4CEA945E" w14:textId="77777777" w:rsidR="0069510E" w:rsidRDefault="00000000" w:rsidP="004A5EC5">
            <w:pPr>
              <w:jc w:val="center"/>
              <w:rPr>
                <w:rFonts w:ascii="宋体" w:hAnsi="宋体" w:cs="Arial"/>
              </w:rPr>
            </w:pPr>
            <w:r>
              <w:rPr>
                <w:rFonts w:ascii="宋体" w:hAnsi="宋体" w:cs="Arial" w:hint="eastAsia"/>
              </w:rPr>
              <w:t>23</w:t>
            </w:r>
          </w:p>
        </w:tc>
        <w:tc>
          <w:tcPr>
            <w:tcW w:w="2581" w:type="dxa"/>
          </w:tcPr>
          <w:p w14:paraId="5E4AAE37" w14:textId="77777777" w:rsidR="0069510E" w:rsidRPr="004A5EC5" w:rsidRDefault="00000000" w:rsidP="004A5EC5">
            <w:pPr>
              <w:jc w:val="left"/>
              <w:rPr>
                <w:rFonts w:ascii="宋体" w:hAnsi="宋体" w:cs="Arial"/>
              </w:rPr>
            </w:pPr>
            <w:r w:rsidRPr="004A5EC5">
              <w:rPr>
                <w:rFonts w:ascii="宋体" w:hAnsi="宋体" w:cs="Arial" w:hint="eastAsia"/>
              </w:rPr>
              <w:t>金元证券股份有限公司</w:t>
            </w:r>
          </w:p>
        </w:tc>
        <w:tc>
          <w:tcPr>
            <w:tcW w:w="5039" w:type="dxa"/>
          </w:tcPr>
          <w:p w14:paraId="720A6C8A" w14:textId="77777777" w:rsidR="0069510E" w:rsidRPr="004A5EC5" w:rsidRDefault="00000000" w:rsidP="004A5EC5">
            <w:pPr>
              <w:snapToGrid w:val="0"/>
              <w:jc w:val="left"/>
              <w:rPr>
                <w:rFonts w:ascii="宋体" w:hAnsi="宋体" w:cs="Arial"/>
              </w:rPr>
            </w:pPr>
            <w:r w:rsidRPr="004A5EC5">
              <w:rPr>
                <w:rFonts w:ascii="宋体" w:hAnsi="宋体" w:cs="Arial" w:hint="eastAsia"/>
              </w:rPr>
              <w:t>注册</w:t>
            </w:r>
            <w:r w:rsidRPr="004A5EC5">
              <w:rPr>
                <w:rFonts w:ascii="宋体" w:hAnsi="宋体" w:cs="Arial"/>
              </w:rPr>
              <w:t xml:space="preserve">(办公)地址 : </w:t>
            </w:r>
            <w:r w:rsidRPr="004A5EC5">
              <w:rPr>
                <w:rFonts w:ascii="宋体" w:hAnsi="宋体" w:cs="Arial" w:hint="eastAsia"/>
              </w:rPr>
              <w:t>深圳市深南大道</w:t>
            </w:r>
            <w:r w:rsidRPr="004A5EC5">
              <w:rPr>
                <w:rFonts w:ascii="宋体" w:hAnsi="宋体" w:cs="Arial"/>
              </w:rPr>
              <w:t>4001号时代金融中心大厦17楼</w:t>
            </w:r>
          </w:p>
          <w:p w14:paraId="14F2CDF1" w14:textId="77777777" w:rsidR="0069510E" w:rsidRPr="004A5EC5" w:rsidRDefault="00000000" w:rsidP="004A5EC5">
            <w:pPr>
              <w:snapToGrid w:val="0"/>
              <w:jc w:val="left"/>
              <w:rPr>
                <w:rFonts w:ascii="宋体" w:hAnsi="宋体" w:cs="Arial"/>
              </w:rPr>
            </w:pPr>
            <w:r w:rsidRPr="004A5EC5">
              <w:rPr>
                <w:rFonts w:ascii="宋体" w:hAnsi="宋体" w:cs="Arial" w:hint="eastAsia"/>
              </w:rPr>
              <w:t>客户服务电话：</w:t>
            </w:r>
            <w:r w:rsidRPr="004A5EC5">
              <w:rPr>
                <w:rFonts w:ascii="宋体" w:hAnsi="宋体" w:cs="Arial"/>
              </w:rPr>
              <w:t>95372</w:t>
            </w:r>
          </w:p>
          <w:p w14:paraId="41D347EE" w14:textId="77777777" w:rsidR="0069510E" w:rsidRPr="004A5EC5" w:rsidRDefault="00000000" w:rsidP="004A5EC5">
            <w:pPr>
              <w:snapToGrid w:val="0"/>
              <w:jc w:val="left"/>
              <w:rPr>
                <w:rFonts w:ascii="宋体" w:hAnsi="宋体" w:cs="Arial"/>
              </w:rPr>
            </w:pPr>
            <w:r w:rsidRPr="004A5EC5">
              <w:rPr>
                <w:rFonts w:ascii="宋体" w:hAnsi="宋体" w:cs="Arial" w:hint="eastAsia"/>
              </w:rPr>
              <w:t>网址：</w:t>
            </w:r>
            <w:r w:rsidRPr="004A5EC5">
              <w:rPr>
                <w:rFonts w:ascii="宋体" w:hAnsi="宋体" w:cs="Arial"/>
              </w:rPr>
              <w:t>www.jyzq.cn</w:t>
            </w:r>
          </w:p>
        </w:tc>
      </w:tr>
      <w:tr w:rsidR="0069510E" w14:paraId="60E67F22" w14:textId="77777777">
        <w:tc>
          <w:tcPr>
            <w:tcW w:w="675" w:type="dxa"/>
          </w:tcPr>
          <w:p w14:paraId="50E6426E" w14:textId="77777777" w:rsidR="0069510E" w:rsidRDefault="00000000" w:rsidP="004A5EC5">
            <w:pPr>
              <w:jc w:val="center"/>
              <w:rPr>
                <w:rFonts w:ascii="宋体" w:hAnsi="宋体" w:cs="Arial"/>
              </w:rPr>
            </w:pPr>
            <w:r>
              <w:rPr>
                <w:rFonts w:ascii="宋体" w:hAnsi="宋体" w:cs="Arial" w:hint="eastAsia"/>
              </w:rPr>
              <w:t>24</w:t>
            </w:r>
          </w:p>
        </w:tc>
        <w:tc>
          <w:tcPr>
            <w:tcW w:w="2581" w:type="dxa"/>
          </w:tcPr>
          <w:p w14:paraId="2C8F6010" w14:textId="77777777" w:rsidR="0069510E" w:rsidRPr="004A5EC5" w:rsidRDefault="00000000" w:rsidP="004A5EC5">
            <w:pPr>
              <w:jc w:val="left"/>
              <w:rPr>
                <w:rFonts w:ascii="宋体" w:hAnsi="宋体" w:cs="Arial"/>
              </w:rPr>
            </w:pPr>
            <w:r w:rsidRPr="004A5EC5">
              <w:rPr>
                <w:rFonts w:ascii="宋体" w:hAnsi="宋体" w:cs="Arial" w:hint="eastAsia"/>
              </w:rPr>
              <w:t>深圳市前海排</w:t>
            </w:r>
            <w:proofErr w:type="gramStart"/>
            <w:r w:rsidRPr="004A5EC5">
              <w:rPr>
                <w:rFonts w:ascii="宋体" w:hAnsi="宋体" w:cs="Arial" w:hint="eastAsia"/>
              </w:rPr>
              <w:t>排</w:t>
            </w:r>
            <w:proofErr w:type="gramEnd"/>
            <w:r w:rsidRPr="004A5EC5">
              <w:rPr>
                <w:rFonts w:ascii="宋体" w:hAnsi="宋体" w:cs="Arial" w:hint="eastAsia"/>
              </w:rPr>
              <w:t>网基金销售有限责任公司</w:t>
            </w:r>
          </w:p>
        </w:tc>
        <w:tc>
          <w:tcPr>
            <w:tcW w:w="5039" w:type="dxa"/>
          </w:tcPr>
          <w:p w14:paraId="13650115" w14:textId="77777777" w:rsidR="0069510E" w:rsidRPr="004A5EC5" w:rsidRDefault="00000000" w:rsidP="004A5EC5">
            <w:pPr>
              <w:jc w:val="left"/>
              <w:rPr>
                <w:rFonts w:ascii="宋体" w:hAnsi="宋体" w:cs="Arial"/>
              </w:rPr>
            </w:pPr>
            <w:r w:rsidRPr="004A5EC5">
              <w:rPr>
                <w:rFonts w:ascii="宋体" w:hAnsi="宋体" w:cs="Arial" w:hint="eastAsia"/>
              </w:rPr>
              <w:t>注册（办公）地址：深圳市前海深港合作区前湾一路</w:t>
            </w:r>
            <w:r w:rsidRPr="004A5EC5">
              <w:rPr>
                <w:rFonts w:ascii="宋体" w:hAnsi="宋体" w:cs="Arial"/>
              </w:rPr>
              <w:t>1号A栋201室（入驻深圳市前海商务秘书有限公司）</w:t>
            </w:r>
          </w:p>
          <w:p w14:paraId="24E7501B" w14:textId="77777777" w:rsidR="0069510E" w:rsidRPr="004A5EC5" w:rsidRDefault="00000000" w:rsidP="004A5EC5">
            <w:pPr>
              <w:jc w:val="left"/>
              <w:rPr>
                <w:rFonts w:ascii="宋体" w:hAnsi="宋体" w:cs="Arial"/>
              </w:rPr>
            </w:pPr>
            <w:r w:rsidRPr="004A5EC5">
              <w:rPr>
                <w:rFonts w:ascii="宋体" w:hAnsi="宋体" w:cs="Arial" w:hint="eastAsia"/>
              </w:rPr>
              <w:t>客服电话：</w:t>
            </w:r>
            <w:r w:rsidRPr="004A5EC5">
              <w:rPr>
                <w:rFonts w:ascii="宋体" w:hAnsi="宋体" w:cs="Arial"/>
              </w:rPr>
              <w:t xml:space="preserve">400-666-7388 </w:t>
            </w:r>
          </w:p>
          <w:p w14:paraId="58F8EE9A" w14:textId="77777777" w:rsidR="0069510E" w:rsidRPr="004A5EC5" w:rsidRDefault="00000000" w:rsidP="004A5EC5">
            <w:pPr>
              <w:snapToGrid w:val="0"/>
              <w:jc w:val="left"/>
              <w:rPr>
                <w:rFonts w:ascii="宋体" w:hAnsi="宋体" w:cs="Arial"/>
              </w:rPr>
            </w:pPr>
            <w:r w:rsidRPr="004A5EC5">
              <w:rPr>
                <w:rFonts w:ascii="宋体" w:hAnsi="宋体" w:cs="Arial" w:hint="eastAsia"/>
              </w:rPr>
              <w:t>公司网站：</w:t>
            </w:r>
            <w:r w:rsidRPr="004A5EC5">
              <w:rPr>
                <w:rFonts w:ascii="宋体" w:hAnsi="宋体" w:cs="Arial"/>
              </w:rPr>
              <w:t>www.ppwfund.com</w:t>
            </w:r>
          </w:p>
        </w:tc>
      </w:tr>
      <w:tr w:rsidR="0069510E" w14:paraId="53690F40" w14:textId="77777777">
        <w:tc>
          <w:tcPr>
            <w:tcW w:w="675" w:type="dxa"/>
          </w:tcPr>
          <w:p w14:paraId="05A8187E" w14:textId="77777777" w:rsidR="0069510E" w:rsidRDefault="00000000" w:rsidP="004A5EC5">
            <w:pPr>
              <w:jc w:val="center"/>
              <w:rPr>
                <w:rFonts w:ascii="宋体" w:hAnsi="宋体" w:cs="Arial"/>
              </w:rPr>
            </w:pPr>
            <w:r>
              <w:rPr>
                <w:rFonts w:ascii="宋体" w:hAnsi="宋体" w:cs="Arial" w:hint="eastAsia"/>
              </w:rPr>
              <w:t>25</w:t>
            </w:r>
          </w:p>
        </w:tc>
        <w:tc>
          <w:tcPr>
            <w:tcW w:w="2581" w:type="dxa"/>
          </w:tcPr>
          <w:p w14:paraId="1CC044C9" w14:textId="77777777" w:rsidR="0069510E" w:rsidRPr="004A5EC5" w:rsidRDefault="00000000" w:rsidP="004A5EC5">
            <w:pPr>
              <w:jc w:val="left"/>
              <w:rPr>
                <w:rFonts w:ascii="宋体" w:hAnsi="宋体" w:cs="Arial"/>
              </w:rPr>
            </w:pPr>
            <w:r w:rsidRPr="004A5EC5">
              <w:rPr>
                <w:rFonts w:ascii="宋体" w:hAnsi="宋体" w:cs="Arial" w:hint="eastAsia"/>
              </w:rPr>
              <w:t>嘉实财富管理有限公司</w:t>
            </w:r>
          </w:p>
        </w:tc>
        <w:tc>
          <w:tcPr>
            <w:tcW w:w="5039" w:type="dxa"/>
          </w:tcPr>
          <w:p w14:paraId="171B908A" w14:textId="77777777" w:rsidR="0069510E" w:rsidRPr="004A5EC5" w:rsidRDefault="00000000" w:rsidP="004A5EC5">
            <w:pPr>
              <w:jc w:val="left"/>
              <w:rPr>
                <w:rFonts w:ascii="宋体" w:hAnsi="宋体" w:cs="Arial"/>
              </w:rPr>
            </w:pPr>
            <w:r w:rsidRPr="004A5EC5">
              <w:rPr>
                <w:rFonts w:ascii="宋体" w:hAnsi="宋体" w:cs="Arial" w:hint="eastAsia"/>
              </w:rPr>
              <w:t>注册（办公）地址：海南省三亚市天涯区凤凰岛</w:t>
            </w:r>
            <w:r w:rsidRPr="004A5EC5">
              <w:rPr>
                <w:rFonts w:ascii="宋体" w:hAnsi="宋体" w:cs="Arial"/>
              </w:rPr>
              <w:t>1</w:t>
            </w:r>
            <w:r w:rsidRPr="004A5EC5">
              <w:rPr>
                <w:rFonts w:ascii="宋体" w:hAnsi="宋体" w:cs="Arial" w:hint="eastAsia"/>
              </w:rPr>
              <w:t>号楼</w:t>
            </w:r>
            <w:r w:rsidRPr="004A5EC5">
              <w:rPr>
                <w:rFonts w:ascii="宋体" w:hAnsi="宋体" w:cs="Arial"/>
              </w:rPr>
              <w:t>7</w:t>
            </w:r>
            <w:r w:rsidRPr="004A5EC5">
              <w:rPr>
                <w:rFonts w:ascii="宋体" w:hAnsi="宋体" w:cs="Arial" w:hint="eastAsia"/>
              </w:rPr>
              <w:t>层</w:t>
            </w:r>
            <w:r w:rsidRPr="004A5EC5">
              <w:rPr>
                <w:rFonts w:ascii="宋体" w:hAnsi="宋体" w:cs="Arial"/>
              </w:rPr>
              <w:t>710</w:t>
            </w:r>
            <w:r w:rsidRPr="004A5EC5">
              <w:rPr>
                <w:rFonts w:ascii="宋体" w:hAnsi="宋体" w:cs="Arial" w:hint="eastAsia"/>
              </w:rPr>
              <w:t>号</w:t>
            </w:r>
          </w:p>
          <w:p w14:paraId="1784B67B" w14:textId="77777777" w:rsidR="0069510E" w:rsidRPr="004A5EC5" w:rsidRDefault="00000000" w:rsidP="004A5EC5">
            <w:pPr>
              <w:jc w:val="left"/>
              <w:rPr>
                <w:rFonts w:ascii="宋体" w:hAnsi="宋体" w:cs="Arial"/>
              </w:rPr>
            </w:pPr>
            <w:r w:rsidRPr="004A5EC5">
              <w:rPr>
                <w:rFonts w:ascii="宋体" w:hAnsi="宋体" w:cs="Arial" w:hint="eastAsia"/>
              </w:rPr>
              <w:t>客服电话：</w:t>
            </w:r>
            <w:r w:rsidRPr="004A5EC5">
              <w:rPr>
                <w:rFonts w:ascii="宋体" w:hAnsi="宋体" w:cs="Arial"/>
              </w:rPr>
              <w:t>400-021-8850</w:t>
            </w:r>
          </w:p>
          <w:p w14:paraId="595956F0" w14:textId="77777777" w:rsidR="0069510E" w:rsidRPr="004A5EC5" w:rsidRDefault="00000000" w:rsidP="004A5EC5">
            <w:pPr>
              <w:snapToGrid w:val="0"/>
              <w:jc w:val="left"/>
              <w:rPr>
                <w:rFonts w:ascii="宋体" w:hAnsi="宋体" w:cs="Arial"/>
              </w:rPr>
            </w:pPr>
            <w:r w:rsidRPr="004A5EC5">
              <w:rPr>
                <w:rFonts w:ascii="宋体" w:hAnsi="宋体" w:cs="Arial" w:hint="eastAsia"/>
              </w:rPr>
              <w:t>公司网站：</w:t>
            </w:r>
            <w:r w:rsidRPr="004A5EC5">
              <w:rPr>
                <w:rFonts w:ascii="宋体" w:hAnsi="宋体" w:cs="Arial"/>
              </w:rPr>
              <w:t>www.harvestwm.cn</w:t>
            </w:r>
          </w:p>
        </w:tc>
      </w:tr>
      <w:tr w:rsidR="0069510E" w14:paraId="20637EAD" w14:textId="77777777">
        <w:tc>
          <w:tcPr>
            <w:tcW w:w="675" w:type="dxa"/>
          </w:tcPr>
          <w:p w14:paraId="007AF0D5" w14:textId="77777777" w:rsidR="0069510E" w:rsidRDefault="00000000" w:rsidP="004A5EC5">
            <w:pPr>
              <w:jc w:val="center"/>
              <w:rPr>
                <w:rFonts w:ascii="宋体" w:hAnsi="宋体" w:cs="Arial"/>
              </w:rPr>
            </w:pPr>
            <w:r>
              <w:rPr>
                <w:rFonts w:ascii="宋体" w:hAnsi="宋体" w:cs="Arial" w:hint="eastAsia"/>
              </w:rPr>
              <w:t>26</w:t>
            </w:r>
          </w:p>
        </w:tc>
        <w:tc>
          <w:tcPr>
            <w:tcW w:w="2581" w:type="dxa"/>
          </w:tcPr>
          <w:p w14:paraId="0775C20C" w14:textId="77777777" w:rsidR="0069510E" w:rsidRPr="004A5EC5" w:rsidRDefault="00000000" w:rsidP="004A5EC5">
            <w:pPr>
              <w:jc w:val="left"/>
              <w:rPr>
                <w:rFonts w:ascii="宋体" w:hAnsi="宋体" w:cs="Arial"/>
              </w:rPr>
            </w:pPr>
            <w:r w:rsidRPr="004A5EC5">
              <w:rPr>
                <w:rFonts w:ascii="宋体" w:hAnsi="宋体" w:cs="Arial" w:hint="eastAsia"/>
              </w:rPr>
              <w:t>上海</w:t>
            </w:r>
            <w:proofErr w:type="gramStart"/>
            <w:r w:rsidRPr="004A5EC5">
              <w:rPr>
                <w:rFonts w:ascii="宋体" w:hAnsi="宋体" w:cs="Arial" w:hint="eastAsia"/>
              </w:rPr>
              <w:t>攀赢基金</w:t>
            </w:r>
            <w:proofErr w:type="gramEnd"/>
            <w:r w:rsidRPr="004A5EC5">
              <w:rPr>
                <w:rFonts w:ascii="宋体" w:hAnsi="宋体" w:cs="Arial" w:hint="eastAsia"/>
              </w:rPr>
              <w:t>销售有限公司</w:t>
            </w:r>
          </w:p>
        </w:tc>
        <w:tc>
          <w:tcPr>
            <w:tcW w:w="5039" w:type="dxa"/>
          </w:tcPr>
          <w:p w14:paraId="4BA1EF59" w14:textId="77777777" w:rsidR="0069510E" w:rsidRPr="004A5EC5" w:rsidRDefault="00000000" w:rsidP="004A5EC5">
            <w:pPr>
              <w:jc w:val="left"/>
              <w:rPr>
                <w:rFonts w:ascii="宋体" w:hAnsi="宋体" w:cs="Arial"/>
              </w:rPr>
            </w:pPr>
            <w:r w:rsidRPr="004A5EC5">
              <w:rPr>
                <w:rFonts w:ascii="宋体" w:hAnsi="宋体" w:cs="Arial" w:hint="eastAsia"/>
              </w:rPr>
              <w:t>注册（办公）地址：上海市浦东</w:t>
            </w:r>
            <w:proofErr w:type="gramStart"/>
            <w:r w:rsidRPr="004A5EC5">
              <w:rPr>
                <w:rFonts w:ascii="宋体" w:hAnsi="宋体" w:cs="Arial" w:hint="eastAsia"/>
              </w:rPr>
              <w:t>新区银</w:t>
            </w:r>
            <w:proofErr w:type="gramEnd"/>
            <w:r w:rsidRPr="004A5EC5">
              <w:rPr>
                <w:rFonts w:ascii="宋体" w:hAnsi="宋体" w:cs="Arial" w:hint="eastAsia"/>
              </w:rPr>
              <w:t>城路</w:t>
            </w:r>
            <w:r w:rsidRPr="004A5EC5">
              <w:rPr>
                <w:rFonts w:ascii="宋体" w:hAnsi="宋体" w:cs="Arial"/>
              </w:rPr>
              <w:t>116</w:t>
            </w:r>
            <w:r w:rsidRPr="004A5EC5">
              <w:rPr>
                <w:rFonts w:ascii="宋体" w:hAnsi="宋体" w:cs="Arial" w:hint="eastAsia"/>
              </w:rPr>
              <w:t>号大华银行大厦</w:t>
            </w:r>
            <w:r w:rsidRPr="004A5EC5">
              <w:rPr>
                <w:rFonts w:ascii="宋体" w:hAnsi="宋体" w:cs="Arial"/>
              </w:rPr>
              <w:t>7</w:t>
            </w:r>
            <w:r w:rsidRPr="004A5EC5">
              <w:rPr>
                <w:rFonts w:ascii="宋体" w:hAnsi="宋体" w:cs="Arial" w:hint="eastAsia"/>
              </w:rPr>
              <w:t>楼</w:t>
            </w:r>
          </w:p>
          <w:p w14:paraId="1E67F606" w14:textId="77777777" w:rsidR="0069510E" w:rsidRPr="004A5EC5" w:rsidRDefault="00000000" w:rsidP="004A5EC5">
            <w:pPr>
              <w:snapToGrid w:val="0"/>
              <w:jc w:val="left"/>
              <w:rPr>
                <w:rFonts w:ascii="宋体" w:hAnsi="宋体" w:cs="Arial"/>
              </w:rPr>
            </w:pPr>
            <w:r w:rsidRPr="004A5EC5">
              <w:rPr>
                <w:rFonts w:ascii="宋体" w:hAnsi="宋体" w:cs="Arial" w:hint="eastAsia"/>
              </w:rPr>
              <w:t>客服电话：</w:t>
            </w:r>
            <w:r w:rsidRPr="004A5EC5">
              <w:rPr>
                <w:rFonts w:ascii="宋体" w:hAnsi="宋体" w:cs="Arial"/>
              </w:rPr>
              <w:t>021-68889082</w:t>
            </w:r>
          </w:p>
          <w:p w14:paraId="15560752" w14:textId="77777777" w:rsidR="0069510E" w:rsidRPr="004A5EC5" w:rsidRDefault="00000000" w:rsidP="004A5EC5">
            <w:pPr>
              <w:snapToGrid w:val="0"/>
              <w:jc w:val="left"/>
              <w:rPr>
                <w:rFonts w:ascii="宋体" w:hAnsi="宋体" w:cs="Arial"/>
              </w:rPr>
            </w:pPr>
            <w:r w:rsidRPr="004A5EC5">
              <w:rPr>
                <w:rFonts w:ascii="宋体" w:hAnsi="宋体" w:cs="Arial" w:hint="eastAsia"/>
              </w:rPr>
              <w:t>公司网站：</w:t>
            </w:r>
            <w:r w:rsidRPr="004A5EC5">
              <w:rPr>
                <w:rFonts w:ascii="宋体" w:hAnsi="宋体" w:cs="Arial"/>
              </w:rPr>
              <w:t>www.pytz.cn</w:t>
            </w:r>
          </w:p>
        </w:tc>
      </w:tr>
      <w:tr w:rsidR="0069510E" w14:paraId="2536831E" w14:textId="77777777">
        <w:trPr>
          <w:trHeight w:val="782"/>
        </w:trPr>
        <w:tc>
          <w:tcPr>
            <w:tcW w:w="675" w:type="dxa"/>
          </w:tcPr>
          <w:p w14:paraId="23FF7AEE" w14:textId="77777777" w:rsidR="0069510E" w:rsidRDefault="00000000" w:rsidP="004A5EC5">
            <w:pPr>
              <w:jc w:val="center"/>
              <w:rPr>
                <w:rFonts w:ascii="宋体" w:hAnsi="宋体" w:cs="Arial"/>
              </w:rPr>
            </w:pPr>
            <w:r>
              <w:rPr>
                <w:rFonts w:ascii="宋体" w:hAnsi="宋体" w:cs="Arial" w:hint="eastAsia"/>
              </w:rPr>
              <w:t>27</w:t>
            </w:r>
          </w:p>
        </w:tc>
        <w:tc>
          <w:tcPr>
            <w:tcW w:w="2581" w:type="dxa"/>
          </w:tcPr>
          <w:p w14:paraId="1B1BCC43" w14:textId="77777777" w:rsidR="0069510E" w:rsidRPr="004A5EC5" w:rsidRDefault="00000000" w:rsidP="004A5EC5">
            <w:pPr>
              <w:jc w:val="left"/>
              <w:rPr>
                <w:rFonts w:ascii="宋体" w:hAnsi="宋体" w:cs="Arial"/>
              </w:rPr>
            </w:pPr>
            <w:r w:rsidRPr="004A5EC5">
              <w:rPr>
                <w:rFonts w:ascii="宋体" w:hAnsi="宋体" w:cs="Arial" w:hint="eastAsia"/>
              </w:rPr>
              <w:t>上海爱建基金销售有限公司</w:t>
            </w:r>
          </w:p>
        </w:tc>
        <w:tc>
          <w:tcPr>
            <w:tcW w:w="5039" w:type="dxa"/>
          </w:tcPr>
          <w:p w14:paraId="1477EAFA" w14:textId="77777777" w:rsidR="0069510E" w:rsidRPr="004A5EC5" w:rsidRDefault="00000000" w:rsidP="004A5EC5">
            <w:pPr>
              <w:snapToGrid w:val="0"/>
              <w:jc w:val="left"/>
              <w:rPr>
                <w:rFonts w:ascii="宋体" w:hAnsi="宋体" w:cs="Arial"/>
              </w:rPr>
            </w:pPr>
            <w:r w:rsidRPr="004A5EC5">
              <w:rPr>
                <w:rFonts w:ascii="宋体" w:hAnsi="宋体" w:cs="Arial" w:hint="eastAsia"/>
              </w:rPr>
              <w:t>注册</w:t>
            </w:r>
            <w:r w:rsidRPr="004A5EC5">
              <w:rPr>
                <w:rFonts w:ascii="宋体" w:hAnsi="宋体" w:cs="Arial"/>
              </w:rPr>
              <w:t xml:space="preserve">(办公)地址 : </w:t>
            </w:r>
            <w:r w:rsidRPr="004A5EC5">
              <w:rPr>
                <w:rFonts w:ascii="宋体" w:hAnsi="宋体" w:cs="Arial" w:hint="eastAsia"/>
              </w:rPr>
              <w:t>上海市徐汇</w:t>
            </w:r>
            <w:proofErr w:type="gramStart"/>
            <w:r w:rsidRPr="004A5EC5">
              <w:rPr>
                <w:rFonts w:ascii="宋体" w:hAnsi="宋体" w:cs="Arial" w:hint="eastAsia"/>
              </w:rPr>
              <w:t>区肇嘉浜</w:t>
            </w:r>
            <w:proofErr w:type="gramEnd"/>
            <w:r w:rsidRPr="004A5EC5">
              <w:rPr>
                <w:rFonts w:ascii="宋体" w:hAnsi="宋体" w:cs="Arial" w:hint="eastAsia"/>
              </w:rPr>
              <w:t>路</w:t>
            </w:r>
            <w:r w:rsidRPr="004A5EC5">
              <w:rPr>
                <w:rFonts w:ascii="宋体" w:hAnsi="宋体" w:cs="Arial"/>
              </w:rPr>
              <w:t>746号</w:t>
            </w:r>
          </w:p>
          <w:p w14:paraId="577E3AFB" w14:textId="77777777" w:rsidR="0069510E" w:rsidRPr="004A5EC5" w:rsidRDefault="00000000" w:rsidP="004A5EC5">
            <w:pPr>
              <w:snapToGrid w:val="0"/>
              <w:jc w:val="left"/>
              <w:rPr>
                <w:rFonts w:ascii="宋体" w:hAnsi="宋体" w:cs="Arial"/>
              </w:rPr>
            </w:pPr>
            <w:r w:rsidRPr="004A5EC5">
              <w:rPr>
                <w:rFonts w:ascii="宋体" w:hAnsi="宋体" w:cs="Arial" w:hint="eastAsia"/>
              </w:rPr>
              <w:t>客户服务电话：</w:t>
            </w:r>
            <w:r w:rsidRPr="004A5EC5">
              <w:rPr>
                <w:rFonts w:ascii="宋体" w:hAnsi="宋体" w:cs="Arial"/>
              </w:rPr>
              <w:t>400-803-2733</w:t>
            </w:r>
          </w:p>
          <w:p w14:paraId="20A997F0" w14:textId="77777777" w:rsidR="0069510E" w:rsidRPr="004A5EC5" w:rsidRDefault="00000000" w:rsidP="004A5EC5">
            <w:pPr>
              <w:snapToGrid w:val="0"/>
              <w:jc w:val="left"/>
              <w:rPr>
                <w:rFonts w:ascii="宋体" w:hAnsi="宋体" w:cs="Arial"/>
              </w:rPr>
            </w:pPr>
            <w:r w:rsidRPr="004A5EC5">
              <w:rPr>
                <w:rFonts w:ascii="宋体" w:hAnsi="宋体" w:cs="Arial" w:hint="eastAsia"/>
              </w:rPr>
              <w:t>网址：</w:t>
            </w:r>
            <w:r w:rsidRPr="004A5EC5">
              <w:rPr>
                <w:rFonts w:ascii="宋体" w:hAnsi="宋体" w:cs="Arial"/>
              </w:rPr>
              <w:t>www.ajwm.com.cn</w:t>
            </w:r>
          </w:p>
        </w:tc>
      </w:tr>
      <w:tr w:rsidR="0069510E" w14:paraId="2B50B099" w14:textId="77777777">
        <w:trPr>
          <w:trHeight w:val="782"/>
        </w:trPr>
        <w:tc>
          <w:tcPr>
            <w:tcW w:w="675" w:type="dxa"/>
          </w:tcPr>
          <w:p w14:paraId="3750E0D4" w14:textId="77777777" w:rsidR="0069510E" w:rsidRDefault="00000000" w:rsidP="004A5EC5">
            <w:pPr>
              <w:jc w:val="center"/>
              <w:rPr>
                <w:rFonts w:ascii="宋体" w:hAnsi="宋体" w:cs="Arial"/>
              </w:rPr>
            </w:pPr>
            <w:r>
              <w:rPr>
                <w:rFonts w:ascii="宋体" w:hAnsi="宋体" w:cs="Arial" w:hint="eastAsia"/>
              </w:rPr>
              <w:t>28</w:t>
            </w:r>
          </w:p>
        </w:tc>
        <w:tc>
          <w:tcPr>
            <w:tcW w:w="2581" w:type="dxa"/>
          </w:tcPr>
          <w:p w14:paraId="34CDF112" w14:textId="77777777" w:rsidR="0069510E" w:rsidRPr="004A5EC5" w:rsidRDefault="00000000" w:rsidP="004A5EC5">
            <w:pPr>
              <w:jc w:val="left"/>
              <w:rPr>
                <w:rFonts w:ascii="宋体" w:hAnsi="宋体" w:cs="Arial"/>
              </w:rPr>
            </w:pPr>
            <w:r w:rsidRPr="004A5EC5">
              <w:rPr>
                <w:rFonts w:ascii="宋体" w:hAnsi="宋体" w:cs="Arial" w:hint="eastAsia"/>
              </w:rPr>
              <w:t>上海大智慧基金销售有限公司</w:t>
            </w:r>
          </w:p>
        </w:tc>
        <w:tc>
          <w:tcPr>
            <w:tcW w:w="5039" w:type="dxa"/>
          </w:tcPr>
          <w:p w14:paraId="5BA60106" w14:textId="77777777" w:rsidR="0069510E" w:rsidRPr="004A5EC5" w:rsidRDefault="00000000" w:rsidP="004A5EC5">
            <w:pPr>
              <w:snapToGrid w:val="0"/>
              <w:jc w:val="left"/>
              <w:rPr>
                <w:rFonts w:ascii="宋体" w:hAnsi="宋体" w:cs="Arial"/>
              </w:rPr>
            </w:pPr>
            <w:r w:rsidRPr="004A5EC5">
              <w:rPr>
                <w:rFonts w:ascii="宋体" w:hAnsi="宋体" w:cs="Arial" w:hint="eastAsia"/>
              </w:rPr>
              <w:t>注册（办公）地址：上海市浦东</w:t>
            </w:r>
            <w:proofErr w:type="gramStart"/>
            <w:r w:rsidRPr="004A5EC5">
              <w:rPr>
                <w:rFonts w:ascii="宋体" w:hAnsi="宋体" w:cs="Arial" w:hint="eastAsia"/>
              </w:rPr>
              <w:t>新区杨</w:t>
            </w:r>
            <w:proofErr w:type="gramEnd"/>
            <w:r w:rsidRPr="004A5EC5">
              <w:rPr>
                <w:rFonts w:ascii="宋体" w:hAnsi="宋体" w:cs="Arial" w:hint="eastAsia"/>
              </w:rPr>
              <w:t>高南路</w:t>
            </w:r>
            <w:r w:rsidRPr="004A5EC5">
              <w:rPr>
                <w:rFonts w:ascii="宋体" w:hAnsi="宋体" w:cs="Arial"/>
              </w:rPr>
              <w:t>428弄由</w:t>
            </w:r>
            <w:proofErr w:type="gramStart"/>
            <w:r w:rsidRPr="004A5EC5">
              <w:rPr>
                <w:rFonts w:ascii="宋体" w:hAnsi="宋体" w:cs="Arial" w:hint="eastAsia"/>
              </w:rPr>
              <w:t>由</w:t>
            </w:r>
            <w:proofErr w:type="gramEnd"/>
            <w:r w:rsidRPr="004A5EC5">
              <w:rPr>
                <w:rFonts w:ascii="宋体" w:hAnsi="宋体" w:cs="Arial" w:hint="eastAsia"/>
              </w:rPr>
              <w:t>世纪广场</w:t>
            </w:r>
            <w:r w:rsidRPr="004A5EC5">
              <w:rPr>
                <w:rFonts w:ascii="宋体" w:hAnsi="宋体" w:cs="Arial"/>
              </w:rPr>
              <w:t>1号楼</w:t>
            </w:r>
          </w:p>
          <w:p w14:paraId="0A8239F2" w14:textId="77777777" w:rsidR="0069510E" w:rsidRPr="004A5EC5" w:rsidRDefault="00000000" w:rsidP="004A5EC5">
            <w:pPr>
              <w:snapToGrid w:val="0"/>
              <w:jc w:val="left"/>
              <w:rPr>
                <w:rFonts w:ascii="宋体" w:hAnsi="宋体" w:cs="Arial"/>
              </w:rPr>
            </w:pPr>
            <w:r w:rsidRPr="004A5EC5">
              <w:rPr>
                <w:rFonts w:ascii="宋体" w:hAnsi="宋体" w:cs="Arial" w:hint="eastAsia"/>
              </w:rPr>
              <w:t>客服电话：</w:t>
            </w:r>
            <w:r w:rsidRPr="004A5EC5">
              <w:rPr>
                <w:rFonts w:ascii="宋体" w:hAnsi="宋体" w:cs="Arial"/>
              </w:rPr>
              <w:t>021-20219988</w:t>
            </w:r>
          </w:p>
          <w:p w14:paraId="40F5A892" w14:textId="77777777" w:rsidR="0069510E" w:rsidRPr="004A5EC5" w:rsidRDefault="00000000" w:rsidP="004A5EC5">
            <w:pPr>
              <w:snapToGrid w:val="0"/>
              <w:jc w:val="left"/>
              <w:rPr>
                <w:rFonts w:ascii="宋体" w:hAnsi="宋体" w:cs="Arial"/>
              </w:rPr>
            </w:pPr>
            <w:r w:rsidRPr="004A5EC5">
              <w:rPr>
                <w:rFonts w:ascii="宋体" w:hAnsi="宋体" w:cs="Arial" w:hint="eastAsia"/>
              </w:rPr>
              <w:t>公司网站：</w:t>
            </w:r>
            <w:r w:rsidRPr="004A5EC5">
              <w:rPr>
                <w:rFonts w:ascii="宋体" w:hAnsi="宋体" w:cs="Arial"/>
              </w:rPr>
              <w:t>https://www.gw.com.cn/</w:t>
            </w:r>
          </w:p>
        </w:tc>
      </w:tr>
      <w:tr w:rsidR="0069510E" w14:paraId="402ABA88" w14:textId="77777777">
        <w:trPr>
          <w:trHeight w:val="782"/>
        </w:trPr>
        <w:tc>
          <w:tcPr>
            <w:tcW w:w="675" w:type="dxa"/>
          </w:tcPr>
          <w:p w14:paraId="5193A2F7" w14:textId="77777777" w:rsidR="0069510E" w:rsidRDefault="00000000" w:rsidP="004A5EC5">
            <w:pPr>
              <w:jc w:val="center"/>
              <w:rPr>
                <w:rFonts w:ascii="宋体" w:hAnsi="宋体" w:cs="Arial"/>
              </w:rPr>
            </w:pPr>
            <w:r>
              <w:rPr>
                <w:rFonts w:ascii="宋体" w:hAnsi="宋体" w:cs="Arial" w:hint="eastAsia"/>
              </w:rPr>
              <w:t>29</w:t>
            </w:r>
          </w:p>
        </w:tc>
        <w:tc>
          <w:tcPr>
            <w:tcW w:w="2581" w:type="dxa"/>
          </w:tcPr>
          <w:p w14:paraId="27DFBF37" w14:textId="77777777" w:rsidR="0069510E" w:rsidRPr="004A5EC5" w:rsidRDefault="00000000" w:rsidP="004A5EC5">
            <w:pPr>
              <w:jc w:val="left"/>
              <w:rPr>
                <w:rFonts w:ascii="宋体" w:hAnsi="宋体" w:cs="Arial"/>
              </w:rPr>
            </w:pPr>
            <w:r w:rsidRPr="004A5EC5">
              <w:rPr>
                <w:rFonts w:ascii="宋体" w:hAnsi="宋体" w:cs="Arial" w:hint="eastAsia"/>
              </w:rPr>
              <w:t>上海华夏财富投资管理有限公司</w:t>
            </w:r>
          </w:p>
        </w:tc>
        <w:tc>
          <w:tcPr>
            <w:tcW w:w="5039" w:type="dxa"/>
          </w:tcPr>
          <w:p w14:paraId="4DB76085" w14:textId="77777777" w:rsidR="0069510E" w:rsidRPr="004A5EC5" w:rsidRDefault="00000000" w:rsidP="004A5EC5">
            <w:pPr>
              <w:jc w:val="left"/>
              <w:rPr>
                <w:rFonts w:ascii="宋体" w:hAnsi="宋体" w:cs="Arial"/>
              </w:rPr>
            </w:pPr>
            <w:r w:rsidRPr="004A5EC5">
              <w:rPr>
                <w:rFonts w:ascii="宋体" w:hAnsi="宋体" w:cs="Arial" w:hint="eastAsia"/>
              </w:rPr>
              <w:t>注册（办公）地址：北京市西城区金融大街</w:t>
            </w:r>
            <w:r w:rsidRPr="004A5EC5">
              <w:rPr>
                <w:rFonts w:ascii="宋体" w:hAnsi="宋体" w:cs="Arial"/>
              </w:rPr>
              <w:t>33号通泰大厦B座8层</w:t>
            </w:r>
          </w:p>
          <w:p w14:paraId="0EFEA95C" w14:textId="77777777" w:rsidR="0069510E" w:rsidRPr="004A5EC5" w:rsidRDefault="00000000" w:rsidP="004A5EC5">
            <w:pPr>
              <w:snapToGrid w:val="0"/>
              <w:jc w:val="left"/>
              <w:rPr>
                <w:rFonts w:ascii="宋体" w:hAnsi="宋体" w:cs="Arial"/>
              </w:rPr>
            </w:pPr>
            <w:r w:rsidRPr="004A5EC5">
              <w:rPr>
                <w:rFonts w:ascii="宋体" w:hAnsi="宋体" w:cs="Arial" w:hint="eastAsia"/>
              </w:rPr>
              <w:t>客服电话：</w:t>
            </w:r>
            <w:r w:rsidRPr="004A5EC5">
              <w:rPr>
                <w:rFonts w:ascii="宋体" w:hAnsi="宋体" w:cs="Arial"/>
              </w:rPr>
              <w:t>400-817-5666</w:t>
            </w:r>
          </w:p>
          <w:p w14:paraId="5AB3D622" w14:textId="77777777" w:rsidR="0069510E" w:rsidRPr="004A5EC5" w:rsidRDefault="00000000" w:rsidP="004A5EC5">
            <w:pPr>
              <w:snapToGrid w:val="0"/>
              <w:jc w:val="left"/>
              <w:rPr>
                <w:rFonts w:ascii="宋体" w:hAnsi="宋体" w:cs="Arial"/>
              </w:rPr>
            </w:pPr>
            <w:r w:rsidRPr="004A5EC5">
              <w:rPr>
                <w:rFonts w:ascii="宋体" w:hAnsi="宋体" w:cs="Arial" w:hint="eastAsia"/>
              </w:rPr>
              <w:t>公司网站：</w:t>
            </w:r>
            <w:r w:rsidRPr="004A5EC5">
              <w:rPr>
                <w:rFonts w:ascii="宋体" w:hAnsi="宋体" w:cs="Arial"/>
              </w:rPr>
              <w:t>https://www.amcfortune.com/</w:t>
            </w:r>
          </w:p>
        </w:tc>
      </w:tr>
      <w:tr w:rsidR="0069510E" w14:paraId="0DCAA259" w14:textId="77777777">
        <w:trPr>
          <w:trHeight w:val="782"/>
        </w:trPr>
        <w:tc>
          <w:tcPr>
            <w:tcW w:w="675" w:type="dxa"/>
          </w:tcPr>
          <w:p w14:paraId="4242C7A0" w14:textId="77777777" w:rsidR="0069510E" w:rsidRDefault="00000000" w:rsidP="004A5EC5">
            <w:pPr>
              <w:jc w:val="center"/>
              <w:rPr>
                <w:rFonts w:ascii="宋体" w:hAnsi="宋体" w:cs="Arial"/>
              </w:rPr>
            </w:pPr>
            <w:r>
              <w:rPr>
                <w:rFonts w:ascii="宋体" w:hAnsi="宋体" w:cs="Arial" w:hint="eastAsia"/>
              </w:rPr>
              <w:t>30</w:t>
            </w:r>
          </w:p>
        </w:tc>
        <w:tc>
          <w:tcPr>
            <w:tcW w:w="2581" w:type="dxa"/>
          </w:tcPr>
          <w:p w14:paraId="16F12543" w14:textId="77777777" w:rsidR="0069510E" w:rsidRPr="004A5EC5" w:rsidRDefault="00000000" w:rsidP="004A5EC5">
            <w:pPr>
              <w:jc w:val="left"/>
              <w:rPr>
                <w:rFonts w:ascii="宋体" w:hAnsi="宋体" w:cs="Arial"/>
              </w:rPr>
            </w:pPr>
            <w:r w:rsidRPr="004A5EC5">
              <w:rPr>
                <w:rFonts w:ascii="宋体" w:hAnsi="宋体" w:cs="Arial" w:hint="eastAsia"/>
              </w:rPr>
              <w:t>上海</w:t>
            </w:r>
            <w:proofErr w:type="gramStart"/>
            <w:r w:rsidRPr="004A5EC5">
              <w:rPr>
                <w:rFonts w:ascii="宋体" w:hAnsi="宋体" w:cs="Arial" w:hint="eastAsia"/>
              </w:rPr>
              <w:t>中正达广基金</w:t>
            </w:r>
            <w:proofErr w:type="gramEnd"/>
            <w:r w:rsidRPr="004A5EC5">
              <w:rPr>
                <w:rFonts w:ascii="宋体" w:hAnsi="宋体" w:cs="Arial" w:hint="eastAsia"/>
              </w:rPr>
              <w:t>销售有限公司</w:t>
            </w:r>
          </w:p>
        </w:tc>
        <w:tc>
          <w:tcPr>
            <w:tcW w:w="5039" w:type="dxa"/>
          </w:tcPr>
          <w:p w14:paraId="3C2F308A" w14:textId="77777777" w:rsidR="0069510E" w:rsidRPr="004A5EC5" w:rsidRDefault="00000000" w:rsidP="004A5EC5">
            <w:pPr>
              <w:jc w:val="left"/>
              <w:rPr>
                <w:rFonts w:ascii="宋体" w:hAnsi="宋体" w:cs="Arial"/>
              </w:rPr>
            </w:pPr>
            <w:r w:rsidRPr="004A5EC5">
              <w:rPr>
                <w:rFonts w:ascii="宋体" w:hAnsi="宋体" w:cs="Arial" w:hint="eastAsia"/>
              </w:rPr>
              <w:t>注册（办公）地址：上海市徐汇区龙兰路</w:t>
            </w:r>
            <w:r w:rsidRPr="004A5EC5">
              <w:rPr>
                <w:rFonts w:ascii="宋体" w:hAnsi="宋体" w:cs="Arial"/>
              </w:rPr>
              <w:t>277号东航滨江中心1号楼1203室</w:t>
            </w:r>
          </w:p>
          <w:p w14:paraId="7965F69F" w14:textId="77777777" w:rsidR="0069510E" w:rsidRPr="004A5EC5" w:rsidRDefault="00000000" w:rsidP="004A5EC5">
            <w:pPr>
              <w:jc w:val="left"/>
              <w:rPr>
                <w:rFonts w:ascii="宋体" w:hAnsi="宋体" w:cs="Arial"/>
              </w:rPr>
            </w:pPr>
            <w:r w:rsidRPr="004A5EC5">
              <w:rPr>
                <w:rFonts w:ascii="宋体" w:hAnsi="宋体" w:cs="Arial" w:hint="eastAsia"/>
              </w:rPr>
              <w:t>客服电话：</w:t>
            </w:r>
            <w:r w:rsidRPr="004A5EC5">
              <w:rPr>
                <w:rFonts w:ascii="宋体" w:hAnsi="宋体" w:cs="Arial"/>
              </w:rPr>
              <w:t>400-6767-523</w:t>
            </w:r>
          </w:p>
          <w:p w14:paraId="57B31F75" w14:textId="77777777" w:rsidR="0069510E" w:rsidRPr="004A5EC5" w:rsidRDefault="00000000" w:rsidP="004A5EC5">
            <w:pPr>
              <w:jc w:val="left"/>
              <w:rPr>
                <w:rFonts w:ascii="宋体" w:hAnsi="宋体" w:cs="Arial"/>
              </w:rPr>
            </w:pPr>
            <w:r w:rsidRPr="004A5EC5">
              <w:rPr>
                <w:rFonts w:ascii="宋体" w:hAnsi="宋体" w:cs="Arial" w:hint="eastAsia"/>
              </w:rPr>
              <w:t>公司网站：</w:t>
            </w:r>
            <w:r w:rsidRPr="004A5EC5">
              <w:rPr>
                <w:rFonts w:ascii="宋体" w:hAnsi="宋体" w:cs="Arial"/>
              </w:rPr>
              <w:t>www.zhongzhengfund.com</w:t>
            </w:r>
          </w:p>
        </w:tc>
      </w:tr>
      <w:tr w:rsidR="0069510E" w14:paraId="766EA7CF" w14:textId="77777777">
        <w:trPr>
          <w:trHeight w:val="782"/>
        </w:trPr>
        <w:tc>
          <w:tcPr>
            <w:tcW w:w="675" w:type="dxa"/>
          </w:tcPr>
          <w:p w14:paraId="31C2F7D1" w14:textId="77777777" w:rsidR="0069510E" w:rsidRDefault="00000000" w:rsidP="004A5EC5">
            <w:pPr>
              <w:jc w:val="center"/>
              <w:rPr>
                <w:rFonts w:ascii="宋体" w:hAnsi="宋体" w:cs="Arial"/>
              </w:rPr>
            </w:pPr>
            <w:r>
              <w:rPr>
                <w:rFonts w:ascii="宋体" w:hAnsi="宋体" w:cs="Arial" w:hint="eastAsia"/>
              </w:rPr>
              <w:t>31</w:t>
            </w:r>
          </w:p>
        </w:tc>
        <w:tc>
          <w:tcPr>
            <w:tcW w:w="2581" w:type="dxa"/>
          </w:tcPr>
          <w:p w14:paraId="1FA9CB58" w14:textId="77777777" w:rsidR="0069510E" w:rsidRPr="004A5EC5" w:rsidRDefault="00000000" w:rsidP="004A5EC5">
            <w:pPr>
              <w:jc w:val="left"/>
              <w:rPr>
                <w:rFonts w:ascii="宋体" w:hAnsi="宋体" w:cs="Arial"/>
              </w:rPr>
            </w:pPr>
            <w:r w:rsidRPr="004A5EC5">
              <w:rPr>
                <w:rFonts w:ascii="宋体" w:hAnsi="宋体" w:cs="Arial" w:hint="eastAsia"/>
              </w:rPr>
              <w:t>上海中欧财富基金销售有限公司</w:t>
            </w:r>
          </w:p>
        </w:tc>
        <w:tc>
          <w:tcPr>
            <w:tcW w:w="5039" w:type="dxa"/>
          </w:tcPr>
          <w:p w14:paraId="4FEAAE35" w14:textId="77777777" w:rsidR="0069510E" w:rsidRPr="004A5EC5" w:rsidRDefault="00000000" w:rsidP="004A5EC5">
            <w:pPr>
              <w:jc w:val="left"/>
              <w:rPr>
                <w:rFonts w:ascii="宋体" w:hAnsi="宋体" w:cs="Arial"/>
              </w:rPr>
            </w:pPr>
            <w:r w:rsidRPr="004A5EC5">
              <w:rPr>
                <w:rFonts w:ascii="宋体" w:hAnsi="宋体" w:cs="Arial" w:hint="eastAsia"/>
              </w:rPr>
              <w:t>注册（办公）地址：上海市虹口区公平路</w:t>
            </w:r>
            <w:r w:rsidRPr="004A5EC5">
              <w:rPr>
                <w:rFonts w:ascii="宋体" w:hAnsi="宋体" w:cs="Arial"/>
              </w:rPr>
              <w:t>18号8栋嘉</w:t>
            </w:r>
            <w:proofErr w:type="gramStart"/>
            <w:r w:rsidRPr="004A5EC5">
              <w:rPr>
                <w:rFonts w:ascii="宋体" w:hAnsi="宋体" w:cs="Arial"/>
              </w:rPr>
              <w:t>昱</w:t>
            </w:r>
            <w:proofErr w:type="gramEnd"/>
            <w:r w:rsidRPr="004A5EC5">
              <w:rPr>
                <w:rFonts w:ascii="宋体" w:hAnsi="宋体" w:cs="Arial"/>
              </w:rPr>
              <w:t>大厦6层</w:t>
            </w:r>
          </w:p>
          <w:p w14:paraId="792A0CC7" w14:textId="77777777" w:rsidR="0069510E" w:rsidRPr="004A5EC5" w:rsidRDefault="00000000" w:rsidP="004A5EC5">
            <w:pPr>
              <w:jc w:val="left"/>
              <w:rPr>
                <w:rFonts w:ascii="宋体" w:hAnsi="宋体" w:cs="Arial"/>
              </w:rPr>
            </w:pPr>
            <w:r w:rsidRPr="004A5EC5">
              <w:rPr>
                <w:rFonts w:ascii="宋体" w:hAnsi="宋体" w:cs="Arial" w:hint="eastAsia"/>
              </w:rPr>
              <w:t>客服电话：</w:t>
            </w:r>
            <w:r w:rsidRPr="004A5EC5">
              <w:rPr>
                <w:rFonts w:ascii="宋体" w:hAnsi="宋体" w:cs="Arial"/>
              </w:rPr>
              <w:t>400-100-2666</w:t>
            </w:r>
          </w:p>
          <w:p w14:paraId="5D393337" w14:textId="77777777" w:rsidR="0069510E" w:rsidRPr="004A5EC5" w:rsidRDefault="00000000" w:rsidP="004A5EC5">
            <w:pPr>
              <w:jc w:val="left"/>
              <w:rPr>
                <w:rFonts w:ascii="宋体" w:hAnsi="宋体" w:cs="Arial"/>
              </w:rPr>
            </w:pPr>
            <w:r w:rsidRPr="004A5EC5">
              <w:rPr>
                <w:rFonts w:ascii="宋体" w:hAnsi="宋体" w:cs="Arial" w:hint="eastAsia"/>
              </w:rPr>
              <w:t>公司网站：</w:t>
            </w:r>
            <w:r w:rsidRPr="004A5EC5">
              <w:rPr>
                <w:rFonts w:ascii="宋体" w:hAnsi="宋体" w:cs="Arial"/>
              </w:rPr>
              <w:t>https://www.zocaifu.com/</w:t>
            </w:r>
          </w:p>
        </w:tc>
      </w:tr>
      <w:tr w:rsidR="0069510E" w14:paraId="37C0EC07" w14:textId="77777777">
        <w:trPr>
          <w:trHeight w:val="20"/>
        </w:trPr>
        <w:tc>
          <w:tcPr>
            <w:tcW w:w="675" w:type="dxa"/>
          </w:tcPr>
          <w:p w14:paraId="0E28A072" w14:textId="77777777" w:rsidR="0069510E" w:rsidRPr="004A5EC5" w:rsidRDefault="00000000">
            <w:pPr>
              <w:jc w:val="center"/>
              <w:rPr>
                <w:rFonts w:ascii="宋体" w:hAnsi="宋体" w:cs="Arial"/>
              </w:rPr>
            </w:pPr>
            <w:r>
              <w:rPr>
                <w:rFonts w:ascii="宋体" w:hAnsi="宋体" w:cs="Arial" w:hint="eastAsia"/>
              </w:rPr>
              <w:t>32</w:t>
            </w:r>
          </w:p>
        </w:tc>
        <w:tc>
          <w:tcPr>
            <w:tcW w:w="2581" w:type="dxa"/>
          </w:tcPr>
          <w:p w14:paraId="479FECC9" w14:textId="77777777" w:rsidR="0069510E" w:rsidRPr="004A5EC5" w:rsidRDefault="00000000" w:rsidP="004A5EC5">
            <w:pPr>
              <w:snapToGrid w:val="0"/>
              <w:jc w:val="left"/>
              <w:rPr>
                <w:rFonts w:ascii="宋体" w:hAnsi="宋体" w:cs="Arial"/>
              </w:rPr>
            </w:pPr>
            <w:r w:rsidRPr="004A5EC5">
              <w:rPr>
                <w:rFonts w:ascii="宋体" w:hAnsi="宋体" w:cs="Arial" w:hint="eastAsia"/>
              </w:rPr>
              <w:t>国泰君安证券股份有限公</w:t>
            </w:r>
            <w:r w:rsidRPr="004A5EC5">
              <w:rPr>
                <w:rFonts w:ascii="宋体" w:hAnsi="宋体" w:cs="Arial" w:hint="eastAsia"/>
              </w:rPr>
              <w:lastRenderedPageBreak/>
              <w:t>司</w:t>
            </w:r>
          </w:p>
        </w:tc>
        <w:tc>
          <w:tcPr>
            <w:tcW w:w="5039" w:type="dxa"/>
          </w:tcPr>
          <w:p w14:paraId="5D4BBDC6" w14:textId="77777777" w:rsidR="0069510E" w:rsidRPr="004A5EC5" w:rsidRDefault="00000000">
            <w:pPr>
              <w:jc w:val="left"/>
              <w:rPr>
                <w:rFonts w:ascii="宋体" w:hAnsi="宋体" w:cs="Arial"/>
              </w:rPr>
            </w:pPr>
            <w:r w:rsidRPr="004A5EC5">
              <w:rPr>
                <w:rFonts w:ascii="宋体" w:hAnsi="宋体" w:cs="Arial" w:hint="eastAsia"/>
              </w:rPr>
              <w:lastRenderedPageBreak/>
              <w:t>注册地址：中国（上海）自由贸易试验区商城路</w:t>
            </w:r>
            <w:r w:rsidRPr="004A5EC5">
              <w:rPr>
                <w:rFonts w:ascii="宋体" w:hAnsi="宋体" w:cs="Arial"/>
              </w:rPr>
              <w:t>618</w:t>
            </w:r>
            <w:r w:rsidRPr="004A5EC5">
              <w:rPr>
                <w:rFonts w:ascii="宋体" w:hAnsi="宋体" w:cs="Arial" w:hint="eastAsia"/>
              </w:rPr>
              <w:lastRenderedPageBreak/>
              <w:t>号</w:t>
            </w:r>
          </w:p>
          <w:p w14:paraId="3DBC3E34" w14:textId="77777777" w:rsidR="0069510E" w:rsidRPr="004A5EC5" w:rsidRDefault="00000000">
            <w:pPr>
              <w:jc w:val="left"/>
              <w:rPr>
                <w:rFonts w:ascii="宋体" w:hAnsi="宋体" w:cs="Arial"/>
              </w:rPr>
            </w:pPr>
            <w:r w:rsidRPr="004A5EC5">
              <w:rPr>
                <w:rFonts w:ascii="宋体" w:hAnsi="宋体" w:cs="Arial" w:hint="eastAsia"/>
              </w:rPr>
              <w:t>客户服务电话：</w:t>
            </w:r>
            <w:r w:rsidRPr="004A5EC5">
              <w:rPr>
                <w:rFonts w:ascii="宋体" w:hAnsi="宋体" w:cs="Arial"/>
              </w:rPr>
              <w:t>95521</w:t>
            </w:r>
          </w:p>
          <w:p w14:paraId="79AB3298" w14:textId="77777777" w:rsidR="0069510E" w:rsidRPr="004A5EC5" w:rsidRDefault="00000000" w:rsidP="004A5EC5">
            <w:pPr>
              <w:snapToGrid w:val="0"/>
              <w:jc w:val="left"/>
              <w:rPr>
                <w:rFonts w:ascii="宋体" w:hAnsi="宋体" w:cs="Arial"/>
              </w:rPr>
            </w:pPr>
            <w:r w:rsidRPr="004A5EC5">
              <w:rPr>
                <w:rFonts w:ascii="宋体" w:hAnsi="宋体" w:cs="Arial" w:hint="eastAsia"/>
              </w:rPr>
              <w:t>网址：</w:t>
            </w:r>
            <w:r w:rsidRPr="004A5EC5">
              <w:rPr>
                <w:rFonts w:ascii="宋体" w:hAnsi="宋体" w:cs="Arial"/>
              </w:rPr>
              <w:t>www.gtja.com</w:t>
            </w:r>
          </w:p>
        </w:tc>
      </w:tr>
      <w:tr w:rsidR="0069510E" w14:paraId="10173410" w14:textId="77777777">
        <w:trPr>
          <w:trHeight w:val="20"/>
        </w:trPr>
        <w:tc>
          <w:tcPr>
            <w:tcW w:w="675" w:type="dxa"/>
          </w:tcPr>
          <w:p w14:paraId="7F2B974A" w14:textId="77777777" w:rsidR="0069510E" w:rsidRDefault="00000000">
            <w:pPr>
              <w:jc w:val="center"/>
              <w:rPr>
                <w:rFonts w:ascii="宋体" w:hAnsi="宋体" w:cs="Arial"/>
              </w:rPr>
            </w:pPr>
            <w:r>
              <w:rPr>
                <w:rFonts w:ascii="宋体" w:hAnsi="宋体" w:cs="Arial" w:hint="eastAsia"/>
              </w:rPr>
              <w:lastRenderedPageBreak/>
              <w:t>33</w:t>
            </w:r>
          </w:p>
        </w:tc>
        <w:tc>
          <w:tcPr>
            <w:tcW w:w="2581" w:type="dxa"/>
          </w:tcPr>
          <w:p w14:paraId="4657EE6A" w14:textId="77777777" w:rsidR="0069510E" w:rsidRDefault="00000000" w:rsidP="004A5EC5">
            <w:pPr>
              <w:snapToGrid w:val="0"/>
              <w:jc w:val="left"/>
              <w:rPr>
                <w:rFonts w:ascii="宋体" w:hAnsi="宋体" w:cs="Calibri"/>
                <w:color w:val="000000"/>
                <w:szCs w:val="21"/>
              </w:rPr>
            </w:pPr>
            <w:r>
              <w:rPr>
                <w:rFonts w:ascii="宋体" w:hAnsi="宋体" w:cs="Calibri" w:hint="eastAsia"/>
                <w:color w:val="000000"/>
                <w:szCs w:val="21"/>
              </w:rPr>
              <w:t>五</w:t>
            </w:r>
            <w:proofErr w:type="gramStart"/>
            <w:r>
              <w:rPr>
                <w:rFonts w:ascii="宋体" w:hAnsi="宋体" w:cs="Calibri" w:hint="eastAsia"/>
                <w:color w:val="000000"/>
                <w:szCs w:val="21"/>
              </w:rPr>
              <w:t>矿证券</w:t>
            </w:r>
            <w:proofErr w:type="gramEnd"/>
            <w:r>
              <w:rPr>
                <w:rFonts w:ascii="宋体" w:hAnsi="宋体" w:cs="Calibri" w:hint="eastAsia"/>
                <w:color w:val="000000"/>
                <w:szCs w:val="21"/>
              </w:rPr>
              <w:t>有限公司</w:t>
            </w:r>
          </w:p>
        </w:tc>
        <w:tc>
          <w:tcPr>
            <w:tcW w:w="5039" w:type="dxa"/>
          </w:tcPr>
          <w:p w14:paraId="36622E27" w14:textId="77777777" w:rsidR="0069510E" w:rsidRDefault="00000000" w:rsidP="004A5EC5">
            <w:pPr>
              <w:snapToGrid w:val="0"/>
              <w:jc w:val="left"/>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地址：</w:t>
            </w:r>
            <w:r>
              <w:rPr>
                <w:rFonts w:ascii="宋体" w:hAnsi="宋体" w:cs="Calibri" w:hint="eastAsia"/>
                <w:color w:val="000000"/>
                <w:szCs w:val="21"/>
              </w:rPr>
              <w:t>深圳市南山区粤海</w:t>
            </w:r>
            <w:proofErr w:type="gramStart"/>
            <w:r>
              <w:rPr>
                <w:rFonts w:ascii="宋体" w:hAnsi="宋体" w:cs="Calibri" w:hint="eastAsia"/>
                <w:color w:val="000000"/>
                <w:szCs w:val="21"/>
              </w:rPr>
              <w:t>街道海</w:t>
            </w:r>
            <w:proofErr w:type="gramEnd"/>
            <w:r>
              <w:rPr>
                <w:rFonts w:ascii="宋体" w:hAnsi="宋体" w:cs="Calibri" w:hint="eastAsia"/>
                <w:color w:val="000000"/>
                <w:szCs w:val="21"/>
              </w:rPr>
              <w:t>珠社区滨海大道3165号五</w:t>
            </w:r>
            <w:proofErr w:type="gramStart"/>
            <w:r>
              <w:rPr>
                <w:rFonts w:ascii="宋体" w:hAnsi="宋体" w:cs="Calibri" w:hint="eastAsia"/>
                <w:color w:val="000000"/>
                <w:szCs w:val="21"/>
              </w:rPr>
              <w:t>矿金融</w:t>
            </w:r>
            <w:proofErr w:type="gramEnd"/>
            <w:r>
              <w:rPr>
                <w:rFonts w:ascii="宋体" w:hAnsi="宋体" w:cs="Calibri" w:hint="eastAsia"/>
                <w:color w:val="000000"/>
                <w:szCs w:val="21"/>
              </w:rPr>
              <w:t>大厦2401</w:t>
            </w:r>
          </w:p>
          <w:p w14:paraId="6F91593E" w14:textId="77777777" w:rsidR="0069510E" w:rsidRDefault="00000000" w:rsidP="004A5EC5">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4001840028</w:t>
            </w:r>
          </w:p>
          <w:p w14:paraId="36199FE0" w14:textId="77777777" w:rsidR="0069510E" w:rsidRDefault="00000000">
            <w:pPr>
              <w:snapToGrid w:val="0"/>
              <w:jc w:val="left"/>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www.wkzq.com.cn</w:t>
            </w:r>
          </w:p>
        </w:tc>
      </w:tr>
      <w:tr w:rsidR="0069510E" w14:paraId="6A8BA788" w14:textId="77777777">
        <w:trPr>
          <w:trHeight w:val="20"/>
        </w:trPr>
        <w:tc>
          <w:tcPr>
            <w:tcW w:w="675" w:type="dxa"/>
          </w:tcPr>
          <w:p w14:paraId="6534FB90" w14:textId="77777777" w:rsidR="0069510E" w:rsidRDefault="00000000">
            <w:pPr>
              <w:jc w:val="center"/>
              <w:rPr>
                <w:rFonts w:ascii="宋体" w:hAnsi="宋体"/>
                <w:color w:val="000000"/>
              </w:rPr>
            </w:pPr>
            <w:r>
              <w:rPr>
                <w:rFonts w:ascii="宋体" w:hAnsi="宋体" w:hint="eastAsia"/>
                <w:color w:val="000000"/>
              </w:rPr>
              <w:t>34</w:t>
            </w:r>
          </w:p>
        </w:tc>
        <w:tc>
          <w:tcPr>
            <w:tcW w:w="2581" w:type="dxa"/>
          </w:tcPr>
          <w:p w14:paraId="3CA3B488" w14:textId="77777777" w:rsidR="0069510E" w:rsidRDefault="00000000" w:rsidP="004A5EC5">
            <w:pPr>
              <w:snapToGrid w:val="0"/>
              <w:jc w:val="left"/>
              <w:rPr>
                <w:rFonts w:ascii="宋体" w:hAnsi="宋体" w:cs="Calibri"/>
                <w:color w:val="000000"/>
                <w:szCs w:val="21"/>
              </w:rPr>
            </w:pPr>
            <w:r>
              <w:rPr>
                <w:rFonts w:ascii="宋体" w:hAnsi="宋体" w:cs="Calibri"/>
                <w:color w:val="000000"/>
                <w:szCs w:val="21"/>
              </w:rPr>
              <w:t>宁波银行股份有限公司</w:t>
            </w:r>
          </w:p>
        </w:tc>
        <w:tc>
          <w:tcPr>
            <w:tcW w:w="5039" w:type="dxa"/>
          </w:tcPr>
          <w:p w14:paraId="6F518A7D" w14:textId="77777777" w:rsidR="0069510E" w:rsidRDefault="00000000">
            <w:pPr>
              <w:pStyle w:val="a6"/>
              <w:snapToGrid w:val="0"/>
              <w:rPr>
                <w:rFonts w:ascii="宋体" w:eastAsiaTheme="minorEastAsia" w:hAnsi="宋体" w:cs="Calibri"/>
                <w:color w:val="000000"/>
                <w:szCs w:val="21"/>
              </w:rPr>
            </w:pPr>
            <w:r>
              <w:rPr>
                <w:rFonts w:ascii="宋体" w:eastAsiaTheme="minorEastAsia" w:hAnsi="宋体" w:cs="Calibri" w:hint="eastAsia"/>
                <w:color w:val="000000"/>
                <w:szCs w:val="21"/>
              </w:rPr>
              <w:t>注册地址：浙江省宁波市</w:t>
            </w:r>
            <w:proofErr w:type="gramStart"/>
            <w:r>
              <w:rPr>
                <w:rFonts w:ascii="宋体" w:eastAsiaTheme="minorEastAsia" w:hAnsi="宋体" w:cs="Calibri" w:hint="eastAsia"/>
                <w:color w:val="000000"/>
                <w:szCs w:val="21"/>
              </w:rPr>
              <w:t>鄞</w:t>
            </w:r>
            <w:proofErr w:type="gramEnd"/>
            <w:r>
              <w:rPr>
                <w:rFonts w:ascii="宋体" w:eastAsiaTheme="minorEastAsia" w:hAnsi="宋体" w:cs="Calibri" w:hint="eastAsia"/>
                <w:color w:val="000000"/>
                <w:szCs w:val="21"/>
              </w:rPr>
              <w:t>州区宁东路</w:t>
            </w:r>
            <w:r>
              <w:rPr>
                <w:rFonts w:ascii="宋体" w:eastAsiaTheme="minorEastAsia" w:hAnsi="宋体" w:cs="Calibri"/>
                <w:color w:val="000000"/>
                <w:szCs w:val="21"/>
              </w:rPr>
              <w:t>345</w:t>
            </w:r>
            <w:r>
              <w:rPr>
                <w:rFonts w:ascii="宋体" w:eastAsiaTheme="minorEastAsia" w:hAnsi="宋体" w:cs="Calibri" w:hint="eastAsia"/>
                <w:color w:val="000000"/>
                <w:szCs w:val="21"/>
              </w:rPr>
              <w:t>号</w:t>
            </w:r>
          </w:p>
          <w:p w14:paraId="263AC962" w14:textId="77777777" w:rsidR="0069510E" w:rsidRDefault="00000000">
            <w:pPr>
              <w:pStyle w:val="a6"/>
              <w:snapToGrid w:val="0"/>
              <w:rPr>
                <w:rFonts w:ascii="宋体" w:eastAsiaTheme="minorEastAsia" w:hAnsi="宋体" w:cs="Calibri"/>
                <w:color w:val="000000"/>
                <w:szCs w:val="21"/>
              </w:rPr>
            </w:pPr>
            <w:r>
              <w:rPr>
                <w:rFonts w:ascii="宋体" w:eastAsiaTheme="minorEastAsia" w:hAnsi="宋体" w:cs="Calibri"/>
                <w:color w:val="000000"/>
                <w:szCs w:val="21"/>
              </w:rPr>
              <w:t>客户服务电话：95574</w:t>
            </w:r>
          </w:p>
          <w:p w14:paraId="384C84B3" w14:textId="77777777" w:rsidR="0069510E" w:rsidRDefault="00000000">
            <w:pPr>
              <w:pStyle w:val="a6"/>
              <w:snapToGrid w:val="0"/>
              <w:rPr>
                <w:rFonts w:ascii="宋体" w:eastAsiaTheme="minorEastAsia" w:hAnsi="宋体" w:cs="Calibri"/>
                <w:color w:val="000000"/>
                <w:szCs w:val="21"/>
              </w:rPr>
            </w:pPr>
            <w:r>
              <w:rPr>
                <w:rFonts w:ascii="宋体" w:eastAsiaTheme="minorEastAsia" w:hAnsi="宋体" w:cs="Calibri" w:hint="eastAsia"/>
                <w:color w:val="000000"/>
                <w:szCs w:val="21"/>
              </w:rPr>
              <w:t>网址</w:t>
            </w:r>
            <w:r>
              <w:rPr>
                <w:rFonts w:ascii="宋体" w:eastAsiaTheme="minorEastAsia" w:hAnsi="宋体" w:cs="Calibri"/>
                <w:color w:val="000000"/>
                <w:szCs w:val="21"/>
              </w:rPr>
              <w:t>：www.nbcb.com.cn</w:t>
            </w:r>
          </w:p>
        </w:tc>
      </w:tr>
      <w:tr w:rsidR="0069510E" w14:paraId="4BB6EBBF" w14:textId="77777777">
        <w:trPr>
          <w:trHeight w:val="20"/>
        </w:trPr>
        <w:tc>
          <w:tcPr>
            <w:tcW w:w="675" w:type="dxa"/>
          </w:tcPr>
          <w:p w14:paraId="0AA70AD0" w14:textId="77777777" w:rsidR="0069510E" w:rsidRDefault="00000000">
            <w:pPr>
              <w:jc w:val="center"/>
              <w:rPr>
                <w:rFonts w:ascii="宋体" w:hAnsi="宋体"/>
                <w:color w:val="000000"/>
              </w:rPr>
            </w:pPr>
            <w:r>
              <w:rPr>
                <w:rFonts w:ascii="宋体" w:hAnsi="宋体" w:hint="eastAsia"/>
                <w:color w:val="000000"/>
              </w:rPr>
              <w:t>35</w:t>
            </w:r>
          </w:p>
        </w:tc>
        <w:tc>
          <w:tcPr>
            <w:tcW w:w="2581" w:type="dxa"/>
          </w:tcPr>
          <w:p w14:paraId="45569173" w14:textId="77777777" w:rsidR="0069510E" w:rsidRDefault="00000000" w:rsidP="004A5EC5">
            <w:pPr>
              <w:snapToGrid w:val="0"/>
              <w:jc w:val="left"/>
              <w:rPr>
                <w:rFonts w:ascii="宋体" w:hAnsi="宋体" w:cs="Calibri"/>
                <w:color w:val="000000"/>
                <w:szCs w:val="21"/>
              </w:rPr>
            </w:pPr>
            <w:r>
              <w:rPr>
                <w:rFonts w:ascii="宋体" w:hAnsi="宋体" w:cs="Calibri" w:hint="eastAsia"/>
                <w:color w:val="000000"/>
                <w:szCs w:val="21"/>
              </w:rPr>
              <w:t>中</w:t>
            </w:r>
            <w:proofErr w:type="gramStart"/>
            <w:r>
              <w:rPr>
                <w:rFonts w:ascii="宋体" w:hAnsi="宋体" w:cs="Calibri" w:hint="eastAsia"/>
                <w:color w:val="000000"/>
                <w:szCs w:val="21"/>
              </w:rPr>
              <w:t>信建投证券</w:t>
            </w:r>
            <w:proofErr w:type="gramEnd"/>
            <w:r>
              <w:rPr>
                <w:rFonts w:ascii="宋体" w:hAnsi="宋体" w:cs="Calibri" w:hint="eastAsia"/>
                <w:color w:val="000000"/>
                <w:szCs w:val="21"/>
              </w:rPr>
              <w:t>股份有限公司</w:t>
            </w:r>
          </w:p>
        </w:tc>
        <w:tc>
          <w:tcPr>
            <w:tcW w:w="5039" w:type="dxa"/>
          </w:tcPr>
          <w:p w14:paraId="2516B1FC" w14:textId="77777777" w:rsidR="0069510E" w:rsidRDefault="00000000" w:rsidP="004A5EC5">
            <w:pPr>
              <w:snapToGrid w:val="0"/>
              <w:jc w:val="left"/>
              <w:rPr>
                <w:rFonts w:ascii="宋体" w:hAnsi="宋体" w:cs="Calibri"/>
                <w:color w:val="000000"/>
                <w:szCs w:val="21"/>
              </w:rPr>
            </w:pPr>
            <w:r>
              <w:rPr>
                <w:rFonts w:ascii="宋体" w:hAnsi="宋体" w:cs="Calibri" w:hint="eastAsia"/>
                <w:color w:val="000000"/>
                <w:szCs w:val="21"/>
              </w:rPr>
              <w:t>注册地址：北京市朝阳区安立路</w:t>
            </w:r>
            <w:r>
              <w:rPr>
                <w:rFonts w:ascii="宋体" w:hAnsi="宋体" w:cs="Calibri"/>
                <w:color w:val="000000"/>
                <w:szCs w:val="21"/>
              </w:rPr>
              <w:t>66号4号楼</w:t>
            </w:r>
          </w:p>
          <w:p w14:paraId="72B6D5C7" w14:textId="77777777" w:rsidR="0069510E" w:rsidRDefault="00000000" w:rsidP="004A5EC5">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 4008888108</w:t>
            </w:r>
          </w:p>
          <w:p w14:paraId="6B342D33" w14:textId="77777777" w:rsidR="0069510E" w:rsidRDefault="00000000">
            <w:pPr>
              <w:pStyle w:val="a6"/>
              <w:snapToGrid w:val="0"/>
              <w:rPr>
                <w:rFonts w:ascii="宋体" w:eastAsiaTheme="minorEastAsia" w:hAnsi="宋体" w:cs="Calibri"/>
                <w:color w:val="000000"/>
                <w:szCs w:val="21"/>
              </w:rPr>
            </w:pPr>
            <w:r>
              <w:rPr>
                <w:rFonts w:ascii="宋体" w:eastAsiaTheme="minorEastAsia" w:hAnsi="宋体" w:cs="Calibri" w:hint="eastAsia"/>
                <w:color w:val="000000"/>
                <w:szCs w:val="21"/>
              </w:rPr>
              <w:t>网址：</w:t>
            </w:r>
            <w:r>
              <w:rPr>
                <w:rFonts w:ascii="宋体" w:eastAsiaTheme="minorEastAsia" w:hAnsi="宋体" w:cs="Calibri"/>
                <w:color w:val="000000"/>
                <w:szCs w:val="21"/>
              </w:rPr>
              <w:t>www.csc108.com</w:t>
            </w:r>
          </w:p>
        </w:tc>
      </w:tr>
      <w:tr w:rsidR="0069510E" w14:paraId="68395E4F" w14:textId="77777777">
        <w:trPr>
          <w:trHeight w:val="20"/>
        </w:trPr>
        <w:tc>
          <w:tcPr>
            <w:tcW w:w="675" w:type="dxa"/>
          </w:tcPr>
          <w:p w14:paraId="437EDFB8" w14:textId="77777777" w:rsidR="0069510E" w:rsidRDefault="00000000">
            <w:pPr>
              <w:jc w:val="center"/>
              <w:rPr>
                <w:rFonts w:ascii="宋体" w:hAnsi="宋体"/>
                <w:color w:val="000000"/>
              </w:rPr>
            </w:pPr>
            <w:r>
              <w:rPr>
                <w:rFonts w:ascii="宋体" w:hAnsi="宋体" w:hint="eastAsia"/>
                <w:color w:val="000000"/>
              </w:rPr>
              <w:t>36</w:t>
            </w:r>
          </w:p>
        </w:tc>
        <w:tc>
          <w:tcPr>
            <w:tcW w:w="2581" w:type="dxa"/>
          </w:tcPr>
          <w:p w14:paraId="75596DCE" w14:textId="77777777" w:rsidR="0069510E" w:rsidRDefault="00000000" w:rsidP="004A5EC5">
            <w:pPr>
              <w:snapToGrid w:val="0"/>
              <w:jc w:val="left"/>
              <w:rPr>
                <w:rFonts w:ascii="宋体" w:hAnsi="宋体" w:cs="Calibri"/>
                <w:color w:val="000000"/>
                <w:szCs w:val="21"/>
              </w:rPr>
            </w:pPr>
            <w:proofErr w:type="gramStart"/>
            <w:r>
              <w:rPr>
                <w:rFonts w:ascii="宋体" w:hAnsi="宋体" w:cs="Calibri" w:hint="eastAsia"/>
                <w:color w:val="000000"/>
                <w:szCs w:val="21"/>
              </w:rPr>
              <w:t>粤开证券</w:t>
            </w:r>
            <w:proofErr w:type="gramEnd"/>
            <w:r>
              <w:rPr>
                <w:rFonts w:ascii="宋体" w:hAnsi="宋体" w:cs="Calibri" w:hint="eastAsia"/>
                <w:color w:val="000000"/>
                <w:szCs w:val="21"/>
              </w:rPr>
              <w:t>股份有限公司</w:t>
            </w:r>
          </w:p>
        </w:tc>
        <w:tc>
          <w:tcPr>
            <w:tcW w:w="5039" w:type="dxa"/>
          </w:tcPr>
          <w:p w14:paraId="02D6817C" w14:textId="77777777" w:rsidR="0069510E" w:rsidRDefault="00000000">
            <w:pPr>
              <w:widowControl/>
              <w:snapToGrid w:val="0"/>
              <w:jc w:val="left"/>
              <w:rPr>
                <w:rFonts w:ascii="宋体" w:hAnsi="宋体" w:cs="Calibri"/>
                <w:color w:val="000000"/>
                <w:szCs w:val="21"/>
              </w:rPr>
            </w:pPr>
            <w:r>
              <w:rPr>
                <w:rFonts w:ascii="宋体" w:hAnsi="宋体" w:cs="Calibri" w:hint="eastAsia"/>
                <w:color w:val="000000"/>
                <w:szCs w:val="21"/>
              </w:rPr>
              <w:t>注册地址：广州市黄埔区科学大道60号开发区控股中心19、22、23层</w:t>
            </w:r>
          </w:p>
          <w:p w14:paraId="7A321915" w14:textId="77777777" w:rsidR="0069510E" w:rsidRDefault="00000000">
            <w:pPr>
              <w:widowControl/>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w:t>
            </w:r>
            <w:r>
              <w:rPr>
                <w:rFonts w:ascii="宋体" w:hAnsi="宋体" w:cs="Calibri" w:hint="eastAsia"/>
                <w:color w:val="000000"/>
                <w:szCs w:val="21"/>
              </w:rPr>
              <w:t>95564</w:t>
            </w:r>
          </w:p>
          <w:p w14:paraId="6EF92CD2" w14:textId="77777777" w:rsidR="0069510E" w:rsidRDefault="00000000" w:rsidP="004A5EC5">
            <w:pPr>
              <w:snapToGrid w:val="0"/>
              <w:jc w:val="left"/>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t>
            </w:r>
            <w:r>
              <w:rPr>
                <w:rFonts w:ascii="宋体" w:hAnsi="宋体" w:cs="Calibri" w:hint="eastAsia"/>
                <w:color w:val="000000"/>
                <w:szCs w:val="21"/>
              </w:rPr>
              <w:t>www.ykzq.com</w:t>
            </w:r>
          </w:p>
        </w:tc>
      </w:tr>
      <w:tr w:rsidR="0069510E" w14:paraId="62D2E808" w14:textId="77777777">
        <w:trPr>
          <w:trHeight w:val="20"/>
        </w:trPr>
        <w:tc>
          <w:tcPr>
            <w:tcW w:w="675" w:type="dxa"/>
          </w:tcPr>
          <w:p w14:paraId="7BE3FDCC" w14:textId="77777777" w:rsidR="0069510E" w:rsidRDefault="00000000">
            <w:pPr>
              <w:jc w:val="center"/>
              <w:rPr>
                <w:rFonts w:ascii="宋体" w:hAnsi="宋体"/>
                <w:color w:val="000000"/>
              </w:rPr>
            </w:pPr>
            <w:r>
              <w:rPr>
                <w:rFonts w:ascii="宋体" w:hAnsi="宋体" w:hint="eastAsia"/>
                <w:color w:val="000000"/>
              </w:rPr>
              <w:t>37</w:t>
            </w:r>
          </w:p>
        </w:tc>
        <w:tc>
          <w:tcPr>
            <w:tcW w:w="2581" w:type="dxa"/>
          </w:tcPr>
          <w:p w14:paraId="748C7A09" w14:textId="77777777" w:rsidR="0069510E" w:rsidRDefault="00000000" w:rsidP="004A5EC5">
            <w:pPr>
              <w:snapToGrid w:val="0"/>
              <w:jc w:val="left"/>
              <w:rPr>
                <w:rFonts w:ascii="宋体" w:hAnsi="宋体" w:cs="Calibri"/>
                <w:color w:val="000000"/>
                <w:szCs w:val="21"/>
              </w:rPr>
            </w:pPr>
            <w:r>
              <w:rPr>
                <w:rFonts w:ascii="宋体" w:hAnsi="宋体" w:cs="Calibri" w:hint="eastAsia"/>
                <w:color w:val="000000"/>
                <w:szCs w:val="21"/>
              </w:rPr>
              <w:t>招商证券股份有限公司</w:t>
            </w:r>
          </w:p>
        </w:tc>
        <w:tc>
          <w:tcPr>
            <w:tcW w:w="5039" w:type="dxa"/>
          </w:tcPr>
          <w:p w14:paraId="4C32A015" w14:textId="77777777" w:rsidR="0069510E" w:rsidRDefault="00000000">
            <w:pPr>
              <w:snapToGrid w:val="0"/>
              <w:jc w:val="left"/>
              <w:rPr>
                <w:rFonts w:ascii="宋体" w:hAnsi="宋体" w:cs="Calibri"/>
                <w:color w:val="000000"/>
                <w:szCs w:val="21"/>
              </w:rPr>
            </w:pPr>
            <w:r>
              <w:rPr>
                <w:rFonts w:ascii="宋体" w:hAnsi="宋体" w:cs="Calibri" w:hint="eastAsia"/>
                <w:color w:val="000000"/>
                <w:szCs w:val="21"/>
              </w:rPr>
              <w:t>注册地址: 深圳市福田区福田街道福华一路111号</w:t>
            </w:r>
          </w:p>
          <w:p w14:paraId="4D34265C" w14:textId="77777777" w:rsidR="0069510E" w:rsidRDefault="00000000">
            <w:pPr>
              <w:snapToGrid w:val="0"/>
              <w:jc w:val="left"/>
              <w:rPr>
                <w:rFonts w:ascii="宋体" w:hAnsi="宋体" w:cs="Calibri"/>
                <w:color w:val="000000"/>
                <w:szCs w:val="21"/>
              </w:rPr>
            </w:pPr>
            <w:r>
              <w:rPr>
                <w:rFonts w:ascii="宋体" w:hAnsi="宋体" w:cs="Calibri" w:hint="eastAsia"/>
                <w:color w:val="000000"/>
                <w:szCs w:val="21"/>
              </w:rPr>
              <w:t>客户服务电话：95565</w:t>
            </w:r>
          </w:p>
          <w:p w14:paraId="64B0845E" w14:textId="77777777" w:rsidR="0069510E" w:rsidRDefault="00000000">
            <w:pPr>
              <w:widowControl/>
              <w:snapToGrid w:val="0"/>
              <w:jc w:val="left"/>
              <w:rPr>
                <w:rFonts w:ascii="宋体" w:hAnsi="宋体" w:cs="Calibri"/>
                <w:color w:val="000000"/>
                <w:szCs w:val="21"/>
              </w:rPr>
            </w:pPr>
            <w:r>
              <w:rPr>
                <w:rFonts w:ascii="宋体" w:hAnsi="宋体" w:cs="Calibri" w:hint="eastAsia"/>
                <w:color w:val="000000"/>
                <w:szCs w:val="21"/>
              </w:rPr>
              <w:t>网址：www.cmschina.com</w:t>
            </w:r>
          </w:p>
        </w:tc>
      </w:tr>
      <w:tr w:rsidR="0069510E" w14:paraId="0D0A17F3" w14:textId="77777777">
        <w:trPr>
          <w:trHeight w:val="20"/>
        </w:trPr>
        <w:tc>
          <w:tcPr>
            <w:tcW w:w="675" w:type="dxa"/>
          </w:tcPr>
          <w:p w14:paraId="501C6B99" w14:textId="77777777" w:rsidR="0069510E" w:rsidRDefault="00000000">
            <w:pPr>
              <w:jc w:val="center"/>
              <w:rPr>
                <w:rFonts w:ascii="宋体" w:hAnsi="宋体"/>
                <w:color w:val="000000"/>
              </w:rPr>
            </w:pPr>
            <w:r>
              <w:rPr>
                <w:rFonts w:ascii="宋体" w:hAnsi="宋体" w:hint="eastAsia"/>
                <w:color w:val="000000"/>
              </w:rPr>
              <w:t>38</w:t>
            </w:r>
          </w:p>
        </w:tc>
        <w:tc>
          <w:tcPr>
            <w:tcW w:w="2581" w:type="dxa"/>
          </w:tcPr>
          <w:p w14:paraId="6D58AD9D" w14:textId="77777777" w:rsidR="0069510E" w:rsidRDefault="00000000" w:rsidP="004A5EC5">
            <w:pPr>
              <w:snapToGrid w:val="0"/>
              <w:jc w:val="left"/>
              <w:rPr>
                <w:rFonts w:ascii="宋体" w:hAnsi="宋体" w:cs="Calibri"/>
                <w:color w:val="000000"/>
                <w:szCs w:val="21"/>
              </w:rPr>
            </w:pPr>
            <w:r>
              <w:rPr>
                <w:rFonts w:ascii="宋体" w:hAnsi="宋体" w:cs="Calibri" w:hint="eastAsia"/>
                <w:color w:val="000000"/>
                <w:szCs w:val="21"/>
              </w:rPr>
              <w:t>渤海证券股份有限公司</w:t>
            </w:r>
          </w:p>
        </w:tc>
        <w:tc>
          <w:tcPr>
            <w:tcW w:w="5039" w:type="dxa"/>
          </w:tcPr>
          <w:p w14:paraId="7E09427D" w14:textId="77777777" w:rsidR="0069510E" w:rsidRDefault="00000000">
            <w:pPr>
              <w:snapToGrid w:val="0"/>
              <w:jc w:val="left"/>
              <w:rPr>
                <w:rFonts w:ascii="宋体" w:hAnsi="宋体" w:cs="Calibri"/>
                <w:color w:val="000000"/>
                <w:szCs w:val="21"/>
              </w:rPr>
            </w:pPr>
            <w:r>
              <w:rPr>
                <w:rFonts w:ascii="宋体" w:hAnsi="宋体" w:cs="Calibri" w:hint="eastAsia"/>
                <w:color w:val="000000"/>
                <w:szCs w:val="21"/>
              </w:rPr>
              <w:t>注册地址：天津市经济技术开发区第二大街42号写字楼101室</w:t>
            </w:r>
          </w:p>
          <w:p w14:paraId="4448A953" w14:textId="77777777" w:rsidR="0069510E" w:rsidRDefault="00000000">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956066</w:t>
            </w:r>
          </w:p>
          <w:p w14:paraId="3294AEFE" w14:textId="77777777" w:rsidR="0069510E" w:rsidRDefault="00000000">
            <w:pPr>
              <w:snapToGrid w:val="0"/>
              <w:jc w:val="left"/>
              <w:rPr>
                <w:rFonts w:ascii="宋体" w:hAnsi="宋体" w:cs="Calibri"/>
                <w:color w:val="000000"/>
                <w:szCs w:val="21"/>
              </w:rPr>
            </w:pPr>
            <w:r>
              <w:rPr>
                <w:rFonts w:ascii="宋体" w:hAnsi="宋体" w:cs="Calibri" w:hint="eastAsia"/>
                <w:color w:val="000000"/>
                <w:szCs w:val="21"/>
              </w:rPr>
              <w:t>网址：www.bhzq.com</w:t>
            </w:r>
          </w:p>
        </w:tc>
      </w:tr>
      <w:tr w:rsidR="0069510E" w14:paraId="0F28A9FD" w14:textId="77777777">
        <w:trPr>
          <w:trHeight w:val="20"/>
        </w:trPr>
        <w:tc>
          <w:tcPr>
            <w:tcW w:w="675" w:type="dxa"/>
          </w:tcPr>
          <w:p w14:paraId="5745784D" w14:textId="77777777" w:rsidR="0069510E" w:rsidRDefault="00000000">
            <w:pPr>
              <w:jc w:val="center"/>
              <w:rPr>
                <w:rFonts w:ascii="宋体" w:hAnsi="宋体"/>
                <w:color w:val="000000"/>
              </w:rPr>
            </w:pPr>
            <w:r>
              <w:rPr>
                <w:rFonts w:ascii="宋体" w:hAnsi="宋体" w:hint="eastAsia"/>
                <w:color w:val="000000"/>
              </w:rPr>
              <w:t>39</w:t>
            </w:r>
          </w:p>
        </w:tc>
        <w:tc>
          <w:tcPr>
            <w:tcW w:w="2581" w:type="dxa"/>
          </w:tcPr>
          <w:p w14:paraId="1F251690" w14:textId="77777777" w:rsidR="0069510E" w:rsidRDefault="00000000" w:rsidP="004A5EC5">
            <w:pPr>
              <w:snapToGrid w:val="0"/>
              <w:jc w:val="left"/>
              <w:rPr>
                <w:rFonts w:ascii="宋体" w:hAnsi="宋体" w:cs="Calibri"/>
                <w:color w:val="000000"/>
                <w:szCs w:val="21"/>
              </w:rPr>
            </w:pPr>
            <w:r>
              <w:rPr>
                <w:rFonts w:ascii="宋体" w:hAnsi="宋体" w:cs="Calibri" w:hint="eastAsia"/>
                <w:color w:val="000000"/>
                <w:szCs w:val="21"/>
              </w:rPr>
              <w:t>中山证券有限责任公司</w:t>
            </w:r>
          </w:p>
        </w:tc>
        <w:tc>
          <w:tcPr>
            <w:tcW w:w="5039" w:type="dxa"/>
          </w:tcPr>
          <w:p w14:paraId="6CDF5E10" w14:textId="77777777" w:rsidR="0069510E" w:rsidRDefault="00000000" w:rsidP="004A5EC5">
            <w:pPr>
              <w:tabs>
                <w:tab w:val="left" w:pos="540"/>
              </w:tabs>
              <w:adjustRightInd w:val="0"/>
              <w:snapToGrid w:val="0"/>
              <w:jc w:val="left"/>
              <w:rPr>
                <w:rFonts w:ascii="宋体" w:hAnsi="宋体" w:cs="Calibri"/>
                <w:color w:val="000000"/>
                <w:szCs w:val="21"/>
              </w:rPr>
            </w:pPr>
            <w:r>
              <w:rPr>
                <w:rFonts w:ascii="宋体" w:hAnsi="宋体" w:cs="Calibri" w:hint="eastAsia"/>
                <w:color w:val="000000"/>
                <w:szCs w:val="21"/>
              </w:rPr>
              <w:t>注册地址：深圳市南山区粤海</w:t>
            </w:r>
            <w:proofErr w:type="gramStart"/>
            <w:r>
              <w:rPr>
                <w:rFonts w:ascii="宋体" w:hAnsi="宋体" w:cs="Calibri" w:hint="eastAsia"/>
                <w:color w:val="000000"/>
                <w:szCs w:val="21"/>
              </w:rPr>
              <w:t>街道海</w:t>
            </w:r>
            <w:proofErr w:type="gramEnd"/>
            <w:r>
              <w:rPr>
                <w:rFonts w:ascii="宋体" w:hAnsi="宋体" w:cs="Calibri" w:hint="eastAsia"/>
                <w:color w:val="000000"/>
                <w:szCs w:val="21"/>
              </w:rPr>
              <w:t>珠社区芳</w:t>
            </w:r>
            <w:proofErr w:type="gramStart"/>
            <w:r>
              <w:rPr>
                <w:rFonts w:ascii="宋体" w:hAnsi="宋体" w:cs="Calibri" w:hint="eastAsia"/>
                <w:color w:val="000000"/>
                <w:szCs w:val="21"/>
              </w:rPr>
              <w:t>芷</w:t>
            </w:r>
            <w:proofErr w:type="gramEnd"/>
            <w:r>
              <w:rPr>
                <w:rFonts w:ascii="宋体" w:hAnsi="宋体" w:cs="Calibri" w:hint="eastAsia"/>
                <w:color w:val="000000"/>
                <w:szCs w:val="21"/>
              </w:rPr>
              <w:t>一路13号</w:t>
            </w:r>
            <w:proofErr w:type="gramStart"/>
            <w:r>
              <w:rPr>
                <w:rFonts w:ascii="宋体" w:hAnsi="宋体" w:cs="Calibri" w:hint="eastAsia"/>
                <w:color w:val="000000"/>
                <w:szCs w:val="21"/>
              </w:rPr>
              <w:t>舜远金融</w:t>
            </w:r>
            <w:proofErr w:type="gramEnd"/>
            <w:r>
              <w:rPr>
                <w:rFonts w:ascii="宋体" w:hAnsi="宋体" w:cs="Calibri" w:hint="eastAsia"/>
                <w:color w:val="000000"/>
                <w:szCs w:val="21"/>
              </w:rPr>
              <w:t>大厦1栋23层</w:t>
            </w:r>
          </w:p>
          <w:p w14:paraId="50287E27" w14:textId="77777777" w:rsidR="0069510E" w:rsidRDefault="00000000" w:rsidP="004A5EC5">
            <w:pPr>
              <w:tabs>
                <w:tab w:val="left" w:pos="540"/>
              </w:tabs>
              <w:adjustRightInd w:val="0"/>
              <w:snapToGrid w:val="0"/>
              <w:jc w:val="left"/>
              <w:rPr>
                <w:rFonts w:ascii="宋体" w:hAnsi="宋体" w:cs="Calibri"/>
                <w:color w:val="000000"/>
                <w:szCs w:val="21"/>
              </w:rPr>
            </w:pPr>
            <w:r>
              <w:rPr>
                <w:rFonts w:ascii="宋体" w:hAnsi="宋体" w:cs="Calibri" w:hint="eastAsia"/>
                <w:color w:val="000000"/>
                <w:szCs w:val="21"/>
              </w:rPr>
              <w:t>客户服务电话：95329</w:t>
            </w:r>
          </w:p>
          <w:p w14:paraId="3C7C7F33" w14:textId="77777777" w:rsidR="0069510E" w:rsidRDefault="00000000">
            <w:pPr>
              <w:snapToGrid w:val="0"/>
              <w:jc w:val="left"/>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www.zszq.com</w:t>
            </w:r>
          </w:p>
        </w:tc>
      </w:tr>
      <w:tr w:rsidR="0069510E" w14:paraId="33C7488D" w14:textId="77777777">
        <w:trPr>
          <w:trHeight w:val="20"/>
        </w:trPr>
        <w:tc>
          <w:tcPr>
            <w:tcW w:w="675" w:type="dxa"/>
          </w:tcPr>
          <w:p w14:paraId="260DF5F3" w14:textId="77777777" w:rsidR="0069510E" w:rsidRDefault="00000000">
            <w:pPr>
              <w:jc w:val="center"/>
              <w:rPr>
                <w:rFonts w:ascii="宋体" w:hAnsi="宋体"/>
                <w:color w:val="000000"/>
              </w:rPr>
            </w:pPr>
            <w:r>
              <w:rPr>
                <w:rFonts w:ascii="宋体" w:hAnsi="宋体" w:hint="eastAsia"/>
                <w:color w:val="000000"/>
              </w:rPr>
              <w:t>40</w:t>
            </w:r>
          </w:p>
        </w:tc>
        <w:tc>
          <w:tcPr>
            <w:tcW w:w="2581" w:type="dxa"/>
          </w:tcPr>
          <w:p w14:paraId="00A1371C" w14:textId="77777777" w:rsidR="0069510E" w:rsidRDefault="00000000" w:rsidP="004A5EC5">
            <w:pPr>
              <w:snapToGrid w:val="0"/>
              <w:jc w:val="left"/>
              <w:rPr>
                <w:rFonts w:ascii="宋体" w:hAnsi="宋体" w:cs="Calibri"/>
                <w:color w:val="000000"/>
                <w:szCs w:val="21"/>
              </w:rPr>
            </w:pPr>
            <w:r>
              <w:rPr>
                <w:rFonts w:ascii="宋体" w:hAnsi="宋体" w:cs="Calibri" w:hint="eastAsia"/>
                <w:color w:val="000000"/>
                <w:szCs w:val="21"/>
              </w:rPr>
              <w:t>中</w:t>
            </w:r>
            <w:proofErr w:type="gramStart"/>
            <w:r>
              <w:rPr>
                <w:rFonts w:ascii="宋体" w:hAnsi="宋体" w:cs="Calibri" w:hint="eastAsia"/>
                <w:color w:val="000000"/>
                <w:szCs w:val="21"/>
              </w:rPr>
              <w:t>邮证券</w:t>
            </w:r>
            <w:proofErr w:type="gramEnd"/>
            <w:r>
              <w:rPr>
                <w:rFonts w:ascii="宋体" w:hAnsi="宋体" w:cs="Calibri" w:hint="eastAsia"/>
                <w:color w:val="000000"/>
                <w:szCs w:val="21"/>
              </w:rPr>
              <w:t>有限责任公司</w:t>
            </w:r>
          </w:p>
        </w:tc>
        <w:tc>
          <w:tcPr>
            <w:tcW w:w="5039" w:type="dxa"/>
          </w:tcPr>
          <w:p w14:paraId="43CBD9C1" w14:textId="77777777" w:rsidR="0069510E" w:rsidRDefault="00000000" w:rsidP="004A5EC5">
            <w:pPr>
              <w:snapToGrid w:val="0"/>
              <w:jc w:val="left"/>
              <w:rPr>
                <w:rFonts w:ascii="宋体" w:hAnsi="宋体" w:cs="Calibri"/>
                <w:color w:val="000000"/>
                <w:szCs w:val="21"/>
              </w:rPr>
            </w:pPr>
            <w:r>
              <w:rPr>
                <w:rFonts w:ascii="宋体" w:hAnsi="宋体" w:cs="Calibri" w:hint="eastAsia"/>
                <w:color w:val="000000"/>
                <w:szCs w:val="21"/>
              </w:rPr>
              <w:t>注册地址：陕西省西安市</w:t>
            </w:r>
            <w:proofErr w:type="gramStart"/>
            <w:r>
              <w:rPr>
                <w:rFonts w:ascii="宋体" w:hAnsi="宋体" w:cs="Calibri" w:hint="eastAsia"/>
                <w:color w:val="000000"/>
                <w:szCs w:val="21"/>
              </w:rPr>
              <w:t>唐延路</w:t>
            </w:r>
            <w:proofErr w:type="gramEnd"/>
            <w:r>
              <w:rPr>
                <w:rFonts w:ascii="宋体" w:hAnsi="宋体" w:cs="Calibri" w:hint="eastAsia"/>
                <w:color w:val="000000"/>
                <w:szCs w:val="21"/>
              </w:rPr>
              <w:t>5号(陕西邮政信息大厦9-11层)</w:t>
            </w:r>
          </w:p>
          <w:p w14:paraId="7E6D9DDF" w14:textId="77777777" w:rsidR="0069510E" w:rsidRDefault="00000000" w:rsidP="004A5EC5">
            <w:pPr>
              <w:snapToGrid w:val="0"/>
              <w:jc w:val="left"/>
              <w:rPr>
                <w:rFonts w:ascii="宋体" w:hAnsi="宋体" w:cs="Calibri"/>
                <w:color w:val="000000"/>
                <w:szCs w:val="21"/>
              </w:rPr>
            </w:pPr>
            <w:r>
              <w:rPr>
                <w:rFonts w:ascii="宋体" w:hAnsi="宋体" w:cs="Calibri" w:hint="eastAsia"/>
                <w:color w:val="000000"/>
                <w:szCs w:val="21"/>
              </w:rPr>
              <w:t>客户服务电话：956039</w:t>
            </w:r>
          </w:p>
          <w:p w14:paraId="4E4E7ABB" w14:textId="77777777" w:rsidR="0069510E" w:rsidRDefault="00000000" w:rsidP="004A5EC5">
            <w:pPr>
              <w:tabs>
                <w:tab w:val="left" w:pos="540"/>
              </w:tabs>
              <w:adjustRightInd w:val="0"/>
              <w:snapToGrid w:val="0"/>
              <w:jc w:val="left"/>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www.cnpsec.com</w:t>
            </w:r>
          </w:p>
        </w:tc>
      </w:tr>
      <w:tr w:rsidR="0069510E" w14:paraId="643F7FE3" w14:textId="77777777">
        <w:trPr>
          <w:trHeight w:val="20"/>
        </w:trPr>
        <w:tc>
          <w:tcPr>
            <w:tcW w:w="675" w:type="dxa"/>
          </w:tcPr>
          <w:p w14:paraId="7F372348" w14:textId="77777777" w:rsidR="0069510E" w:rsidRDefault="00000000">
            <w:pPr>
              <w:jc w:val="center"/>
              <w:rPr>
                <w:rFonts w:ascii="宋体" w:hAnsi="宋体"/>
                <w:color w:val="000000"/>
              </w:rPr>
            </w:pPr>
            <w:r>
              <w:rPr>
                <w:rFonts w:ascii="宋体" w:hAnsi="宋体" w:hint="eastAsia"/>
                <w:color w:val="000000"/>
              </w:rPr>
              <w:t>41</w:t>
            </w:r>
          </w:p>
        </w:tc>
        <w:tc>
          <w:tcPr>
            <w:tcW w:w="2581" w:type="dxa"/>
          </w:tcPr>
          <w:p w14:paraId="01518E1A" w14:textId="77777777" w:rsidR="0069510E" w:rsidRDefault="00000000" w:rsidP="004A5EC5">
            <w:pPr>
              <w:snapToGrid w:val="0"/>
              <w:jc w:val="left"/>
              <w:rPr>
                <w:rFonts w:ascii="宋体" w:hAnsi="宋体" w:cs="Calibri"/>
                <w:color w:val="000000"/>
                <w:szCs w:val="21"/>
              </w:rPr>
            </w:pPr>
            <w:r>
              <w:rPr>
                <w:rFonts w:ascii="宋体" w:hAnsi="宋体" w:cs="Calibri" w:hint="eastAsia"/>
                <w:color w:val="000000"/>
                <w:szCs w:val="21"/>
              </w:rPr>
              <w:t>中信证券股份有限公司</w:t>
            </w:r>
          </w:p>
        </w:tc>
        <w:tc>
          <w:tcPr>
            <w:tcW w:w="5039" w:type="dxa"/>
          </w:tcPr>
          <w:p w14:paraId="30C5222F" w14:textId="77777777" w:rsidR="0069510E" w:rsidRDefault="00000000" w:rsidP="004A5EC5">
            <w:pPr>
              <w:snapToGrid w:val="0"/>
              <w:jc w:val="left"/>
              <w:rPr>
                <w:rFonts w:ascii="宋体" w:hAnsi="宋体" w:cs="Calibri"/>
                <w:color w:val="000000"/>
                <w:szCs w:val="21"/>
              </w:rPr>
            </w:pPr>
            <w:r>
              <w:rPr>
                <w:rFonts w:ascii="宋体" w:hAnsi="宋体" w:cs="Calibri" w:hint="eastAsia"/>
                <w:color w:val="000000"/>
                <w:szCs w:val="21"/>
              </w:rPr>
              <w:t>注册地址：广东省深圳市福田区中心三路</w:t>
            </w:r>
            <w:r>
              <w:rPr>
                <w:rFonts w:ascii="宋体" w:hAnsi="宋体" w:cs="Calibri"/>
                <w:color w:val="000000"/>
                <w:szCs w:val="21"/>
              </w:rPr>
              <w:t>8</w:t>
            </w:r>
            <w:r>
              <w:rPr>
                <w:rFonts w:ascii="宋体" w:hAnsi="宋体" w:cs="Calibri" w:hint="eastAsia"/>
                <w:color w:val="000000"/>
                <w:szCs w:val="21"/>
              </w:rPr>
              <w:t>号卓越时代广场</w:t>
            </w:r>
            <w:r>
              <w:rPr>
                <w:rFonts w:ascii="宋体" w:hAnsi="宋体" w:cs="Calibri"/>
                <w:color w:val="000000"/>
                <w:szCs w:val="21"/>
              </w:rPr>
              <w:t>(</w:t>
            </w:r>
            <w:r>
              <w:rPr>
                <w:rFonts w:ascii="宋体" w:hAnsi="宋体" w:cs="Calibri" w:hint="eastAsia"/>
                <w:color w:val="000000"/>
                <w:szCs w:val="21"/>
              </w:rPr>
              <w:t>二期</w:t>
            </w:r>
            <w:r>
              <w:rPr>
                <w:rFonts w:ascii="宋体" w:hAnsi="宋体" w:cs="Calibri"/>
                <w:color w:val="000000"/>
                <w:szCs w:val="21"/>
              </w:rPr>
              <w:t>)</w:t>
            </w:r>
            <w:r>
              <w:rPr>
                <w:rFonts w:ascii="宋体" w:hAnsi="宋体" w:cs="Calibri" w:hint="eastAsia"/>
                <w:color w:val="000000"/>
                <w:szCs w:val="21"/>
              </w:rPr>
              <w:t>北座</w:t>
            </w:r>
          </w:p>
          <w:p w14:paraId="15BD3B65" w14:textId="77777777" w:rsidR="0069510E" w:rsidRDefault="00000000" w:rsidP="004A5EC5">
            <w:pPr>
              <w:snapToGrid w:val="0"/>
              <w:jc w:val="left"/>
              <w:rPr>
                <w:rFonts w:ascii="宋体" w:hAnsi="宋体" w:cs="Calibri"/>
                <w:color w:val="000000"/>
                <w:szCs w:val="21"/>
              </w:rPr>
            </w:pPr>
            <w:r>
              <w:rPr>
                <w:rFonts w:ascii="宋体" w:hAnsi="宋体" w:cs="Calibri" w:hint="eastAsia"/>
                <w:color w:val="000000"/>
                <w:szCs w:val="21"/>
              </w:rPr>
              <w:t>客户服务电话：95548</w:t>
            </w:r>
          </w:p>
          <w:p w14:paraId="179C5A43" w14:textId="77777777" w:rsidR="0069510E" w:rsidRDefault="00000000" w:rsidP="004A5EC5">
            <w:pPr>
              <w:snapToGrid w:val="0"/>
              <w:jc w:val="left"/>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www.citics.com</w:t>
            </w:r>
          </w:p>
        </w:tc>
      </w:tr>
      <w:tr w:rsidR="0069510E" w14:paraId="48A73079" w14:textId="77777777">
        <w:trPr>
          <w:trHeight w:val="20"/>
        </w:trPr>
        <w:tc>
          <w:tcPr>
            <w:tcW w:w="675" w:type="dxa"/>
          </w:tcPr>
          <w:p w14:paraId="731A0ADB" w14:textId="77777777" w:rsidR="0069510E" w:rsidRDefault="00000000">
            <w:pPr>
              <w:jc w:val="center"/>
              <w:rPr>
                <w:rFonts w:ascii="宋体" w:hAnsi="宋体"/>
                <w:color w:val="000000"/>
              </w:rPr>
            </w:pPr>
            <w:r>
              <w:rPr>
                <w:rFonts w:ascii="宋体" w:hAnsi="宋体" w:hint="eastAsia"/>
                <w:color w:val="000000"/>
              </w:rPr>
              <w:t>42</w:t>
            </w:r>
          </w:p>
        </w:tc>
        <w:tc>
          <w:tcPr>
            <w:tcW w:w="2581" w:type="dxa"/>
          </w:tcPr>
          <w:p w14:paraId="491F5E8E" w14:textId="77777777" w:rsidR="0069510E" w:rsidRDefault="00000000" w:rsidP="004A5EC5">
            <w:pPr>
              <w:snapToGrid w:val="0"/>
              <w:jc w:val="left"/>
              <w:rPr>
                <w:rFonts w:ascii="宋体" w:hAnsi="宋体" w:cs="Calibri"/>
                <w:color w:val="000000"/>
                <w:szCs w:val="21"/>
              </w:rPr>
            </w:pPr>
            <w:r>
              <w:rPr>
                <w:rFonts w:ascii="宋体" w:hAnsi="宋体" w:cs="Calibri" w:hint="eastAsia"/>
                <w:color w:val="000000"/>
                <w:szCs w:val="21"/>
              </w:rPr>
              <w:t>中信证券(山东)有限责任公司</w:t>
            </w:r>
          </w:p>
        </w:tc>
        <w:tc>
          <w:tcPr>
            <w:tcW w:w="5039" w:type="dxa"/>
          </w:tcPr>
          <w:p w14:paraId="537B561C" w14:textId="77777777" w:rsidR="0069510E" w:rsidRDefault="00000000" w:rsidP="004A5EC5">
            <w:pPr>
              <w:snapToGrid w:val="0"/>
              <w:jc w:val="left"/>
              <w:rPr>
                <w:rFonts w:ascii="宋体" w:hAnsi="宋体" w:cs="Calibri"/>
                <w:color w:val="000000"/>
                <w:szCs w:val="21"/>
              </w:rPr>
            </w:pPr>
            <w:r>
              <w:rPr>
                <w:rFonts w:ascii="宋体" w:hAnsi="宋体" w:cs="Calibri" w:hint="eastAsia"/>
                <w:color w:val="000000"/>
                <w:szCs w:val="21"/>
              </w:rPr>
              <w:t>注册地址：青岛市崂山区深圳路</w:t>
            </w:r>
            <w:r>
              <w:rPr>
                <w:rFonts w:ascii="宋体" w:hAnsi="宋体" w:cs="Calibri"/>
                <w:color w:val="000000"/>
                <w:szCs w:val="21"/>
              </w:rPr>
              <w:t>222</w:t>
            </w:r>
            <w:r>
              <w:rPr>
                <w:rFonts w:ascii="宋体" w:hAnsi="宋体" w:cs="Calibri" w:hint="eastAsia"/>
                <w:color w:val="000000"/>
                <w:szCs w:val="21"/>
              </w:rPr>
              <w:t>号</w:t>
            </w:r>
            <w:r>
              <w:rPr>
                <w:rFonts w:ascii="宋体" w:hAnsi="宋体" w:cs="Calibri"/>
                <w:color w:val="000000"/>
                <w:szCs w:val="21"/>
              </w:rPr>
              <w:t>1</w:t>
            </w:r>
            <w:r>
              <w:rPr>
                <w:rFonts w:ascii="宋体" w:hAnsi="宋体" w:cs="Calibri" w:hint="eastAsia"/>
                <w:color w:val="000000"/>
                <w:szCs w:val="21"/>
              </w:rPr>
              <w:t>号楼</w:t>
            </w:r>
            <w:r>
              <w:rPr>
                <w:rFonts w:ascii="宋体" w:hAnsi="宋体" w:cs="Calibri"/>
                <w:color w:val="000000"/>
                <w:szCs w:val="21"/>
              </w:rPr>
              <w:t>2001</w:t>
            </w:r>
          </w:p>
          <w:p w14:paraId="3DA358EC" w14:textId="77777777" w:rsidR="0069510E" w:rsidRDefault="00000000" w:rsidP="004A5EC5">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95548</w:t>
            </w:r>
          </w:p>
          <w:p w14:paraId="3E972D07" w14:textId="77777777" w:rsidR="0069510E" w:rsidRDefault="00000000" w:rsidP="004A5EC5">
            <w:pPr>
              <w:snapToGrid w:val="0"/>
              <w:jc w:val="left"/>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sd.citics.com</w:t>
            </w:r>
          </w:p>
        </w:tc>
      </w:tr>
      <w:tr w:rsidR="0069510E" w14:paraId="00707A15" w14:textId="77777777">
        <w:trPr>
          <w:trHeight w:val="20"/>
        </w:trPr>
        <w:tc>
          <w:tcPr>
            <w:tcW w:w="675" w:type="dxa"/>
          </w:tcPr>
          <w:p w14:paraId="50FB5E02" w14:textId="77777777" w:rsidR="0069510E" w:rsidRDefault="00000000">
            <w:pPr>
              <w:jc w:val="center"/>
              <w:rPr>
                <w:rFonts w:ascii="宋体" w:hAnsi="宋体"/>
                <w:color w:val="000000"/>
              </w:rPr>
            </w:pPr>
            <w:r>
              <w:rPr>
                <w:rFonts w:ascii="宋体" w:hAnsi="宋体" w:hint="eastAsia"/>
                <w:color w:val="000000"/>
              </w:rPr>
              <w:t>43</w:t>
            </w:r>
          </w:p>
        </w:tc>
        <w:tc>
          <w:tcPr>
            <w:tcW w:w="2581" w:type="dxa"/>
          </w:tcPr>
          <w:p w14:paraId="56525A93" w14:textId="77777777" w:rsidR="0069510E" w:rsidRDefault="00000000" w:rsidP="004A5EC5">
            <w:pPr>
              <w:snapToGrid w:val="0"/>
              <w:jc w:val="left"/>
              <w:rPr>
                <w:rFonts w:ascii="宋体" w:hAnsi="宋体" w:cs="Calibri"/>
                <w:color w:val="000000"/>
                <w:szCs w:val="21"/>
              </w:rPr>
            </w:pPr>
            <w:r>
              <w:rPr>
                <w:rFonts w:ascii="宋体" w:hAnsi="宋体" w:cs="Calibri" w:hint="eastAsia"/>
                <w:color w:val="000000"/>
                <w:szCs w:val="21"/>
              </w:rPr>
              <w:t>中信证券华南股份有限公司</w:t>
            </w:r>
          </w:p>
        </w:tc>
        <w:tc>
          <w:tcPr>
            <w:tcW w:w="5039" w:type="dxa"/>
          </w:tcPr>
          <w:p w14:paraId="3069B02A" w14:textId="77777777" w:rsidR="0069510E" w:rsidRDefault="00000000" w:rsidP="004A5EC5">
            <w:pPr>
              <w:snapToGrid w:val="0"/>
              <w:jc w:val="left"/>
              <w:rPr>
                <w:rFonts w:ascii="宋体" w:hAnsi="宋体" w:cs="Calibri"/>
                <w:color w:val="000000"/>
                <w:szCs w:val="21"/>
              </w:rPr>
            </w:pPr>
            <w:r>
              <w:rPr>
                <w:rFonts w:ascii="宋体" w:hAnsi="宋体" w:cs="Calibri" w:hint="eastAsia"/>
                <w:color w:val="000000"/>
                <w:szCs w:val="21"/>
              </w:rPr>
              <w:t>注册地址：广州市天河区临江大道395号901室(部位:自编01号)1001室(部位:自编01号)</w:t>
            </w:r>
          </w:p>
          <w:p w14:paraId="61981146" w14:textId="77777777" w:rsidR="0069510E" w:rsidRDefault="00000000" w:rsidP="004A5EC5">
            <w:pPr>
              <w:snapToGrid w:val="0"/>
              <w:jc w:val="left"/>
              <w:rPr>
                <w:rFonts w:ascii="宋体" w:hAnsi="宋体" w:cs="Calibri"/>
                <w:color w:val="000000"/>
                <w:szCs w:val="21"/>
              </w:rPr>
            </w:pPr>
            <w:r>
              <w:rPr>
                <w:rFonts w:ascii="宋体" w:hAnsi="宋体" w:cs="Calibri" w:hint="eastAsia"/>
                <w:color w:val="000000"/>
                <w:szCs w:val="21"/>
              </w:rPr>
              <w:t>客户服务电话：95548</w:t>
            </w:r>
          </w:p>
          <w:p w14:paraId="21DB985A" w14:textId="77777777" w:rsidR="0069510E" w:rsidRDefault="00000000" w:rsidP="004A5EC5">
            <w:pPr>
              <w:snapToGrid w:val="0"/>
              <w:jc w:val="left"/>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www.gzs.com.cn</w:t>
            </w:r>
          </w:p>
        </w:tc>
      </w:tr>
      <w:tr w:rsidR="0069510E" w14:paraId="1E9498B0" w14:textId="77777777">
        <w:trPr>
          <w:trHeight w:val="20"/>
        </w:trPr>
        <w:tc>
          <w:tcPr>
            <w:tcW w:w="675" w:type="dxa"/>
          </w:tcPr>
          <w:p w14:paraId="760832BF" w14:textId="77777777" w:rsidR="0069510E" w:rsidRDefault="00000000">
            <w:pPr>
              <w:jc w:val="center"/>
              <w:rPr>
                <w:rFonts w:ascii="宋体" w:hAnsi="宋体"/>
                <w:color w:val="000000"/>
              </w:rPr>
            </w:pPr>
            <w:r>
              <w:rPr>
                <w:rFonts w:ascii="宋体" w:hAnsi="宋体" w:hint="eastAsia"/>
                <w:color w:val="000000"/>
              </w:rPr>
              <w:t>44</w:t>
            </w:r>
          </w:p>
        </w:tc>
        <w:tc>
          <w:tcPr>
            <w:tcW w:w="2581" w:type="dxa"/>
          </w:tcPr>
          <w:p w14:paraId="338FAF4B" w14:textId="77777777" w:rsidR="0069510E" w:rsidRDefault="00000000" w:rsidP="004A5EC5">
            <w:pPr>
              <w:snapToGrid w:val="0"/>
              <w:jc w:val="left"/>
              <w:rPr>
                <w:rFonts w:ascii="宋体" w:hAnsi="宋体" w:cs="Calibri"/>
                <w:color w:val="000000"/>
                <w:szCs w:val="21"/>
              </w:rPr>
            </w:pPr>
            <w:r>
              <w:rPr>
                <w:rFonts w:ascii="宋体" w:hAnsi="宋体" w:cs="Calibri" w:hint="eastAsia"/>
                <w:color w:val="000000"/>
                <w:szCs w:val="21"/>
              </w:rPr>
              <w:t>中信期货有限公司</w:t>
            </w:r>
          </w:p>
        </w:tc>
        <w:tc>
          <w:tcPr>
            <w:tcW w:w="5039" w:type="dxa"/>
          </w:tcPr>
          <w:p w14:paraId="2A449076" w14:textId="77777777" w:rsidR="0069510E" w:rsidRDefault="00000000" w:rsidP="004A5EC5">
            <w:pPr>
              <w:snapToGrid w:val="0"/>
              <w:jc w:val="left"/>
              <w:rPr>
                <w:rFonts w:ascii="宋体" w:hAnsi="宋体" w:cs="Calibri"/>
                <w:color w:val="000000"/>
                <w:szCs w:val="21"/>
              </w:rPr>
            </w:pPr>
            <w:r>
              <w:rPr>
                <w:rFonts w:ascii="宋体" w:hAnsi="宋体" w:cs="Calibri" w:hint="eastAsia"/>
                <w:color w:val="000000"/>
                <w:szCs w:val="21"/>
              </w:rPr>
              <w:t>注册地址：深圳市福田区中心三路</w:t>
            </w:r>
            <w:r>
              <w:rPr>
                <w:rFonts w:ascii="宋体" w:hAnsi="宋体" w:cs="Calibri"/>
                <w:color w:val="000000"/>
                <w:szCs w:val="21"/>
              </w:rPr>
              <w:t>8</w:t>
            </w:r>
            <w:r>
              <w:rPr>
                <w:rFonts w:ascii="宋体" w:hAnsi="宋体" w:cs="Calibri" w:hint="eastAsia"/>
                <w:color w:val="000000"/>
                <w:szCs w:val="21"/>
              </w:rPr>
              <w:t>号卓越时代广场</w:t>
            </w:r>
            <w:r>
              <w:rPr>
                <w:rFonts w:ascii="宋体" w:hAnsi="宋体" w:cs="Calibri"/>
                <w:color w:val="000000"/>
                <w:szCs w:val="21"/>
              </w:rPr>
              <w:t>(</w:t>
            </w:r>
            <w:r>
              <w:rPr>
                <w:rFonts w:ascii="宋体" w:hAnsi="宋体" w:cs="Calibri" w:hint="eastAsia"/>
                <w:color w:val="000000"/>
                <w:szCs w:val="21"/>
              </w:rPr>
              <w:t>二期</w:t>
            </w:r>
            <w:r>
              <w:rPr>
                <w:rFonts w:ascii="宋体" w:hAnsi="宋体" w:cs="Calibri"/>
                <w:color w:val="000000"/>
                <w:szCs w:val="21"/>
              </w:rPr>
              <w:t>)</w:t>
            </w:r>
            <w:r>
              <w:rPr>
                <w:rFonts w:ascii="宋体" w:hAnsi="宋体" w:cs="Calibri" w:hint="eastAsia"/>
                <w:color w:val="000000"/>
                <w:szCs w:val="21"/>
              </w:rPr>
              <w:t>北座</w:t>
            </w:r>
            <w:r>
              <w:rPr>
                <w:rFonts w:ascii="宋体" w:hAnsi="宋体" w:cs="Calibri"/>
                <w:color w:val="000000"/>
                <w:szCs w:val="21"/>
              </w:rPr>
              <w:t>13</w:t>
            </w:r>
            <w:r>
              <w:rPr>
                <w:rFonts w:ascii="宋体" w:hAnsi="宋体" w:cs="Calibri" w:hint="eastAsia"/>
                <w:color w:val="000000"/>
                <w:szCs w:val="21"/>
              </w:rPr>
              <w:t>层</w:t>
            </w:r>
            <w:r>
              <w:rPr>
                <w:rFonts w:ascii="宋体" w:hAnsi="宋体" w:cs="Calibri"/>
                <w:color w:val="000000"/>
                <w:szCs w:val="21"/>
              </w:rPr>
              <w:t>1301-1305</w:t>
            </w:r>
            <w:r>
              <w:rPr>
                <w:rFonts w:ascii="宋体" w:hAnsi="宋体" w:cs="Calibri" w:hint="eastAsia"/>
                <w:color w:val="000000"/>
                <w:szCs w:val="21"/>
              </w:rPr>
              <w:t>室</w:t>
            </w:r>
            <w:r>
              <w:rPr>
                <w:rFonts w:ascii="宋体" w:hAnsi="宋体" w:cs="Calibri"/>
                <w:color w:val="000000"/>
                <w:szCs w:val="21"/>
              </w:rPr>
              <w:t>,14</w:t>
            </w:r>
            <w:r>
              <w:rPr>
                <w:rFonts w:ascii="宋体" w:hAnsi="宋体" w:cs="Calibri" w:hint="eastAsia"/>
                <w:color w:val="000000"/>
                <w:szCs w:val="21"/>
              </w:rPr>
              <w:t>层</w:t>
            </w:r>
          </w:p>
          <w:p w14:paraId="2366CBE5" w14:textId="77777777" w:rsidR="0069510E" w:rsidRDefault="00000000" w:rsidP="004A5EC5">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4009908826</w:t>
            </w:r>
          </w:p>
          <w:p w14:paraId="39A8DF8B" w14:textId="77777777" w:rsidR="0069510E" w:rsidRDefault="00000000" w:rsidP="004A5EC5">
            <w:pPr>
              <w:snapToGrid w:val="0"/>
              <w:jc w:val="left"/>
              <w:rPr>
                <w:rFonts w:ascii="宋体" w:hAnsi="宋体" w:cs="Calibri"/>
                <w:color w:val="000000"/>
                <w:szCs w:val="21"/>
              </w:rPr>
            </w:pPr>
            <w:r>
              <w:rPr>
                <w:rFonts w:ascii="宋体" w:hAnsi="宋体" w:cs="Calibri" w:hint="eastAsia"/>
                <w:color w:val="000000"/>
                <w:szCs w:val="21"/>
              </w:rPr>
              <w:t>网址：</w:t>
            </w:r>
            <w:r>
              <w:rPr>
                <w:rFonts w:ascii="宋体" w:hAnsi="宋体" w:cs="Calibri"/>
                <w:color w:val="000000"/>
                <w:szCs w:val="21"/>
              </w:rPr>
              <w:t>www.citicsf.com</w:t>
            </w:r>
          </w:p>
        </w:tc>
      </w:tr>
      <w:tr w:rsidR="0069510E" w14:paraId="747146D3" w14:textId="77777777">
        <w:trPr>
          <w:trHeight w:val="20"/>
        </w:trPr>
        <w:tc>
          <w:tcPr>
            <w:tcW w:w="675" w:type="dxa"/>
          </w:tcPr>
          <w:p w14:paraId="45B24C76" w14:textId="77777777" w:rsidR="0069510E" w:rsidRDefault="00000000">
            <w:pPr>
              <w:jc w:val="center"/>
              <w:rPr>
                <w:rFonts w:ascii="宋体" w:hAnsi="宋体"/>
                <w:color w:val="000000"/>
              </w:rPr>
            </w:pPr>
            <w:r>
              <w:rPr>
                <w:rFonts w:ascii="宋体" w:hAnsi="宋体" w:hint="eastAsia"/>
                <w:color w:val="000000"/>
              </w:rPr>
              <w:t>45</w:t>
            </w:r>
          </w:p>
        </w:tc>
        <w:tc>
          <w:tcPr>
            <w:tcW w:w="2581" w:type="dxa"/>
          </w:tcPr>
          <w:p w14:paraId="642C315E" w14:textId="77777777" w:rsidR="0069510E" w:rsidRDefault="00000000" w:rsidP="004A5EC5">
            <w:pPr>
              <w:snapToGrid w:val="0"/>
              <w:jc w:val="left"/>
              <w:rPr>
                <w:rFonts w:ascii="宋体" w:hAnsi="宋体" w:cs="Calibri"/>
                <w:color w:val="000000"/>
                <w:szCs w:val="21"/>
              </w:rPr>
            </w:pPr>
            <w:proofErr w:type="gramStart"/>
            <w:r>
              <w:rPr>
                <w:rFonts w:ascii="宋体" w:hAnsi="宋体" w:cs="Calibri" w:hint="eastAsia"/>
                <w:color w:val="000000"/>
                <w:szCs w:val="21"/>
              </w:rPr>
              <w:t>万联证券</w:t>
            </w:r>
            <w:proofErr w:type="gramEnd"/>
            <w:r>
              <w:rPr>
                <w:rFonts w:ascii="宋体" w:hAnsi="宋体" w:cs="Calibri" w:hint="eastAsia"/>
                <w:color w:val="000000"/>
                <w:szCs w:val="21"/>
              </w:rPr>
              <w:t>股份有限公司</w:t>
            </w:r>
          </w:p>
        </w:tc>
        <w:tc>
          <w:tcPr>
            <w:tcW w:w="5039" w:type="dxa"/>
          </w:tcPr>
          <w:p w14:paraId="0E6ECF93" w14:textId="77777777" w:rsidR="0069510E" w:rsidRDefault="00000000" w:rsidP="004A5EC5">
            <w:pPr>
              <w:snapToGrid w:val="0"/>
              <w:jc w:val="left"/>
              <w:rPr>
                <w:rFonts w:ascii="宋体" w:hAnsi="宋体" w:cs="Calibri"/>
                <w:color w:val="000000"/>
                <w:szCs w:val="21"/>
              </w:rPr>
            </w:pPr>
            <w:r>
              <w:rPr>
                <w:rFonts w:ascii="宋体" w:hAnsi="宋体" w:cs="Calibri" w:hint="eastAsia"/>
                <w:color w:val="000000"/>
                <w:szCs w:val="21"/>
              </w:rPr>
              <w:t>注册地址：广州市天河区珠江东路</w:t>
            </w:r>
            <w:r>
              <w:rPr>
                <w:rFonts w:ascii="宋体" w:hAnsi="宋体" w:cs="Calibri"/>
                <w:color w:val="000000"/>
                <w:szCs w:val="21"/>
              </w:rPr>
              <w:t>11</w:t>
            </w:r>
            <w:r>
              <w:rPr>
                <w:rFonts w:ascii="宋体" w:hAnsi="宋体" w:cs="Calibri" w:hint="eastAsia"/>
                <w:color w:val="000000"/>
                <w:szCs w:val="21"/>
              </w:rPr>
              <w:t>号</w:t>
            </w:r>
            <w:r>
              <w:rPr>
                <w:rFonts w:ascii="宋体" w:hAnsi="宋体" w:cs="Calibri"/>
                <w:color w:val="000000"/>
                <w:szCs w:val="21"/>
              </w:rPr>
              <w:t>18</w:t>
            </w:r>
            <w:r>
              <w:rPr>
                <w:rFonts w:ascii="宋体" w:hAnsi="宋体" w:cs="Calibri" w:hint="eastAsia"/>
                <w:color w:val="000000"/>
                <w:szCs w:val="21"/>
              </w:rPr>
              <w:t>、</w:t>
            </w:r>
            <w:r>
              <w:rPr>
                <w:rFonts w:ascii="宋体" w:hAnsi="宋体" w:cs="Calibri"/>
                <w:color w:val="000000"/>
                <w:szCs w:val="21"/>
              </w:rPr>
              <w:t>19</w:t>
            </w:r>
            <w:r>
              <w:rPr>
                <w:rFonts w:ascii="宋体" w:hAnsi="宋体" w:cs="Calibri" w:hint="eastAsia"/>
                <w:color w:val="000000"/>
                <w:szCs w:val="21"/>
              </w:rPr>
              <w:t>楼全层</w:t>
            </w:r>
          </w:p>
          <w:p w14:paraId="4C1DE782" w14:textId="77777777" w:rsidR="0069510E" w:rsidRDefault="00000000" w:rsidP="004A5EC5">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95322</w:t>
            </w:r>
          </w:p>
          <w:p w14:paraId="32474D67" w14:textId="77777777" w:rsidR="0069510E" w:rsidRDefault="00000000" w:rsidP="004A5EC5">
            <w:pPr>
              <w:snapToGrid w:val="0"/>
              <w:jc w:val="left"/>
              <w:rPr>
                <w:rFonts w:ascii="宋体" w:hAnsi="宋体" w:cs="Calibri"/>
                <w:color w:val="000000"/>
                <w:szCs w:val="21"/>
              </w:rPr>
            </w:pPr>
            <w:r>
              <w:rPr>
                <w:rFonts w:ascii="宋体" w:hAnsi="宋体" w:cs="Calibri" w:hint="eastAsia"/>
                <w:color w:val="000000"/>
                <w:szCs w:val="21"/>
              </w:rPr>
              <w:lastRenderedPageBreak/>
              <w:t>网址：</w:t>
            </w:r>
            <w:r>
              <w:rPr>
                <w:rFonts w:ascii="宋体" w:hAnsi="宋体" w:cs="Calibri"/>
                <w:color w:val="000000"/>
                <w:szCs w:val="21"/>
              </w:rPr>
              <w:t>www.wlzq.cn</w:t>
            </w:r>
          </w:p>
        </w:tc>
      </w:tr>
      <w:tr w:rsidR="0069510E" w14:paraId="6F94C17B" w14:textId="77777777">
        <w:trPr>
          <w:trHeight w:val="20"/>
        </w:trPr>
        <w:tc>
          <w:tcPr>
            <w:tcW w:w="675" w:type="dxa"/>
          </w:tcPr>
          <w:p w14:paraId="38B707C3" w14:textId="77777777" w:rsidR="0069510E" w:rsidRDefault="00000000">
            <w:pPr>
              <w:jc w:val="center"/>
              <w:rPr>
                <w:rFonts w:ascii="宋体" w:hAnsi="宋体"/>
                <w:color w:val="000000"/>
              </w:rPr>
            </w:pPr>
            <w:r>
              <w:rPr>
                <w:rFonts w:ascii="宋体" w:hAnsi="宋体" w:hint="eastAsia"/>
                <w:color w:val="000000"/>
              </w:rPr>
              <w:lastRenderedPageBreak/>
              <w:t>46</w:t>
            </w:r>
          </w:p>
        </w:tc>
        <w:tc>
          <w:tcPr>
            <w:tcW w:w="2581" w:type="dxa"/>
          </w:tcPr>
          <w:p w14:paraId="60B18819" w14:textId="77777777" w:rsidR="0069510E" w:rsidRDefault="00000000" w:rsidP="004A5EC5">
            <w:pPr>
              <w:snapToGrid w:val="0"/>
              <w:jc w:val="left"/>
              <w:rPr>
                <w:rFonts w:ascii="宋体" w:hAnsi="宋体" w:cs="Calibri"/>
                <w:color w:val="000000"/>
                <w:szCs w:val="21"/>
              </w:rPr>
            </w:pPr>
            <w:r>
              <w:rPr>
                <w:rFonts w:ascii="宋体" w:hAnsi="宋体" w:cs="Calibri" w:hint="eastAsia"/>
                <w:color w:val="000000"/>
                <w:szCs w:val="21"/>
              </w:rPr>
              <w:t>华</w:t>
            </w:r>
            <w:proofErr w:type="gramStart"/>
            <w:r>
              <w:rPr>
                <w:rFonts w:ascii="宋体" w:hAnsi="宋体" w:cs="Calibri" w:hint="eastAsia"/>
                <w:color w:val="000000"/>
                <w:szCs w:val="21"/>
              </w:rPr>
              <w:t>源证券</w:t>
            </w:r>
            <w:proofErr w:type="gramEnd"/>
            <w:r>
              <w:rPr>
                <w:rFonts w:ascii="宋体" w:hAnsi="宋体" w:cs="Calibri" w:hint="eastAsia"/>
                <w:color w:val="000000"/>
                <w:szCs w:val="21"/>
              </w:rPr>
              <w:t>股份有限公司</w:t>
            </w:r>
          </w:p>
        </w:tc>
        <w:tc>
          <w:tcPr>
            <w:tcW w:w="5039" w:type="dxa"/>
          </w:tcPr>
          <w:p w14:paraId="15BF1322" w14:textId="77777777" w:rsidR="0069510E" w:rsidRDefault="00000000">
            <w:pPr>
              <w:widowControl/>
              <w:snapToGrid w:val="0"/>
              <w:jc w:val="left"/>
              <w:rPr>
                <w:rFonts w:ascii="宋体" w:hAnsi="宋体" w:cs="Calibri"/>
                <w:color w:val="000000"/>
                <w:szCs w:val="21"/>
              </w:rPr>
            </w:pPr>
            <w:r>
              <w:rPr>
                <w:rFonts w:ascii="宋体" w:hAnsi="宋体" w:cs="Calibri" w:hint="eastAsia"/>
                <w:color w:val="000000"/>
                <w:szCs w:val="21"/>
              </w:rPr>
              <w:t>注册地址：西宁市南川工业园区创业路108号</w:t>
            </w:r>
          </w:p>
          <w:p w14:paraId="5E4DAFFA" w14:textId="77777777" w:rsidR="0069510E" w:rsidRDefault="00000000">
            <w:pPr>
              <w:widowControl/>
              <w:snapToGrid w:val="0"/>
              <w:jc w:val="left"/>
              <w:rPr>
                <w:rFonts w:ascii="宋体" w:hAnsi="宋体" w:cs="Calibri"/>
                <w:color w:val="000000"/>
                <w:szCs w:val="21"/>
              </w:rPr>
            </w:pPr>
            <w:r>
              <w:rPr>
                <w:rFonts w:ascii="宋体" w:hAnsi="宋体" w:cs="Calibri" w:hint="eastAsia"/>
                <w:color w:val="000000"/>
                <w:szCs w:val="21"/>
              </w:rPr>
              <w:t>客户服务电话：95305</w:t>
            </w:r>
          </w:p>
          <w:p w14:paraId="6565059A" w14:textId="77777777" w:rsidR="0069510E" w:rsidRDefault="00000000" w:rsidP="004A5EC5">
            <w:pPr>
              <w:snapToGrid w:val="0"/>
              <w:jc w:val="left"/>
              <w:rPr>
                <w:rFonts w:ascii="宋体" w:hAnsi="宋体" w:cs="Calibri"/>
                <w:color w:val="000000"/>
                <w:szCs w:val="21"/>
              </w:rPr>
            </w:pPr>
            <w:r>
              <w:rPr>
                <w:rFonts w:ascii="宋体" w:hAnsi="宋体" w:cs="Calibri" w:hint="eastAsia"/>
                <w:color w:val="000000"/>
                <w:szCs w:val="21"/>
              </w:rPr>
              <w:t>网址：www.jzsec.com</w:t>
            </w:r>
          </w:p>
        </w:tc>
      </w:tr>
      <w:tr w:rsidR="0069510E" w14:paraId="12F6AE2D" w14:textId="77777777">
        <w:trPr>
          <w:trHeight w:val="20"/>
        </w:trPr>
        <w:tc>
          <w:tcPr>
            <w:tcW w:w="675" w:type="dxa"/>
          </w:tcPr>
          <w:p w14:paraId="38CF7209" w14:textId="77777777" w:rsidR="0069510E" w:rsidRDefault="00000000">
            <w:pPr>
              <w:jc w:val="center"/>
              <w:rPr>
                <w:rFonts w:ascii="宋体" w:hAnsi="宋体"/>
                <w:color w:val="000000"/>
              </w:rPr>
            </w:pPr>
            <w:r>
              <w:rPr>
                <w:rFonts w:ascii="宋体" w:hAnsi="宋体" w:hint="eastAsia"/>
                <w:color w:val="000000"/>
              </w:rPr>
              <w:t>47</w:t>
            </w:r>
          </w:p>
        </w:tc>
        <w:tc>
          <w:tcPr>
            <w:tcW w:w="2581" w:type="dxa"/>
          </w:tcPr>
          <w:p w14:paraId="0956A1E8" w14:textId="77777777" w:rsidR="0069510E" w:rsidRDefault="00000000" w:rsidP="004A5EC5">
            <w:pPr>
              <w:snapToGrid w:val="0"/>
              <w:jc w:val="left"/>
              <w:rPr>
                <w:rFonts w:ascii="宋体" w:hAnsi="宋体" w:cs="Calibri"/>
                <w:color w:val="000000"/>
                <w:szCs w:val="21"/>
              </w:rPr>
            </w:pPr>
            <w:r>
              <w:rPr>
                <w:rFonts w:ascii="宋体" w:hAnsi="宋体" w:cs="Calibri" w:hint="eastAsia"/>
                <w:color w:val="000000"/>
                <w:szCs w:val="21"/>
              </w:rPr>
              <w:t>海通证券股份有限公司</w:t>
            </w:r>
          </w:p>
        </w:tc>
        <w:tc>
          <w:tcPr>
            <w:tcW w:w="5039" w:type="dxa"/>
          </w:tcPr>
          <w:p w14:paraId="5B8E0491" w14:textId="77777777" w:rsidR="0069510E" w:rsidRDefault="00000000">
            <w:pPr>
              <w:widowControl/>
              <w:snapToGrid w:val="0"/>
              <w:jc w:val="left"/>
              <w:rPr>
                <w:rFonts w:ascii="宋体" w:hAnsi="宋体" w:cs="Calibri"/>
                <w:color w:val="000000"/>
                <w:szCs w:val="21"/>
              </w:rPr>
            </w:pPr>
            <w:r>
              <w:rPr>
                <w:rFonts w:ascii="宋体" w:hAnsi="宋体" w:cs="Calibri" w:hint="eastAsia"/>
                <w:color w:val="000000"/>
                <w:szCs w:val="21"/>
              </w:rPr>
              <w:t>注册地址：上海市黄浦区广东路689号</w:t>
            </w:r>
          </w:p>
          <w:p w14:paraId="72520CDC" w14:textId="77777777" w:rsidR="0069510E" w:rsidRDefault="00000000">
            <w:pPr>
              <w:widowControl/>
              <w:snapToGrid w:val="0"/>
              <w:jc w:val="left"/>
              <w:rPr>
                <w:rFonts w:ascii="宋体" w:hAnsi="宋体" w:cs="Calibri"/>
                <w:color w:val="000000"/>
                <w:szCs w:val="21"/>
              </w:rPr>
            </w:pPr>
            <w:r>
              <w:rPr>
                <w:rFonts w:ascii="宋体" w:hAnsi="宋体" w:cs="Calibri" w:hint="eastAsia"/>
                <w:color w:val="000000"/>
                <w:szCs w:val="21"/>
              </w:rPr>
              <w:t>客户服务电话：95553</w:t>
            </w:r>
          </w:p>
          <w:p w14:paraId="50C43A20" w14:textId="77777777" w:rsidR="0069510E" w:rsidRDefault="00000000">
            <w:pPr>
              <w:widowControl/>
              <w:snapToGrid w:val="0"/>
              <w:jc w:val="left"/>
              <w:rPr>
                <w:rFonts w:ascii="宋体" w:hAnsi="宋体" w:cs="Calibri"/>
                <w:color w:val="000000"/>
                <w:szCs w:val="21"/>
              </w:rPr>
            </w:pPr>
            <w:r>
              <w:rPr>
                <w:rFonts w:ascii="宋体" w:hAnsi="宋体" w:cs="Calibri" w:hint="eastAsia"/>
                <w:color w:val="000000"/>
                <w:szCs w:val="21"/>
              </w:rPr>
              <w:t>网址：www.htsec.com</w:t>
            </w:r>
          </w:p>
        </w:tc>
      </w:tr>
      <w:tr w:rsidR="0069510E" w14:paraId="01C18FDE" w14:textId="77777777">
        <w:trPr>
          <w:trHeight w:val="20"/>
        </w:trPr>
        <w:tc>
          <w:tcPr>
            <w:tcW w:w="675" w:type="dxa"/>
          </w:tcPr>
          <w:p w14:paraId="1C84B1F1" w14:textId="77777777" w:rsidR="0069510E" w:rsidRDefault="00000000">
            <w:pPr>
              <w:jc w:val="center"/>
              <w:rPr>
                <w:rFonts w:ascii="宋体" w:hAnsi="宋体"/>
                <w:color w:val="000000"/>
              </w:rPr>
            </w:pPr>
            <w:r>
              <w:rPr>
                <w:rFonts w:ascii="宋体" w:hAnsi="宋体" w:hint="eastAsia"/>
                <w:color w:val="000000"/>
              </w:rPr>
              <w:t>48</w:t>
            </w:r>
          </w:p>
        </w:tc>
        <w:tc>
          <w:tcPr>
            <w:tcW w:w="2581" w:type="dxa"/>
          </w:tcPr>
          <w:p w14:paraId="29AB29DE" w14:textId="77777777" w:rsidR="0069510E" w:rsidRDefault="00000000" w:rsidP="004A5EC5">
            <w:pPr>
              <w:snapToGrid w:val="0"/>
              <w:jc w:val="left"/>
              <w:rPr>
                <w:rFonts w:ascii="宋体" w:hAnsi="宋体" w:cs="Calibri"/>
                <w:color w:val="000000"/>
                <w:szCs w:val="21"/>
              </w:rPr>
            </w:pPr>
            <w:r>
              <w:rPr>
                <w:rFonts w:ascii="宋体" w:hAnsi="宋体" w:cs="Calibri" w:hint="eastAsia"/>
                <w:color w:val="000000"/>
                <w:szCs w:val="21"/>
              </w:rPr>
              <w:t>华金证券股份有限公司</w:t>
            </w:r>
          </w:p>
        </w:tc>
        <w:tc>
          <w:tcPr>
            <w:tcW w:w="5039" w:type="dxa"/>
          </w:tcPr>
          <w:p w14:paraId="2671EFC9" w14:textId="77777777" w:rsidR="0069510E" w:rsidRDefault="00000000">
            <w:pPr>
              <w:widowControl/>
              <w:snapToGrid w:val="0"/>
              <w:jc w:val="left"/>
              <w:rPr>
                <w:rFonts w:ascii="宋体" w:hAnsi="宋体" w:cs="Calibri"/>
                <w:color w:val="000000"/>
                <w:szCs w:val="21"/>
              </w:rPr>
            </w:pPr>
            <w:r>
              <w:rPr>
                <w:rFonts w:ascii="宋体" w:hAnsi="宋体" w:cs="Calibri" w:hint="eastAsia"/>
                <w:color w:val="000000"/>
                <w:szCs w:val="21"/>
              </w:rPr>
              <w:t>注册地址：上海市静安区天目西路128号19层1902室</w:t>
            </w:r>
          </w:p>
          <w:p w14:paraId="7C08A617" w14:textId="77777777" w:rsidR="0069510E" w:rsidRDefault="00000000">
            <w:pPr>
              <w:widowControl/>
              <w:snapToGrid w:val="0"/>
              <w:jc w:val="left"/>
              <w:rPr>
                <w:rFonts w:ascii="宋体" w:hAnsi="宋体" w:cs="Calibri"/>
                <w:color w:val="000000"/>
                <w:szCs w:val="21"/>
              </w:rPr>
            </w:pPr>
            <w:r>
              <w:rPr>
                <w:rFonts w:ascii="宋体" w:hAnsi="宋体" w:cs="Calibri" w:hint="eastAsia"/>
                <w:color w:val="000000"/>
                <w:szCs w:val="21"/>
              </w:rPr>
              <w:t>客户服务电话：956011</w:t>
            </w:r>
          </w:p>
          <w:p w14:paraId="72D8C9C5" w14:textId="77777777" w:rsidR="0069510E" w:rsidRDefault="00000000">
            <w:pPr>
              <w:widowControl/>
              <w:snapToGrid w:val="0"/>
              <w:jc w:val="left"/>
              <w:rPr>
                <w:rFonts w:ascii="宋体" w:hAnsi="宋体" w:cs="Calibri"/>
                <w:color w:val="000000"/>
                <w:szCs w:val="21"/>
              </w:rPr>
            </w:pPr>
            <w:r>
              <w:rPr>
                <w:rFonts w:ascii="宋体" w:hAnsi="宋体" w:cs="Calibri" w:hint="eastAsia"/>
                <w:color w:val="000000"/>
                <w:szCs w:val="21"/>
              </w:rPr>
              <w:t>网址：www.huajinsc.cn</w:t>
            </w:r>
          </w:p>
        </w:tc>
      </w:tr>
      <w:tr w:rsidR="0069510E" w14:paraId="1E8C716C" w14:textId="77777777">
        <w:trPr>
          <w:trHeight w:val="20"/>
        </w:trPr>
        <w:tc>
          <w:tcPr>
            <w:tcW w:w="675" w:type="dxa"/>
          </w:tcPr>
          <w:p w14:paraId="79B8F084" w14:textId="77777777" w:rsidR="0069510E" w:rsidRDefault="00000000">
            <w:pPr>
              <w:jc w:val="center"/>
              <w:rPr>
                <w:rFonts w:ascii="宋体" w:hAnsi="宋体"/>
                <w:color w:val="000000"/>
              </w:rPr>
            </w:pPr>
            <w:r>
              <w:rPr>
                <w:rFonts w:ascii="宋体" w:hAnsi="宋体" w:hint="eastAsia"/>
                <w:color w:val="000000"/>
              </w:rPr>
              <w:t>49</w:t>
            </w:r>
          </w:p>
        </w:tc>
        <w:tc>
          <w:tcPr>
            <w:tcW w:w="2581" w:type="dxa"/>
          </w:tcPr>
          <w:p w14:paraId="46EFF2FD" w14:textId="77777777" w:rsidR="0069510E" w:rsidRDefault="00000000" w:rsidP="004A5EC5">
            <w:pPr>
              <w:snapToGrid w:val="0"/>
              <w:jc w:val="left"/>
              <w:rPr>
                <w:rFonts w:ascii="宋体" w:hAnsi="宋体" w:cs="Calibri"/>
                <w:color w:val="000000"/>
                <w:szCs w:val="21"/>
              </w:rPr>
            </w:pPr>
            <w:r>
              <w:rPr>
                <w:rFonts w:ascii="宋体" w:hAnsi="宋体" w:cs="Calibri" w:hint="eastAsia"/>
                <w:color w:val="000000"/>
                <w:szCs w:val="21"/>
              </w:rPr>
              <w:t>华</w:t>
            </w:r>
            <w:proofErr w:type="gramStart"/>
            <w:r>
              <w:rPr>
                <w:rFonts w:ascii="宋体" w:hAnsi="宋体" w:cs="Calibri" w:hint="eastAsia"/>
                <w:color w:val="000000"/>
                <w:szCs w:val="21"/>
              </w:rPr>
              <w:t>宝证券</w:t>
            </w:r>
            <w:proofErr w:type="gramEnd"/>
            <w:r>
              <w:rPr>
                <w:rFonts w:ascii="宋体" w:hAnsi="宋体" w:cs="Calibri" w:hint="eastAsia"/>
                <w:color w:val="000000"/>
                <w:szCs w:val="21"/>
              </w:rPr>
              <w:t>股份有限公司</w:t>
            </w:r>
          </w:p>
        </w:tc>
        <w:tc>
          <w:tcPr>
            <w:tcW w:w="5039" w:type="dxa"/>
          </w:tcPr>
          <w:p w14:paraId="7E49A833" w14:textId="77777777" w:rsidR="0069510E" w:rsidRDefault="00000000">
            <w:pPr>
              <w:snapToGrid w:val="0"/>
              <w:jc w:val="left"/>
              <w:rPr>
                <w:rFonts w:ascii="宋体" w:hAnsi="宋体" w:cs="Calibri"/>
                <w:color w:val="000000"/>
                <w:szCs w:val="21"/>
              </w:rPr>
            </w:pPr>
            <w:r>
              <w:rPr>
                <w:rFonts w:ascii="宋体" w:hAnsi="宋体" w:cs="Calibri" w:hint="eastAsia"/>
                <w:color w:val="000000"/>
                <w:szCs w:val="21"/>
              </w:rPr>
              <w:t>注册地址：中国（上海）自由贸易试验区浦电路370号2、3、4层</w:t>
            </w:r>
          </w:p>
          <w:p w14:paraId="6AC6B9FD" w14:textId="77777777" w:rsidR="0069510E" w:rsidRDefault="00000000">
            <w:pPr>
              <w:snapToGrid w:val="0"/>
              <w:jc w:val="left"/>
              <w:rPr>
                <w:rFonts w:ascii="宋体" w:hAnsi="宋体" w:cs="Calibri"/>
                <w:color w:val="000000"/>
                <w:szCs w:val="21"/>
              </w:rPr>
            </w:pPr>
            <w:r>
              <w:rPr>
                <w:rFonts w:ascii="宋体" w:hAnsi="宋体" w:cs="Calibri" w:hint="eastAsia"/>
                <w:color w:val="000000"/>
                <w:szCs w:val="21"/>
              </w:rPr>
              <w:t>客户服务电话：400-820-9898</w:t>
            </w:r>
          </w:p>
          <w:p w14:paraId="64DA1CB6" w14:textId="77777777" w:rsidR="0069510E" w:rsidRDefault="00000000">
            <w:pPr>
              <w:widowControl/>
              <w:snapToGrid w:val="0"/>
              <w:jc w:val="left"/>
              <w:rPr>
                <w:rFonts w:ascii="宋体" w:hAnsi="宋体" w:cs="Calibri"/>
                <w:color w:val="000000"/>
                <w:szCs w:val="21"/>
              </w:rPr>
            </w:pPr>
            <w:r>
              <w:rPr>
                <w:rFonts w:ascii="宋体" w:hAnsi="宋体" w:cs="Calibri" w:hint="eastAsia"/>
                <w:color w:val="000000"/>
                <w:szCs w:val="21"/>
              </w:rPr>
              <w:t>网址：www.cnhbstock.com</w:t>
            </w:r>
          </w:p>
        </w:tc>
      </w:tr>
      <w:tr w:rsidR="0069510E" w14:paraId="3C0DD067" w14:textId="77777777">
        <w:trPr>
          <w:trHeight w:val="20"/>
        </w:trPr>
        <w:tc>
          <w:tcPr>
            <w:tcW w:w="675" w:type="dxa"/>
          </w:tcPr>
          <w:p w14:paraId="0CE80704" w14:textId="77777777" w:rsidR="0069510E" w:rsidRDefault="00000000">
            <w:pPr>
              <w:jc w:val="center"/>
              <w:rPr>
                <w:rFonts w:ascii="宋体" w:hAnsi="宋体"/>
                <w:color w:val="000000"/>
              </w:rPr>
            </w:pPr>
            <w:r>
              <w:rPr>
                <w:rFonts w:ascii="宋体" w:hAnsi="宋体" w:hint="eastAsia"/>
                <w:color w:val="000000"/>
              </w:rPr>
              <w:t>50</w:t>
            </w:r>
          </w:p>
        </w:tc>
        <w:tc>
          <w:tcPr>
            <w:tcW w:w="2581" w:type="dxa"/>
          </w:tcPr>
          <w:p w14:paraId="3C61E292" w14:textId="77777777" w:rsidR="0069510E" w:rsidRDefault="00000000" w:rsidP="004A5EC5">
            <w:pPr>
              <w:snapToGrid w:val="0"/>
              <w:jc w:val="left"/>
              <w:rPr>
                <w:rFonts w:ascii="宋体" w:hAnsi="宋体" w:cs="Calibri"/>
                <w:color w:val="000000"/>
                <w:szCs w:val="21"/>
              </w:rPr>
            </w:pPr>
            <w:r>
              <w:rPr>
                <w:rFonts w:ascii="宋体" w:hAnsi="宋体" w:cs="Calibri" w:hint="eastAsia"/>
                <w:color w:val="000000"/>
                <w:szCs w:val="21"/>
              </w:rPr>
              <w:t>平安银行股份有限公司</w:t>
            </w:r>
          </w:p>
        </w:tc>
        <w:tc>
          <w:tcPr>
            <w:tcW w:w="5039" w:type="dxa"/>
          </w:tcPr>
          <w:p w14:paraId="123DC4C6" w14:textId="77777777" w:rsidR="0069510E" w:rsidRDefault="00000000" w:rsidP="004A5EC5">
            <w:pPr>
              <w:widowControl/>
              <w:snapToGrid w:val="0"/>
              <w:jc w:val="left"/>
              <w:rPr>
                <w:rFonts w:ascii="宋体" w:hAnsi="宋体" w:cs="Calibri"/>
                <w:color w:val="000000"/>
                <w:szCs w:val="21"/>
              </w:rPr>
            </w:pPr>
            <w:r>
              <w:rPr>
                <w:rFonts w:ascii="宋体" w:hAnsi="宋体" w:cs="Calibri" w:hint="eastAsia"/>
                <w:color w:val="000000"/>
                <w:szCs w:val="21"/>
              </w:rPr>
              <w:t>注册地址：深圳市罗湖区深南东路5047号</w:t>
            </w:r>
          </w:p>
          <w:p w14:paraId="66B28937" w14:textId="77777777" w:rsidR="0069510E" w:rsidRDefault="00000000" w:rsidP="004A5EC5">
            <w:pPr>
              <w:widowControl/>
              <w:snapToGrid w:val="0"/>
              <w:jc w:val="left"/>
              <w:rPr>
                <w:rFonts w:ascii="宋体" w:hAnsi="宋体" w:cs="Calibri"/>
                <w:color w:val="000000"/>
                <w:szCs w:val="21"/>
              </w:rPr>
            </w:pPr>
            <w:r>
              <w:rPr>
                <w:rFonts w:ascii="宋体" w:hAnsi="宋体" w:cs="Calibri" w:hint="eastAsia"/>
                <w:color w:val="000000"/>
                <w:szCs w:val="21"/>
              </w:rPr>
              <w:t>客户服务电话：95511-3-8</w:t>
            </w:r>
          </w:p>
          <w:p w14:paraId="6A46E00A" w14:textId="77777777" w:rsidR="0069510E" w:rsidRDefault="00000000">
            <w:pPr>
              <w:snapToGrid w:val="0"/>
              <w:jc w:val="left"/>
              <w:rPr>
                <w:rFonts w:ascii="宋体" w:hAnsi="宋体" w:cs="Calibri"/>
                <w:color w:val="000000"/>
                <w:szCs w:val="21"/>
              </w:rPr>
            </w:pPr>
            <w:r>
              <w:rPr>
                <w:rFonts w:ascii="宋体" w:hAnsi="宋体" w:cs="Calibri" w:hint="eastAsia"/>
                <w:color w:val="000000"/>
                <w:szCs w:val="21"/>
              </w:rPr>
              <w:t>网址：bank.pingan.com</w:t>
            </w:r>
          </w:p>
        </w:tc>
      </w:tr>
      <w:tr w:rsidR="0069510E" w14:paraId="19D37488" w14:textId="77777777">
        <w:trPr>
          <w:trHeight w:val="20"/>
        </w:trPr>
        <w:tc>
          <w:tcPr>
            <w:tcW w:w="675" w:type="dxa"/>
          </w:tcPr>
          <w:p w14:paraId="7900C10D" w14:textId="77777777" w:rsidR="0069510E" w:rsidRDefault="00000000">
            <w:pPr>
              <w:jc w:val="center"/>
              <w:rPr>
                <w:rFonts w:ascii="宋体" w:hAnsi="宋体"/>
                <w:color w:val="000000"/>
              </w:rPr>
            </w:pPr>
            <w:r>
              <w:rPr>
                <w:rFonts w:ascii="宋体" w:hAnsi="宋体" w:hint="eastAsia"/>
                <w:color w:val="000000"/>
              </w:rPr>
              <w:t>51</w:t>
            </w:r>
          </w:p>
        </w:tc>
        <w:tc>
          <w:tcPr>
            <w:tcW w:w="2581" w:type="dxa"/>
          </w:tcPr>
          <w:p w14:paraId="2CFB146C" w14:textId="77777777" w:rsidR="0069510E" w:rsidRDefault="00000000" w:rsidP="004A5EC5">
            <w:pPr>
              <w:snapToGrid w:val="0"/>
              <w:jc w:val="left"/>
              <w:rPr>
                <w:rFonts w:ascii="宋体" w:hAnsi="宋体" w:cs="Calibri"/>
                <w:color w:val="000000"/>
                <w:szCs w:val="21"/>
              </w:rPr>
            </w:pPr>
            <w:r>
              <w:rPr>
                <w:rFonts w:ascii="宋体" w:hAnsi="宋体" w:cs="Calibri" w:hint="eastAsia"/>
                <w:color w:val="000000"/>
                <w:szCs w:val="21"/>
              </w:rPr>
              <w:t>江海证券有限公司</w:t>
            </w:r>
          </w:p>
        </w:tc>
        <w:tc>
          <w:tcPr>
            <w:tcW w:w="5039" w:type="dxa"/>
          </w:tcPr>
          <w:p w14:paraId="374B4116" w14:textId="77777777" w:rsidR="0069510E" w:rsidRDefault="00000000" w:rsidP="004A5EC5">
            <w:pPr>
              <w:widowControl/>
              <w:snapToGrid w:val="0"/>
              <w:jc w:val="left"/>
              <w:rPr>
                <w:rFonts w:ascii="宋体" w:hAnsi="宋体" w:cs="Calibri"/>
                <w:color w:val="000000"/>
                <w:szCs w:val="21"/>
              </w:rPr>
            </w:pPr>
            <w:r>
              <w:rPr>
                <w:rFonts w:ascii="宋体" w:hAnsi="宋体" w:cs="Calibri" w:hint="eastAsia"/>
                <w:color w:val="000000"/>
                <w:szCs w:val="21"/>
              </w:rPr>
              <w:t>注册地址：哈尔滨市香</w:t>
            </w:r>
            <w:proofErr w:type="gramStart"/>
            <w:r>
              <w:rPr>
                <w:rFonts w:ascii="宋体" w:hAnsi="宋体" w:cs="Calibri" w:hint="eastAsia"/>
                <w:color w:val="000000"/>
                <w:szCs w:val="21"/>
              </w:rPr>
              <w:t>坊区赣水路</w:t>
            </w:r>
            <w:proofErr w:type="gramEnd"/>
            <w:r>
              <w:rPr>
                <w:rFonts w:ascii="宋体" w:hAnsi="宋体" w:cs="Calibri" w:hint="eastAsia"/>
                <w:color w:val="000000"/>
                <w:szCs w:val="21"/>
              </w:rPr>
              <w:t>56号</w:t>
            </w:r>
          </w:p>
          <w:p w14:paraId="5D0CB844" w14:textId="77777777" w:rsidR="0069510E" w:rsidRDefault="00000000" w:rsidP="004A5EC5">
            <w:pPr>
              <w:widowControl/>
              <w:snapToGrid w:val="0"/>
              <w:jc w:val="left"/>
              <w:rPr>
                <w:rFonts w:ascii="宋体" w:hAnsi="宋体" w:cs="Calibri"/>
                <w:color w:val="000000"/>
                <w:szCs w:val="21"/>
              </w:rPr>
            </w:pPr>
            <w:r>
              <w:rPr>
                <w:rFonts w:ascii="宋体" w:hAnsi="宋体" w:cs="Calibri" w:hint="eastAsia"/>
                <w:color w:val="000000"/>
                <w:szCs w:val="21"/>
              </w:rPr>
              <w:t>客户服务电话：956007</w:t>
            </w:r>
          </w:p>
          <w:p w14:paraId="4C05E949" w14:textId="77777777" w:rsidR="0069510E" w:rsidRDefault="00000000" w:rsidP="004A5EC5">
            <w:pPr>
              <w:widowControl/>
              <w:snapToGrid w:val="0"/>
              <w:jc w:val="left"/>
              <w:rPr>
                <w:rFonts w:ascii="宋体" w:hAnsi="宋体" w:cs="Calibri"/>
                <w:color w:val="000000"/>
                <w:szCs w:val="21"/>
              </w:rPr>
            </w:pPr>
            <w:r>
              <w:rPr>
                <w:rFonts w:ascii="宋体" w:hAnsi="宋体" w:cs="Calibri" w:hint="eastAsia"/>
                <w:color w:val="000000"/>
                <w:szCs w:val="21"/>
              </w:rPr>
              <w:t>网址：www.jhzq.com.cn</w:t>
            </w:r>
          </w:p>
        </w:tc>
      </w:tr>
      <w:tr w:rsidR="0069510E" w14:paraId="535789E4" w14:textId="77777777">
        <w:trPr>
          <w:trHeight w:val="20"/>
        </w:trPr>
        <w:tc>
          <w:tcPr>
            <w:tcW w:w="675" w:type="dxa"/>
          </w:tcPr>
          <w:p w14:paraId="602A452B" w14:textId="77777777" w:rsidR="0069510E" w:rsidRDefault="00000000">
            <w:pPr>
              <w:jc w:val="center"/>
              <w:rPr>
                <w:rFonts w:ascii="宋体" w:hAnsi="宋体"/>
                <w:color w:val="000000"/>
              </w:rPr>
            </w:pPr>
            <w:r>
              <w:rPr>
                <w:rFonts w:ascii="宋体" w:hAnsi="宋体" w:hint="eastAsia"/>
                <w:color w:val="000000"/>
              </w:rPr>
              <w:t>52</w:t>
            </w:r>
          </w:p>
        </w:tc>
        <w:tc>
          <w:tcPr>
            <w:tcW w:w="2581" w:type="dxa"/>
          </w:tcPr>
          <w:p w14:paraId="50AC7290" w14:textId="77777777" w:rsidR="0069510E" w:rsidRDefault="00000000" w:rsidP="004A5EC5">
            <w:pPr>
              <w:snapToGrid w:val="0"/>
              <w:jc w:val="left"/>
              <w:rPr>
                <w:rFonts w:ascii="宋体" w:hAnsi="宋体" w:cs="Calibri"/>
                <w:color w:val="000000"/>
                <w:szCs w:val="21"/>
              </w:rPr>
            </w:pPr>
            <w:r>
              <w:rPr>
                <w:rFonts w:ascii="宋体" w:hAnsi="宋体" w:cs="Calibri" w:hint="eastAsia"/>
                <w:color w:val="000000"/>
                <w:szCs w:val="21"/>
              </w:rPr>
              <w:t>国金证券股份有限公司</w:t>
            </w:r>
          </w:p>
        </w:tc>
        <w:tc>
          <w:tcPr>
            <w:tcW w:w="5039" w:type="dxa"/>
          </w:tcPr>
          <w:p w14:paraId="02B3E664" w14:textId="77777777" w:rsidR="0069510E" w:rsidRDefault="00000000" w:rsidP="004A5EC5">
            <w:pPr>
              <w:widowControl/>
              <w:snapToGrid w:val="0"/>
              <w:jc w:val="left"/>
              <w:rPr>
                <w:rFonts w:ascii="宋体" w:hAnsi="宋体" w:cs="Calibri"/>
                <w:color w:val="000000"/>
                <w:szCs w:val="21"/>
              </w:rPr>
            </w:pPr>
            <w:r>
              <w:rPr>
                <w:rFonts w:ascii="宋体" w:hAnsi="宋体" w:cs="Calibri" w:hint="eastAsia"/>
                <w:color w:val="000000"/>
                <w:szCs w:val="21"/>
              </w:rPr>
              <w:t>注册地址：四川省成都市青羊区东城根上街95号</w:t>
            </w:r>
          </w:p>
          <w:p w14:paraId="4A9A4944" w14:textId="77777777" w:rsidR="0069510E" w:rsidRDefault="00000000" w:rsidP="004A5EC5">
            <w:pPr>
              <w:widowControl/>
              <w:snapToGrid w:val="0"/>
              <w:jc w:val="left"/>
              <w:rPr>
                <w:rFonts w:ascii="宋体" w:hAnsi="宋体" w:cs="Calibri"/>
                <w:color w:val="000000"/>
                <w:szCs w:val="21"/>
              </w:rPr>
            </w:pPr>
            <w:r>
              <w:rPr>
                <w:rFonts w:ascii="宋体" w:hAnsi="宋体" w:cs="Calibri" w:hint="eastAsia"/>
                <w:color w:val="000000"/>
                <w:szCs w:val="21"/>
              </w:rPr>
              <w:t>客户服务电话：95310</w:t>
            </w:r>
          </w:p>
          <w:p w14:paraId="1BF9A5BA" w14:textId="77777777" w:rsidR="0069510E" w:rsidRDefault="00000000" w:rsidP="004A5EC5">
            <w:pPr>
              <w:widowControl/>
              <w:snapToGrid w:val="0"/>
              <w:jc w:val="left"/>
              <w:rPr>
                <w:rFonts w:ascii="宋体" w:hAnsi="宋体" w:cs="Calibri"/>
                <w:color w:val="000000"/>
                <w:szCs w:val="21"/>
              </w:rPr>
            </w:pPr>
            <w:r>
              <w:rPr>
                <w:rFonts w:ascii="宋体" w:hAnsi="宋体" w:cs="Calibri" w:hint="eastAsia"/>
                <w:color w:val="000000"/>
                <w:szCs w:val="21"/>
              </w:rPr>
              <w:t>网址：www.gjzq.com.cn</w:t>
            </w:r>
          </w:p>
        </w:tc>
      </w:tr>
      <w:tr w:rsidR="0069510E" w14:paraId="15373978" w14:textId="77777777" w:rsidTr="004A5EC5">
        <w:trPr>
          <w:trHeight w:val="70"/>
        </w:trPr>
        <w:tc>
          <w:tcPr>
            <w:tcW w:w="675" w:type="dxa"/>
          </w:tcPr>
          <w:p w14:paraId="6051C7F1" w14:textId="77777777" w:rsidR="0069510E" w:rsidRDefault="00000000">
            <w:pPr>
              <w:jc w:val="center"/>
              <w:rPr>
                <w:rFonts w:ascii="宋体" w:hAnsi="宋体"/>
                <w:color w:val="000000"/>
              </w:rPr>
            </w:pPr>
            <w:r>
              <w:rPr>
                <w:rFonts w:ascii="宋体" w:hAnsi="宋体" w:hint="eastAsia"/>
                <w:color w:val="000000"/>
              </w:rPr>
              <w:t>53</w:t>
            </w:r>
          </w:p>
        </w:tc>
        <w:tc>
          <w:tcPr>
            <w:tcW w:w="2581" w:type="dxa"/>
          </w:tcPr>
          <w:p w14:paraId="3C7059C5" w14:textId="77777777" w:rsidR="0069510E" w:rsidRDefault="00000000" w:rsidP="004A5EC5">
            <w:pPr>
              <w:snapToGrid w:val="0"/>
              <w:jc w:val="left"/>
              <w:rPr>
                <w:rFonts w:ascii="宋体" w:hAnsi="宋体" w:cs="Calibri"/>
                <w:color w:val="000000"/>
                <w:szCs w:val="21"/>
              </w:rPr>
            </w:pPr>
            <w:r>
              <w:rPr>
                <w:rFonts w:ascii="宋体" w:hAnsi="宋体" w:cs="Calibri" w:hint="eastAsia"/>
                <w:color w:val="000000"/>
                <w:szCs w:val="21"/>
              </w:rPr>
              <w:t>华西证券股份有限公司</w:t>
            </w:r>
          </w:p>
        </w:tc>
        <w:tc>
          <w:tcPr>
            <w:tcW w:w="5039" w:type="dxa"/>
          </w:tcPr>
          <w:p w14:paraId="3D309FA7" w14:textId="77777777" w:rsidR="0069510E" w:rsidRDefault="00000000" w:rsidP="004A5EC5">
            <w:pPr>
              <w:widowControl/>
              <w:snapToGrid w:val="0"/>
              <w:jc w:val="left"/>
              <w:rPr>
                <w:rFonts w:ascii="宋体" w:hAnsi="宋体" w:cs="Calibri"/>
                <w:color w:val="000000"/>
                <w:szCs w:val="21"/>
              </w:rPr>
            </w:pPr>
            <w:r>
              <w:rPr>
                <w:rFonts w:ascii="宋体" w:hAnsi="宋体" w:cs="Calibri" w:hint="eastAsia"/>
                <w:color w:val="000000"/>
                <w:szCs w:val="21"/>
              </w:rPr>
              <w:t>注册地址：四川省成都市武侯区高新区天府二街198号</w:t>
            </w:r>
          </w:p>
          <w:p w14:paraId="0D698F48" w14:textId="77777777" w:rsidR="0069510E" w:rsidRDefault="00000000" w:rsidP="004A5EC5">
            <w:pPr>
              <w:widowControl/>
              <w:snapToGrid w:val="0"/>
              <w:jc w:val="left"/>
              <w:rPr>
                <w:rFonts w:ascii="宋体" w:hAnsi="宋体" w:cs="Calibri"/>
                <w:color w:val="000000"/>
                <w:szCs w:val="21"/>
              </w:rPr>
            </w:pPr>
            <w:r>
              <w:rPr>
                <w:rFonts w:ascii="宋体" w:hAnsi="宋体" w:cs="Calibri" w:hint="eastAsia"/>
                <w:color w:val="000000"/>
                <w:szCs w:val="21"/>
              </w:rPr>
              <w:t>客户服务电话：95584</w:t>
            </w:r>
          </w:p>
          <w:p w14:paraId="25AA66D1" w14:textId="77777777" w:rsidR="0069510E" w:rsidRDefault="00000000" w:rsidP="004A5EC5">
            <w:pPr>
              <w:widowControl/>
              <w:snapToGrid w:val="0"/>
              <w:jc w:val="left"/>
              <w:rPr>
                <w:rFonts w:ascii="宋体" w:hAnsi="宋体" w:cs="Calibri"/>
                <w:color w:val="000000"/>
                <w:szCs w:val="21"/>
              </w:rPr>
            </w:pPr>
            <w:r>
              <w:rPr>
                <w:rFonts w:ascii="宋体" w:hAnsi="宋体" w:cs="Calibri" w:hint="eastAsia"/>
                <w:color w:val="000000"/>
                <w:szCs w:val="21"/>
              </w:rPr>
              <w:t>网址：www.hx168.com.cn</w:t>
            </w:r>
          </w:p>
        </w:tc>
      </w:tr>
    </w:tbl>
    <w:p w14:paraId="02A46665" w14:textId="77777777" w:rsidR="0069510E" w:rsidRDefault="0069510E">
      <w:pPr>
        <w:tabs>
          <w:tab w:val="left" w:pos="540"/>
        </w:tabs>
        <w:adjustRightInd w:val="0"/>
        <w:snapToGrid w:val="0"/>
        <w:spacing w:line="360" w:lineRule="auto"/>
        <w:ind w:firstLineChars="200" w:firstLine="480"/>
        <w:rPr>
          <w:rFonts w:asciiTheme="minorEastAsia" w:hAnsiTheme="minorEastAsia" w:cs="Arial"/>
          <w:sz w:val="24"/>
          <w:szCs w:val="24"/>
        </w:rPr>
      </w:pPr>
    </w:p>
    <w:p w14:paraId="77F8F433" w14:textId="77777777" w:rsidR="0069510E" w:rsidRDefault="00000000">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24BD3B9F" w14:textId="77777777" w:rsidR="0069510E" w:rsidRDefault="00000000">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名称：富荣基金管理有限公司</w:t>
      </w:r>
      <w:r>
        <w:rPr>
          <w:rFonts w:asciiTheme="minorEastAsia" w:hAnsiTheme="minorEastAsia" w:cs="Arial"/>
          <w:color w:val="000000"/>
          <w:kern w:val="0"/>
          <w:sz w:val="24"/>
          <w:szCs w:val="24"/>
        </w:rPr>
        <w:t xml:space="preserve"> </w:t>
      </w:r>
    </w:p>
    <w:p w14:paraId="0AA50D52" w14:textId="77777777" w:rsidR="0069510E" w:rsidRDefault="00000000">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住所：广东省广州市南沙区横</w:t>
      </w:r>
      <w:proofErr w:type="gramStart"/>
      <w:r>
        <w:rPr>
          <w:rFonts w:asciiTheme="minorEastAsia" w:hAnsiTheme="minorEastAsia" w:cs="Arial" w:hint="eastAsia"/>
          <w:color w:val="000000"/>
          <w:kern w:val="0"/>
          <w:sz w:val="24"/>
          <w:szCs w:val="24"/>
        </w:rPr>
        <w:t>沥</w:t>
      </w:r>
      <w:proofErr w:type="gramEnd"/>
      <w:r>
        <w:rPr>
          <w:rFonts w:asciiTheme="minorEastAsia" w:hAnsiTheme="minorEastAsia" w:cs="Arial" w:hint="eastAsia"/>
          <w:color w:val="000000"/>
          <w:kern w:val="0"/>
          <w:sz w:val="24"/>
          <w:szCs w:val="24"/>
        </w:rPr>
        <w:t>镇汇通二街2号3110房</w:t>
      </w:r>
      <w:r>
        <w:rPr>
          <w:rFonts w:asciiTheme="minorEastAsia" w:hAnsiTheme="minorEastAsia" w:cs="Arial"/>
          <w:color w:val="000000"/>
          <w:kern w:val="0"/>
          <w:sz w:val="24"/>
          <w:szCs w:val="24"/>
        </w:rPr>
        <w:t xml:space="preserve"> </w:t>
      </w:r>
    </w:p>
    <w:p w14:paraId="78FCABFF" w14:textId="77777777" w:rsidR="0069510E" w:rsidRDefault="00000000">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w:t>
      </w:r>
      <w:r>
        <w:rPr>
          <w:rFonts w:asciiTheme="minorEastAsia" w:hAnsiTheme="minorEastAsia" w:cs="Times New Roman" w:hint="eastAsia"/>
          <w:kern w:val="0"/>
          <w:sz w:val="24"/>
          <w:szCs w:val="24"/>
        </w:rPr>
        <w:t>深圳市福田区八卦四路</w:t>
      </w:r>
      <w:r>
        <w:rPr>
          <w:rFonts w:asciiTheme="minorEastAsia" w:hAnsiTheme="minorEastAsia" w:cs="Times New Roman"/>
          <w:kern w:val="0"/>
          <w:sz w:val="24"/>
          <w:szCs w:val="24"/>
        </w:rPr>
        <w:t>52号安吉</w:t>
      </w:r>
      <w:r>
        <w:rPr>
          <w:rFonts w:asciiTheme="minorEastAsia" w:hAnsiTheme="minorEastAsia" w:cs="Times New Roman" w:hint="eastAsia"/>
          <w:kern w:val="0"/>
          <w:sz w:val="24"/>
          <w:szCs w:val="24"/>
        </w:rPr>
        <w:t>尔大厦</w:t>
      </w:r>
      <w:r>
        <w:rPr>
          <w:rFonts w:asciiTheme="minorEastAsia" w:hAnsiTheme="minorEastAsia" w:cs="Times New Roman"/>
          <w:kern w:val="0"/>
          <w:sz w:val="24"/>
          <w:szCs w:val="24"/>
        </w:rPr>
        <w:t>24层</w:t>
      </w:r>
      <w:r>
        <w:rPr>
          <w:rFonts w:asciiTheme="minorEastAsia" w:hAnsiTheme="minorEastAsia" w:cs="Arial"/>
          <w:color w:val="000000"/>
          <w:kern w:val="0"/>
          <w:sz w:val="24"/>
          <w:szCs w:val="24"/>
        </w:rPr>
        <w:t xml:space="preserve"> </w:t>
      </w:r>
    </w:p>
    <w:p w14:paraId="105F5219" w14:textId="77777777" w:rsidR="0069510E" w:rsidRDefault="00000000">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法定代表人：王亦伟</w:t>
      </w:r>
      <w:r>
        <w:rPr>
          <w:rFonts w:asciiTheme="minorEastAsia" w:hAnsiTheme="minorEastAsia" w:cs="Arial"/>
          <w:color w:val="000000"/>
          <w:kern w:val="0"/>
          <w:sz w:val="24"/>
          <w:szCs w:val="24"/>
        </w:rPr>
        <w:t xml:space="preserve"> </w:t>
      </w:r>
    </w:p>
    <w:p w14:paraId="33DD3152" w14:textId="77777777" w:rsidR="0069510E" w:rsidRDefault="00000000">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47B9DF05" w14:textId="77777777" w:rsidR="0069510E" w:rsidRDefault="00000000">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w:t>
      </w:r>
      <w:r>
        <w:rPr>
          <w:rFonts w:asciiTheme="minorEastAsia" w:hAnsiTheme="minorEastAsia" w:cs="Arial"/>
          <w:color w:val="000000"/>
          <w:kern w:val="0"/>
          <w:sz w:val="24"/>
          <w:szCs w:val="24"/>
        </w:rPr>
        <w:t xml:space="preserve"> 0755-84356604</w:t>
      </w:r>
    </w:p>
    <w:p w14:paraId="40ADA08D" w14:textId="77777777" w:rsidR="0069510E" w:rsidRDefault="00000000">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w:t>
      </w:r>
      <w:r>
        <w:rPr>
          <w:rFonts w:asciiTheme="minorEastAsia" w:hAnsiTheme="minorEastAsia" w:cs="Arial"/>
          <w:color w:val="000000"/>
          <w:kern w:val="0"/>
          <w:sz w:val="24"/>
          <w:szCs w:val="24"/>
        </w:rPr>
        <w:t xml:space="preserve"> 0755-83230787</w:t>
      </w:r>
    </w:p>
    <w:p w14:paraId="5FF523FA" w14:textId="77777777" w:rsidR="0069510E" w:rsidRDefault="00000000">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5A721718" w14:textId="77777777" w:rsidR="0069510E"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名称：上海源泰律师事务所</w:t>
      </w:r>
    </w:p>
    <w:p w14:paraId="65ECD56C" w14:textId="77777777" w:rsidR="0069510E"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住所：上海市浦东新区浦东南路</w:t>
      </w:r>
      <w:r>
        <w:rPr>
          <w:rFonts w:asciiTheme="minorEastAsia" w:hAnsiTheme="minorEastAsia" w:cs="Arial"/>
          <w:kern w:val="0"/>
          <w:sz w:val="24"/>
          <w:szCs w:val="24"/>
        </w:rPr>
        <w:t>256号华夏银行大厦14楼</w:t>
      </w:r>
    </w:p>
    <w:p w14:paraId="49C48B0B" w14:textId="77777777" w:rsidR="0069510E"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办公地址：上海市浦东新区浦东南路</w:t>
      </w:r>
      <w:r>
        <w:rPr>
          <w:rFonts w:asciiTheme="minorEastAsia" w:hAnsiTheme="minorEastAsia" w:cs="Arial"/>
          <w:kern w:val="0"/>
          <w:sz w:val="24"/>
          <w:szCs w:val="24"/>
        </w:rPr>
        <w:t>256号华夏银行大厦14楼</w:t>
      </w:r>
    </w:p>
    <w:p w14:paraId="1416F3AC" w14:textId="77777777" w:rsidR="0069510E"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lastRenderedPageBreak/>
        <w:t>负责人：廖海</w:t>
      </w:r>
    </w:p>
    <w:p w14:paraId="4F8EDCAF" w14:textId="77777777" w:rsidR="0069510E"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021）51150298</w:t>
      </w:r>
    </w:p>
    <w:p w14:paraId="36B4FF30" w14:textId="77777777" w:rsidR="0069510E"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021）51150398</w:t>
      </w:r>
    </w:p>
    <w:p w14:paraId="58AEB791" w14:textId="77777777" w:rsidR="0069510E"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经办律师：刘佳、黄丽华</w:t>
      </w:r>
    </w:p>
    <w:p w14:paraId="41C51B6E" w14:textId="77777777" w:rsidR="0069510E"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w:t>
      </w:r>
      <w:r>
        <w:rPr>
          <w:rFonts w:asciiTheme="minorEastAsia" w:hAnsiTheme="minorEastAsia" w:cs="Arial"/>
          <w:kern w:val="0"/>
          <w:sz w:val="24"/>
          <w:szCs w:val="24"/>
        </w:rPr>
        <w:t xml:space="preserve"> </w:t>
      </w:r>
      <w:r>
        <w:rPr>
          <w:rFonts w:asciiTheme="minorEastAsia" w:hAnsiTheme="minorEastAsia" w:cs="Arial" w:hint="eastAsia"/>
          <w:kern w:val="0"/>
          <w:sz w:val="24"/>
          <w:szCs w:val="24"/>
        </w:rPr>
        <w:t>刘佳</w:t>
      </w:r>
    </w:p>
    <w:p w14:paraId="41BA1810" w14:textId="77777777" w:rsidR="0069510E" w:rsidRDefault="00000000">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1B39F422" w14:textId="77777777" w:rsidR="0069510E"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1957796C" w14:textId="77777777" w:rsidR="0069510E"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w:t>
      </w:r>
      <w:r>
        <w:rPr>
          <w:rFonts w:asciiTheme="minorEastAsia" w:hAnsiTheme="minorEastAsia" w:cs="Arial"/>
          <w:kern w:val="0"/>
          <w:sz w:val="24"/>
          <w:szCs w:val="24"/>
        </w:rPr>
        <w:t>1号东方广场安永大楼16层</w:t>
      </w:r>
    </w:p>
    <w:p w14:paraId="4BD9D922" w14:textId="77777777" w:rsidR="0069510E"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w:t>
      </w:r>
      <w:r>
        <w:rPr>
          <w:rFonts w:asciiTheme="minorEastAsia" w:hAnsiTheme="minorEastAsia" w:cs="Arial"/>
          <w:kern w:val="0"/>
          <w:sz w:val="24"/>
          <w:szCs w:val="24"/>
        </w:rPr>
        <w:t>1号东方广场安永大楼16层</w:t>
      </w:r>
    </w:p>
    <w:p w14:paraId="7F6BD054" w14:textId="77777777" w:rsidR="0069510E"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662424B1" w14:textId="77777777" w:rsidR="0069510E"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+86 10 58153000</w:t>
      </w:r>
    </w:p>
    <w:p w14:paraId="13A09603" w14:textId="77777777" w:rsidR="0069510E"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+86 10 85188298</w:t>
      </w:r>
    </w:p>
    <w:p w14:paraId="12A7A04C" w14:textId="77777777" w:rsidR="0069510E"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  高鹤</w:t>
      </w:r>
    </w:p>
    <w:p w14:paraId="43BD47B8" w14:textId="77777777" w:rsidR="0069510E"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联系人：吴翠蓉</w:t>
      </w:r>
    </w:p>
    <w:p w14:paraId="4F753BF4" w14:textId="77777777" w:rsidR="0069510E" w:rsidRDefault="0069510E">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69510E">
          <w:headerReference w:type="even" r:id="rId37"/>
          <w:headerReference w:type="default" r:id="rId38"/>
          <w:footerReference w:type="default" r:id="rId39"/>
          <w:headerReference w:type="first" r:id="rId40"/>
          <w:pgSz w:w="11906" w:h="16838"/>
          <w:pgMar w:top="1440" w:right="1800" w:bottom="1440" w:left="1800" w:header="851" w:footer="992" w:gutter="0"/>
          <w:pgNumType w:chapStyle="1"/>
          <w:cols w:space="720"/>
          <w:docGrid w:type="lines" w:linePitch="312"/>
        </w:sectPr>
      </w:pPr>
      <w:bookmarkStart w:id="120" w:name="_Toc263092314"/>
      <w:bookmarkStart w:id="121" w:name="_Toc416264542"/>
      <w:bookmarkStart w:id="122" w:name="_Toc123112235"/>
      <w:bookmarkStart w:id="123" w:name="_Toc352229753"/>
      <w:bookmarkStart w:id="124" w:name="_Toc12245"/>
      <w:bookmarkStart w:id="125" w:name="_Toc123102454"/>
      <w:bookmarkStart w:id="126" w:name="_Toc98560353"/>
      <w:bookmarkStart w:id="127" w:name="_Toc31644"/>
      <w:bookmarkStart w:id="128" w:name="_Toc3601"/>
      <w:bookmarkStart w:id="129" w:name="_Toc31235"/>
      <w:bookmarkStart w:id="130" w:name="_Toc141703887"/>
      <w:bookmarkStart w:id="131" w:name="_Toc14835"/>
      <w:bookmarkStart w:id="132" w:name="_Toc6405"/>
      <w:bookmarkStart w:id="133" w:name="_Toc16859"/>
      <w:bookmarkStart w:id="134" w:name="_Toc31653"/>
      <w:bookmarkStart w:id="135" w:name="_Toc29251"/>
      <w:bookmarkStart w:id="136" w:name="_Toc26207"/>
      <w:bookmarkStart w:id="137" w:name="_Toc15143"/>
      <w:bookmarkStart w:id="138" w:name="_Toc139991737"/>
      <w:bookmarkStart w:id="139" w:name="_Toc123051453"/>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p>
    <w:p w14:paraId="5F89DEDF" w14:textId="77777777" w:rsidR="0069510E" w:rsidRDefault="00000000">
      <w:pPr>
        <w:pStyle w:val="1"/>
        <w:jc w:val="center"/>
        <w:rPr>
          <w:sz w:val="30"/>
          <w:szCs w:val="30"/>
        </w:rPr>
      </w:pPr>
      <w:bookmarkStart w:id="140" w:name="_Toc68266293"/>
      <w:bookmarkStart w:id="141" w:name="_Toc136963806"/>
      <w:r>
        <w:rPr>
          <w:rFonts w:hint="eastAsia"/>
          <w:sz w:val="30"/>
          <w:szCs w:val="30"/>
        </w:rPr>
        <w:lastRenderedPageBreak/>
        <w:t>第六部分</w:t>
      </w:r>
      <w:r>
        <w:rPr>
          <w:sz w:val="30"/>
          <w:szCs w:val="30"/>
        </w:rPr>
        <w:t xml:space="preserve">  </w:t>
      </w:r>
      <w:r>
        <w:rPr>
          <w:rFonts w:hint="eastAsia"/>
          <w:sz w:val="30"/>
          <w:szCs w:val="30"/>
        </w:rPr>
        <w:t>基金</w:t>
      </w:r>
      <w:bookmarkEnd w:id="120"/>
      <w:bookmarkEnd w:id="121"/>
      <w:r>
        <w:rPr>
          <w:rFonts w:hint="eastAsia"/>
          <w:sz w:val="30"/>
          <w:szCs w:val="30"/>
        </w:rPr>
        <w:t>的</w:t>
      </w:r>
      <w:bookmarkEnd w:id="140"/>
      <w:r>
        <w:rPr>
          <w:rFonts w:hint="eastAsia"/>
          <w:sz w:val="30"/>
          <w:szCs w:val="30"/>
        </w:rPr>
        <w:t>募集</w:t>
      </w:r>
      <w:bookmarkEnd w:id="141"/>
    </w:p>
    <w:p w14:paraId="47380C0B" w14:textId="77777777" w:rsidR="0069510E" w:rsidRDefault="0069510E">
      <w:pPr>
        <w:autoSpaceDE w:val="0"/>
        <w:autoSpaceDN w:val="0"/>
        <w:adjustRightInd w:val="0"/>
        <w:snapToGrid w:val="0"/>
        <w:spacing w:line="360" w:lineRule="auto"/>
        <w:ind w:firstLineChars="200" w:firstLine="480"/>
        <w:rPr>
          <w:rFonts w:asciiTheme="minorEastAsia" w:hAnsiTheme="minorEastAsia" w:cs="Arial"/>
          <w:sz w:val="24"/>
          <w:szCs w:val="24"/>
        </w:rPr>
      </w:pPr>
    </w:p>
    <w:p w14:paraId="4C32E593" w14:textId="77777777" w:rsidR="0069510E" w:rsidRDefault="00000000">
      <w:pPr>
        <w:autoSpaceDE w:val="0"/>
        <w:autoSpaceDN w:val="0"/>
        <w:adjustRightInd w:val="0"/>
        <w:snapToGrid w:val="0"/>
        <w:spacing w:line="360" w:lineRule="auto"/>
        <w:ind w:firstLineChars="200" w:firstLine="480"/>
        <w:rPr>
          <w:rFonts w:ascii="宋体" w:eastAsia="宋体" w:hAnsi="宋体" w:cs="Arial"/>
          <w:sz w:val="24"/>
          <w:szCs w:val="24"/>
        </w:rPr>
      </w:pPr>
      <w:bookmarkStart w:id="142" w:name="_Toc263092315"/>
      <w:bookmarkStart w:id="143" w:name="_Toc214873596"/>
      <w:bookmarkStart w:id="144" w:name="_Toc416264543"/>
      <w:bookmarkStart w:id="145" w:name="_Toc6447"/>
      <w:bookmarkStart w:id="146" w:name="_Toc20768"/>
      <w:bookmarkStart w:id="147" w:name="_Toc139991738"/>
      <w:bookmarkStart w:id="148" w:name="_Toc11030"/>
      <w:bookmarkStart w:id="149" w:name="_Toc79392583"/>
      <w:bookmarkStart w:id="150" w:name="_Toc123112236"/>
      <w:bookmarkStart w:id="151" w:name="_Toc3771"/>
      <w:bookmarkStart w:id="152" w:name="_Toc3321"/>
      <w:bookmarkStart w:id="153" w:name="_Toc352229754"/>
      <w:bookmarkStart w:id="154" w:name="_Toc9706"/>
      <w:bookmarkStart w:id="155" w:name="_Toc123102455"/>
      <w:bookmarkStart w:id="156" w:name="_Toc141703888"/>
      <w:bookmarkStart w:id="157" w:name="_Toc123051454"/>
      <w:bookmarkStart w:id="158" w:name="_Toc98560354"/>
      <w:bookmarkStart w:id="159" w:name="_Toc18567"/>
      <w:bookmarkStart w:id="160" w:name="_Toc4559"/>
      <w:bookmarkStart w:id="161" w:name="_Toc7058"/>
      <w:bookmarkStart w:id="162" w:name="_Toc25783"/>
      <w:bookmarkStart w:id="163" w:name="_Toc10650"/>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r>
        <w:rPr>
          <w:rFonts w:ascii="宋体" w:eastAsia="宋体" w:hAnsi="宋体" w:cs="Arial" w:hint="eastAsia"/>
          <w:sz w:val="24"/>
          <w:szCs w:val="24"/>
        </w:rPr>
        <w:t>基金管理人按照《基金法》、《运作办法》、《销售办法》、基金合同及其他有关规定募集本基金，并于</w:t>
      </w:r>
      <w:r>
        <w:rPr>
          <w:rFonts w:ascii="宋体" w:eastAsia="宋体" w:hAnsi="宋体" w:cs="Arial"/>
          <w:sz w:val="24"/>
          <w:szCs w:val="24"/>
        </w:rPr>
        <w:t>2021</w:t>
      </w:r>
      <w:r>
        <w:rPr>
          <w:rFonts w:ascii="宋体" w:eastAsia="宋体" w:hAnsi="宋体" w:cs="Arial" w:hint="eastAsia"/>
          <w:sz w:val="24"/>
          <w:szCs w:val="24"/>
        </w:rPr>
        <w:t>年</w:t>
      </w:r>
      <w:r>
        <w:rPr>
          <w:rFonts w:ascii="宋体" w:eastAsia="宋体" w:hAnsi="宋体" w:cs="Arial"/>
          <w:sz w:val="24"/>
          <w:szCs w:val="24"/>
        </w:rPr>
        <w:t>5</w:t>
      </w:r>
      <w:r>
        <w:rPr>
          <w:rFonts w:ascii="宋体" w:eastAsia="宋体" w:hAnsi="宋体" w:cs="Arial" w:hint="eastAsia"/>
          <w:sz w:val="24"/>
          <w:szCs w:val="24"/>
        </w:rPr>
        <w:t>月</w:t>
      </w:r>
      <w:r>
        <w:rPr>
          <w:rFonts w:ascii="宋体" w:eastAsia="宋体" w:hAnsi="宋体" w:cs="Arial"/>
          <w:sz w:val="24"/>
          <w:szCs w:val="24"/>
        </w:rPr>
        <w:t>20</w:t>
      </w:r>
      <w:r>
        <w:rPr>
          <w:rFonts w:ascii="宋体" w:eastAsia="宋体" w:hAnsi="宋体" w:cs="Arial" w:hint="eastAsia"/>
          <w:sz w:val="24"/>
          <w:szCs w:val="24"/>
        </w:rPr>
        <w:t>日</w:t>
      </w:r>
      <w:r>
        <w:rPr>
          <w:rFonts w:ascii="宋体" w:eastAsia="宋体" w:hAnsi="宋体" w:cs="Arial" w:hint="eastAsia"/>
          <w:kern w:val="0"/>
          <w:sz w:val="24"/>
          <w:szCs w:val="24"/>
        </w:rPr>
        <w:t>经中国证监会（证监许可[2021]1738号文）</w:t>
      </w:r>
      <w:r>
        <w:rPr>
          <w:rFonts w:ascii="宋体" w:eastAsia="宋体" w:hAnsi="宋体" w:cs="Arial" w:hint="eastAsia"/>
          <w:sz w:val="24"/>
          <w:szCs w:val="24"/>
        </w:rPr>
        <w:t>准予注册募集。本基金于20</w:t>
      </w:r>
      <w:r>
        <w:rPr>
          <w:rFonts w:ascii="宋体" w:eastAsia="宋体" w:hAnsi="宋体" w:cs="Arial"/>
          <w:sz w:val="24"/>
          <w:szCs w:val="24"/>
        </w:rPr>
        <w:t>21</w:t>
      </w:r>
      <w:r>
        <w:rPr>
          <w:rFonts w:ascii="宋体" w:eastAsia="宋体" w:hAnsi="宋体" w:cs="Arial" w:hint="eastAsia"/>
          <w:sz w:val="24"/>
          <w:szCs w:val="24"/>
        </w:rPr>
        <w:t>年</w:t>
      </w:r>
      <w:r>
        <w:rPr>
          <w:rFonts w:ascii="宋体" w:eastAsia="宋体" w:hAnsi="宋体" w:cs="Arial"/>
          <w:sz w:val="24"/>
          <w:szCs w:val="24"/>
        </w:rPr>
        <w:t>6</w:t>
      </w:r>
      <w:r>
        <w:rPr>
          <w:rFonts w:ascii="宋体" w:eastAsia="宋体" w:hAnsi="宋体" w:cs="Arial" w:hint="eastAsia"/>
          <w:sz w:val="24"/>
          <w:szCs w:val="24"/>
        </w:rPr>
        <w:t>月15日起通过各销售机构向社会公开募集，截至20</w:t>
      </w:r>
      <w:r>
        <w:rPr>
          <w:rFonts w:ascii="宋体" w:eastAsia="宋体" w:hAnsi="宋体" w:cs="Arial"/>
          <w:sz w:val="24"/>
          <w:szCs w:val="24"/>
        </w:rPr>
        <w:t>21</w:t>
      </w:r>
      <w:r>
        <w:rPr>
          <w:rFonts w:ascii="宋体" w:eastAsia="宋体" w:hAnsi="宋体" w:cs="Arial" w:hint="eastAsia"/>
          <w:sz w:val="24"/>
          <w:szCs w:val="24"/>
        </w:rPr>
        <w:t>年</w:t>
      </w:r>
      <w:r>
        <w:rPr>
          <w:rFonts w:ascii="宋体" w:eastAsia="宋体" w:hAnsi="宋体" w:cs="Arial"/>
          <w:sz w:val="24"/>
          <w:szCs w:val="24"/>
        </w:rPr>
        <w:t>6</w:t>
      </w:r>
      <w:r>
        <w:rPr>
          <w:rFonts w:ascii="宋体" w:eastAsia="宋体" w:hAnsi="宋体" w:cs="Arial" w:hint="eastAsia"/>
          <w:sz w:val="24"/>
          <w:szCs w:val="24"/>
        </w:rPr>
        <w:t>月</w:t>
      </w:r>
      <w:r>
        <w:rPr>
          <w:rFonts w:ascii="宋体" w:eastAsia="宋体" w:hAnsi="宋体" w:cs="Arial"/>
          <w:sz w:val="24"/>
          <w:szCs w:val="24"/>
        </w:rPr>
        <w:t>16</w:t>
      </w:r>
      <w:r>
        <w:rPr>
          <w:rFonts w:ascii="宋体" w:eastAsia="宋体" w:hAnsi="宋体" w:cs="Arial" w:hint="eastAsia"/>
          <w:sz w:val="24"/>
          <w:szCs w:val="24"/>
        </w:rPr>
        <w:t>日，基金募集工作已顺利结束。</w:t>
      </w:r>
    </w:p>
    <w:p w14:paraId="579E219A" w14:textId="77777777" w:rsidR="0069510E" w:rsidRDefault="0069510E">
      <w:pPr>
        <w:keepNext/>
        <w:keepLines/>
        <w:spacing w:line="360" w:lineRule="auto"/>
        <w:jc w:val="center"/>
        <w:outlineLvl w:val="0"/>
        <w:rPr>
          <w:rFonts w:ascii="Times New Roman" w:eastAsia="宋体" w:hAnsi="Times New Roman" w:cs="Times New Roman"/>
          <w:b/>
          <w:kern w:val="0"/>
          <w:sz w:val="24"/>
          <w:szCs w:val="24"/>
        </w:rPr>
        <w:sectPr w:rsidR="0069510E">
          <w:headerReference w:type="even" r:id="rId41"/>
          <w:headerReference w:type="default" r:id="rId42"/>
          <w:footerReference w:type="default" r:id="rId43"/>
          <w:headerReference w:type="first" r:id="rId44"/>
          <w:pgSz w:w="11906" w:h="16838"/>
          <w:pgMar w:top="1440" w:right="1800" w:bottom="1440" w:left="1800" w:header="851" w:footer="992" w:gutter="0"/>
          <w:pgNumType w:chapStyle="1"/>
          <w:cols w:space="720"/>
          <w:docGrid w:type="lines" w:linePitch="312"/>
        </w:sectPr>
      </w:pPr>
    </w:p>
    <w:p w14:paraId="687BEBAE" w14:textId="77777777" w:rsidR="0069510E" w:rsidRDefault="00000000">
      <w:pPr>
        <w:pStyle w:val="1"/>
        <w:jc w:val="center"/>
        <w:rPr>
          <w:sz w:val="30"/>
          <w:szCs w:val="30"/>
        </w:rPr>
      </w:pPr>
      <w:bookmarkStart w:id="164" w:name="_Toc136963807"/>
      <w:bookmarkStart w:id="165" w:name="_Toc68266294"/>
      <w:r>
        <w:rPr>
          <w:rFonts w:hint="eastAsia"/>
          <w:sz w:val="30"/>
          <w:szCs w:val="30"/>
        </w:rPr>
        <w:lastRenderedPageBreak/>
        <w:t>第七部分</w:t>
      </w:r>
      <w:r>
        <w:rPr>
          <w:sz w:val="30"/>
          <w:szCs w:val="30"/>
        </w:rPr>
        <w:t xml:space="preserve">  </w:t>
      </w:r>
      <w:r>
        <w:rPr>
          <w:rFonts w:hint="eastAsia"/>
          <w:sz w:val="30"/>
          <w:szCs w:val="30"/>
        </w:rPr>
        <w:t>基金</w:t>
      </w:r>
      <w:bookmarkEnd w:id="142"/>
      <w:bookmarkEnd w:id="143"/>
      <w:r>
        <w:rPr>
          <w:rFonts w:hint="eastAsia"/>
          <w:sz w:val="30"/>
          <w:szCs w:val="30"/>
        </w:rPr>
        <w:t>合同的生效</w:t>
      </w:r>
      <w:bookmarkEnd w:id="144"/>
      <w:bookmarkEnd w:id="164"/>
      <w:bookmarkEnd w:id="165"/>
    </w:p>
    <w:p w14:paraId="750D7123" w14:textId="77777777" w:rsidR="0069510E" w:rsidRDefault="00000000">
      <w:pPr>
        <w:adjustRightInd w:val="0"/>
        <w:snapToGrid w:val="0"/>
        <w:spacing w:line="360" w:lineRule="auto"/>
        <w:ind w:firstLineChars="200" w:firstLine="480"/>
        <w:jc w:val="left"/>
        <w:rPr>
          <w:rFonts w:ascii="宋体" w:eastAsia="宋体" w:hAnsi="宋体" w:cs="Times New Roman"/>
          <w:bCs/>
          <w:sz w:val="24"/>
          <w:szCs w:val="21"/>
        </w:rPr>
      </w:pPr>
      <w:r>
        <w:rPr>
          <w:rFonts w:ascii="宋体" w:eastAsia="宋体" w:hAnsi="宋体" w:cs="Times New Roman" w:hint="eastAsia"/>
          <w:bCs/>
          <w:sz w:val="24"/>
          <w:szCs w:val="21"/>
        </w:rPr>
        <w:t>根据《基金法》、《运作办法》以及基金合同、招募说明书、基金份额发售公告的有关规定，本基金募集结果符合有关条件，本基金管理人于20</w:t>
      </w:r>
      <w:r>
        <w:rPr>
          <w:rFonts w:ascii="宋体" w:eastAsia="宋体" w:hAnsi="宋体" w:cs="Times New Roman"/>
          <w:bCs/>
          <w:sz w:val="24"/>
          <w:szCs w:val="21"/>
        </w:rPr>
        <w:t>21</w:t>
      </w:r>
      <w:r>
        <w:rPr>
          <w:rFonts w:ascii="宋体" w:eastAsia="宋体" w:hAnsi="宋体" w:cs="Times New Roman" w:hint="eastAsia"/>
          <w:bCs/>
          <w:sz w:val="24"/>
          <w:szCs w:val="21"/>
        </w:rPr>
        <w:t>年</w:t>
      </w:r>
      <w:r>
        <w:rPr>
          <w:rFonts w:ascii="宋体" w:eastAsia="宋体" w:hAnsi="宋体" w:cs="Times New Roman"/>
          <w:bCs/>
          <w:sz w:val="24"/>
          <w:szCs w:val="21"/>
        </w:rPr>
        <w:t>6</w:t>
      </w:r>
      <w:r>
        <w:rPr>
          <w:rFonts w:ascii="宋体" w:eastAsia="宋体" w:hAnsi="宋体" w:cs="Times New Roman" w:hint="eastAsia"/>
          <w:bCs/>
          <w:sz w:val="24"/>
          <w:szCs w:val="21"/>
        </w:rPr>
        <w:t>月</w:t>
      </w:r>
      <w:r>
        <w:rPr>
          <w:rFonts w:ascii="宋体" w:eastAsia="宋体" w:hAnsi="宋体" w:cs="Times New Roman"/>
          <w:bCs/>
          <w:sz w:val="24"/>
          <w:szCs w:val="21"/>
        </w:rPr>
        <w:t>18</w:t>
      </w:r>
      <w:r>
        <w:rPr>
          <w:rFonts w:ascii="宋体" w:eastAsia="宋体" w:hAnsi="宋体" w:cs="Times New Roman" w:hint="eastAsia"/>
          <w:bCs/>
          <w:sz w:val="24"/>
          <w:szCs w:val="21"/>
        </w:rPr>
        <w:t>日向中国证监会办理完毕基金备案手续并已获书面确认，基金合同自该日期正式生效。自基金合同生效之日起，本基金管理人正式开始管理本基金。</w:t>
      </w:r>
    </w:p>
    <w:p w14:paraId="1FBA4061" w14:textId="77777777" w:rsidR="0069510E" w:rsidRDefault="00000000">
      <w:pPr>
        <w:adjustRightInd w:val="0"/>
        <w:snapToGrid w:val="0"/>
        <w:spacing w:line="360" w:lineRule="auto"/>
        <w:ind w:firstLineChars="200" w:firstLine="480"/>
        <w:jc w:val="left"/>
        <w:rPr>
          <w:rFonts w:asciiTheme="minorEastAsia" w:hAnsiTheme="minorEastAsia" w:cs="Times New Roman"/>
          <w:sz w:val="24"/>
          <w:szCs w:val="24"/>
        </w:rPr>
      </w:pPr>
      <w:r>
        <w:rPr>
          <w:rFonts w:asciiTheme="minorEastAsia" w:hAnsiTheme="minorEastAsia" w:cs="Times New Roman" w:hint="eastAsia"/>
          <w:sz w:val="24"/>
          <w:szCs w:val="24"/>
        </w:rPr>
        <w:t>《基金合同》生效后，连续</w:t>
      </w:r>
      <w:r>
        <w:rPr>
          <w:rFonts w:asciiTheme="minorEastAsia" w:hAnsiTheme="minorEastAsia" w:cs="Times New Roman"/>
          <w:sz w:val="24"/>
          <w:szCs w:val="24"/>
        </w:rPr>
        <w:t>20个工作日出现基金份额持有人数量不满200人或者基金资产净值低于5000万元情形的，基金管理人应当在定期报告中予以披露；连续60个工作日出现前述情形的，基金管理人应</w:t>
      </w:r>
      <w:r>
        <w:rPr>
          <w:rFonts w:asciiTheme="minorEastAsia" w:hAnsiTheme="minorEastAsia" w:cs="Times New Roman" w:hint="eastAsia"/>
          <w:sz w:val="24"/>
          <w:szCs w:val="24"/>
        </w:rPr>
        <w:t>在当</w:t>
      </w:r>
      <w:r>
        <w:rPr>
          <w:rFonts w:asciiTheme="minorEastAsia" w:hAnsiTheme="minorEastAsia" w:cs="Times New Roman"/>
          <w:sz w:val="24"/>
          <w:szCs w:val="24"/>
        </w:rPr>
        <w:t>10个工作日内向中国证监会报告并提出解决方案，如持续运作、转换运作方式、与其他基金合并或者终止基金合同等，并</w:t>
      </w:r>
      <w:r>
        <w:rPr>
          <w:rFonts w:asciiTheme="minorEastAsia" w:hAnsiTheme="minorEastAsia" w:cs="Times New Roman" w:hint="eastAsia"/>
          <w:sz w:val="24"/>
          <w:szCs w:val="24"/>
        </w:rPr>
        <w:t>在</w:t>
      </w:r>
      <w:r>
        <w:rPr>
          <w:rFonts w:asciiTheme="minorEastAsia" w:hAnsiTheme="minorEastAsia" w:cs="Times New Roman"/>
          <w:sz w:val="24"/>
          <w:szCs w:val="24"/>
        </w:rPr>
        <w:t>6个月内召</w:t>
      </w:r>
      <w:r>
        <w:rPr>
          <w:rFonts w:asciiTheme="minorEastAsia" w:hAnsiTheme="minorEastAsia" w:cs="Times New Roman" w:hint="eastAsia"/>
          <w:sz w:val="24"/>
          <w:szCs w:val="24"/>
        </w:rPr>
        <w:t>集基金份额持有人大会。</w:t>
      </w:r>
    </w:p>
    <w:p w14:paraId="47449C09" w14:textId="77777777" w:rsidR="0069510E" w:rsidRDefault="00000000">
      <w:pPr>
        <w:widowControl/>
        <w:spacing w:line="360" w:lineRule="auto"/>
        <w:ind w:firstLineChars="200" w:firstLine="480"/>
        <w:jc w:val="left"/>
        <w:rPr>
          <w:rFonts w:ascii="Arial" w:eastAsia="宋体" w:hAnsi="Arial" w:cs="Times New Roman"/>
          <w:szCs w:val="20"/>
        </w:rPr>
        <w:sectPr w:rsidR="0069510E">
          <w:headerReference w:type="even" r:id="rId45"/>
          <w:headerReference w:type="default" r:id="rId46"/>
          <w:footerReference w:type="default" r:id="rId47"/>
          <w:headerReference w:type="first" r:id="rId48"/>
          <w:pgSz w:w="11906" w:h="16838"/>
          <w:pgMar w:top="1440" w:right="1800" w:bottom="1440" w:left="1800" w:header="851" w:footer="992" w:gutter="0"/>
          <w:pgNumType w:chapStyle="1"/>
          <w:cols w:space="720"/>
          <w:docGrid w:type="lines" w:linePitch="312"/>
        </w:sectPr>
      </w:pPr>
      <w:r>
        <w:rPr>
          <w:rFonts w:asciiTheme="minorEastAsia" w:hAnsiTheme="minorEastAsia" w:cs="Times New Roman" w:hint="eastAsia"/>
          <w:sz w:val="24"/>
          <w:szCs w:val="24"/>
        </w:rPr>
        <w:t>法律法规或中国证监会另有规定时，从其规定。</w:t>
      </w:r>
      <w:r>
        <w:rPr>
          <w:rFonts w:asciiTheme="minorEastAsia" w:hAnsiTheme="minorEastAsia" w:cs="Times New Roman"/>
          <w:sz w:val="24"/>
          <w:szCs w:val="24"/>
        </w:rPr>
        <w:t xml:space="preserve"> </w:t>
      </w:r>
      <w:bookmarkStart w:id="166" w:name="_Toc214873597"/>
      <w:bookmarkStart w:id="167" w:name="_Toc416264544"/>
      <w:bookmarkStart w:id="168" w:name="_Toc147463118"/>
      <w:bookmarkStart w:id="169" w:name="_Toc21073391"/>
      <w:bookmarkStart w:id="170" w:name="_Toc12357171"/>
      <w:bookmarkStart w:id="171" w:name="_Toc263092316"/>
      <w:bookmarkStart w:id="172" w:name="_Toc141703889"/>
      <w:bookmarkStart w:id="173" w:name="_Toc98560355"/>
      <w:bookmarkStart w:id="174" w:name="_Toc123102456"/>
      <w:bookmarkStart w:id="175" w:name="_Toc352229755"/>
      <w:bookmarkStart w:id="176" w:name="_Toc725"/>
      <w:bookmarkStart w:id="177" w:name="_Toc123112237"/>
      <w:bookmarkStart w:id="178" w:name="_Toc18206"/>
      <w:bookmarkStart w:id="179" w:name="_Toc3963"/>
      <w:bookmarkStart w:id="180" w:name="_Toc139991739"/>
      <w:bookmarkStart w:id="181" w:name="_Toc31821"/>
      <w:bookmarkStart w:id="182" w:name="_Toc1745"/>
      <w:bookmarkStart w:id="183" w:name="_Toc16164"/>
      <w:bookmarkStart w:id="184" w:name="_Toc123051455"/>
      <w:bookmarkStart w:id="185" w:name="_Toc3572"/>
      <w:bookmarkStart w:id="186" w:name="_Toc3080"/>
      <w:bookmarkStart w:id="187" w:name="_Toc21735"/>
      <w:bookmarkStart w:id="188" w:name="_Toc10398"/>
      <w:bookmarkStart w:id="189" w:name="_Toc18769"/>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p>
    <w:p w14:paraId="2E22D418" w14:textId="77777777" w:rsidR="0069510E" w:rsidRDefault="00000000">
      <w:pPr>
        <w:pStyle w:val="1"/>
        <w:jc w:val="center"/>
        <w:rPr>
          <w:rFonts w:ascii="Arial" w:hAnsi="Arial" w:cs="Arial"/>
          <w:bCs/>
          <w:sz w:val="30"/>
          <w:szCs w:val="30"/>
        </w:rPr>
      </w:pPr>
      <w:bookmarkStart w:id="190" w:name="_Toc68266295"/>
      <w:bookmarkStart w:id="191" w:name="_Toc136963808"/>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66"/>
      <w:bookmarkEnd w:id="167"/>
      <w:bookmarkEnd w:id="168"/>
      <w:bookmarkEnd w:id="169"/>
      <w:bookmarkEnd w:id="170"/>
      <w:bookmarkEnd w:id="171"/>
      <w:bookmarkEnd w:id="190"/>
      <w:bookmarkEnd w:id="191"/>
    </w:p>
    <w:p w14:paraId="092F79DC" w14:textId="77777777" w:rsidR="0069510E" w:rsidRDefault="00000000">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7D6297ED"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申购与赎回将通过销售机构进行。具体的销售网点将由基金管理人在招募说明书或基金管理人网站列明。基金管理人可根据情况变更或增减销售机构，并在基金管理人网站公示。基金投资者应当在销售机构办理基金销售业务的营业场所或按销售机构提供的其他方式办理基金份额的申购与赎回。</w:t>
      </w:r>
    </w:p>
    <w:p w14:paraId="4A6B6957" w14:textId="77777777" w:rsidR="0069510E" w:rsidRDefault="00000000">
      <w:pPr>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15B50D65" w14:textId="77777777" w:rsidR="0069510E"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1、开放日及开放时间</w:t>
      </w:r>
    </w:p>
    <w:p w14:paraId="5DCF868D" w14:textId="77777777" w:rsidR="0069510E"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7D69A529" w14:textId="77777777" w:rsidR="0069510E"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基金合同生效后，若出现新的证券</w:t>
      </w:r>
      <w:r>
        <w:rPr>
          <w:rFonts w:asciiTheme="minorEastAsia" w:hAnsiTheme="minorEastAsia" w:cs="Arial"/>
          <w:sz w:val="24"/>
          <w:szCs w:val="24"/>
        </w:rPr>
        <w:t>/期货</w:t>
      </w:r>
      <w:r>
        <w:rPr>
          <w:rFonts w:asciiTheme="minorEastAsia" w:hAnsiTheme="minorEastAsia" w:cs="Arial" w:hint="eastAsia"/>
          <w:sz w:val="24"/>
          <w:szCs w:val="24"/>
        </w:rPr>
        <w:t>交易市场、证券</w:t>
      </w:r>
      <w:r>
        <w:rPr>
          <w:rFonts w:asciiTheme="minorEastAsia" w:hAnsiTheme="minorEastAsia" w:cs="Arial"/>
          <w:sz w:val="24"/>
          <w:szCs w:val="24"/>
        </w:rPr>
        <w:t>/期货</w:t>
      </w:r>
      <w:r>
        <w:rPr>
          <w:rFonts w:asciiTheme="minorEastAsia" w:hAnsiTheme="minorEastAsia" w:cs="Arial" w:hint="eastAsia"/>
          <w:sz w:val="24"/>
          <w:szCs w:val="24"/>
        </w:rPr>
        <w:t>交易所交易时间变更或其他特殊情况，基金管理人将视情况对前述开放日及开放时间进行相应的调整，但应在实施日前依照《信息披露办法》的有关规定在规定媒介上公告。</w:t>
      </w:r>
    </w:p>
    <w:p w14:paraId="58F22335" w14:textId="77777777" w:rsidR="0069510E"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2、申购、赎回开始日及业务办理时间</w:t>
      </w:r>
    </w:p>
    <w:p w14:paraId="5C3D9845" w14:textId="77777777" w:rsidR="0069510E"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w:t>
      </w:r>
      <w:r>
        <w:rPr>
          <w:rFonts w:asciiTheme="minorEastAsia" w:hAnsiTheme="minorEastAsia" w:cs="Arial"/>
          <w:sz w:val="24"/>
          <w:szCs w:val="24"/>
        </w:rPr>
        <w:t>2021</w:t>
      </w:r>
      <w:r>
        <w:rPr>
          <w:rFonts w:asciiTheme="minorEastAsia" w:hAnsiTheme="minorEastAsia" w:cs="Arial" w:hint="eastAsia"/>
          <w:sz w:val="24"/>
          <w:szCs w:val="24"/>
        </w:rPr>
        <w:t>年</w:t>
      </w:r>
      <w:r>
        <w:rPr>
          <w:rFonts w:asciiTheme="minorEastAsia" w:hAnsiTheme="minorEastAsia" w:cs="Arial"/>
          <w:sz w:val="24"/>
          <w:szCs w:val="24"/>
        </w:rPr>
        <w:t>7</w:t>
      </w:r>
      <w:r>
        <w:rPr>
          <w:rFonts w:asciiTheme="minorEastAsia" w:hAnsiTheme="minorEastAsia" w:cs="Arial" w:hint="eastAsia"/>
          <w:sz w:val="24"/>
          <w:szCs w:val="24"/>
        </w:rPr>
        <w:t>月</w:t>
      </w:r>
      <w:r>
        <w:rPr>
          <w:rFonts w:asciiTheme="minorEastAsia" w:hAnsiTheme="minorEastAsia" w:cs="Arial"/>
          <w:sz w:val="24"/>
          <w:szCs w:val="24"/>
        </w:rPr>
        <w:t>19</w:t>
      </w:r>
      <w:r>
        <w:rPr>
          <w:rFonts w:asciiTheme="minorEastAsia" w:hAnsiTheme="minorEastAsia" w:cs="Arial" w:hint="eastAsia"/>
          <w:sz w:val="24"/>
          <w:szCs w:val="24"/>
        </w:rPr>
        <w:t>日开始办理申购、赎回业务。</w:t>
      </w:r>
    </w:p>
    <w:p w14:paraId="42077E1C" w14:textId="77777777" w:rsidR="0069510E"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Theme="minorEastAsia" w:hAnsiTheme="minorEastAsia" w:cs="Arial" w:hint="eastAsia"/>
          <w:sz w:val="24"/>
          <w:szCs w:val="24"/>
        </w:rPr>
        <w:t>且登记</w:t>
      </w:r>
      <w:proofErr w:type="gramEnd"/>
      <w:r>
        <w:rPr>
          <w:rFonts w:asciiTheme="minorEastAsia" w:hAnsiTheme="minorEastAsia" w:cs="Arial" w:hint="eastAsia"/>
          <w:sz w:val="24"/>
          <w:szCs w:val="24"/>
        </w:rPr>
        <w:t>机构确认接受的，其基金份额申购、赎回价格为下一开放日该类基金份额申购、赎回的价格。</w:t>
      </w:r>
    </w:p>
    <w:p w14:paraId="347DD95B" w14:textId="77777777" w:rsidR="0069510E" w:rsidRDefault="00000000">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5B084216" w14:textId="77777777" w:rsidR="0069510E"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1、“未知价”原则，即申购、赎回价格以申请当日收市后计算的该类基金份额净值为基准进行计算；</w:t>
      </w:r>
    </w:p>
    <w:p w14:paraId="66DC3183" w14:textId="77777777" w:rsidR="0069510E"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2、“金额申购、份额赎回”原则，即申购以金额申请，赎回以份额申请；</w:t>
      </w:r>
    </w:p>
    <w:p w14:paraId="28646188" w14:textId="77777777" w:rsidR="0069510E"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3、当日的申购与赎回申请可以在基金管理人规定的时间以内撤销；</w:t>
      </w:r>
    </w:p>
    <w:p w14:paraId="2DFE6A4F" w14:textId="77777777" w:rsidR="0069510E"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4、赎回遵循“先进先出”原则，即按照投资人认购、申购的先后次序进行顺序赎回</w:t>
      </w:r>
      <w:r>
        <w:rPr>
          <w:rFonts w:asciiTheme="minorEastAsia" w:hAnsiTheme="minorEastAsia" w:cs="Arial" w:hint="eastAsia"/>
          <w:sz w:val="24"/>
          <w:szCs w:val="24"/>
        </w:rPr>
        <w:t>；</w:t>
      </w:r>
    </w:p>
    <w:p w14:paraId="1441329E" w14:textId="77777777" w:rsidR="0069510E"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5、办理申购、赎回业务时，应当遵循基金份额持有人利益优先原则，确保投资者的合法权益不受损害并得到公平对待。</w:t>
      </w:r>
    </w:p>
    <w:p w14:paraId="243F89AD" w14:textId="77777777" w:rsidR="0069510E"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基金管理人可在法律法规允许的情况下，对上述原则进行调整。基金管理人必须在新规则开始实施前依照《信息披露办法》的有关规定在规定媒介上公告。</w:t>
      </w:r>
    </w:p>
    <w:p w14:paraId="3491871E" w14:textId="77777777" w:rsidR="0069510E" w:rsidRDefault="00000000">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4DF9587F" w14:textId="77777777" w:rsidR="0069510E"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1、申购和赎回的申请方式</w:t>
      </w:r>
    </w:p>
    <w:p w14:paraId="71C4EEBA" w14:textId="77777777" w:rsidR="0069510E"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2B0759AC" w14:textId="77777777" w:rsidR="0069510E"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2、申购和赎回的款项支付</w:t>
      </w:r>
    </w:p>
    <w:p w14:paraId="5407D7F3" w14:textId="77777777" w:rsidR="0069510E"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申购基金份额时，必须在规定的时间内全额交付申购款项，投资人在规定的时间内全额交付申购款项，申购成立；基金份额登记机构确认基金份额时，申购生效。基金份额持有人递交赎回申请，赎回成立；基金份额登记机构确认赎回时，赎回生效。</w:t>
      </w:r>
    </w:p>
    <w:p w14:paraId="4BF47585" w14:textId="77777777" w:rsidR="0069510E"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w:t>
      </w:r>
      <w:r>
        <w:rPr>
          <w:rFonts w:asciiTheme="minorEastAsia" w:hAnsiTheme="minorEastAsia" w:cs="Arial"/>
          <w:sz w:val="24"/>
          <w:szCs w:val="24"/>
        </w:rPr>
        <w:t>T日</w:t>
      </w:r>
      <w:r>
        <w:rPr>
          <w:rFonts w:asciiTheme="minorEastAsia" w:hAnsiTheme="minorEastAsia" w:cs="Arial" w:hint="eastAsia"/>
          <w:sz w:val="24"/>
          <w:szCs w:val="24"/>
        </w:rPr>
        <w:t>赎回申请生效后，基金管理人将在</w:t>
      </w:r>
      <w:r>
        <w:rPr>
          <w:rFonts w:asciiTheme="minorEastAsia" w:hAnsiTheme="minorEastAsia" w:cs="Arial"/>
          <w:sz w:val="24"/>
          <w:szCs w:val="24"/>
        </w:rPr>
        <w:t>T＋7日(包括该日)内支付赎回款项。在发生巨额赎回时或基金合同载明的延缓支付赎回款项的情形时，款项的支付办法参照基金合同有关条款处理。</w:t>
      </w:r>
    </w:p>
    <w:p w14:paraId="7C4D4CE6" w14:textId="77777777" w:rsidR="0069510E"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遇证券、期货交易所或交易市场数据传输延迟、通讯系统故障、银行数据交换系统故障或其它</w:t>
      </w:r>
      <w:proofErr w:type="gramStart"/>
      <w:r>
        <w:rPr>
          <w:rFonts w:asciiTheme="minorEastAsia" w:hAnsiTheme="minorEastAsia" w:cs="Arial" w:hint="eastAsia"/>
          <w:sz w:val="24"/>
          <w:szCs w:val="24"/>
        </w:rPr>
        <w:t>非基金</w:t>
      </w:r>
      <w:proofErr w:type="gramEnd"/>
      <w:r>
        <w:rPr>
          <w:rFonts w:asciiTheme="minorEastAsia" w:hAnsiTheme="minorEastAsia" w:cs="Arial" w:hint="eastAsia"/>
          <w:sz w:val="24"/>
          <w:szCs w:val="24"/>
        </w:rPr>
        <w:t>管理人及基金托管人所能控制的因素影响业务处理流程时，赎回款项顺延至前述影响因素消除的下一个工作日划出。</w:t>
      </w:r>
    </w:p>
    <w:p w14:paraId="3C8C0EBD" w14:textId="77777777" w:rsidR="0069510E" w:rsidRDefault="00000000">
      <w:pPr>
        <w:spacing w:line="360" w:lineRule="auto"/>
        <w:ind w:firstLineChars="200" w:firstLine="480"/>
        <w:rPr>
          <w:bCs/>
          <w:sz w:val="24"/>
        </w:rPr>
      </w:pPr>
      <w:r>
        <w:rPr>
          <w:rFonts w:hint="eastAsia"/>
          <w:bCs/>
          <w:sz w:val="24"/>
        </w:rPr>
        <w:t>基金管理人可以在法律法规和基金合同允许的范围内，对上述业务办理时间进行调整，基金管理人必须在调整实施前依照《信息披露办法》的有关规定在规定媒介上公告。</w:t>
      </w:r>
    </w:p>
    <w:p w14:paraId="641E33D0" w14:textId="77777777" w:rsidR="0069510E"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3、申购和赎回申请的确认</w:t>
      </w:r>
    </w:p>
    <w:p w14:paraId="75B69384" w14:textId="77777777" w:rsidR="0069510E"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(T日)，在正常情况下，本基金登记机构在T+1日内对该交易的有效性进行确认。T日提交的有效申请，投资人应在T+2日后(包括该日)及时到销售网点柜台或以销售机构规定的其他方式查询申请的确认情况。若申购不成</w:t>
      </w:r>
      <w:r>
        <w:rPr>
          <w:rFonts w:asciiTheme="minorEastAsia" w:hAnsiTheme="minorEastAsia" w:cs="Arial" w:hint="eastAsia"/>
          <w:sz w:val="24"/>
          <w:szCs w:val="24"/>
        </w:rPr>
        <w:t>立或无效，则申购款项本金退还给投资人。</w:t>
      </w:r>
    </w:p>
    <w:p w14:paraId="784630CD" w14:textId="77777777" w:rsidR="0069510E"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销售机构对申购、赎回申请的受理并不代表该申请一定成功，而仅代表销售机构确实接收到申购、赎回申请。申购、赎回申请的确认以基金份额登记机构的确认结果为准。对于申购、赎回申请的确认情况，投资人应及时查询并妥善行使合法权利。</w:t>
      </w:r>
    </w:p>
    <w:p w14:paraId="37CB206F" w14:textId="77777777" w:rsidR="0069510E"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基金管理人可以在法律法规允许的范围内，依法对上述申购和赎回申请的确认时间进行调整，并必须在调整实施日前按照《信息披露办法》的有关规定在规定媒介上公告。</w:t>
      </w:r>
    </w:p>
    <w:p w14:paraId="06A814D3" w14:textId="77777777" w:rsidR="0069510E" w:rsidRDefault="00000000">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五、申购与赎回的数量限制</w:t>
      </w:r>
    </w:p>
    <w:p w14:paraId="7933959A" w14:textId="77777777" w:rsidR="0069510E"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1、投资人申购 A 类基金份额，首次最低申购金额为人民币 1.00 元，追加申购单笔最低金额为人民币 1.00 元。投资人申购 C 类基金份额，首次最低申购金额为人民币1.00元，追加申购单笔最低金额为人民币 1.00元。各销售机构在不低于上述规定的前提下，可根据自己的情况调整首次最低申购金额和追加单笔最低申购金额限制，具体以销售机构公布的为准。</w:t>
      </w:r>
    </w:p>
    <w:p w14:paraId="4AFF2291" w14:textId="77777777" w:rsidR="0069510E" w:rsidRDefault="00000000">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2、基金份额持有人在销售机构赎回时，每个交易账户最低持有某一类别基金份额余额为 1份，若某笔赎回导致单个交易账户的某一类别基金份额余额少于 1份时，该类份额余额部分基金份额必须一同赎回。</w:t>
      </w:r>
    </w:p>
    <w:p w14:paraId="38DDE4A0" w14:textId="77777777" w:rsidR="0069510E" w:rsidRDefault="00000000">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3、基金管理人可以规定单个投资人累计持有的基金份额上限，具体规定请参见招募说明书或相关公告。</w:t>
      </w:r>
    </w:p>
    <w:p w14:paraId="3398A0B2" w14:textId="77777777" w:rsidR="0069510E" w:rsidRDefault="00000000">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w:t>
      </w:r>
      <w:proofErr w:type="gramStart"/>
      <w:r>
        <w:rPr>
          <w:rFonts w:asciiTheme="minorEastAsia" w:hAnsiTheme="minorEastAsia" w:cs="Arial" w:hint="eastAsia"/>
          <w:sz w:val="24"/>
          <w:szCs w:val="24"/>
        </w:rPr>
        <w:t>见基金</w:t>
      </w:r>
      <w:proofErr w:type="gramEnd"/>
      <w:r>
        <w:rPr>
          <w:rFonts w:asciiTheme="minorEastAsia" w:hAnsiTheme="minorEastAsia" w:cs="Arial" w:hint="eastAsia"/>
          <w:sz w:val="24"/>
          <w:szCs w:val="24"/>
        </w:rPr>
        <w:t>管理人相关公告。</w:t>
      </w:r>
    </w:p>
    <w:p w14:paraId="0159ACF3" w14:textId="77777777" w:rsidR="0069510E" w:rsidRDefault="00000000">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5、基金管理人可在法律法规允许的情况下，调整上述规定申购金额和赎回份额的数量限制。基金管理人必须在调整</w:t>
      </w:r>
      <w:r>
        <w:rPr>
          <w:rFonts w:asciiTheme="minorEastAsia" w:hAnsiTheme="minorEastAsia" w:cs="Arial" w:hint="eastAsia"/>
          <w:sz w:val="24"/>
          <w:szCs w:val="24"/>
        </w:rPr>
        <w:t>实施前依照《信息披露办法》的有关规定在规定媒介上公告。</w:t>
      </w:r>
    </w:p>
    <w:p w14:paraId="684CA969" w14:textId="77777777" w:rsidR="0069510E" w:rsidRDefault="00000000">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600C17C1" w14:textId="77777777" w:rsidR="0069510E" w:rsidRDefault="00000000">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4AF84105" w14:textId="77777777" w:rsidR="0069510E" w:rsidRDefault="00000000">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69510E" w14:paraId="1ABF99A9"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30E34AF6" w14:textId="77777777" w:rsidR="0069510E" w:rsidRDefault="00000000">
            <w:pPr>
              <w:widowControl/>
              <w:spacing w:line="264" w:lineRule="auto"/>
              <w:jc w:val="center"/>
              <w:rPr>
                <w:rFonts w:asciiTheme="minorEastAsia" w:hAnsiTheme="minorEastAsia" w:cs="Arial"/>
                <w:bCs/>
                <w:kern w:val="0"/>
                <w:sz w:val="24"/>
                <w:szCs w:val="24"/>
              </w:rPr>
            </w:pPr>
            <w:r>
              <w:rPr>
                <w:rFonts w:asciiTheme="minorEastAsia" w:hAnsiTheme="minorEastAsia" w:cs="Arial"/>
                <w:b/>
                <w:bCs/>
                <w:kern w:val="0"/>
                <w:sz w:val="24"/>
                <w:szCs w:val="24"/>
              </w:rPr>
              <w:t>A类基金份额</w:t>
            </w:r>
          </w:p>
        </w:tc>
      </w:tr>
      <w:tr w:rsidR="0069510E" w14:paraId="621582DA"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3769726" w14:textId="77777777" w:rsidR="0069510E"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w:t>
            </w:r>
            <w:r>
              <w:rPr>
                <w:rFonts w:asciiTheme="minorEastAsia" w:hAnsiTheme="minorEastAsia" w:cs="Arial"/>
                <w:bCs/>
                <w:kern w:val="0"/>
                <w:sz w:val="24"/>
                <w:szCs w:val="24"/>
              </w:rPr>
              <w:t>M）</w:t>
            </w:r>
          </w:p>
        </w:tc>
        <w:tc>
          <w:tcPr>
            <w:tcW w:w="4430" w:type="dxa"/>
            <w:tcBorders>
              <w:top w:val="single" w:sz="4" w:space="0" w:color="auto"/>
              <w:left w:val="single" w:sz="4" w:space="0" w:color="auto"/>
              <w:bottom w:val="single" w:sz="4" w:space="0" w:color="auto"/>
              <w:right w:val="single" w:sz="4" w:space="0" w:color="auto"/>
            </w:tcBorders>
          </w:tcPr>
          <w:p w14:paraId="379173D5" w14:textId="77777777" w:rsidR="0069510E"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69510E" w14:paraId="2C098F5A"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6E49C22E" w14:textId="77777777" w:rsidR="0069510E" w:rsidRDefault="00000000">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M＜100</w:t>
            </w:r>
            <w:r>
              <w:rPr>
                <w:rFonts w:asciiTheme="minorEastAsia" w:hAnsiTheme="minorEastAsia" w:cs="Arial" w:hint="eastAsia"/>
                <w:kern w:val="0"/>
                <w:sz w:val="24"/>
                <w:szCs w:val="24"/>
              </w:rPr>
              <w:t>万元</w:t>
            </w:r>
          </w:p>
        </w:tc>
        <w:tc>
          <w:tcPr>
            <w:tcW w:w="4430" w:type="dxa"/>
            <w:tcBorders>
              <w:top w:val="single" w:sz="4" w:space="0" w:color="auto"/>
              <w:left w:val="single" w:sz="4" w:space="0" w:color="auto"/>
              <w:bottom w:val="single" w:sz="4" w:space="0" w:color="auto"/>
              <w:right w:val="single" w:sz="4" w:space="0" w:color="auto"/>
            </w:tcBorders>
          </w:tcPr>
          <w:p w14:paraId="1EAB4883" w14:textId="77777777" w:rsidR="0069510E" w:rsidRDefault="00000000">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1.50%</w:t>
            </w:r>
          </w:p>
        </w:tc>
      </w:tr>
      <w:tr w:rsidR="0069510E" w14:paraId="21D16669"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05CD274C" w14:textId="77777777" w:rsidR="0069510E" w:rsidRDefault="00000000">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100万元≤M＜300万元</w:t>
            </w:r>
          </w:p>
        </w:tc>
        <w:tc>
          <w:tcPr>
            <w:tcW w:w="4430" w:type="dxa"/>
            <w:tcBorders>
              <w:top w:val="single" w:sz="4" w:space="0" w:color="auto"/>
              <w:left w:val="single" w:sz="4" w:space="0" w:color="auto"/>
              <w:bottom w:val="single" w:sz="4" w:space="0" w:color="auto"/>
              <w:right w:val="single" w:sz="4" w:space="0" w:color="auto"/>
            </w:tcBorders>
          </w:tcPr>
          <w:p w14:paraId="2A69398C" w14:textId="77777777" w:rsidR="0069510E" w:rsidRDefault="00000000">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1.00%</w:t>
            </w:r>
          </w:p>
        </w:tc>
      </w:tr>
      <w:tr w:rsidR="0069510E" w14:paraId="03FA34B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7952869C" w14:textId="77777777" w:rsidR="0069510E" w:rsidRDefault="00000000">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lastRenderedPageBreak/>
              <w:t>300万元≤M＜500万元</w:t>
            </w:r>
          </w:p>
        </w:tc>
        <w:tc>
          <w:tcPr>
            <w:tcW w:w="4430" w:type="dxa"/>
            <w:tcBorders>
              <w:top w:val="single" w:sz="4" w:space="0" w:color="auto"/>
              <w:left w:val="single" w:sz="4" w:space="0" w:color="auto"/>
              <w:bottom w:val="single" w:sz="4" w:space="0" w:color="auto"/>
              <w:right w:val="single" w:sz="4" w:space="0" w:color="auto"/>
            </w:tcBorders>
          </w:tcPr>
          <w:p w14:paraId="6E02FEE9" w14:textId="77777777" w:rsidR="0069510E" w:rsidRDefault="00000000">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0.60%</w:t>
            </w:r>
          </w:p>
        </w:tc>
      </w:tr>
      <w:tr w:rsidR="0069510E" w14:paraId="68DB6C45"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30C63FDB" w14:textId="77777777" w:rsidR="0069510E" w:rsidRDefault="00000000">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M≥500万元</w:t>
            </w:r>
          </w:p>
        </w:tc>
        <w:tc>
          <w:tcPr>
            <w:tcW w:w="4430" w:type="dxa"/>
            <w:tcBorders>
              <w:top w:val="single" w:sz="4" w:space="0" w:color="auto"/>
              <w:left w:val="single" w:sz="4" w:space="0" w:color="auto"/>
              <w:bottom w:val="single" w:sz="4" w:space="0" w:color="auto"/>
              <w:right w:val="single" w:sz="4" w:space="0" w:color="auto"/>
            </w:tcBorders>
          </w:tcPr>
          <w:p w14:paraId="408C7E70" w14:textId="77777777" w:rsidR="0069510E" w:rsidRDefault="00000000">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1000元/笔</w:t>
            </w:r>
          </w:p>
        </w:tc>
      </w:tr>
      <w:tr w:rsidR="0069510E" w14:paraId="4FBEF867"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44D58E40" w14:textId="77777777" w:rsidR="0069510E" w:rsidRDefault="00000000">
            <w:pPr>
              <w:widowControl/>
              <w:spacing w:line="264" w:lineRule="auto"/>
              <w:jc w:val="center"/>
              <w:rPr>
                <w:rFonts w:asciiTheme="minorEastAsia" w:hAnsiTheme="minorEastAsia" w:cs="Arial"/>
                <w:b/>
                <w:kern w:val="0"/>
                <w:sz w:val="24"/>
                <w:szCs w:val="24"/>
              </w:rPr>
            </w:pPr>
            <w:r>
              <w:rPr>
                <w:rFonts w:asciiTheme="minorEastAsia" w:hAnsiTheme="minorEastAsia" w:cs="Arial"/>
                <w:b/>
                <w:bCs/>
                <w:kern w:val="0"/>
                <w:sz w:val="24"/>
                <w:szCs w:val="24"/>
              </w:rPr>
              <w:t>C类基金份额</w:t>
            </w:r>
          </w:p>
        </w:tc>
      </w:tr>
      <w:tr w:rsidR="0069510E" w14:paraId="4A4D065D"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6C4C685F" w14:textId="77777777" w:rsidR="0069510E" w:rsidRDefault="00000000">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07F9EF63" w14:textId="77777777" w:rsidR="0069510E" w:rsidRDefault="0069510E">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1A615506" w14:textId="77777777" w:rsidR="0069510E" w:rsidRDefault="00000000">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A类基金份额</w:t>
      </w:r>
      <w:r>
        <w:rPr>
          <w:rFonts w:asciiTheme="minorEastAsia" w:hAnsiTheme="minorEastAsia" w:cs="Arial" w:hint="eastAsia"/>
          <w:sz w:val="24"/>
          <w:szCs w:val="24"/>
        </w:rPr>
        <w:t>的申购费用由申购</w:t>
      </w:r>
      <w:r>
        <w:rPr>
          <w:rFonts w:asciiTheme="minorEastAsia" w:hAnsiTheme="minorEastAsia" w:cs="Arial"/>
          <w:sz w:val="24"/>
          <w:szCs w:val="24"/>
        </w:rPr>
        <w:t>A类</w:t>
      </w:r>
      <w:r>
        <w:rPr>
          <w:rFonts w:asciiTheme="minorEastAsia" w:hAnsiTheme="minorEastAsia" w:cs="Arial" w:hint="eastAsia"/>
          <w:sz w:val="24"/>
          <w:szCs w:val="24"/>
        </w:rPr>
        <w:t>基金份额的投资人承担，不列入基金资产，用于基金的市场推广、销售、登记等各项费用。</w:t>
      </w:r>
      <w:r>
        <w:rPr>
          <w:rFonts w:asciiTheme="minorEastAsia" w:hAnsiTheme="minorEastAsia" w:cs="Arial"/>
          <w:bCs/>
          <w:sz w:val="24"/>
          <w:szCs w:val="24"/>
        </w:rPr>
        <w:t xml:space="preserve">C </w:t>
      </w:r>
      <w:r>
        <w:rPr>
          <w:rFonts w:asciiTheme="minorEastAsia" w:hAnsiTheme="minorEastAsia" w:cs="Arial" w:hint="eastAsia"/>
          <w:bCs/>
          <w:sz w:val="24"/>
          <w:szCs w:val="24"/>
        </w:rPr>
        <w:t>类基金份额不收取申购费用</w:t>
      </w:r>
      <w:r>
        <w:rPr>
          <w:rFonts w:asciiTheme="minorEastAsia" w:hAnsiTheme="minorEastAsia" w:cs="Arial"/>
          <w:bCs/>
          <w:sz w:val="24"/>
          <w:szCs w:val="24"/>
        </w:rPr>
        <w:t>。</w:t>
      </w:r>
    </w:p>
    <w:p w14:paraId="23079987"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75999B6B"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69510E" w14:paraId="4265F9E1"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0EC4DBC" w14:textId="77777777" w:rsidR="0069510E" w:rsidRDefault="00000000">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持有基金份额期限（</w:t>
            </w:r>
            <w:r>
              <w:rPr>
                <w:rFonts w:asciiTheme="minorEastAsia" w:hAnsiTheme="minorEastAsia" w:cs="Arial"/>
                <w:color w:val="000000"/>
                <w:sz w:val="24"/>
                <w:szCs w:val="24"/>
              </w:rPr>
              <w:t>Y）</w:t>
            </w:r>
          </w:p>
        </w:tc>
        <w:tc>
          <w:tcPr>
            <w:tcW w:w="2127" w:type="dxa"/>
            <w:tcBorders>
              <w:top w:val="single" w:sz="4" w:space="0" w:color="auto"/>
              <w:left w:val="single" w:sz="4" w:space="0" w:color="auto"/>
              <w:bottom w:val="single" w:sz="4" w:space="0" w:color="auto"/>
              <w:right w:val="single" w:sz="4" w:space="0" w:color="auto"/>
            </w:tcBorders>
          </w:tcPr>
          <w:p w14:paraId="246EF480" w14:textId="77777777" w:rsidR="0069510E" w:rsidRDefault="00000000">
            <w:pPr>
              <w:jc w:val="center"/>
              <w:rPr>
                <w:rFonts w:asciiTheme="minorEastAsia" w:hAnsiTheme="minorEastAsia" w:cs="Arial"/>
                <w:color w:val="000000"/>
                <w:sz w:val="24"/>
                <w:szCs w:val="24"/>
              </w:rPr>
            </w:pPr>
            <w:r>
              <w:rPr>
                <w:rFonts w:asciiTheme="minorEastAsia" w:hAnsiTheme="minorEastAsia" w:cs="Arial"/>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4FA685C0" w14:textId="77777777" w:rsidR="0069510E" w:rsidRDefault="00000000">
            <w:pPr>
              <w:jc w:val="center"/>
              <w:rPr>
                <w:rFonts w:asciiTheme="minorEastAsia" w:hAnsiTheme="minorEastAsia" w:cs="Arial"/>
                <w:color w:val="000000"/>
                <w:sz w:val="24"/>
                <w:szCs w:val="24"/>
              </w:rPr>
            </w:pPr>
            <w:r>
              <w:rPr>
                <w:rFonts w:asciiTheme="minorEastAsia" w:hAnsiTheme="minorEastAsia" w:cs="Arial"/>
                <w:color w:val="000000"/>
                <w:sz w:val="24"/>
                <w:szCs w:val="24"/>
              </w:rPr>
              <w:t>C类份额赎回费率</w:t>
            </w:r>
          </w:p>
        </w:tc>
      </w:tr>
      <w:tr w:rsidR="0069510E" w14:paraId="15A2CCBC"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5D30127D" w14:textId="77777777" w:rsidR="0069510E"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184238E1" w14:textId="77777777" w:rsidR="0069510E"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3F8CBFB1" w14:textId="77777777" w:rsidR="0069510E" w:rsidRDefault="00000000">
            <w:pPr>
              <w:jc w:val="center"/>
              <w:rPr>
                <w:rFonts w:asciiTheme="minorEastAsia" w:hAnsiTheme="minorEastAsia" w:cs="Arial"/>
                <w:bCs/>
                <w:kern w:val="0"/>
                <w:sz w:val="24"/>
                <w:szCs w:val="24"/>
              </w:rPr>
            </w:pPr>
            <w:r>
              <w:rPr>
                <w:rFonts w:asciiTheme="minorEastAsia" w:hAnsiTheme="minorEastAsia" w:cs="Arial"/>
                <w:bCs/>
                <w:kern w:val="0"/>
                <w:sz w:val="24"/>
                <w:szCs w:val="24"/>
              </w:rPr>
              <w:t>1.50%</w:t>
            </w:r>
          </w:p>
        </w:tc>
      </w:tr>
      <w:tr w:rsidR="0069510E" w14:paraId="6DA4CA51"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194FD33" w14:textId="77777777" w:rsidR="0069510E"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bCs/>
                <w:kern w:val="0"/>
                <w:sz w:val="24"/>
                <w:szCs w:val="24"/>
              </w:rPr>
              <w:t xml:space="preserve">7日 </w:t>
            </w:r>
            <w:r>
              <w:rPr>
                <w:rFonts w:asciiTheme="minorEastAsia" w:hAnsiTheme="minorEastAsia" w:cs="Arial" w:hint="eastAsia"/>
                <w:bCs/>
                <w:kern w:val="0"/>
                <w:sz w:val="24"/>
                <w:szCs w:val="24"/>
              </w:rPr>
              <w:t>≤</w:t>
            </w:r>
            <w:r>
              <w:rPr>
                <w:rFonts w:asciiTheme="minorEastAsia" w:hAnsiTheme="minorEastAsia" w:cs="Arial"/>
                <w:bCs/>
                <w:kern w:val="0"/>
                <w:sz w:val="24"/>
                <w:szCs w:val="24"/>
              </w:rPr>
              <w:t xml:space="preserve"> Y </w:t>
            </w:r>
            <w:r>
              <w:rPr>
                <w:rFonts w:asciiTheme="minorEastAsia" w:hAnsiTheme="minorEastAsia" w:cs="Arial" w:hint="eastAsia"/>
                <w:bCs/>
                <w:kern w:val="0"/>
                <w:sz w:val="24"/>
                <w:szCs w:val="24"/>
              </w:rPr>
              <w:t>＜</w:t>
            </w:r>
            <w:r>
              <w:rPr>
                <w:rFonts w:asciiTheme="minorEastAsia" w:hAnsiTheme="minorEastAsia" w:cs="Arial"/>
                <w:bCs/>
                <w:kern w:val="0"/>
                <w:sz w:val="24"/>
                <w:szCs w:val="24"/>
              </w:rPr>
              <w:t xml:space="preserve"> 30日</w:t>
            </w:r>
          </w:p>
        </w:tc>
        <w:tc>
          <w:tcPr>
            <w:tcW w:w="2127" w:type="dxa"/>
            <w:tcBorders>
              <w:top w:val="single" w:sz="4" w:space="0" w:color="auto"/>
              <w:left w:val="single" w:sz="4" w:space="0" w:color="auto"/>
              <w:bottom w:val="single" w:sz="4" w:space="0" w:color="auto"/>
              <w:right w:val="single" w:sz="4" w:space="0" w:color="auto"/>
            </w:tcBorders>
          </w:tcPr>
          <w:p w14:paraId="6BC24A24" w14:textId="77777777" w:rsidR="0069510E"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17A34543" w14:textId="77777777" w:rsidR="0069510E" w:rsidRDefault="00000000">
            <w:pPr>
              <w:jc w:val="center"/>
              <w:rPr>
                <w:rFonts w:asciiTheme="minorEastAsia" w:hAnsiTheme="minorEastAsia" w:cs="Arial"/>
                <w:bCs/>
                <w:kern w:val="0"/>
                <w:sz w:val="24"/>
                <w:szCs w:val="24"/>
              </w:rPr>
            </w:pPr>
            <w:r>
              <w:rPr>
                <w:rFonts w:asciiTheme="minorEastAsia" w:hAnsiTheme="minorEastAsia" w:cs="Arial"/>
                <w:bCs/>
                <w:kern w:val="0"/>
                <w:sz w:val="24"/>
                <w:szCs w:val="24"/>
              </w:rPr>
              <w:t>0.50%</w:t>
            </w:r>
          </w:p>
        </w:tc>
      </w:tr>
      <w:tr w:rsidR="0069510E" w14:paraId="1C9197F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65F2815B" w14:textId="77777777" w:rsidR="0069510E"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bCs/>
                <w:kern w:val="0"/>
                <w:sz w:val="24"/>
                <w:szCs w:val="24"/>
              </w:rPr>
              <w:t xml:space="preserve">30日 </w:t>
            </w:r>
            <w:r>
              <w:rPr>
                <w:rFonts w:asciiTheme="minorEastAsia" w:hAnsiTheme="minorEastAsia" w:cs="Arial" w:hint="eastAsia"/>
                <w:bCs/>
                <w:kern w:val="0"/>
                <w:sz w:val="24"/>
                <w:szCs w:val="24"/>
              </w:rPr>
              <w:t>≤</w:t>
            </w:r>
            <w:r>
              <w:rPr>
                <w:rFonts w:asciiTheme="minorEastAsia" w:hAnsiTheme="minorEastAsia" w:cs="Arial"/>
                <w:bCs/>
                <w:kern w:val="0"/>
                <w:sz w:val="24"/>
                <w:szCs w:val="24"/>
              </w:rPr>
              <w:t xml:space="preserve"> Y </w:t>
            </w:r>
            <w:r>
              <w:rPr>
                <w:rFonts w:asciiTheme="minorEastAsia" w:hAnsiTheme="minorEastAsia" w:cs="Arial" w:hint="eastAsia"/>
                <w:bCs/>
                <w:kern w:val="0"/>
                <w:sz w:val="24"/>
                <w:szCs w:val="24"/>
              </w:rPr>
              <w:t>＜</w:t>
            </w:r>
            <w:r>
              <w:rPr>
                <w:rFonts w:asciiTheme="minorEastAsia" w:hAnsiTheme="minorEastAsia" w:cs="Arial"/>
                <w:bCs/>
                <w:kern w:val="0"/>
                <w:sz w:val="24"/>
                <w:szCs w:val="24"/>
              </w:rPr>
              <w:t>180日</w:t>
            </w:r>
          </w:p>
        </w:tc>
        <w:tc>
          <w:tcPr>
            <w:tcW w:w="2127" w:type="dxa"/>
            <w:tcBorders>
              <w:top w:val="single" w:sz="4" w:space="0" w:color="auto"/>
              <w:left w:val="single" w:sz="4" w:space="0" w:color="auto"/>
              <w:bottom w:val="single" w:sz="4" w:space="0" w:color="auto"/>
              <w:right w:val="single" w:sz="4" w:space="0" w:color="auto"/>
            </w:tcBorders>
          </w:tcPr>
          <w:p w14:paraId="23596AAF" w14:textId="77777777" w:rsidR="0069510E"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385E8142" w14:textId="77777777" w:rsidR="0069510E" w:rsidRDefault="00000000">
            <w:pPr>
              <w:jc w:val="center"/>
              <w:rPr>
                <w:rFonts w:asciiTheme="minorEastAsia" w:hAnsiTheme="minorEastAsia" w:cs="Arial"/>
                <w:bCs/>
                <w:kern w:val="0"/>
                <w:sz w:val="24"/>
                <w:szCs w:val="24"/>
              </w:rPr>
            </w:pPr>
            <w:r>
              <w:rPr>
                <w:rFonts w:asciiTheme="minorEastAsia" w:hAnsiTheme="minorEastAsia" w:cs="Arial"/>
                <w:bCs/>
                <w:kern w:val="0"/>
                <w:sz w:val="24"/>
                <w:szCs w:val="24"/>
              </w:rPr>
              <w:t>0</w:t>
            </w:r>
          </w:p>
        </w:tc>
      </w:tr>
      <w:tr w:rsidR="0069510E" w14:paraId="673DD27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87FDA84" w14:textId="77777777" w:rsidR="0069510E"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bCs/>
                <w:kern w:val="0"/>
                <w:sz w:val="24"/>
                <w:szCs w:val="24"/>
              </w:rPr>
              <w:t>Y≥180日</w:t>
            </w:r>
          </w:p>
        </w:tc>
        <w:tc>
          <w:tcPr>
            <w:tcW w:w="2127" w:type="dxa"/>
            <w:tcBorders>
              <w:top w:val="single" w:sz="4" w:space="0" w:color="auto"/>
              <w:left w:val="single" w:sz="4" w:space="0" w:color="auto"/>
              <w:bottom w:val="single" w:sz="4" w:space="0" w:color="auto"/>
              <w:right w:val="single" w:sz="4" w:space="0" w:color="auto"/>
            </w:tcBorders>
          </w:tcPr>
          <w:p w14:paraId="7BEEB01F" w14:textId="77777777" w:rsidR="0069510E"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0EE7A1FB" w14:textId="77777777" w:rsidR="0069510E" w:rsidRDefault="00000000">
            <w:pPr>
              <w:jc w:val="center"/>
              <w:rPr>
                <w:rFonts w:asciiTheme="minorEastAsia" w:hAnsiTheme="minorEastAsia" w:cs="Arial"/>
                <w:bCs/>
                <w:kern w:val="0"/>
                <w:sz w:val="24"/>
                <w:szCs w:val="24"/>
              </w:rPr>
            </w:pPr>
            <w:r>
              <w:rPr>
                <w:rFonts w:asciiTheme="minorEastAsia" w:hAnsiTheme="minorEastAsia" w:cs="Arial"/>
                <w:bCs/>
                <w:kern w:val="0"/>
                <w:sz w:val="24"/>
                <w:szCs w:val="24"/>
              </w:rPr>
              <w:t>0</w:t>
            </w:r>
          </w:p>
        </w:tc>
      </w:tr>
    </w:tbl>
    <w:p w14:paraId="49BF95CA" w14:textId="77777777" w:rsidR="0069510E" w:rsidRDefault="0069510E">
      <w:pPr>
        <w:adjustRightInd w:val="0"/>
        <w:snapToGrid w:val="0"/>
        <w:spacing w:line="360" w:lineRule="auto"/>
        <w:rPr>
          <w:rFonts w:asciiTheme="minorEastAsia" w:hAnsiTheme="minorEastAsia" w:cs="Arial"/>
          <w:sz w:val="24"/>
          <w:szCs w:val="24"/>
        </w:rPr>
      </w:pPr>
    </w:p>
    <w:p w14:paraId="55E24491"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646D54E0"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w:t>
      </w:r>
      <w:r>
        <w:rPr>
          <w:rFonts w:asciiTheme="minorEastAsia" w:hAnsiTheme="minorEastAsia" w:cs="Arial"/>
          <w:sz w:val="24"/>
          <w:szCs w:val="24"/>
        </w:rPr>
        <w:t>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w:t>
      </w:r>
      <w:r>
        <w:rPr>
          <w:rFonts w:asciiTheme="minorEastAsia" w:hAnsiTheme="minorEastAsia" w:cs="Arial" w:hint="eastAsia"/>
          <w:sz w:val="24"/>
          <w:szCs w:val="24"/>
        </w:rPr>
        <w:t>产。上述未纳入基金财产的赎回费用于支付登记费和其他必要的手续费（注：</w:t>
      </w:r>
      <w:r>
        <w:rPr>
          <w:rFonts w:asciiTheme="minorEastAsia" w:hAnsiTheme="minorEastAsia" w:cs="Arial"/>
          <w:sz w:val="24"/>
          <w:szCs w:val="24"/>
        </w:rPr>
        <w:t>1个月按30日计算，3个月按90</w:t>
      </w:r>
      <w:r>
        <w:rPr>
          <w:rFonts w:asciiTheme="minorEastAsia" w:hAnsiTheme="minorEastAsia" w:cs="Arial" w:hint="eastAsia"/>
          <w:sz w:val="24"/>
          <w:szCs w:val="24"/>
        </w:rPr>
        <w:t>日计算，以此类推）。</w:t>
      </w:r>
    </w:p>
    <w:p w14:paraId="515E0C49"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、基金管理人可以在基金合同约定的范围内调整费率或收费方式，并最迟应于新的费率或收费方式实施日前依照《信息披露办法》的有关规定在规定媒介上公告。</w:t>
      </w:r>
    </w:p>
    <w:p w14:paraId="200A307A" w14:textId="77777777" w:rsidR="0069510E" w:rsidRDefault="00000000">
      <w:pPr>
        <w:snapToGrid w:val="0"/>
        <w:spacing w:line="360" w:lineRule="auto"/>
        <w:ind w:firstLineChars="200" w:firstLine="480"/>
        <w:rPr>
          <w:rFonts w:asciiTheme="minorEastAsia" w:hAnsiTheme="minorEastAsia" w:cs="Arial"/>
          <w:bCs/>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Arial" w:hint="eastAsia"/>
          <w:bCs/>
          <w:sz w:val="24"/>
          <w:szCs w:val="24"/>
        </w:rPr>
        <w:t>基金管理人可以在不违背法律法规规定、基金合同约定及基金持有人利益的情况下根据市场情况制定基金促销计划，定期和不定期地开展基金促销活动。在</w:t>
      </w:r>
      <w:r>
        <w:rPr>
          <w:rFonts w:asciiTheme="minorEastAsia" w:hAnsiTheme="minorEastAsia" w:cs="Arial" w:hint="eastAsia"/>
          <w:bCs/>
          <w:sz w:val="24"/>
          <w:szCs w:val="24"/>
        </w:rPr>
        <w:lastRenderedPageBreak/>
        <w:t>基金促销活动期间，基金管理人可以按中国证监会要求履行必要手续后，对基金投资者适当调低基金销售费用。</w:t>
      </w:r>
    </w:p>
    <w:p w14:paraId="41F277A3" w14:textId="77777777" w:rsidR="0069510E" w:rsidRDefault="00000000">
      <w:pPr>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0DE46E5A"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1、A类基金份额申购份额的计算方式：</w:t>
      </w:r>
    </w:p>
    <w:p w14:paraId="0F6A26C6"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1）当申购费用适用比例费率时，申购份额的计算公式如下：</w:t>
      </w:r>
    </w:p>
    <w:p w14:paraId="765E369E"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=申购金额/（1+申购费率）</w:t>
      </w:r>
    </w:p>
    <w:p w14:paraId="1762508C"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w:t>
      </w:r>
      <w:r>
        <w:rPr>
          <w:rFonts w:asciiTheme="minorEastAsia" w:hAnsiTheme="minorEastAsia" w:cs="Arial"/>
          <w:sz w:val="24"/>
          <w:szCs w:val="24"/>
        </w:rPr>
        <w:t>=申购金额－净申购金额</w:t>
      </w:r>
    </w:p>
    <w:p w14:paraId="31B8DC28"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w:t>
      </w:r>
      <w:r>
        <w:rPr>
          <w:rFonts w:asciiTheme="minorEastAsia" w:hAnsiTheme="minorEastAsia" w:cs="Arial"/>
          <w:sz w:val="24"/>
          <w:szCs w:val="24"/>
        </w:rPr>
        <w:t xml:space="preserve">=净申购金额/T </w:t>
      </w:r>
      <w:r>
        <w:rPr>
          <w:rFonts w:asciiTheme="minorEastAsia" w:hAnsiTheme="minorEastAsia" w:cs="Arial" w:hint="eastAsia"/>
          <w:sz w:val="24"/>
          <w:szCs w:val="24"/>
        </w:rPr>
        <w:t>日</w:t>
      </w:r>
      <w:r>
        <w:rPr>
          <w:rFonts w:asciiTheme="minorEastAsia" w:hAnsiTheme="minorEastAsia" w:cs="Arial"/>
          <w:sz w:val="24"/>
          <w:szCs w:val="24"/>
        </w:rPr>
        <w:t>A类基金份额净值</w:t>
      </w:r>
    </w:p>
    <w:p w14:paraId="1BE2C772"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2）当申购费用为固定金额时，申购份额的计算方法如下：</w:t>
      </w:r>
    </w:p>
    <w:p w14:paraId="660A1CE1"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2D02D3FB"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608B21C4"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w:t>
      </w:r>
      <w:r>
        <w:rPr>
          <w:rFonts w:asciiTheme="minorEastAsia" w:hAnsiTheme="minorEastAsia" w:cs="Arial"/>
          <w:sz w:val="24"/>
          <w:szCs w:val="24"/>
        </w:rPr>
        <w:t>/T日A类基金份额净值</w:t>
      </w:r>
    </w:p>
    <w:p w14:paraId="549B5762"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66743C1E"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 </w:t>
      </w:r>
      <w:r>
        <w:rPr>
          <w:rFonts w:asciiTheme="minorEastAsia" w:hAnsiTheme="minorEastAsia" w:cs="Arial" w:hint="eastAsia"/>
          <w:sz w:val="24"/>
          <w:szCs w:val="24"/>
        </w:rPr>
        <w:t>元申购本基金</w:t>
      </w:r>
      <w:r>
        <w:rPr>
          <w:rFonts w:asciiTheme="minorEastAsia" w:hAnsiTheme="minorEastAsia" w:cs="Arial"/>
          <w:sz w:val="24"/>
          <w:szCs w:val="24"/>
        </w:rPr>
        <w:t>A类基金份额，且该申购申请被全额确认，对应的申购费率为1.5%，假定申购当日A类基金份额净值为1.0500元，则可得到的申购份额为：</w:t>
      </w:r>
    </w:p>
    <w:p w14:paraId="14332BDC"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50,000/(1+1.5%)＝49,261.08元</w:t>
      </w:r>
    </w:p>
    <w:p w14:paraId="0A264C0D"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w:t>
      </w:r>
      <w:r>
        <w:rPr>
          <w:rFonts w:asciiTheme="minorEastAsia" w:hAnsiTheme="minorEastAsia" w:cs="Arial"/>
          <w:sz w:val="24"/>
          <w:szCs w:val="24"/>
        </w:rPr>
        <w:t>50,000－49,261.08＝738.92元</w:t>
      </w:r>
    </w:p>
    <w:p w14:paraId="7A4039E1"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w:t>
      </w:r>
      <w:r>
        <w:rPr>
          <w:rFonts w:asciiTheme="minorEastAsia" w:hAnsiTheme="minorEastAsia" w:cs="Arial"/>
          <w:sz w:val="24"/>
          <w:szCs w:val="24"/>
        </w:rPr>
        <w:t xml:space="preserve">49,261.08/1.0500＝46,915.31 </w:t>
      </w:r>
      <w:r>
        <w:rPr>
          <w:rFonts w:asciiTheme="minorEastAsia" w:hAnsiTheme="minorEastAsia" w:cs="Arial" w:hint="eastAsia"/>
          <w:sz w:val="24"/>
          <w:szCs w:val="24"/>
        </w:rPr>
        <w:t>份</w:t>
      </w:r>
    </w:p>
    <w:p w14:paraId="0CF95E8F"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w:t>
      </w:r>
      <w:r>
        <w:rPr>
          <w:rFonts w:asciiTheme="minorEastAsia" w:hAnsiTheme="minorEastAsia" w:cs="Arial"/>
          <w:kern w:val="0"/>
          <w:sz w:val="24"/>
          <w:szCs w:val="24"/>
        </w:rPr>
        <w:t xml:space="preserve">50,000 </w:t>
      </w:r>
      <w:r>
        <w:rPr>
          <w:rFonts w:asciiTheme="minorEastAsia" w:hAnsiTheme="minorEastAsia" w:cs="Arial" w:hint="eastAsia"/>
          <w:kern w:val="0"/>
          <w:sz w:val="24"/>
          <w:szCs w:val="24"/>
        </w:rPr>
        <w:t>元申购本基金</w:t>
      </w:r>
      <w:r>
        <w:rPr>
          <w:rFonts w:asciiTheme="minorEastAsia" w:hAnsiTheme="minorEastAsia" w:cs="Arial"/>
          <w:kern w:val="0"/>
          <w:sz w:val="24"/>
          <w:szCs w:val="24"/>
        </w:rPr>
        <w:t>A类基金份额，假定申购当日A类基金份额净值为1.0500元，可得到46,915.31份A类基金份额。</w:t>
      </w:r>
    </w:p>
    <w:p w14:paraId="55AD4421"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2、C类基金份额申购份额的计算方式：</w:t>
      </w:r>
    </w:p>
    <w:p w14:paraId="731B77F5"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w:t>
      </w:r>
      <w:r>
        <w:rPr>
          <w:rFonts w:asciiTheme="minorEastAsia" w:hAnsiTheme="minorEastAsia" w:cs="Arial"/>
          <w:sz w:val="24"/>
          <w:szCs w:val="24"/>
        </w:rPr>
        <w:t>/T日C类基金份额净值</w:t>
      </w:r>
    </w:p>
    <w:p w14:paraId="7FD5E743"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4C15FFE2"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C类基金份额，且该申购申请被全额确认，假定申购当日C类基金份额净值为1.2300元，则可得到的申购份额为：</w:t>
      </w:r>
    </w:p>
    <w:p w14:paraId="03065566"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w:t>
      </w:r>
      <w:r>
        <w:rPr>
          <w:rFonts w:asciiTheme="minorEastAsia" w:hAnsiTheme="minorEastAsia" w:cs="Arial"/>
          <w:sz w:val="24"/>
          <w:szCs w:val="24"/>
        </w:rPr>
        <w:t>5,000,000/1.2500=4,000,000.00份</w:t>
      </w:r>
    </w:p>
    <w:p w14:paraId="2506EACB"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C类基金份额，假定申购当日C类基</w:t>
      </w:r>
      <w:r>
        <w:rPr>
          <w:rFonts w:asciiTheme="minorEastAsia" w:hAnsiTheme="minorEastAsia" w:cs="Arial"/>
          <w:sz w:val="24"/>
          <w:szCs w:val="24"/>
        </w:rPr>
        <w:lastRenderedPageBreak/>
        <w:t>金份额净值为1.2500元，可得到4,000,000.00份C类基金份额。</w:t>
      </w:r>
    </w:p>
    <w:p w14:paraId="156A4531"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 xml:space="preserve">3、 </w:t>
      </w:r>
      <w:r>
        <w:rPr>
          <w:rFonts w:asciiTheme="minorEastAsia" w:hAnsiTheme="minorEastAsia" w:cs="Arial" w:hint="eastAsia"/>
          <w:sz w:val="24"/>
          <w:szCs w:val="24"/>
        </w:rPr>
        <w:t>赎回金额的计算方式：</w:t>
      </w:r>
    </w:p>
    <w:p w14:paraId="28ED324F"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2EAFBB72"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26B6C77A"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4D0F5C9A"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w:t>
      </w:r>
      <w:r>
        <w:rPr>
          <w:rFonts w:asciiTheme="minorEastAsia" w:hAnsiTheme="minorEastAsia" w:cs="Arial"/>
          <w:sz w:val="24"/>
          <w:szCs w:val="24"/>
        </w:rPr>
        <w:t>2位，由此产生的收益或损失由基金财产承担。</w:t>
      </w:r>
    </w:p>
    <w:p w14:paraId="61604C25"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Pr>
          <w:rFonts w:asciiTheme="minorEastAsia" w:hAnsiTheme="minorEastAsia" w:cs="Arial"/>
          <w:sz w:val="24"/>
          <w:szCs w:val="24"/>
        </w:rPr>
        <w:t xml:space="preserve">1：某投资者赎回10,000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3个月，赎回费率为0.5%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元，则可得到的赎回金额为：</w:t>
      </w:r>
    </w:p>
    <w:p w14:paraId="46561D3B"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 xml:space="preserve">1.0680= 10,680.00 </w:t>
      </w:r>
      <w:r>
        <w:rPr>
          <w:rFonts w:asciiTheme="minorEastAsia" w:hAnsiTheme="minorEastAsia" w:cs="Arial" w:hint="eastAsia"/>
          <w:sz w:val="24"/>
          <w:szCs w:val="24"/>
        </w:rPr>
        <w:t>元</w:t>
      </w:r>
    </w:p>
    <w:p w14:paraId="70AC2896"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179DFFA0"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23645DCA"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3个月，假设赎回申请当日A</w:t>
      </w:r>
      <w:r>
        <w:rPr>
          <w:rFonts w:asciiTheme="minorEastAsia" w:hAnsiTheme="minorEastAsia" w:cs="Arial" w:hint="eastAsia"/>
          <w:sz w:val="24"/>
          <w:szCs w:val="24"/>
        </w:rPr>
        <w:t>类基金份额的基金份额净值是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5C6EDEDB"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Pr>
          <w:rFonts w:asciiTheme="minorEastAsia" w:hAnsiTheme="minorEastAsia" w:cs="Arial"/>
          <w:sz w:val="24"/>
          <w:szCs w:val="24"/>
        </w:rPr>
        <w:t>2：某投资人赎回本基金10,000份C类基金份额，持有时间为20日，对应的赎回费率为0.5%，假设赎回当日C类基金份额净值是1.0680元，则其可得到的赎回金额为：</w:t>
      </w:r>
    </w:p>
    <w:p w14:paraId="2468548C"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=10,000×1.0680=10,680元</w:t>
      </w:r>
    </w:p>
    <w:p w14:paraId="5180424B"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=10,680×0.5%=53.40元</w:t>
      </w:r>
    </w:p>
    <w:p w14:paraId="407C235E"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w:t>
      </w:r>
      <w:r>
        <w:rPr>
          <w:rFonts w:asciiTheme="minorEastAsia" w:hAnsiTheme="minorEastAsia" w:cs="Arial"/>
          <w:sz w:val="24"/>
          <w:szCs w:val="24"/>
        </w:rPr>
        <w:t>=10,680-53.40=10,626.60元</w:t>
      </w:r>
    </w:p>
    <w:p w14:paraId="7565AB1B"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w:t>
      </w:r>
      <w:r>
        <w:rPr>
          <w:rFonts w:asciiTheme="minorEastAsia" w:hAnsiTheme="minorEastAsia" w:cs="Arial"/>
          <w:sz w:val="24"/>
          <w:szCs w:val="24"/>
        </w:rPr>
        <w:t>10,000份C类基金份额，持有期限为20日，假设赎回当日本基金C类基金份额净值是1.0680元，则其可得到的净赎回金额为10,626.60元。</w:t>
      </w:r>
    </w:p>
    <w:p w14:paraId="58622278"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w:t>
      </w:r>
      <w:r>
        <w:rPr>
          <w:rFonts w:asciiTheme="minorEastAsia" w:hAnsiTheme="minorEastAsia" w:cs="Times New Roman"/>
          <w:sz w:val="24"/>
          <w:szCs w:val="24"/>
        </w:rPr>
        <w:t>4位，小数点后第5位四舍五入，由此产生的收益或损失由基金财产承担。T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47D13294" w14:textId="77777777" w:rsidR="0069510E" w:rsidRDefault="00000000">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lastRenderedPageBreak/>
        <w:t>八、申购与赎回的登记业务</w:t>
      </w:r>
    </w:p>
    <w:p w14:paraId="3F8E4191"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4F761D6F"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0154094A"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在规定媒介公告。</w:t>
      </w:r>
    </w:p>
    <w:p w14:paraId="0FF506D2" w14:textId="77777777" w:rsidR="0069510E" w:rsidRDefault="00000000">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46135CD7"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14:paraId="6FDD6C12"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1、因不可抗力导致基金无法正常运作。</w:t>
      </w:r>
    </w:p>
    <w:p w14:paraId="1C87ED78"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2、发生基金合同规定的暂停基金资产估值情况时，基金管理人可暂停接</w:t>
      </w:r>
      <w:r>
        <w:rPr>
          <w:rFonts w:asciiTheme="minorEastAsia" w:hAnsiTheme="minorEastAsia" w:cs="Arial" w:hint="eastAsia"/>
          <w:sz w:val="24"/>
          <w:szCs w:val="24"/>
        </w:rPr>
        <w:t>受投资人的申购申请。</w:t>
      </w:r>
    </w:p>
    <w:p w14:paraId="25ADE30C"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3、证券、期货交易所交易时间非正常停市，导致基金管理人无法计算当日基金资产净值。</w:t>
      </w:r>
    </w:p>
    <w:p w14:paraId="1AEBFDA8"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4、接受某笔或某些申购申请可能会影响或损害现有基金份额持有人利益时。</w:t>
      </w:r>
    </w:p>
    <w:p w14:paraId="6A6ED5A5"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5、基金资产规模过大，使基金管理人无法找到合适的投资品种，或其他可能对基金业绩产生负面影响，或发生其他损害现有基金份额持有人利益的情形。</w:t>
      </w:r>
    </w:p>
    <w:p w14:paraId="3906FCF3"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6、当</w:t>
      </w:r>
      <w:r>
        <w:rPr>
          <w:rFonts w:asciiTheme="minorEastAsia" w:hAnsiTheme="minorEastAsia" w:cs="Arial" w:hint="eastAsia"/>
          <w:sz w:val="24"/>
          <w:szCs w:val="24"/>
        </w:rPr>
        <w:t>特定资产占前一估值日基金资产净值</w:t>
      </w:r>
      <w:r>
        <w:rPr>
          <w:rFonts w:asciiTheme="minorEastAsia" w:hAnsiTheme="minorEastAsia" w:cs="Arial"/>
          <w:sz w:val="24"/>
          <w:szCs w:val="24"/>
        </w:rPr>
        <w:t>50%以上的，经与基金托管人协商确认后，基金管理人应当暂停接受基金申购申请。</w:t>
      </w:r>
    </w:p>
    <w:p w14:paraId="5C22C03B"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7、基金管理人接受某笔或者某些申购申请有可能导致单一投资者持有基金份额的比例达到或者超过50%，或者变相规避50%集中度的情形。</w:t>
      </w:r>
    </w:p>
    <w:p w14:paraId="3C357BFD" w14:textId="77777777" w:rsidR="0069510E"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8</w:t>
      </w:r>
      <w:r>
        <w:rPr>
          <w:rFonts w:asciiTheme="minorEastAsia" w:hAnsiTheme="minorEastAsia" w:cs="Arial" w:hint="eastAsia"/>
          <w:sz w:val="24"/>
          <w:szCs w:val="24"/>
        </w:rPr>
        <w:t>、基金管理人、基金托管人、基金销售机构或登记机构的异常情况导致基金销售系统、登记系统或基金会计系统无法正常运行。</w:t>
      </w:r>
    </w:p>
    <w:p w14:paraId="6AE2699B" w14:textId="77777777" w:rsidR="0069510E"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9</w:t>
      </w:r>
      <w:r>
        <w:rPr>
          <w:rFonts w:asciiTheme="minorEastAsia" w:hAnsiTheme="minorEastAsia" w:cs="Arial" w:hint="eastAsia"/>
          <w:sz w:val="24"/>
          <w:szCs w:val="24"/>
        </w:rPr>
        <w:t>、接受某笔或某些申购申请超过基金管理人设定的本基金的总规模限额、单日净申购比例上限、单一投资者单日或单笔申购金额上限的。</w:t>
      </w:r>
    </w:p>
    <w:p w14:paraId="0AFA5134"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10</w:t>
      </w:r>
      <w:r>
        <w:rPr>
          <w:rFonts w:asciiTheme="minorEastAsia" w:hAnsiTheme="minorEastAsia" w:cs="Arial" w:hint="eastAsia"/>
          <w:sz w:val="24"/>
          <w:szCs w:val="24"/>
        </w:rPr>
        <w:t>、法律法规规定或中国证监会认定的其他情形。</w:t>
      </w:r>
    </w:p>
    <w:p w14:paraId="4009EEF7"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发生上述第</w:t>
      </w:r>
      <w:r>
        <w:rPr>
          <w:rFonts w:asciiTheme="minorEastAsia" w:hAnsiTheme="minorEastAsia" w:cs="Arial"/>
          <w:sz w:val="24"/>
          <w:szCs w:val="24"/>
        </w:rPr>
        <w:t>1、2、3、5、6、8、10</w:t>
      </w:r>
      <w:r>
        <w:rPr>
          <w:rFonts w:asciiTheme="minorEastAsia" w:hAnsiTheme="minorEastAsia" w:cs="Arial" w:hint="eastAsia"/>
          <w:sz w:val="24"/>
          <w:szCs w:val="24"/>
        </w:rPr>
        <w:t>项暂停申购情形之一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管理人决定暂停接受投资人的申购申请时，基金管理人应当根据有关规定在规定媒介上刊登暂停申购公告。如果投资人的申购申请被拒绝，被拒绝的申购款项本金将退还给投资人。</w:t>
      </w:r>
      <w:r>
        <w:rPr>
          <w:rFonts w:asciiTheme="minorEastAsia" w:hAnsiTheme="minorEastAsia" w:cs="Arial" w:hint="eastAsia"/>
          <w:sz w:val="24"/>
          <w:szCs w:val="24"/>
        </w:rPr>
        <w:lastRenderedPageBreak/>
        <w:t>在暂停申购的情况消除时，基金管理人应及时恢复申购业务的办理。</w:t>
      </w:r>
    </w:p>
    <w:p w14:paraId="5821409D" w14:textId="77777777" w:rsidR="0069510E" w:rsidRDefault="00000000">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w:t>
      </w:r>
    </w:p>
    <w:p w14:paraId="0EB89A6F" w14:textId="77777777" w:rsidR="0069510E" w:rsidRDefault="00000000">
      <w:pPr>
        <w:widowControl/>
        <w:spacing w:line="360" w:lineRule="auto"/>
        <w:ind w:firstLineChars="200" w:firstLine="480"/>
        <w:jc w:val="left"/>
        <w:rPr>
          <w:rFonts w:asciiTheme="minorEastAsia" w:hAnsiTheme="minorEastAsia" w:cs="Arial"/>
          <w:sz w:val="24"/>
          <w:szCs w:val="24"/>
        </w:rPr>
      </w:pPr>
      <w:bookmarkStart w:id="192" w:name="_Toc416264545"/>
      <w:bookmarkStart w:id="193" w:name="_Toc739"/>
      <w:bookmarkStart w:id="194" w:name="_Toc17920"/>
      <w:bookmarkStart w:id="195" w:name="_Toc352229756"/>
      <w:bookmarkStart w:id="196" w:name="_Toc20976"/>
      <w:bookmarkStart w:id="197" w:name="_Toc123102457"/>
      <w:bookmarkStart w:id="198" w:name="_Toc139991740"/>
      <w:bookmarkStart w:id="199" w:name="_Toc79392622"/>
      <w:bookmarkStart w:id="200" w:name="_Toc29408"/>
      <w:bookmarkStart w:id="201" w:name="_Toc32092"/>
      <w:bookmarkStart w:id="202" w:name="_Toc98560356"/>
      <w:bookmarkStart w:id="203" w:name="_Toc17198"/>
      <w:bookmarkStart w:id="204" w:name="_Toc123051456"/>
      <w:bookmarkStart w:id="205" w:name="_Toc48649708"/>
      <w:bookmarkStart w:id="206" w:name="_Toc3329"/>
      <w:bookmarkStart w:id="207" w:name="_Toc141703890"/>
      <w:bookmarkStart w:id="208" w:name="_Toc21237"/>
      <w:bookmarkStart w:id="209" w:name="_Toc8791"/>
      <w:bookmarkStart w:id="210" w:name="_Toc32584"/>
      <w:bookmarkStart w:id="211" w:name="_Toc5170"/>
      <w:bookmarkStart w:id="212" w:name="_Toc123112238"/>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r>
        <w:rPr>
          <w:rFonts w:asciiTheme="minorEastAsia" w:hAnsiTheme="minorEastAsia" w:cs="Arial" w:hint="eastAsia"/>
          <w:sz w:val="24"/>
          <w:szCs w:val="24"/>
        </w:rPr>
        <w:t>发生下列情形时，基金管理人可暂停接受投资人的赎回申请或延缓支付赎回款项：</w:t>
      </w:r>
    </w:p>
    <w:p w14:paraId="5B094E2B" w14:textId="77777777" w:rsidR="0069510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1、因不可抗力导致基金管理人不能支付赎回款项。</w:t>
      </w:r>
    </w:p>
    <w:p w14:paraId="0F08AA28" w14:textId="77777777" w:rsidR="0069510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2、发生基金合同规定的暂停基金资产估值情况时，基金管理人可暂停接受投资人的赎回申请或延缓支付赎回款项。</w:t>
      </w:r>
    </w:p>
    <w:p w14:paraId="5A746E89" w14:textId="77777777" w:rsidR="0069510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3、证券、期货交易所交易时间非正常停市，导致基金管理人无法计算当日基金资产净值。</w:t>
      </w:r>
    </w:p>
    <w:p w14:paraId="3FC16BD7" w14:textId="77777777" w:rsidR="0069510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4、连续两个或两个以上开放日发生巨额赎回。</w:t>
      </w:r>
    </w:p>
    <w:p w14:paraId="7A52EA6C" w14:textId="77777777" w:rsidR="0069510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5、发生继续接受赎回申请将损害现有基金份额持有人利益的情形时，基金管理人可暂停接受基金份额持有人的赎回申请。</w:t>
      </w:r>
    </w:p>
    <w:p w14:paraId="59F830D6" w14:textId="77777777" w:rsidR="0069510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6、当</w:t>
      </w:r>
      <w:r>
        <w:rPr>
          <w:rFonts w:asciiTheme="minorEastAsia" w:hAnsiTheme="minorEastAsia" w:cs="Arial" w:hint="eastAsia"/>
          <w:sz w:val="24"/>
          <w:szCs w:val="24"/>
        </w:rPr>
        <w:t>特定资产占前一估值日基金资产净值</w:t>
      </w:r>
      <w:r>
        <w:rPr>
          <w:rFonts w:asciiTheme="minorEastAsia" w:hAnsiTheme="minorEastAsia" w:cs="Arial"/>
          <w:sz w:val="24"/>
          <w:szCs w:val="24"/>
        </w:rPr>
        <w:t>50%以上的，经与基金托管人协商确认后，基金管理人应当延缓支付赎回款项或暂停接受基金赎回申请。</w:t>
      </w:r>
    </w:p>
    <w:p w14:paraId="21766879" w14:textId="77777777" w:rsidR="0069510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7、法律法规规定或中国证监会认定的其他情形。</w:t>
      </w:r>
    </w:p>
    <w:p w14:paraId="56929E8E" w14:textId="77777777" w:rsidR="0069510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发生上述情形之一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若出现上述第</w:t>
      </w:r>
      <w:r>
        <w:rPr>
          <w:rFonts w:asciiTheme="minorEastAsia" w:hAnsiTheme="minorEastAsia" w:cs="Arial"/>
          <w:sz w:val="24"/>
          <w:szCs w:val="24"/>
        </w:rPr>
        <w:t>4项所述情形，按基金合同的相关条款处理。基金份额持有人在申请赎回时可事先选择将当日可能未获受理部分予以撤销。在暂停赎回的情况消除时，基金管理人应及时恢复赎回业务的办理并公告。</w:t>
      </w:r>
    </w:p>
    <w:p w14:paraId="51D99B0E" w14:textId="77777777" w:rsidR="0069510E" w:rsidRDefault="00000000">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241E5063" w14:textId="77777777" w:rsidR="0069510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1、巨额赎回的认定</w:t>
      </w:r>
    </w:p>
    <w:p w14:paraId="39FEB9CF" w14:textId="77777777" w:rsidR="0069510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若本基金单个开放日内的基金份额净赎回申请</w:t>
      </w:r>
      <w:r>
        <w:rPr>
          <w:rFonts w:asciiTheme="minorEastAsia" w:hAnsiTheme="minorEastAsia" w:cs="Arial"/>
          <w:sz w:val="24"/>
          <w:szCs w:val="24"/>
        </w:rPr>
        <w:t>(赎回申请份额总数加上基金转换中转出申请份额总数后扣除申购申请份额总数及基金转换中转入申请份额总数后的余额)超过前一开放日的基金总份额的10%，即认为是发生了巨额赎回。</w:t>
      </w:r>
    </w:p>
    <w:p w14:paraId="7C2B1DDA" w14:textId="77777777" w:rsidR="0069510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2、巨额赎回的处理方式</w:t>
      </w:r>
    </w:p>
    <w:p w14:paraId="1D25245E" w14:textId="77777777" w:rsidR="0069510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34F0DA7A" w14:textId="77777777" w:rsidR="0069510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w:t>
      </w:r>
      <w:r>
        <w:rPr>
          <w:rFonts w:asciiTheme="minorEastAsia" w:hAnsiTheme="minorEastAsia" w:cs="Arial"/>
          <w:sz w:val="24"/>
          <w:szCs w:val="24"/>
        </w:rPr>
        <w:t>1）全额赎回：当基金管理人认为有能力支付投资人的全部赎回申请时，按正常赎回程序执行。</w:t>
      </w:r>
    </w:p>
    <w:p w14:paraId="16FA5A3B" w14:textId="77777777" w:rsidR="0069510E" w:rsidRDefault="00000000">
      <w:pPr>
        <w:spacing w:line="360" w:lineRule="auto"/>
        <w:ind w:firstLineChars="200" w:firstLine="480"/>
        <w:rPr>
          <w:bCs/>
          <w:sz w:val="24"/>
        </w:rPr>
      </w:pPr>
      <w:r>
        <w:rPr>
          <w:rFonts w:asciiTheme="minorEastAsia" w:hAnsiTheme="minorEastAsia" w:cs="Arial" w:hint="eastAsia"/>
          <w:sz w:val="24"/>
          <w:szCs w:val="24"/>
        </w:rPr>
        <w:t>（</w:t>
      </w:r>
      <w:r>
        <w:rPr>
          <w:rFonts w:asciiTheme="minorEastAsia" w:hAnsiTheme="minorEastAsia" w:cs="Arial"/>
          <w:sz w:val="24"/>
          <w:szCs w:val="24"/>
        </w:rPr>
        <w:t>2）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10%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rFonts w:asciiTheme="minorEastAsia" w:hAnsiTheme="minorEastAsia" w:cs="Arial" w:hint="eastAsia"/>
          <w:sz w:val="24"/>
          <w:szCs w:val="24"/>
        </w:rPr>
        <w:t>并以下</w:t>
      </w:r>
      <w:proofErr w:type="gramEnd"/>
      <w:r>
        <w:rPr>
          <w:rFonts w:asciiTheme="minorEastAsia" w:hAnsiTheme="minorEastAsia" w:cs="Arial" w:hint="eastAsia"/>
          <w:sz w:val="24"/>
          <w:szCs w:val="24"/>
        </w:rPr>
        <w:t>一开放日的该类基金份额净值为基础计算赎回金额，以此类推，直到全部赎回为止。如投资人在提交赎回申请时未作明确选择，投资人未能赎回部分作自动延期赎回处理。</w:t>
      </w:r>
      <w:r>
        <w:rPr>
          <w:rFonts w:hint="eastAsia"/>
          <w:bCs/>
          <w:sz w:val="24"/>
        </w:rPr>
        <w:t>部分延期赎回不受单笔赎回最低份额的限制。</w:t>
      </w:r>
    </w:p>
    <w:p w14:paraId="1D645018" w14:textId="77777777" w:rsidR="0069510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3）若本基金发生巨额赎回</w:t>
      </w:r>
      <w:r>
        <w:rPr>
          <w:rFonts w:asciiTheme="minorEastAsia" w:hAnsiTheme="minorEastAsia" w:cs="Arial" w:hint="eastAsia"/>
          <w:sz w:val="24"/>
          <w:szCs w:val="24"/>
        </w:rPr>
        <w:t>且在单个基金份额持有人超过上一日基金总份额</w:t>
      </w:r>
      <w:r>
        <w:rPr>
          <w:rFonts w:asciiTheme="minorEastAsia" w:hAnsiTheme="minorEastAsia" w:cs="Arial"/>
          <w:sz w:val="24"/>
          <w:szCs w:val="24"/>
        </w:rPr>
        <w:t>20%以上的赎回申请的情形下，基金管理人有权对于该基金份额持有人当日超过上一日基金总份额20%以上的那部分赎回申请进行延期办理，对于该基金份额持有人其余赎回申请部分，基金管理人有权根据前段“（1）全额赎回”或“（2）部分延期赎回”的约定方式与其他基金份额持有人的赎回申请一并办理。但是，如该基金份额持有人在提交赎回申请时选择取消赎回，则其当日未获受理的部分赎回申请将被撤销。</w:t>
      </w:r>
    </w:p>
    <w:p w14:paraId="2C616736" w14:textId="77777777" w:rsidR="0069510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4）暂停赎回：连续2个开放日以上（含本数）发生巨额赎回，如基金管理人认为有必要，可暂停接受基金的赎回申请；已经接受的赎回申请可以延缓支付赎回款项，但不得超过20个工作日，并应当在</w:t>
      </w:r>
      <w:r>
        <w:rPr>
          <w:rFonts w:asciiTheme="minorEastAsia" w:hAnsiTheme="minorEastAsia" w:cs="Arial" w:hint="eastAsia"/>
          <w:sz w:val="24"/>
          <w:szCs w:val="24"/>
        </w:rPr>
        <w:t>规定媒介上进行公告。</w:t>
      </w:r>
    </w:p>
    <w:p w14:paraId="2FC148D4" w14:textId="77777777" w:rsidR="0069510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3、巨额赎回的公告</w:t>
      </w:r>
    </w:p>
    <w:p w14:paraId="2513A810" w14:textId="77777777" w:rsidR="0069510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w:t>
      </w:r>
      <w:r>
        <w:rPr>
          <w:rFonts w:asciiTheme="minorEastAsia" w:hAnsiTheme="minorEastAsia" w:cs="Arial"/>
          <w:sz w:val="24"/>
          <w:szCs w:val="24"/>
        </w:rPr>
        <w:t>3个交易日内通知基金份额持有人，说明有关处理方法，并依照《信息披露办法》的有关规定在</w:t>
      </w:r>
      <w:r>
        <w:rPr>
          <w:rFonts w:asciiTheme="minorEastAsia" w:hAnsiTheme="minorEastAsia" w:cs="Arial" w:hint="eastAsia"/>
          <w:sz w:val="24"/>
          <w:szCs w:val="24"/>
        </w:rPr>
        <w:t>规定媒介上刊登公告。</w:t>
      </w:r>
    </w:p>
    <w:p w14:paraId="7E232661" w14:textId="77777777" w:rsidR="0069510E" w:rsidRDefault="00000000">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25845CC3" w14:textId="77777777" w:rsidR="0069510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lastRenderedPageBreak/>
        <w:t>1、发生上述暂停申购或赎回情况的，基金管理人应在规定期限内在</w:t>
      </w:r>
      <w:r>
        <w:rPr>
          <w:rFonts w:asciiTheme="minorEastAsia" w:hAnsiTheme="minorEastAsia" w:cs="Arial" w:hint="eastAsia"/>
          <w:sz w:val="24"/>
          <w:szCs w:val="24"/>
        </w:rPr>
        <w:t>规定媒介上刊登暂停公告。</w:t>
      </w:r>
    </w:p>
    <w:p w14:paraId="61E772B0" w14:textId="77777777" w:rsidR="0069510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2、如发生暂停的时间为1日，基金管理人应于重新开放日，在</w:t>
      </w:r>
      <w:r>
        <w:rPr>
          <w:rFonts w:asciiTheme="minorEastAsia" w:hAnsiTheme="minorEastAsia" w:cs="Arial" w:hint="eastAsia"/>
          <w:sz w:val="24"/>
          <w:szCs w:val="24"/>
        </w:rPr>
        <w:t>规定媒介上刊登基金重新开放申购或赎回公告，并公布最近</w:t>
      </w:r>
      <w:r>
        <w:rPr>
          <w:rFonts w:asciiTheme="minorEastAsia" w:hAnsiTheme="minorEastAsia" w:cs="Arial"/>
          <w:sz w:val="24"/>
          <w:szCs w:val="24"/>
        </w:rPr>
        <w:t>1个开放日的各类基金份额净值。</w:t>
      </w:r>
    </w:p>
    <w:p w14:paraId="0727BF94" w14:textId="77777777" w:rsidR="0069510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sz w:val="24"/>
          <w:szCs w:val="24"/>
        </w:rPr>
        <w:t xml:space="preserve">3、如发生暂停的时间超过1 日，基金管理人应提前1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工作日在规定媒介刊登基金重新开放申购或赎回的公告，并在重新开始办理申购或赎回的开放日公告最近</w:t>
      </w:r>
      <w:r>
        <w:rPr>
          <w:rFonts w:asciiTheme="minorEastAsia" w:hAnsiTheme="minorEastAsia" w:cs="Arial"/>
          <w:sz w:val="24"/>
          <w:szCs w:val="24"/>
        </w:rPr>
        <w:t xml:space="preserve">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工作日的各类基金份额净值。</w:t>
      </w:r>
    </w:p>
    <w:p w14:paraId="1AED4AFD" w14:textId="77777777" w:rsidR="0069510E" w:rsidRDefault="00000000">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1C62848F" w14:textId="77777777" w:rsidR="0069510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0A8421B7" w14:textId="77777777" w:rsidR="0069510E" w:rsidRDefault="00000000">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十四、基金的</w:t>
      </w:r>
      <w:proofErr w:type="gramStart"/>
      <w:r>
        <w:rPr>
          <w:rFonts w:asciiTheme="minorEastAsia" w:hAnsiTheme="minorEastAsia" w:cs="Arial" w:hint="eastAsia"/>
          <w:b/>
          <w:sz w:val="24"/>
          <w:szCs w:val="24"/>
        </w:rPr>
        <w:t>非交易</w:t>
      </w:r>
      <w:proofErr w:type="gramEnd"/>
      <w:r>
        <w:rPr>
          <w:rFonts w:asciiTheme="minorEastAsia" w:hAnsiTheme="minorEastAsia" w:cs="Arial" w:hint="eastAsia"/>
          <w:b/>
          <w:sz w:val="24"/>
          <w:szCs w:val="24"/>
        </w:rPr>
        <w:t>过户</w:t>
      </w:r>
    </w:p>
    <w:p w14:paraId="0A0E3310" w14:textId="77777777" w:rsidR="0069510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过户是指基金登记机构受理继承、捐赠和司法强制执行等情形而产生的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过户以及登记机构认可、符合法律法规的其它</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过户。无论在上述何种情况下，接受划转的主体必须是依法可以持有本</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份额的投资人。</w:t>
      </w:r>
    </w:p>
    <w:p w14:paraId="5DC9AE86" w14:textId="77777777" w:rsidR="0069510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w:t>
      </w:r>
      <w:proofErr w:type="gramStart"/>
      <w:r>
        <w:rPr>
          <w:rFonts w:asciiTheme="minorEastAsia" w:hAnsiTheme="minorEastAsia" w:cs="Arial" w:hint="eastAsia"/>
          <w:sz w:val="24"/>
          <w:szCs w:val="24"/>
        </w:rPr>
        <w:t>捐赠指</w:t>
      </w:r>
      <w:proofErr w:type="gramEnd"/>
      <w:r>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过户必须提供基金登记机构要求提供的相关资料，对于符合条件的</w:t>
      </w:r>
      <w:proofErr w:type="gramStart"/>
      <w:r>
        <w:rPr>
          <w:rFonts w:asciiTheme="minorEastAsia" w:hAnsiTheme="minorEastAsia" w:cs="Arial" w:hint="eastAsia"/>
          <w:sz w:val="24"/>
          <w:szCs w:val="24"/>
        </w:rPr>
        <w:t>非交易过户申请按</w:t>
      </w:r>
      <w:proofErr w:type="gramEnd"/>
      <w:r>
        <w:rPr>
          <w:rFonts w:asciiTheme="minorEastAsia" w:hAnsiTheme="minorEastAsia" w:cs="Arial" w:hint="eastAsia"/>
          <w:sz w:val="24"/>
          <w:szCs w:val="24"/>
        </w:rPr>
        <w:t>基金登记机构的规定办理，并按基金登记机构规定的标准收费。</w:t>
      </w:r>
    </w:p>
    <w:p w14:paraId="1D392FFC" w14:textId="77777777" w:rsidR="0069510E" w:rsidRDefault="00000000">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十五、基金的转托管</w:t>
      </w:r>
    </w:p>
    <w:p w14:paraId="35F2A034" w14:textId="77777777" w:rsidR="0069510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37F8B392" w14:textId="77777777" w:rsidR="0069510E" w:rsidRDefault="00000000">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十六、定期定额投资计划</w:t>
      </w:r>
    </w:p>
    <w:p w14:paraId="5B0DC938" w14:textId="77777777" w:rsidR="0069510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w:t>
      </w:r>
      <w:r>
        <w:rPr>
          <w:rFonts w:asciiTheme="minorEastAsia" w:hAnsiTheme="minorEastAsia" w:cs="Arial" w:hint="eastAsia"/>
          <w:sz w:val="24"/>
          <w:szCs w:val="24"/>
        </w:rPr>
        <w:lastRenderedPageBreak/>
        <w:t>必须不低于基金管理人在相关公告或更新的招募说明书中所规定的定期定额投资计划最低申购金额。</w:t>
      </w:r>
    </w:p>
    <w:p w14:paraId="3AED59BD" w14:textId="77777777" w:rsidR="0069510E" w:rsidRDefault="00000000">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十七、基金份额的冻结</w:t>
      </w:r>
      <w:r>
        <w:rPr>
          <w:rFonts w:asciiTheme="minorEastAsia" w:hAnsiTheme="minorEastAsia" w:cs="Arial"/>
          <w:b/>
          <w:sz w:val="24"/>
          <w:szCs w:val="24"/>
        </w:rPr>
        <w:t>、</w:t>
      </w:r>
      <w:r>
        <w:rPr>
          <w:rFonts w:asciiTheme="minorEastAsia" w:hAnsiTheme="minorEastAsia" w:cs="Arial" w:hint="eastAsia"/>
          <w:b/>
          <w:sz w:val="24"/>
          <w:szCs w:val="24"/>
        </w:rPr>
        <w:t>解冻和质押</w:t>
      </w:r>
    </w:p>
    <w:p w14:paraId="3E986CD2" w14:textId="77777777" w:rsidR="0069510E" w:rsidRDefault="00000000">
      <w:pPr>
        <w:spacing w:line="360" w:lineRule="auto"/>
        <w:ind w:firstLineChars="200" w:firstLine="480"/>
        <w:rPr>
          <w:bCs/>
          <w:sz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r>
        <w:rPr>
          <w:rFonts w:hint="eastAsia"/>
          <w:bCs/>
          <w:sz w:val="24"/>
        </w:rPr>
        <w:t>基金份额被冻结的，被冻结部分产生的权益一并冻结，被冻结部分份额仍然参与收益分配。法律法规或监管部门另有规定的除外。</w:t>
      </w:r>
    </w:p>
    <w:p w14:paraId="789380DD" w14:textId="77777777" w:rsidR="0069510E" w:rsidRDefault="00000000">
      <w:pPr>
        <w:spacing w:line="360" w:lineRule="auto"/>
        <w:ind w:firstLineChars="200" w:firstLine="480"/>
        <w:rPr>
          <w:bCs/>
          <w:sz w:val="24"/>
        </w:rPr>
      </w:pPr>
      <w:r>
        <w:rPr>
          <w:rFonts w:hint="eastAsia"/>
          <w:bCs/>
          <w:sz w:val="24"/>
        </w:rPr>
        <w:t>如相关法律法规允许基金管理人办理基金份额的质押业务或其他基金业务，在对基金份额持有人无实质性不利影响的情况下，履行相关程序后，基金管理人将制定和实施相应的业务规则。</w:t>
      </w:r>
    </w:p>
    <w:p w14:paraId="4DC3908D" w14:textId="77777777" w:rsidR="0069510E" w:rsidRDefault="00000000">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十八、基金份额的转让</w:t>
      </w:r>
    </w:p>
    <w:p w14:paraId="628D4B36" w14:textId="77777777" w:rsidR="0069510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规定媒介公告相关的业务规则，基金份额持有人应根据基金管理人届时公告的业务规则办理基金份额转让业务。</w:t>
      </w:r>
    </w:p>
    <w:p w14:paraId="618B3639" w14:textId="77777777" w:rsidR="0069510E" w:rsidRDefault="00000000">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十九、实施</w:t>
      </w:r>
      <w:proofErr w:type="gramStart"/>
      <w:r>
        <w:rPr>
          <w:rFonts w:asciiTheme="minorEastAsia" w:hAnsiTheme="minorEastAsia" w:cs="Arial" w:hint="eastAsia"/>
          <w:b/>
          <w:sz w:val="24"/>
          <w:szCs w:val="24"/>
        </w:rPr>
        <w:t>侧袋机制</w:t>
      </w:r>
      <w:proofErr w:type="gramEnd"/>
      <w:r>
        <w:rPr>
          <w:rFonts w:asciiTheme="minorEastAsia" w:hAnsiTheme="minorEastAsia" w:cs="Arial" w:hint="eastAsia"/>
          <w:b/>
          <w:sz w:val="24"/>
          <w:szCs w:val="24"/>
        </w:rPr>
        <w:t>期间本基金的申购与赎回</w:t>
      </w:r>
    </w:p>
    <w:p w14:paraId="34AC2038" w14:textId="77777777" w:rsidR="0069510E"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本基金实施</w:t>
      </w:r>
      <w:proofErr w:type="gramStart"/>
      <w:r>
        <w:rPr>
          <w:rFonts w:asciiTheme="minorEastAsia" w:hAnsiTheme="minorEastAsia" w:cs="Arial" w:hint="eastAsia"/>
          <w:sz w:val="24"/>
          <w:szCs w:val="24"/>
        </w:rPr>
        <w:t>侧袋机制</w:t>
      </w:r>
      <w:proofErr w:type="gramEnd"/>
      <w:r>
        <w:rPr>
          <w:rFonts w:asciiTheme="minorEastAsia" w:hAnsiTheme="minorEastAsia" w:cs="Arial" w:hint="eastAsia"/>
          <w:sz w:val="24"/>
          <w:szCs w:val="24"/>
        </w:rPr>
        <w:t>的，本基金的申购和赎回安排详见招募说明书“侧袋机制</w:t>
      </w:r>
      <w:r>
        <w:rPr>
          <w:rFonts w:asciiTheme="minorEastAsia" w:hAnsiTheme="minorEastAsia" w:cs="Arial"/>
          <w:sz w:val="24"/>
          <w:szCs w:val="24"/>
        </w:rPr>
        <w:t>”</w:t>
      </w:r>
      <w:r>
        <w:rPr>
          <w:rFonts w:asciiTheme="minorEastAsia" w:hAnsiTheme="minorEastAsia" w:cs="Arial" w:hint="eastAsia"/>
          <w:sz w:val="24"/>
          <w:szCs w:val="24"/>
        </w:rPr>
        <w:t>部分的规定或相关公告。</w:t>
      </w:r>
    </w:p>
    <w:p w14:paraId="4A5CD351" w14:textId="77777777" w:rsidR="0069510E" w:rsidRDefault="00000000">
      <w:pPr>
        <w:widowControl/>
        <w:jc w:val="left"/>
        <w:rPr>
          <w:rFonts w:asciiTheme="minorEastAsia" w:hAnsiTheme="minorEastAsia" w:cs="Arial"/>
          <w:sz w:val="24"/>
          <w:szCs w:val="24"/>
        </w:rPr>
      </w:pPr>
      <w:r>
        <w:rPr>
          <w:rFonts w:asciiTheme="minorEastAsia" w:hAnsiTheme="minorEastAsia" w:cs="Arial"/>
          <w:sz w:val="24"/>
          <w:szCs w:val="24"/>
        </w:rPr>
        <w:br w:type="page"/>
      </w:r>
    </w:p>
    <w:p w14:paraId="6623B57F" w14:textId="77777777" w:rsidR="0069510E" w:rsidRDefault="00000000">
      <w:pPr>
        <w:pStyle w:val="1"/>
        <w:jc w:val="center"/>
        <w:rPr>
          <w:sz w:val="30"/>
          <w:szCs w:val="30"/>
        </w:rPr>
      </w:pPr>
      <w:bookmarkStart w:id="213" w:name="_Toc136963809"/>
      <w:bookmarkStart w:id="214" w:name="_Toc68266296"/>
      <w:r>
        <w:rPr>
          <w:rFonts w:hint="eastAsia"/>
          <w:sz w:val="30"/>
          <w:szCs w:val="30"/>
        </w:rPr>
        <w:lastRenderedPageBreak/>
        <w:t>第九部分</w:t>
      </w:r>
      <w:r>
        <w:rPr>
          <w:sz w:val="30"/>
          <w:szCs w:val="30"/>
        </w:rPr>
        <w:t xml:space="preserve">  </w:t>
      </w:r>
      <w:r>
        <w:rPr>
          <w:rFonts w:hint="eastAsia"/>
          <w:sz w:val="30"/>
          <w:szCs w:val="30"/>
        </w:rPr>
        <w:t>基金的投资</w:t>
      </w:r>
      <w:bookmarkEnd w:id="192"/>
      <w:bookmarkEnd w:id="213"/>
      <w:bookmarkEnd w:id="214"/>
    </w:p>
    <w:p w14:paraId="02F6B8A2" w14:textId="77777777" w:rsidR="0069510E" w:rsidRDefault="00000000">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一、投资目标</w:t>
      </w:r>
    </w:p>
    <w:p w14:paraId="4E15DD1E"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本基金通过对行业及公司深入的研究分析，精选优质上市公司，在严格控制风险和保持资产流动性的前提下，追求超越业绩比较基准的投资回报，力争实现基金资产的长期稳健增值。</w:t>
      </w:r>
    </w:p>
    <w:p w14:paraId="37D09F91" w14:textId="77777777" w:rsidR="0069510E" w:rsidRDefault="00000000">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二、投资范围</w:t>
      </w:r>
    </w:p>
    <w:p w14:paraId="59865C16"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本基金的投资范围为具有良好流动性的金融工具，包括国内依法发行上市的股票（含主板、</w:t>
      </w:r>
      <w:proofErr w:type="gramStart"/>
      <w:r>
        <w:rPr>
          <w:rFonts w:asciiTheme="minorEastAsia" w:hAnsiTheme="minorEastAsia" w:cs="Times New Roman" w:hint="eastAsia"/>
          <w:bCs/>
          <w:sz w:val="24"/>
          <w:szCs w:val="24"/>
        </w:rPr>
        <w:t>科创板</w:t>
      </w:r>
      <w:proofErr w:type="gramEnd"/>
      <w:r>
        <w:rPr>
          <w:rFonts w:asciiTheme="minorEastAsia" w:hAnsiTheme="minorEastAsia" w:cs="Times New Roman" w:hint="eastAsia"/>
          <w:bCs/>
          <w:sz w:val="24"/>
          <w:szCs w:val="24"/>
        </w:rPr>
        <w:t>、创业板及其他经中国证监会允许投资的股票）、存托凭证、债券（包括国债、央行票据、金融债券、企业债券、公司债券、中期票据、短期融资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、超短期融资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w:t>
      </w:r>
      <w:r>
        <w:rPr>
          <w:rFonts w:asciiTheme="minorEastAsia" w:hAnsiTheme="minorEastAsia" w:cs="Times New Roman"/>
          <w:bCs/>
          <w:sz w:val="24"/>
          <w:szCs w:val="24"/>
        </w:rPr>
        <w:t>(但须符合中国证监会相关规定)。</w:t>
      </w:r>
    </w:p>
    <w:p w14:paraId="12878CBD"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本基金将根据法律法规的规定参与融资业务。在未来条件许可的情况下，本基金可根据相关法律法规，在履行适当程序后，参与融券业务和转融通证券出借业务。</w:t>
      </w:r>
    </w:p>
    <w:p w14:paraId="752EF2D8"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如果法律法规或监管机构以后允许基金投资其他品种，基金管理人在履行适当程序后，可以将其纳入投资范围。</w:t>
      </w:r>
    </w:p>
    <w:p w14:paraId="25272D8D"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本基金的投资组合比例为：股票资产占基金资产的比例为</w:t>
      </w:r>
      <w:r>
        <w:rPr>
          <w:rFonts w:asciiTheme="minorEastAsia" w:hAnsiTheme="minorEastAsia" w:cs="Times New Roman"/>
          <w:bCs/>
          <w:sz w:val="24"/>
          <w:szCs w:val="24"/>
        </w:rPr>
        <w:t>60%-95%。每个交易日日终在扣除股指期货、国债期货、股票期权合约需缴纳的</w:t>
      </w:r>
      <w:r>
        <w:rPr>
          <w:rFonts w:asciiTheme="minorEastAsia" w:hAnsiTheme="minorEastAsia" w:cs="Times New Roman" w:hint="eastAsia"/>
          <w:bCs/>
          <w:sz w:val="24"/>
          <w:szCs w:val="24"/>
        </w:rPr>
        <w:t>交易保证金以后，基金保留的现金或投资于到期日在一年以内的政府债券的比例合计不低于基金资产净值的</w:t>
      </w:r>
      <w:r>
        <w:rPr>
          <w:rFonts w:asciiTheme="minorEastAsia" w:hAnsiTheme="minorEastAsia" w:cs="Times New Roman"/>
          <w:bCs/>
          <w:sz w:val="24"/>
          <w:szCs w:val="24"/>
        </w:rPr>
        <w:t>5%，本基金所指的现金不包括结算备付金、存出保证金、应收申购款等。股指期货、国债期货、股票期权及其他金融工具的投资比例依照法律法规或监管机构的规定执行。</w:t>
      </w:r>
    </w:p>
    <w:p w14:paraId="6B0B2F0B"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2718BB60" w14:textId="77777777" w:rsidR="0069510E" w:rsidRDefault="00000000">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三、投资策略</w:t>
      </w:r>
      <w:r>
        <w:rPr>
          <w:rFonts w:asciiTheme="minorEastAsia" w:hAnsiTheme="minorEastAsia" w:cs="Times New Roman"/>
          <w:b/>
          <w:bCs/>
          <w:sz w:val="24"/>
          <w:szCs w:val="24"/>
        </w:rPr>
        <w:t xml:space="preserve"> </w:t>
      </w:r>
    </w:p>
    <w:p w14:paraId="7AD90772"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1、大类资产配置</w:t>
      </w:r>
    </w:p>
    <w:p w14:paraId="72FF9BBE"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本基金在资产配置上采取相对稳健的策略，采取“自上而下”的方式进行大类</w:t>
      </w:r>
      <w:r>
        <w:rPr>
          <w:rFonts w:asciiTheme="minorEastAsia" w:hAnsiTheme="minorEastAsia" w:cs="Times New Roman" w:hint="eastAsia"/>
          <w:bCs/>
          <w:sz w:val="24"/>
          <w:szCs w:val="24"/>
        </w:rPr>
        <w:lastRenderedPageBreak/>
        <w:t>资产配置，根据对宏观经济、市场面、政策面等因素进行定量与定性相结合的分析研究，根据各类资产不同的预期风险收益比来确定组合中股票、债券、货币市场工具及其他金融工具的比例。</w:t>
      </w:r>
    </w:p>
    <w:p w14:paraId="5306C7A0"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2、股票投资策略</w:t>
      </w:r>
    </w:p>
    <w:p w14:paraId="46252BDA"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1）行业配置策略</w:t>
      </w:r>
    </w:p>
    <w:p w14:paraId="1B102529"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本基金将通过分析以下因素，对各行业的投资价值进行综合评估，从而确定并动态调整行业配置比例。</w:t>
      </w:r>
    </w:p>
    <w:p w14:paraId="556E5D00"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1）行业景气度</w:t>
      </w:r>
    </w:p>
    <w:p w14:paraId="05F2B14E"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本基金将密切关注国家相关产业政策、规划动态，并结合行业数据持续跟踪、上下游产业</w:t>
      </w:r>
      <w:proofErr w:type="gramStart"/>
      <w:r>
        <w:rPr>
          <w:rFonts w:asciiTheme="minorEastAsia" w:hAnsiTheme="minorEastAsia" w:cs="Times New Roman" w:hint="eastAsia"/>
          <w:bCs/>
          <w:sz w:val="24"/>
          <w:szCs w:val="24"/>
        </w:rPr>
        <w:t>链深入</w:t>
      </w:r>
      <w:proofErr w:type="gramEnd"/>
      <w:r>
        <w:rPr>
          <w:rFonts w:asciiTheme="minorEastAsia" w:hAnsiTheme="minorEastAsia" w:cs="Times New Roman" w:hint="eastAsia"/>
          <w:bCs/>
          <w:sz w:val="24"/>
          <w:szCs w:val="24"/>
        </w:rPr>
        <w:t>进行调研等方法，根据相关行业盈利水平的横向与纵向比较，适时对各行业景气度周期与行业未来盈利趋势进行</w:t>
      </w:r>
      <w:proofErr w:type="gramStart"/>
      <w:r>
        <w:rPr>
          <w:rFonts w:asciiTheme="minorEastAsia" w:hAnsiTheme="minorEastAsia" w:cs="Times New Roman" w:hint="eastAsia"/>
          <w:bCs/>
          <w:sz w:val="24"/>
          <w:szCs w:val="24"/>
        </w:rPr>
        <w:t>研</w:t>
      </w:r>
      <w:proofErr w:type="gramEnd"/>
      <w:r>
        <w:rPr>
          <w:rFonts w:asciiTheme="minorEastAsia" w:hAnsiTheme="minorEastAsia" w:cs="Times New Roman" w:hint="eastAsia"/>
          <w:bCs/>
          <w:sz w:val="24"/>
          <w:szCs w:val="24"/>
        </w:rPr>
        <w:t>判，重点投资于景气度较高且具有可持续性的行业。</w:t>
      </w:r>
    </w:p>
    <w:p w14:paraId="4A88AAD1"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2）行业竞争格局</w:t>
      </w:r>
    </w:p>
    <w:p w14:paraId="780DF794"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本基金主要通过密切跟踪行业进入者的数量、行业内各公司的竞争策略及各公司产品或服务的市场份额来判断公司所处行业竞争格局的变化，重点投资于行业竞争格局良好的行业。</w:t>
      </w:r>
    </w:p>
    <w:p w14:paraId="4ADFD8EF"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2）个股投资策略</w:t>
      </w:r>
    </w:p>
    <w:p w14:paraId="08921F85"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本基金在积极进行行业配置的基础上，通过定量筛选和定性分析相结合的方式来分析和选择具有良好风险收益比的品种。</w:t>
      </w:r>
    </w:p>
    <w:p w14:paraId="68CFEADC"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首先根据定量指标进行初选，主要依据盈利能力（净资产收益率、销售毛利率、销售净利率、</w:t>
      </w:r>
      <w:r>
        <w:rPr>
          <w:rFonts w:asciiTheme="minorEastAsia" w:hAnsiTheme="minorEastAsia" w:cs="Times New Roman"/>
          <w:bCs/>
          <w:sz w:val="24"/>
          <w:szCs w:val="24"/>
        </w:rPr>
        <w:t>EBITDA/主营业务收入等）、成长性（主营业务收入增长率、营业利润增长率、净利润增长率、销售毛利率增长率、每股收益增长率等）、现金流状况（经营活动现金净流量、现金购销比率、营业现金回笼率等）、偿债能力（资产负债率、利息保障倍数、流动比率、速动比率等）、营运能力（应收账款周转率、存货周转率、总资产周转率、固定资产周转率等）等。主要参考以下定量指标：</w:t>
      </w:r>
    </w:p>
    <w:p w14:paraId="0B71E6F2"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①公司主营业务收入在未来一段时间的变化趋势，例如主营业务收入增速超越所在行业平均增速；</w:t>
      </w:r>
    </w:p>
    <w:p w14:paraId="2BB59068"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②公司扣除非经常性损益后的净利润在未来一段时间的变化趋势，例如</w:t>
      </w:r>
      <w:proofErr w:type="gramStart"/>
      <w:r>
        <w:rPr>
          <w:rFonts w:asciiTheme="minorEastAsia" w:hAnsiTheme="minorEastAsia" w:cs="Times New Roman" w:hint="eastAsia"/>
          <w:bCs/>
          <w:sz w:val="24"/>
          <w:szCs w:val="24"/>
        </w:rPr>
        <w:t>扣非净</w:t>
      </w:r>
      <w:proofErr w:type="gramEnd"/>
      <w:r>
        <w:rPr>
          <w:rFonts w:asciiTheme="minorEastAsia" w:hAnsiTheme="minorEastAsia" w:cs="Times New Roman" w:hint="eastAsia"/>
          <w:bCs/>
          <w:sz w:val="24"/>
          <w:szCs w:val="24"/>
        </w:rPr>
        <w:t>利润增速超越所在行业平均增速；</w:t>
      </w:r>
    </w:p>
    <w:p w14:paraId="6F71ABFD"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③公司盈利能力在未来一段时间的变化趋势，例如盈利能力位于行业所在排名前</w:t>
      </w:r>
      <w:r>
        <w:rPr>
          <w:rFonts w:asciiTheme="minorEastAsia" w:hAnsiTheme="minorEastAsia" w:cs="Times New Roman"/>
          <w:bCs/>
          <w:sz w:val="24"/>
          <w:szCs w:val="24"/>
        </w:rPr>
        <w:t>50%，盈利能力定量指标包括净资产收益率（ROE），投资资本回报（ROIC）等。</w:t>
      </w:r>
    </w:p>
    <w:p w14:paraId="76DFEA50"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在定量初选的基础上，定性方面首先考虑公司管理层的诚实与勤勉，是否已经证明了其领导能力和执行能力，公司的企业文化是否有正确的价值导向；公司的发展布局和战略的合理性和可行性；公司的竞争优势是否随着产业发展而逐步加强。</w:t>
      </w:r>
    </w:p>
    <w:p w14:paraId="072D045D"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基金经理结合定量和定性研究以及实地调研，筛选出行业增长空间广阔、业务布局合理、基本面健康的优秀公司作为本基金的核心投资标的，根据个股的风险收益比选择投资的时机。</w:t>
      </w:r>
    </w:p>
    <w:p w14:paraId="650D1CA7"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在构建组合过程中，坚持风格均衡、个股适度、逆向投资和控制回撤。对于行业构成和个股风险收益比进行持续的权衡和优化，在确保组合在风险可控的前提下，获取稳健收益。</w:t>
      </w:r>
    </w:p>
    <w:p w14:paraId="43112DB3"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3、存托凭证投资策略</w:t>
      </w:r>
    </w:p>
    <w:p w14:paraId="05130F9C" w14:textId="77777777" w:rsidR="0069510E" w:rsidRDefault="00000000">
      <w:pPr>
        <w:spacing w:line="360" w:lineRule="auto"/>
        <w:ind w:firstLineChars="200" w:firstLine="480"/>
        <w:rPr>
          <w:bCs/>
          <w:sz w:val="24"/>
        </w:rPr>
      </w:pPr>
      <w:r>
        <w:rPr>
          <w:rFonts w:hint="eastAsia"/>
          <w:bCs/>
          <w:sz w:val="24"/>
        </w:rPr>
        <w:t>本基金将在控制风险的前提下，依照基金投资目标和股票投资策略，基于对基础证券投资价值的深入研究和判断，通过定性分析和定量分析相结合的方式，精选出具有比较优势的存托凭证。</w:t>
      </w:r>
    </w:p>
    <w:p w14:paraId="474A9682"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4、债券投资策略</w:t>
      </w:r>
    </w:p>
    <w:p w14:paraId="137CD3F8"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1）资产配置策略</w:t>
      </w:r>
    </w:p>
    <w:p w14:paraId="36DC834C"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将通过对宏观经济运行情况、国家货币及财政政策、资本市场资金环境等重要因素的研究和预测，结合投资时钟理论并利用公司研究开发的多因子模型等数量工具，优化基金资产在利率债、信用债以及货币市场工具等各类固定收益类金融工具之间的配置比例。</w:t>
      </w:r>
    </w:p>
    <w:p w14:paraId="44A5C8E9"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2）利率类品种投资策略</w:t>
      </w:r>
    </w:p>
    <w:p w14:paraId="2719655E"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对国债等利率品种的投资，是在对国内外宏观经济运行状况及政策环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的前提下，综合考虑组合的流动性，决定投资品种。</w:t>
      </w:r>
    </w:p>
    <w:p w14:paraId="14528F02"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3）信用债投资策略</w:t>
      </w:r>
    </w:p>
    <w:p w14:paraId="3E44FA9F"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本基金将在深入的宏观研究基础上，综合分析各类信用债发行主体所处行业环</w:t>
      </w:r>
      <w:r>
        <w:rPr>
          <w:rFonts w:asciiTheme="minorEastAsia" w:hAnsiTheme="minorEastAsia" w:cs="Times New Roman" w:hint="eastAsia"/>
          <w:bCs/>
          <w:sz w:val="24"/>
          <w:szCs w:val="24"/>
        </w:rPr>
        <w:lastRenderedPageBreak/>
        <w:t>境、发行人所处的市场地位、财务状况、管理水平等因素后，结合具体发行契约，对债券进行信用评级。在此基础上，建立信用类债券池，积极发掘信用利差具有相对投资机会的</w:t>
      </w:r>
      <w:proofErr w:type="gramStart"/>
      <w:r>
        <w:rPr>
          <w:rFonts w:asciiTheme="minorEastAsia" w:hAnsiTheme="minorEastAsia" w:cs="Times New Roman" w:hint="eastAsia"/>
          <w:bCs/>
          <w:sz w:val="24"/>
          <w:szCs w:val="24"/>
        </w:rPr>
        <w:t>个券</w:t>
      </w:r>
      <w:proofErr w:type="gramEnd"/>
      <w:r>
        <w:rPr>
          <w:rFonts w:asciiTheme="minorEastAsia" w:hAnsiTheme="minorEastAsia" w:cs="Times New Roman" w:hint="eastAsia"/>
          <w:bCs/>
          <w:sz w:val="24"/>
          <w:szCs w:val="24"/>
        </w:rPr>
        <w:t>进行投资。</w:t>
      </w:r>
    </w:p>
    <w:p w14:paraId="774F76C2"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4）可转换债券投资策略</w:t>
      </w:r>
    </w:p>
    <w:p w14:paraId="3E8BD7E1"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可转换债券兼具权益类证券与固定收益类证券的特性，具有抵御下行风险、分享股票价格上涨收益的特点。本基金在对可转换公司债</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条款和发行债券公司基本面进行深入分析研究的基础上，综合考虑可转换债券</w:t>
      </w:r>
      <w:proofErr w:type="gramStart"/>
      <w:r>
        <w:rPr>
          <w:rFonts w:asciiTheme="minorEastAsia" w:hAnsiTheme="minorEastAsia" w:cs="Times New Roman" w:hint="eastAsia"/>
          <w:bCs/>
          <w:sz w:val="24"/>
          <w:szCs w:val="24"/>
        </w:rPr>
        <w:t>的债性和</w:t>
      </w:r>
      <w:proofErr w:type="gramEnd"/>
      <w:r>
        <w:rPr>
          <w:rFonts w:asciiTheme="minorEastAsia" w:hAnsiTheme="minorEastAsia" w:cs="Times New Roman" w:hint="eastAsia"/>
          <w:bCs/>
          <w:sz w:val="24"/>
          <w:szCs w:val="24"/>
        </w:rPr>
        <w:t>股性，利用可转换公司债</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定价模型进行估值分析，并最终选择合适的投资品种。</w:t>
      </w:r>
    </w:p>
    <w:p w14:paraId="15E59FB1"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5、资产支持证券投资策略</w:t>
      </w:r>
    </w:p>
    <w:p w14:paraId="252C11AF"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本基金投资资产支持证券将综合</w:t>
      </w:r>
      <w:proofErr w:type="gramStart"/>
      <w:r>
        <w:rPr>
          <w:rFonts w:asciiTheme="minorEastAsia" w:hAnsiTheme="minorEastAsia" w:cs="Times New Roman" w:hint="eastAsia"/>
          <w:bCs/>
          <w:sz w:val="24"/>
          <w:szCs w:val="24"/>
        </w:rPr>
        <w:t>运用久期管理</w:t>
      </w:r>
      <w:proofErr w:type="gramEnd"/>
      <w:r>
        <w:rPr>
          <w:rFonts w:asciiTheme="minorEastAsia" w:hAnsiTheme="minorEastAsia" w:cs="Times New Roman" w:hint="eastAsia"/>
          <w:bCs/>
          <w:sz w:val="24"/>
          <w:szCs w:val="24"/>
        </w:rPr>
        <w:t>、收益率曲线、</w:t>
      </w:r>
      <w:proofErr w:type="gramStart"/>
      <w:r>
        <w:rPr>
          <w:rFonts w:asciiTheme="minorEastAsia" w:hAnsiTheme="minorEastAsia" w:cs="Times New Roman" w:hint="eastAsia"/>
          <w:bCs/>
          <w:sz w:val="24"/>
          <w:szCs w:val="24"/>
        </w:rPr>
        <w:t>个券</w:t>
      </w:r>
      <w:proofErr w:type="gramEnd"/>
      <w:r>
        <w:rPr>
          <w:rFonts w:asciiTheme="minorEastAsia" w:hAnsiTheme="minorEastAsia" w:cs="Times New Roman" w:hint="eastAsia"/>
          <w:bCs/>
          <w:sz w:val="24"/>
          <w:szCs w:val="24"/>
        </w:rPr>
        <w:t>选择和把握市场交易机会等积极策略，在严格遵守法律法规和基金合同基础上，通过信用研究和流动性管理，选择经风险调整后相对价值较高的品种进行投资，以期获得长期稳定收益。</w:t>
      </w:r>
    </w:p>
    <w:p w14:paraId="26AF2BE2"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6、衍生</w:t>
      </w:r>
      <w:proofErr w:type="gramStart"/>
      <w:r>
        <w:rPr>
          <w:rFonts w:asciiTheme="minorEastAsia" w:hAnsiTheme="minorEastAsia" w:cs="Times New Roman" w:hint="eastAsia"/>
          <w:bCs/>
          <w:sz w:val="24"/>
          <w:szCs w:val="24"/>
        </w:rPr>
        <w:t>品投资</w:t>
      </w:r>
      <w:proofErr w:type="gramEnd"/>
      <w:r>
        <w:rPr>
          <w:rFonts w:asciiTheme="minorEastAsia" w:hAnsiTheme="minorEastAsia" w:cs="Times New Roman" w:hint="eastAsia"/>
          <w:bCs/>
          <w:sz w:val="24"/>
          <w:szCs w:val="24"/>
        </w:rPr>
        <w:t>策略</w:t>
      </w:r>
    </w:p>
    <w:p w14:paraId="2933579E"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本基金的衍生</w:t>
      </w:r>
      <w:proofErr w:type="gramStart"/>
      <w:r>
        <w:rPr>
          <w:rFonts w:asciiTheme="minorEastAsia" w:hAnsiTheme="minorEastAsia" w:cs="Times New Roman" w:hint="eastAsia"/>
          <w:bCs/>
          <w:sz w:val="24"/>
          <w:szCs w:val="24"/>
        </w:rPr>
        <w:t>品投资</w:t>
      </w:r>
      <w:proofErr w:type="gramEnd"/>
      <w:r>
        <w:rPr>
          <w:rFonts w:asciiTheme="minorEastAsia" w:hAnsiTheme="minorEastAsia" w:cs="Times New Roman" w:hint="eastAsia"/>
          <w:bCs/>
          <w:sz w:val="24"/>
          <w:szCs w:val="24"/>
        </w:rPr>
        <w:t>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w:t>
      </w:r>
      <w:proofErr w:type="gramStart"/>
      <w:r>
        <w:rPr>
          <w:rFonts w:asciiTheme="minorEastAsia" w:hAnsiTheme="minorEastAsia" w:cs="Times New Roman" w:hint="eastAsia"/>
          <w:bCs/>
          <w:sz w:val="24"/>
          <w:szCs w:val="24"/>
        </w:rPr>
        <w:t>或调仓过程</w:t>
      </w:r>
      <w:proofErr w:type="gramEnd"/>
      <w:r>
        <w:rPr>
          <w:rFonts w:asciiTheme="minorEastAsia" w:hAnsiTheme="minorEastAsia" w:cs="Times New Roman" w:hint="eastAsia"/>
          <w:bCs/>
          <w:sz w:val="24"/>
          <w:szCs w:val="24"/>
        </w:rPr>
        <w:t>中的冲击成本等。</w:t>
      </w:r>
    </w:p>
    <w:p w14:paraId="31B50C0F"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1）股指期货投资策略</w:t>
      </w:r>
    </w:p>
    <w:p w14:paraId="099C761E"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场运行趋势的研究，并结合股指期货的定价模型寻求其合理的估值水平。</w:t>
      </w:r>
    </w:p>
    <w:p w14:paraId="526C0822"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基金管理人针对股指期货交易制订严格的授权管理制度和投资决策流程，确保研究分析、投资决策、交易执行及风险控制各环节的独立运作，并明确相关岗位职责。</w:t>
      </w:r>
    </w:p>
    <w:p w14:paraId="1580D2C7"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2）国债期货投资策略</w:t>
      </w:r>
    </w:p>
    <w:p w14:paraId="0A22C848"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本基金参与国债期货投资将根据风险管理的原则，以套期保值为目的。本基金</w:t>
      </w:r>
      <w:r>
        <w:rPr>
          <w:rFonts w:asciiTheme="minorEastAsia" w:hAnsiTheme="minorEastAsia" w:cs="Times New Roman" w:hint="eastAsia"/>
          <w:bCs/>
          <w:sz w:val="24"/>
          <w:szCs w:val="24"/>
        </w:rPr>
        <w:lastRenderedPageBreak/>
        <w:t>将在风险可控的前提下，本着谨慎原则，参与国债期货的投资，以管理投资组合的系统性风险，改善组合的风险收益特性。</w:t>
      </w:r>
    </w:p>
    <w:p w14:paraId="736A172B"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基金管理人针对国债期货交易制订严格的授权管理制度和投资决策流程，确保研究分析、投资决策、交易执行及风险控制各环节的独立运作，并明确相关岗位职责。</w:t>
      </w:r>
    </w:p>
    <w:p w14:paraId="4807C27C"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3）股票期权投资策略</w:t>
      </w:r>
    </w:p>
    <w:p w14:paraId="6CBCDE3E"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估值合理的股票期权合约进行投资。</w:t>
      </w:r>
    </w:p>
    <w:p w14:paraId="24A6F081"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基金管理人将针对股票期权交易制订严格的授权管理制度和投资决策流程，确保投资、</w:t>
      </w:r>
      <w:proofErr w:type="gramStart"/>
      <w:r>
        <w:rPr>
          <w:rFonts w:asciiTheme="minorEastAsia" w:hAnsiTheme="minorEastAsia" w:cs="Times New Roman" w:hint="eastAsia"/>
          <w:bCs/>
          <w:sz w:val="24"/>
          <w:szCs w:val="24"/>
        </w:rPr>
        <w:t>风控等</w:t>
      </w:r>
      <w:proofErr w:type="gramEnd"/>
      <w:r>
        <w:rPr>
          <w:rFonts w:asciiTheme="minorEastAsia" w:hAnsiTheme="minorEastAsia" w:cs="Times New Roman" w:hint="eastAsia"/>
          <w:bCs/>
          <w:sz w:val="24"/>
          <w:szCs w:val="24"/>
        </w:rPr>
        <w:t>核心岗位人员具备股票期权业务知识和相应的专业能力，严格防范股票期权投资的风险。</w:t>
      </w:r>
    </w:p>
    <w:p w14:paraId="336541A2"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7、参与融资业务投资策略</w:t>
      </w:r>
    </w:p>
    <w:p w14:paraId="4E93A33E"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本基金在参与融资时将根据风险管理的原则，在法律法规允许的范围和比例内、风险可控的前提下，本着谨慎原则，参与融资业务。</w:t>
      </w:r>
    </w:p>
    <w:p w14:paraId="10EA4EA1" w14:textId="77777777" w:rsidR="0069510E" w:rsidRDefault="00000000">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四、投资限制</w:t>
      </w:r>
    </w:p>
    <w:p w14:paraId="07D72672"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1、组合限制</w:t>
      </w:r>
    </w:p>
    <w:p w14:paraId="63EAA07B"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基金的投资组合应遵循以下限制：</w:t>
      </w:r>
    </w:p>
    <w:p w14:paraId="3B1B69F2"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1）股票资产占基金资产的比例为60%-95%；</w:t>
      </w:r>
    </w:p>
    <w:p w14:paraId="25BC4BE5"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43B86802"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3）本基金持有一家公司发行的证券，其市值不超过基金资产净值的10％；</w:t>
      </w:r>
    </w:p>
    <w:p w14:paraId="147AEA13"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4）本基金管理人管理的全部基金持有一家公司发行的证券，不超过该证券的10％；</w:t>
      </w:r>
    </w:p>
    <w:p w14:paraId="4A728A1B"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5）本基金投资于同一原始权益人的各类资产支持证券的比例，不得超过基金资产净值的10%；</w:t>
      </w:r>
    </w:p>
    <w:p w14:paraId="27291849"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6）本基金持有的全部资产支持证券，其市值不得超过基金资产净值的20%；</w:t>
      </w:r>
    </w:p>
    <w:p w14:paraId="6E956043"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7）本基金持有的同一(指同一信用级别)资产支持证券的比例，不得超过该资产支持证券规模的10%；</w:t>
      </w:r>
    </w:p>
    <w:p w14:paraId="739AEFEF"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8）本基金管理人管理的全部证券投资基金投资于同一原始权益人的各类资产支持证券，不得超过其各类资产支持证券合计规模的10%；</w:t>
      </w:r>
    </w:p>
    <w:p w14:paraId="19F39EEF"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3224FB16"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10）基金财产参与股票发行申购，本基金所申报的金额不超过本基金的总资产，本基金所申报的股票数量不超过拟发行股票公司本次发行股票的总量；</w:t>
      </w:r>
    </w:p>
    <w:p w14:paraId="4FC140AD"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11）本基金进入全国银行间同业市场进行债券回购的资金余额不得超过基金资产净值的40%；本基金在全国银行间同业市场的债券回购最长期限为1年，债券回购到期后不得展期；</w:t>
      </w:r>
    </w:p>
    <w:p w14:paraId="43DB03D7"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12）本基金参与股指期货、国债期货交易依据下列标准建构组合：</w:t>
      </w:r>
    </w:p>
    <w:p w14:paraId="442F2486"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5F990537"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2）在任何交易日日终，持有的买入股指期货合约价值，不得超过基金资产净值的10%；在任何交易日日终，持有的买入国债期货合约价值，不得超过基金资产净值的15%；</w:t>
      </w:r>
    </w:p>
    <w:p w14:paraId="0C69F556"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3）在任何交易日日终，持有的卖出股指期货合约价值不得超过基金持有的股票总市值的20%；在任何交易日日终，持有的卖出国债期货合约价值不得超过基金持有的债券总市值的30%；</w:t>
      </w:r>
    </w:p>
    <w:p w14:paraId="57F59C5D"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047C7780"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5）本基金在任何交易日内交易（不包括平仓）的股指期货合约的成交金额不得超过上一交易日基金资产净值的20%；本基金在任何交易日内交易（不包括平仓）</w:t>
      </w:r>
      <w:r>
        <w:rPr>
          <w:rFonts w:asciiTheme="minorEastAsia" w:hAnsiTheme="minorEastAsia" w:cs="Times New Roman" w:hint="eastAsia"/>
          <w:bCs/>
          <w:sz w:val="24"/>
          <w:szCs w:val="24"/>
        </w:rPr>
        <w:lastRenderedPageBreak/>
        <w:t>的国债期货合约的成交金额不得超过上一交易日基金资产净值的</w:t>
      </w:r>
      <w:r>
        <w:rPr>
          <w:rFonts w:asciiTheme="minorEastAsia" w:hAnsiTheme="minorEastAsia" w:cs="Times New Roman"/>
          <w:bCs/>
          <w:sz w:val="24"/>
          <w:szCs w:val="24"/>
        </w:rPr>
        <w:t>30%；</w:t>
      </w:r>
    </w:p>
    <w:p w14:paraId="36012991"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65A45EC3"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14）基金资产</w:t>
      </w:r>
      <w:r>
        <w:rPr>
          <w:rFonts w:asciiTheme="minorEastAsia" w:hAnsiTheme="minorEastAsia" w:cs="Times New Roman" w:hint="eastAsia"/>
          <w:bCs/>
          <w:sz w:val="24"/>
          <w:szCs w:val="24"/>
        </w:rPr>
        <w:t>总值不得超过基金资产净值的</w:t>
      </w:r>
      <w:r>
        <w:rPr>
          <w:rFonts w:asciiTheme="minorEastAsia" w:hAnsiTheme="minorEastAsia" w:cs="Times New Roman"/>
          <w:bCs/>
          <w:sz w:val="24"/>
          <w:szCs w:val="24"/>
        </w:rPr>
        <w:t>140%；</w:t>
      </w:r>
    </w:p>
    <w:p w14:paraId="6DD45CCB"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06F8BE8D"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16）本基金主动投资于流动性受限资产的市值合计不得超过</w:t>
      </w:r>
      <w:r>
        <w:rPr>
          <w:rFonts w:asciiTheme="minorEastAsia" w:hAnsiTheme="minorEastAsia" w:cs="Times New Roman" w:hint="eastAsia"/>
          <w:bCs/>
          <w:sz w:val="24"/>
          <w:szCs w:val="24"/>
        </w:rPr>
        <w:t>基金资产净值的</w:t>
      </w:r>
      <w:r>
        <w:rPr>
          <w:rFonts w:asciiTheme="minorEastAsia" w:hAnsiTheme="minorEastAsia" w:cs="Times New Roman"/>
          <w:bCs/>
          <w:sz w:val="24"/>
          <w:szCs w:val="24"/>
        </w:rPr>
        <w:t>15%；</w:t>
      </w:r>
    </w:p>
    <w:p w14:paraId="0FB2E2CB"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因证券市场波动、上市公司股票停牌、基金规模变动等基金管理人之外的因素致使基金不符合前款所规定比例限制的，基金管理人不得主动新增流动性受限资产的投资；</w:t>
      </w:r>
    </w:p>
    <w:p w14:paraId="5CB348BB"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17）本基金与私募类</w:t>
      </w:r>
      <w:proofErr w:type="gramStart"/>
      <w:r>
        <w:rPr>
          <w:rFonts w:asciiTheme="minorEastAsia" w:hAnsiTheme="minorEastAsia" w:cs="Times New Roman" w:hint="eastAsia"/>
          <w:bCs/>
          <w:sz w:val="24"/>
          <w:szCs w:val="24"/>
        </w:rPr>
        <w:t>证券资管产品</w:t>
      </w:r>
      <w:proofErr w:type="gramEnd"/>
      <w:r>
        <w:rPr>
          <w:rFonts w:asciiTheme="minorEastAsia" w:hAnsiTheme="minorEastAsia" w:cs="Times New Roman" w:hint="eastAsia"/>
          <w:bCs/>
          <w:sz w:val="24"/>
          <w:szCs w:val="24"/>
        </w:rPr>
        <w:t>及中国证监会认定的其他主体为交易对手开展逆回购交易的，可接受质押品的资质要求应当与基金合同约定的投资范围保持一致；</w:t>
      </w:r>
    </w:p>
    <w:p w14:paraId="64FA169B"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18）本基金参与股票期权交易的，需遵守下列投资比例限制：</w:t>
      </w:r>
    </w:p>
    <w:p w14:paraId="69422EFE"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1）本基金因未平仓的期权合约支付和收取的权利金总额不得超过基金资产净值的10%；</w:t>
      </w:r>
    </w:p>
    <w:p w14:paraId="2B11BBB0"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2）本基金开仓卖出认购期权的，应持有足额标的证券；开仓卖出认沽期权的，应持有合约行权所需的全额现金或交易所规则认可的可冲抵期权保证金的现金等价物；</w:t>
      </w:r>
    </w:p>
    <w:p w14:paraId="625A1A9D"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3）本基金未平仓的期权合约面值不得超过基金资产净值的20%。其中，合约面值按照行权价乘以合约乘数计算；</w:t>
      </w:r>
    </w:p>
    <w:p w14:paraId="35BBE469"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19</w:t>
      </w:r>
      <w:r>
        <w:rPr>
          <w:rFonts w:asciiTheme="minorEastAsia" w:hAnsiTheme="minorEastAsia" w:cs="Times New Roman" w:hint="eastAsia"/>
          <w:bCs/>
          <w:sz w:val="24"/>
          <w:szCs w:val="24"/>
        </w:rPr>
        <w:t>）本基金投资存托凭证的比例限制依照境内上市交易的股票执行，与境内上市交易的股票合并计算；</w:t>
      </w:r>
    </w:p>
    <w:p w14:paraId="04364ECA"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20</w:t>
      </w:r>
      <w:r>
        <w:rPr>
          <w:rFonts w:asciiTheme="minorEastAsia" w:hAnsiTheme="minorEastAsia" w:cs="Times New Roman" w:hint="eastAsia"/>
          <w:bCs/>
          <w:sz w:val="24"/>
          <w:szCs w:val="24"/>
        </w:rPr>
        <w:t>）本基金参与融资的，每个交易日日终，本基金持有的融资买入股票与其他有价证券市值之和，不得超过基金资产净值的</w:t>
      </w:r>
      <w:r>
        <w:rPr>
          <w:rFonts w:asciiTheme="minorEastAsia" w:hAnsiTheme="minorEastAsia" w:cs="Times New Roman"/>
          <w:bCs/>
          <w:sz w:val="24"/>
          <w:szCs w:val="24"/>
        </w:rPr>
        <w:t>95%；</w:t>
      </w:r>
    </w:p>
    <w:p w14:paraId="3279492A"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21</w:t>
      </w:r>
      <w:r>
        <w:rPr>
          <w:rFonts w:asciiTheme="minorEastAsia" w:hAnsiTheme="minorEastAsia" w:cs="Times New Roman" w:hint="eastAsia"/>
          <w:bCs/>
          <w:sz w:val="24"/>
          <w:szCs w:val="24"/>
        </w:rPr>
        <w:t>）法律法规及中国证监会规定的和《基金合同》约定的其他投资限制。</w:t>
      </w:r>
    </w:p>
    <w:p w14:paraId="71F8A96B"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除上述第（</w:t>
      </w:r>
      <w:r>
        <w:rPr>
          <w:rFonts w:asciiTheme="minorEastAsia" w:hAnsiTheme="minorEastAsia" w:cs="Times New Roman"/>
          <w:bCs/>
          <w:sz w:val="24"/>
          <w:szCs w:val="24"/>
        </w:rPr>
        <w:t>2）、（9）、（13）、（16）、（17）项另有约定外，因证券、期货市场波动、</w:t>
      </w:r>
      <w:r>
        <w:rPr>
          <w:rFonts w:asciiTheme="minorEastAsia" w:hAnsiTheme="minorEastAsia" w:cs="Times New Roman" w:hint="eastAsia"/>
          <w:bCs/>
          <w:sz w:val="24"/>
          <w:szCs w:val="24"/>
        </w:rPr>
        <w:t>证券发行人合并、基金规模变动等基金管理人之外的因素致使基金投资比例不符合上述规定投资比例的，基金管理人应当在</w:t>
      </w:r>
      <w:r>
        <w:rPr>
          <w:rFonts w:asciiTheme="minorEastAsia" w:hAnsiTheme="minorEastAsia" w:cs="Times New Roman"/>
          <w:bCs/>
          <w:sz w:val="24"/>
          <w:szCs w:val="24"/>
        </w:rPr>
        <w:t>10个交易日内进行调整，但中国证监会规定的特殊情形除外。</w:t>
      </w:r>
    </w:p>
    <w:p w14:paraId="6B8873EA"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基金管理人应当自基金合同生效之日起</w:t>
      </w:r>
      <w:r>
        <w:rPr>
          <w:rFonts w:asciiTheme="minorEastAsia" w:hAnsiTheme="minorEastAsia" w:cs="Times New Roman"/>
          <w:bCs/>
          <w:sz w:val="24"/>
          <w:szCs w:val="24"/>
        </w:rPr>
        <w:t>6个月内使基金的投资组合比例符合基金合同的有关约定。在此期间，基金的投资范围、投资策略应当符合基金合同的约定。基金托管人对基金的投资的监督与检查自基金合同生效之日起开始。</w:t>
      </w:r>
    </w:p>
    <w:p w14:paraId="6CD3D68F"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法律法规或监管部门取消或变更上述限制，如适用于本基金，基金管理人在履行适当程序后，则本基金投资不再受相关限制或以变更后的规定为准。</w:t>
      </w:r>
    </w:p>
    <w:p w14:paraId="15DB2436"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2、禁止行为</w:t>
      </w:r>
    </w:p>
    <w:p w14:paraId="1308F3A0"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为维护基金份额持有人的合法权益，基金财产不得用于下列投资或者活动：</w:t>
      </w:r>
    </w:p>
    <w:p w14:paraId="597709F4"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1）承销证券；</w:t>
      </w:r>
    </w:p>
    <w:p w14:paraId="46C5C4C2"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2）违反规定向他人贷款或者提供担保；</w:t>
      </w:r>
    </w:p>
    <w:p w14:paraId="2C1A2EA1"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3）从事承担无限责任的投资；</w:t>
      </w:r>
    </w:p>
    <w:p w14:paraId="037B9C67"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4）买卖其他基金份额，但是中国证监会另有规定的除外；</w:t>
      </w:r>
    </w:p>
    <w:p w14:paraId="382BBA97"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5）向基金管理人、基金托管人出资；</w:t>
      </w:r>
    </w:p>
    <w:p w14:paraId="00A1FBEA"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6）从事内幕交易、操纵证券交易价格及其他不正当的证券交易活动；</w:t>
      </w:r>
    </w:p>
    <w:p w14:paraId="6149F74E"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7）法律、行政法规和中国证监会规定禁止的其他活动。</w:t>
      </w:r>
    </w:p>
    <w:p w14:paraId="6DA1471F"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5F32691F"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法律、行政法规或监管部门取消或调整上述禁止行为，如适用于本基金，基金管理人在履行适当程序后，则本基金投资按照取消或调整后的规定执行。</w:t>
      </w:r>
    </w:p>
    <w:p w14:paraId="2BF7A3A7" w14:textId="77777777" w:rsidR="0069510E" w:rsidRDefault="00000000">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五、业绩比较基准</w:t>
      </w:r>
    </w:p>
    <w:p w14:paraId="564E0BE4"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1、业绩比较基准</w:t>
      </w:r>
    </w:p>
    <w:p w14:paraId="0B2B1BF3"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沪深</w:t>
      </w:r>
      <w:r>
        <w:rPr>
          <w:rFonts w:asciiTheme="minorEastAsia" w:hAnsiTheme="minorEastAsia" w:cs="Times New Roman"/>
          <w:bCs/>
          <w:sz w:val="24"/>
          <w:szCs w:val="24"/>
        </w:rPr>
        <w:t>300指数收益率</w:t>
      </w:r>
      <w:r>
        <w:rPr>
          <w:rFonts w:asciiTheme="minorEastAsia" w:hAnsiTheme="minorEastAsia" w:cs="Times New Roman" w:hint="eastAsia"/>
          <w:bCs/>
          <w:sz w:val="24"/>
          <w:szCs w:val="24"/>
        </w:rPr>
        <w:t>×</w:t>
      </w:r>
      <w:r>
        <w:rPr>
          <w:rFonts w:asciiTheme="minorEastAsia" w:hAnsiTheme="minorEastAsia" w:cs="Times New Roman"/>
          <w:bCs/>
          <w:sz w:val="24"/>
          <w:szCs w:val="24"/>
        </w:rPr>
        <w:t>70%+中</w:t>
      </w:r>
      <w:proofErr w:type="gramStart"/>
      <w:r>
        <w:rPr>
          <w:rFonts w:asciiTheme="minorEastAsia" w:hAnsiTheme="minorEastAsia" w:cs="Times New Roman" w:hint="eastAsia"/>
          <w:bCs/>
          <w:sz w:val="24"/>
          <w:szCs w:val="24"/>
        </w:rPr>
        <w:t>债综合</w:t>
      </w:r>
      <w:proofErr w:type="gramEnd"/>
      <w:r>
        <w:rPr>
          <w:rFonts w:asciiTheme="minorEastAsia" w:hAnsiTheme="minorEastAsia" w:cs="Times New Roman" w:hint="eastAsia"/>
          <w:bCs/>
          <w:sz w:val="24"/>
          <w:szCs w:val="24"/>
        </w:rPr>
        <w:t>指数收益率×</w:t>
      </w:r>
      <w:r>
        <w:rPr>
          <w:rFonts w:asciiTheme="minorEastAsia" w:hAnsiTheme="minorEastAsia" w:cs="Times New Roman"/>
          <w:bCs/>
          <w:sz w:val="24"/>
          <w:szCs w:val="24"/>
        </w:rPr>
        <w:t>30%</w:t>
      </w:r>
    </w:p>
    <w:p w14:paraId="0FDBDEE5"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2、选择业绩比较基准的理由</w:t>
      </w:r>
    </w:p>
    <w:p w14:paraId="0102B1B7"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沪深</w:t>
      </w:r>
      <w:r>
        <w:rPr>
          <w:rFonts w:asciiTheme="minorEastAsia" w:hAnsiTheme="minorEastAsia" w:cs="Times New Roman"/>
          <w:bCs/>
          <w:sz w:val="24"/>
          <w:szCs w:val="24"/>
        </w:rPr>
        <w:t xml:space="preserve">300指数是由中证指数有限公司开发的中国 A </w:t>
      </w:r>
      <w:r>
        <w:rPr>
          <w:rFonts w:asciiTheme="minorEastAsia" w:hAnsiTheme="minorEastAsia" w:cs="Times New Roman" w:hint="eastAsia"/>
          <w:bCs/>
          <w:sz w:val="24"/>
          <w:szCs w:val="24"/>
        </w:rPr>
        <w:t>股市场指数，由上海和深圳证券市场中市值大、流动性好的</w:t>
      </w:r>
      <w:r>
        <w:rPr>
          <w:rFonts w:asciiTheme="minorEastAsia" w:hAnsiTheme="minorEastAsia" w:cs="Times New Roman"/>
          <w:bCs/>
          <w:sz w:val="24"/>
          <w:szCs w:val="24"/>
        </w:rPr>
        <w:t>300只股票组成，综合反映中国A股市场上市股票价格的整体表现。</w:t>
      </w:r>
    </w:p>
    <w:p w14:paraId="5F6867A2"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中</w:t>
      </w:r>
      <w:proofErr w:type="gramStart"/>
      <w:r>
        <w:rPr>
          <w:rFonts w:asciiTheme="minorEastAsia" w:hAnsiTheme="minorEastAsia" w:cs="Times New Roman" w:hint="eastAsia"/>
          <w:bCs/>
          <w:sz w:val="24"/>
          <w:szCs w:val="24"/>
        </w:rPr>
        <w:t>债综合</w:t>
      </w:r>
      <w:proofErr w:type="gramEnd"/>
      <w:r>
        <w:rPr>
          <w:rFonts w:asciiTheme="minorEastAsia" w:hAnsiTheme="minorEastAsia" w:cs="Times New Roman" w:hint="eastAsia"/>
          <w:bCs/>
          <w:sz w:val="24"/>
          <w:szCs w:val="24"/>
        </w:rPr>
        <w:t>指数是由中央国债登记结算有限责任公司编制的中国全市场债券指数，是目前市场上专业、权威和稳定的，且能够较好地反映债券市场整体状况的债券指数。</w:t>
      </w:r>
    </w:p>
    <w:p w14:paraId="435CADDC"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如果今后法律法规发生变化，</w:t>
      </w:r>
      <w:r>
        <w:rPr>
          <w:rFonts w:hint="eastAsia"/>
          <w:bCs/>
          <w:sz w:val="24"/>
        </w:rPr>
        <w:t>或指数编制单位停止编制该指数或更改指数名称，</w:t>
      </w:r>
      <w:r>
        <w:rPr>
          <w:rFonts w:asciiTheme="minorEastAsia" w:hAnsiTheme="minorEastAsia" w:cs="Times New Roman" w:hint="eastAsia"/>
          <w:bCs/>
          <w:sz w:val="24"/>
          <w:szCs w:val="24"/>
        </w:rPr>
        <w:t>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变更业绩比较基准并及时公告，而无需召开基金份额持有人大会。</w:t>
      </w:r>
    </w:p>
    <w:p w14:paraId="5586A777" w14:textId="77777777" w:rsidR="0069510E" w:rsidRDefault="00000000">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六、风险收益特征</w:t>
      </w:r>
    </w:p>
    <w:p w14:paraId="29D35234"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本基金为混合型证券投资基金，其预期风险收益水平高于债券型基金及货币市场基金，低于股票型基金。</w:t>
      </w:r>
    </w:p>
    <w:p w14:paraId="2B0563CB" w14:textId="77777777" w:rsidR="0069510E" w:rsidRDefault="00000000">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七、基金管理人代表基金行使股东或债权人权利的处理原则及方法</w:t>
      </w:r>
    </w:p>
    <w:p w14:paraId="08D2207E"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 xml:space="preserve">1、基金管理人按照国家有关规定代表基金独立行使股东或债权人权利，保护基金份额持有人的利益； </w:t>
      </w:r>
    </w:p>
    <w:p w14:paraId="003528AA"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 xml:space="preserve">2、不谋求对上市公司的控股； </w:t>
      </w:r>
    </w:p>
    <w:p w14:paraId="1265BFA7"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 xml:space="preserve">3、有利于基金财产的安全与增值； </w:t>
      </w:r>
    </w:p>
    <w:p w14:paraId="64761E7E"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4、不通过关联交易为自身、雇员、授权代理人或任何存在利害关系的第三人牟取任何不当利益。</w:t>
      </w:r>
    </w:p>
    <w:p w14:paraId="227CB228" w14:textId="77777777" w:rsidR="0069510E" w:rsidRDefault="00000000">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八、</w:t>
      </w:r>
      <w:proofErr w:type="gramStart"/>
      <w:r>
        <w:rPr>
          <w:rFonts w:asciiTheme="minorEastAsia" w:hAnsiTheme="minorEastAsia" w:cs="Times New Roman" w:hint="eastAsia"/>
          <w:b/>
          <w:bCs/>
          <w:sz w:val="24"/>
          <w:szCs w:val="24"/>
        </w:rPr>
        <w:t>侧袋机制</w:t>
      </w:r>
      <w:proofErr w:type="gramEnd"/>
      <w:r>
        <w:rPr>
          <w:rFonts w:asciiTheme="minorEastAsia" w:hAnsiTheme="minorEastAsia" w:cs="Times New Roman" w:hint="eastAsia"/>
          <w:b/>
          <w:bCs/>
          <w:sz w:val="24"/>
          <w:szCs w:val="24"/>
        </w:rPr>
        <w:t>的实施和投资运作安排</w:t>
      </w:r>
    </w:p>
    <w:p w14:paraId="24CB612E"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asciiTheme="minorEastAsia" w:hAnsiTheme="minorEastAsia" w:cs="Times New Roman" w:hint="eastAsia"/>
          <w:bCs/>
          <w:sz w:val="24"/>
          <w:szCs w:val="24"/>
        </w:rPr>
        <w:t>启用侧袋机制</w:t>
      </w:r>
      <w:proofErr w:type="gramEnd"/>
      <w:r>
        <w:rPr>
          <w:rFonts w:asciiTheme="minorEastAsia" w:hAnsiTheme="minorEastAsia" w:cs="Times New Roman" w:hint="eastAsia"/>
          <w:bCs/>
          <w:sz w:val="24"/>
          <w:szCs w:val="24"/>
        </w:rPr>
        <w:t>，无需召开基金份额持有人大会审议。</w:t>
      </w:r>
    </w:p>
    <w:p w14:paraId="295BE17A" w14:textId="77777777" w:rsidR="0069510E" w:rsidRDefault="00000000">
      <w:pPr>
        <w:spacing w:line="360" w:lineRule="auto"/>
        <w:ind w:firstLineChars="200" w:firstLine="480"/>
        <w:rPr>
          <w:rFonts w:asciiTheme="minorEastAsia" w:hAnsiTheme="minorEastAsia" w:cs="Times New Roman"/>
          <w:bCs/>
          <w:sz w:val="24"/>
          <w:szCs w:val="24"/>
        </w:rPr>
      </w:pPr>
      <w:proofErr w:type="gramStart"/>
      <w:r>
        <w:rPr>
          <w:rFonts w:asciiTheme="minorEastAsia" w:hAnsiTheme="minorEastAsia" w:cs="Times New Roman" w:hint="eastAsia"/>
          <w:bCs/>
          <w:sz w:val="24"/>
          <w:szCs w:val="24"/>
        </w:rPr>
        <w:lastRenderedPageBreak/>
        <w:t>侧袋机制</w:t>
      </w:r>
      <w:proofErr w:type="gramEnd"/>
      <w:r>
        <w:rPr>
          <w:rFonts w:asciiTheme="minorEastAsia" w:hAnsiTheme="minorEastAsia" w:cs="Times New Roman" w:hint="eastAsia"/>
          <w:bCs/>
          <w:sz w:val="24"/>
          <w:szCs w:val="24"/>
        </w:rPr>
        <w:t>实施期间，本部分约定的投资组合比例、投资策略、组合限制、业绩比较基准、风险收益特征等约定仅</w:t>
      </w:r>
      <w:proofErr w:type="gramStart"/>
      <w:r>
        <w:rPr>
          <w:rFonts w:asciiTheme="minorEastAsia" w:hAnsiTheme="minorEastAsia" w:cs="Times New Roman" w:hint="eastAsia"/>
          <w:bCs/>
          <w:sz w:val="24"/>
          <w:szCs w:val="24"/>
        </w:rPr>
        <w:t>适用于主袋账户</w:t>
      </w:r>
      <w:proofErr w:type="gramEnd"/>
      <w:r>
        <w:rPr>
          <w:rFonts w:asciiTheme="minorEastAsia" w:hAnsiTheme="minorEastAsia" w:cs="Times New Roman" w:hint="eastAsia"/>
          <w:bCs/>
          <w:sz w:val="24"/>
          <w:szCs w:val="24"/>
        </w:rPr>
        <w:t>。</w:t>
      </w:r>
    </w:p>
    <w:p w14:paraId="44E5CEE6" w14:textId="77777777" w:rsidR="0069510E" w:rsidRDefault="00000000">
      <w:pPr>
        <w:spacing w:line="360" w:lineRule="auto"/>
        <w:ind w:firstLineChars="200" w:firstLine="480"/>
        <w:rPr>
          <w:rFonts w:asciiTheme="minorEastAsia" w:hAnsiTheme="minorEastAsia" w:cs="Times New Roman"/>
          <w:bCs/>
          <w:sz w:val="24"/>
          <w:szCs w:val="24"/>
        </w:rPr>
      </w:pPr>
      <w:proofErr w:type="gramStart"/>
      <w:r>
        <w:rPr>
          <w:rFonts w:asciiTheme="minorEastAsia" w:hAnsiTheme="minorEastAsia" w:cs="Times New Roman" w:hint="eastAsia"/>
          <w:bCs/>
          <w:sz w:val="24"/>
          <w:szCs w:val="24"/>
        </w:rPr>
        <w:t>侧袋账户</w:t>
      </w:r>
      <w:proofErr w:type="gramEnd"/>
      <w:r>
        <w:rPr>
          <w:rFonts w:asciiTheme="minorEastAsia" w:hAnsiTheme="minorEastAsia" w:cs="Times New Roman" w:hint="eastAsia"/>
          <w:bCs/>
          <w:sz w:val="24"/>
          <w:szCs w:val="24"/>
        </w:rPr>
        <w:t>的实施条件、实施程序、运作安排、投资安排、特定资产的处置变现和支付等对投资者权益有重大影响的事项详见招募说明书“侧袋机制”部分的规定。</w:t>
      </w:r>
    </w:p>
    <w:p w14:paraId="3F3F35A1" w14:textId="77777777" w:rsidR="0069510E" w:rsidRDefault="00000000">
      <w:pPr>
        <w:spacing w:line="360" w:lineRule="auto"/>
        <w:ind w:firstLineChars="200" w:firstLine="482"/>
        <w:rPr>
          <w:b/>
          <w:bCs/>
          <w:sz w:val="24"/>
        </w:rPr>
      </w:pPr>
      <w:r>
        <w:rPr>
          <w:b/>
          <w:bCs/>
          <w:sz w:val="24"/>
        </w:rPr>
        <w:t>九</w:t>
      </w:r>
      <w:r>
        <w:rPr>
          <w:rFonts w:hint="eastAsia"/>
          <w:b/>
          <w:bCs/>
          <w:sz w:val="24"/>
        </w:rPr>
        <w:t>、基金投资组合报告</w:t>
      </w:r>
    </w:p>
    <w:p w14:paraId="76F946CA"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基金管理人的董事会、董事保证本报告所载资料不存在虚假记载、误导性陈述或重大遗漏，并对其内容的真实性、准确性和完整性承担个别及连带的法律责任。</w:t>
      </w:r>
    </w:p>
    <w:p w14:paraId="541DA366"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基金托管人国泰君安证券股份有限公司根据本基金合同规定，已复核了本报告中的财务指标、净值表现和投资组合报告等内容，保证复核内容不存在虚假记载、误导性陈述或者重大遗漏。</w:t>
      </w:r>
    </w:p>
    <w:p w14:paraId="10126F2D" w14:textId="2401CDED"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本投资组合报告所载数据截至2024年3月31日，本报告中所列财务数据未经审计。</w:t>
      </w:r>
    </w:p>
    <w:p w14:paraId="2E3FD323" w14:textId="77777777" w:rsidR="0069510E" w:rsidRDefault="00000000">
      <w:pPr>
        <w:pStyle w:val="zhangjiep"/>
        <w:rPr>
          <w:rFonts w:asciiTheme="minorEastAsia" w:eastAsiaTheme="minorEastAsia" w:hAnsiTheme="minorEastAsia" w:cs="Times New Roman"/>
          <w:bCs/>
          <w:kern w:val="2"/>
        </w:rPr>
      </w:pPr>
      <w:bookmarkStart w:id="215" w:name="_Toc101354064"/>
      <w:r>
        <w:rPr>
          <w:rFonts w:asciiTheme="minorEastAsia" w:eastAsiaTheme="minorEastAsia" w:hAnsiTheme="minorEastAsia" w:cs="Times New Roman"/>
          <w:bCs/>
          <w:kern w:val="2"/>
        </w:rPr>
        <w:t>1、</w:t>
      </w:r>
      <w:r>
        <w:rPr>
          <w:rFonts w:asciiTheme="minorEastAsia" w:eastAsiaTheme="minorEastAsia" w:hAnsiTheme="minorEastAsia" w:cs="Times New Roman" w:hint="eastAsia"/>
          <w:bCs/>
          <w:kern w:val="2"/>
        </w:rPr>
        <w:t>报告期末基金资产组合情况</w:t>
      </w:r>
      <w:bookmarkEnd w:id="215"/>
    </w:p>
    <w:tbl>
      <w:tblPr>
        <w:tblW w:w="0" w:type="auto"/>
        <w:tblInd w:w="108" w:type="dxa"/>
        <w:tblLook w:val="04A0" w:firstRow="1" w:lastRow="0" w:firstColumn="1" w:lastColumn="0" w:noHBand="0" w:noVBand="1"/>
      </w:tblPr>
      <w:tblGrid>
        <w:gridCol w:w="777"/>
        <w:gridCol w:w="2815"/>
        <w:gridCol w:w="2495"/>
        <w:gridCol w:w="2572"/>
      </w:tblGrid>
      <w:tr w:rsidR="0069510E" w14:paraId="61A8EB58" w14:textId="77777777">
        <w:tc>
          <w:tcPr>
            <w:tcW w:w="777" w:type="dxa"/>
            <w:tcBorders>
              <w:top w:val="single" w:sz="8" w:space="0" w:color="000000"/>
              <w:left w:val="single" w:sz="8" w:space="0" w:color="000000"/>
              <w:bottom w:val="single" w:sz="6" w:space="0" w:color="000000"/>
              <w:right w:val="single" w:sz="8" w:space="0" w:color="000000"/>
            </w:tcBorders>
            <w:vAlign w:val="center"/>
          </w:tcPr>
          <w:p w14:paraId="6193AB9F" w14:textId="77777777" w:rsidR="0069510E" w:rsidRDefault="00000000">
            <w:pPr>
              <w:pStyle w:val="biaogecenter"/>
              <w:wordWrap w:val="0"/>
            </w:pPr>
            <w:r>
              <w:rPr>
                <w:rFonts w:hAnsi="等线" w:hint="eastAsia"/>
                <w:color w:val="000000"/>
              </w:rPr>
              <w:t>序号</w:t>
            </w:r>
          </w:p>
        </w:tc>
        <w:tc>
          <w:tcPr>
            <w:tcW w:w="2815" w:type="dxa"/>
            <w:tcBorders>
              <w:top w:val="single" w:sz="8" w:space="0" w:color="000000"/>
              <w:left w:val="single" w:sz="8" w:space="0" w:color="000000"/>
              <w:bottom w:val="single" w:sz="6" w:space="0" w:color="000000"/>
              <w:right w:val="single" w:sz="8" w:space="0" w:color="000000"/>
            </w:tcBorders>
            <w:vAlign w:val="center"/>
          </w:tcPr>
          <w:p w14:paraId="792BDEA8" w14:textId="77777777" w:rsidR="0069510E" w:rsidRDefault="00000000">
            <w:pPr>
              <w:pStyle w:val="biaogecenter"/>
              <w:wordWrap w:val="0"/>
            </w:pPr>
            <w:r>
              <w:rPr>
                <w:rFonts w:hAnsi="等线" w:hint="eastAsia"/>
                <w:color w:val="000000"/>
              </w:rPr>
              <w:t>项目</w:t>
            </w:r>
          </w:p>
        </w:tc>
        <w:tc>
          <w:tcPr>
            <w:tcW w:w="2495" w:type="dxa"/>
            <w:tcBorders>
              <w:top w:val="single" w:sz="8" w:space="0" w:color="000000"/>
              <w:left w:val="single" w:sz="8" w:space="0" w:color="000000"/>
              <w:bottom w:val="single" w:sz="6" w:space="0" w:color="000000"/>
              <w:right w:val="single" w:sz="8" w:space="0" w:color="000000"/>
            </w:tcBorders>
            <w:vAlign w:val="center"/>
          </w:tcPr>
          <w:p w14:paraId="2309C274" w14:textId="77777777" w:rsidR="0069510E" w:rsidRDefault="00000000">
            <w:pPr>
              <w:pStyle w:val="biaogecenter"/>
              <w:wordWrap w:val="0"/>
            </w:pPr>
            <w:r>
              <w:rPr>
                <w:rFonts w:hAnsi="等线" w:hint="eastAsia"/>
                <w:color w:val="000000"/>
              </w:rPr>
              <w:t>金额(元)</w:t>
            </w:r>
          </w:p>
        </w:tc>
        <w:tc>
          <w:tcPr>
            <w:tcW w:w="2572" w:type="dxa"/>
            <w:tcBorders>
              <w:top w:val="single" w:sz="8" w:space="0" w:color="000000"/>
              <w:left w:val="single" w:sz="8" w:space="0" w:color="000000"/>
              <w:bottom w:val="single" w:sz="6" w:space="0" w:color="000000"/>
              <w:right w:val="single" w:sz="8" w:space="0" w:color="000000"/>
            </w:tcBorders>
            <w:vAlign w:val="center"/>
          </w:tcPr>
          <w:p w14:paraId="48759383" w14:textId="77777777" w:rsidR="0069510E" w:rsidRDefault="00000000">
            <w:pPr>
              <w:pStyle w:val="biaogecenter"/>
              <w:wordWrap w:val="0"/>
            </w:pPr>
            <w:r>
              <w:rPr>
                <w:rFonts w:hAnsi="等线" w:hint="eastAsia"/>
                <w:color w:val="000000"/>
              </w:rPr>
              <w:t>占基金总资产的比例（%）</w:t>
            </w:r>
          </w:p>
        </w:tc>
      </w:tr>
      <w:tr w:rsidR="0069510E" w14:paraId="494B76B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859783F" w14:textId="77777777" w:rsidR="0069510E" w:rsidRDefault="00000000">
            <w:pPr>
              <w:pStyle w:val="biaogecenter"/>
              <w:wordWrap w:val="0"/>
            </w:pPr>
            <w:r>
              <w:rPr>
                <w:rFonts w:hAnsi="等线" w:hint="eastAsia"/>
                <w:color w:val="000000"/>
              </w:rPr>
              <w:t>1</w:t>
            </w:r>
          </w:p>
        </w:tc>
        <w:tc>
          <w:tcPr>
            <w:tcW w:w="2815" w:type="dxa"/>
            <w:tcBorders>
              <w:top w:val="single" w:sz="8" w:space="0" w:color="000000"/>
              <w:left w:val="single" w:sz="8" w:space="0" w:color="000000"/>
              <w:bottom w:val="single" w:sz="6" w:space="0" w:color="000000"/>
              <w:right w:val="single" w:sz="8" w:space="0" w:color="000000"/>
            </w:tcBorders>
            <w:vAlign w:val="center"/>
          </w:tcPr>
          <w:p w14:paraId="0B66C43C" w14:textId="77777777" w:rsidR="0069510E" w:rsidRDefault="00000000">
            <w:pPr>
              <w:pStyle w:val="biaogeleft"/>
              <w:wordWrap w:val="0"/>
            </w:pPr>
            <w:r>
              <w:rPr>
                <w:rFonts w:hint="eastAsia"/>
              </w:rPr>
              <w:t>权益投资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0082DFE2" w14:textId="7445CAB8" w:rsidR="0069510E" w:rsidRDefault="00000000">
            <w:pPr>
              <w:pStyle w:val="biaogeright"/>
              <w:wordWrap w:val="0"/>
            </w:pPr>
            <w:r>
              <w:t>91,062,747.28</w:t>
            </w:r>
          </w:p>
        </w:tc>
        <w:tc>
          <w:tcPr>
            <w:tcW w:w="2572" w:type="dxa"/>
            <w:tcBorders>
              <w:top w:val="single" w:sz="8" w:space="0" w:color="000000"/>
              <w:left w:val="single" w:sz="8" w:space="0" w:color="000000"/>
              <w:bottom w:val="single" w:sz="6" w:space="0" w:color="000000"/>
              <w:right w:val="single" w:sz="8" w:space="0" w:color="000000"/>
            </w:tcBorders>
            <w:vAlign w:val="center"/>
          </w:tcPr>
          <w:p w14:paraId="37D3896A" w14:textId="347EFBF1" w:rsidR="0069510E" w:rsidRDefault="00000000">
            <w:pPr>
              <w:pStyle w:val="biaogeright"/>
              <w:wordWrap w:val="0"/>
            </w:pPr>
            <w:r>
              <w:t>85.58</w:t>
            </w:r>
          </w:p>
        </w:tc>
      </w:tr>
      <w:tr w:rsidR="0069510E" w14:paraId="7C25AB2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F15E2D4" w14:textId="77777777" w:rsidR="0069510E" w:rsidRDefault="0069510E">
            <w:pPr>
              <w:widowControl/>
              <w:jc w:val="left"/>
              <w:rPr>
                <w:rFonts w:cs="宋体"/>
                <w:kern w:val="0"/>
                <w:sz w:val="20"/>
                <w:szCs w:val="20"/>
              </w:rPr>
            </w:pPr>
          </w:p>
        </w:tc>
        <w:tc>
          <w:tcPr>
            <w:tcW w:w="2815" w:type="dxa"/>
            <w:tcBorders>
              <w:top w:val="single" w:sz="8" w:space="0" w:color="000000"/>
              <w:left w:val="single" w:sz="8" w:space="0" w:color="000000"/>
              <w:bottom w:val="single" w:sz="6" w:space="0" w:color="000000"/>
              <w:right w:val="single" w:sz="8" w:space="0" w:color="000000"/>
            </w:tcBorders>
            <w:vAlign w:val="center"/>
          </w:tcPr>
          <w:p w14:paraId="35ABE07E" w14:textId="77777777" w:rsidR="0069510E" w:rsidRDefault="00000000">
            <w:pPr>
              <w:pStyle w:val="biaogeleft"/>
              <w:wordWrap w:val="0"/>
            </w:pPr>
            <w:r>
              <w:rPr>
                <w:rFonts w:hint="eastAsia"/>
              </w:rPr>
              <w:t>其中：股票</w:t>
            </w:r>
          </w:p>
        </w:tc>
        <w:tc>
          <w:tcPr>
            <w:tcW w:w="2495" w:type="dxa"/>
            <w:tcBorders>
              <w:top w:val="single" w:sz="8" w:space="0" w:color="000000"/>
              <w:left w:val="single" w:sz="8" w:space="0" w:color="000000"/>
              <w:bottom w:val="single" w:sz="6" w:space="0" w:color="000000"/>
              <w:right w:val="single" w:sz="8" w:space="0" w:color="000000"/>
            </w:tcBorders>
            <w:vAlign w:val="center"/>
          </w:tcPr>
          <w:p w14:paraId="1DD016D2" w14:textId="06941336" w:rsidR="0069510E" w:rsidRDefault="00000000">
            <w:pPr>
              <w:pStyle w:val="biaogeright"/>
              <w:wordWrap w:val="0"/>
            </w:pPr>
            <w:r>
              <w:t>91,062,747.28</w:t>
            </w:r>
          </w:p>
        </w:tc>
        <w:tc>
          <w:tcPr>
            <w:tcW w:w="2572" w:type="dxa"/>
            <w:tcBorders>
              <w:top w:val="single" w:sz="8" w:space="0" w:color="000000"/>
              <w:left w:val="single" w:sz="8" w:space="0" w:color="000000"/>
              <w:bottom w:val="single" w:sz="6" w:space="0" w:color="000000"/>
              <w:right w:val="single" w:sz="8" w:space="0" w:color="000000"/>
            </w:tcBorders>
            <w:vAlign w:val="center"/>
          </w:tcPr>
          <w:p w14:paraId="53082FFC" w14:textId="79B1BD1B" w:rsidR="0069510E" w:rsidRDefault="00000000">
            <w:pPr>
              <w:pStyle w:val="biaogeright"/>
              <w:wordWrap w:val="0"/>
            </w:pPr>
            <w:r>
              <w:t>85.58</w:t>
            </w:r>
          </w:p>
        </w:tc>
      </w:tr>
      <w:tr w:rsidR="0069510E" w14:paraId="341CA93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C2360B0" w14:textId="77777777" w:rsidR="0069510E" w:rsidRDefault="00000000">
            <w:pPr>
              <w:pStyle w:val="biaogecenter"/>
              <w:wordWrap w:val="0"/>
            </w:pPr>
            <w:r>
              <w:rPr>
                <w:rFonts w:hAnsi="等线" w:hint="eastAsia"/>
                <w:color w:val="000000"/>
              </w:rPr>
              <w:t>2</w:t>
            </w:r>
          </w:p>
        </w:tc>
        <w:tc>
          <w:tcPr>
            <w:tcW w:w="2815" w:type="dxa"/>
            <w:tcBorders>
              <w:top w:val="single" w:sz="8" w:space="0" w:color="000000"/>
              <w:left w:val="single" w:sz="8" w:space="0" w:color="000000"/>
              <w:bottom w:val="single" w:sz="6" w:space="0" w:color="000000"/>
              <w:right w:val="single" w:sz="8" w:space="0" w:color="000000"/>
            </w:tcBorders>
            <w:vAlign w:val="center"/>
          </w:tcPr>
          <w:p w14:paraId="04412D43" w14:textId="77777777" w:rsidR="0069510E" w:rsidRDefault="00000000">
            <w:pPr>
              <w:pStyle w:val="biaogeleft"/>
              <w:wordWrap w:val="0"/>
            </w:pPr>
            <w:r>
              <w:rPr>
                <w:rFonts w:hint="eastAsia"/>
              </w:rPr>
              <w:t>基金投资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53721757" w14:textId="32B0A161" w:rsidR="0069510E" w:rsidRDefault="00000000">
            <w:pPr>
              <w:pStyle w:val="biaogeright"/>
              <w:wordWrap w:val="0"/>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5AF640B1" w14:textId="3D2BE7B8" w:rsidR="0069510E" w:rsidRDefault="00000000">
            <w:pPr>
              <w:pStyle w:val="biaogeright"/>
              <w:wordWrap w:val="0"/>
            </w:pPr>
            <w:r>
              <w:t>-</w:t>
            </w:r>
          </w:p>
        </w:tc>
      </w:tr>
      <w:tr w:rsidR="0069510E" w14:paraId="5644460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A94271A" w14:textId="77777777" w:rsidR="0069510E" w:rsidRDefault="00000000">
            <w:pPr>
              <w:pStyle w:val="biaogecenter"/>
              <w:wordWrap w:val="0"/>
            </w:pPr>
            <w:r>
              <w:rPr>
                <w:rFonts w:hAnsi="等线" w:hint="eastAsia"/>
                <w:color w:val="000000"/>
              </w:rPr>
              <w:t>3</w:t>
            </w:r>
          </w:p>
        </w:tc>
        <w:tc>
          <w:tcPr>
            <w:tcW w:w="2815" w:type="dxa"/>
            <w:tcBorders>
              <w:top w:val="single" w:sz="8" w:space="0" w:color="000000"/>
              <w:left w:val="single" w:sz="8" w:space="0" w:color="000000"/>
              <w:bottom w:val="single" w:sz="6" w:space="0" w:color="000000"/>
              <w:right w:val="single" w:sz="8" w:space="0" w:color="000000"/>
            </w:tcBorders>
            <w:vAlign w:val="center"/>
          </w:tcPr>
          <w:p w14:paraId="30ACE9E9" w14:textId="77777777" w:rsidR="0069510E" w:rsidRDefault="00000000">
            <w:pPr>
              <w:pStyle w:val="biaogeleft"/>
              <w:wordWrap w:val="0"/>
            </w:pPr>
            <w:r>
              <w:rPr>
                <w:rFonts w:hint="eastAsia"/>
              </w:rPr>
              <w:t>固定收益投资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749664D6" w14:textId="586563BF" w:rsidR="0069510E" w:rsidRDefault="00000000">
            <w:pPr>
              <w:pStyle w:val="biaogeright"/>
              <w:wordWrap w:val="0"/>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48A753BD" w14:textId="44B0716D" w:rsidR="0069510E" w:rsidRDefault="00000000">
            <w:pPr>
              <w:pStyle w:val="biaogeright"/>
              <w:wordWrap w:val="0"/>
            </w:pPr>
            <w:r>
              <w:t>-</w:t>
            </w:r>
          </w:p>
        </w:tc>
      </w:tr>
      <w:tr w:rsidR="0069510E" w14:paraId="4108375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43EBE74" w14:textId="77777777" w:rsidR="0069510E" w:rsidRDefault="0069510E">
            <w:pPr>
              <w:widowControl/>
              <w:jc w:val="left"/>
              <w:rPr>
                <w:rFonts w:cs="宋体"/>
                <w:kern w:val="0"/>
                <w:sz w:val="20"/>
                <w:szCs w:val="20"/>
              </w:rPr>
            </w:pPr>
          </w:p>
        </w:tc>
        <w:tc>
          <w:tcPr>
            <w:tcW w:w="2815" w:type="dxa"/>
            <w:tcBorders>
              <w:top w:val="single" w:sz="8" w:space="0" w:color="000000"/>
              <w:left w:val="single" w:sz="8" w:space="0" w:color="000000"/>
              <w:bottom w:val="single" w:sz="6" w:space="0" w:color="000000"/>
              <w:right w:val="single" w:sz="8" w:space="0" w:color="000000"/>
            </w:tcBorders>
            <w:vAlign w:val="center"/>
          </w:tcPr>
          <w:p w14:paraId="461D280E" w14:textId="77777777" w:rsidR="0069510E" w:rsidRDefault="00000000">
            <w:pPr>
              <w:pStyle w:val="biaogeleft"/>
              <w:wordWrap w:val="0"/>
            </w:pPr>
            <w:r>
              <w:rPr>
                <w:rFonts w:hint="eastAsia"/>
              </w:rPr>
              <w:t>其中：债券</w:t>
            </w:r>
          </w:p>
        </w:tc>
        <w:tc>
          <w:tcPr>
            <w:tcW w:w="2495" w:type="dxa"/>
            <w:tcBorders>
              <w:top w:val="single" w:sz="8" w:space="0" w:color="000000"/>
              <w:left w:val="single" w:sz="8" w:space="0" w:color="000000"/>
              <w:bottom w:val="single" w:sz="6" w:space="0" w:color="000000"/>
              <w:right w:val="single" w:sz="8" w:space="0" w:color="000000"/>
            </w:tcBorders>
            <w:vAlign w:val="center"/>
          </w:tcPr>
          <w:p w14:paraId="6796789A" w14:textId="3FFC30AC" w:rsidR="0069510E" w:rsidRDefault="00000000">
            <w:pPr>
              <w:pStyle w:val="biaogeright"/>
              <w:wordWrap w:val="0"/>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129D8BC8" w14:textId="48E41AAA" w:rsidR="0069510E" w:rsidRDefault="00000000">
            <w:pPr>
              <w:pStyle w:val="biaogeright"/>
              <w:wordWrap w:val="0"/>
            </w:pPr>
            <w:r>
              <w:t>-</w:t>
            </w:r>
          </w:p>
        </w:tc>
      </w:tr>
      <w:tr w:rsidR="0069510E" w14:paraId="1DD4551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34013F1" w14:textId="77777777" w:rsidR="0069510E" w:rsidRDefault="0069510E">
            <w:pPr>
              <w:widowControl/>
              <w:jc w:val="left"/>
              <w:rPr>
                <w:rFonts w:cs="宋体"/>
                <w:kern w:val="0"/>
                <w:sz w:val="20"/>
                <w:szCs w:val="20"/>
              </w:rPr>
            </w:pPr>
          </w:p>
        </w:tc>
        <w:tc>
          <w:tcPr>
            <w:tcW w:w="2815" w:type="dxa"/>
            <w:tcBorders>
              <w:top w:val="single" w:sz="8" w:space="0" w:color="000000"/>
              <w:left w:val="single" w:sz="8" w:space="0" w:color="000000"/>
              <w:bottom w:val="single" w:sz="6" w:space="0" w:color="000000"/>
              <w:right w:val="single" w:sz="8" w:space="0" w:color="000000"/>
            </w:tcBorders>
            <w:vAlign w:val="center"/>
          </w:tcPr>
          <w:p w14:paraId="7C49F0BE" w14:textId="77777777" w:rsidR="0069510E" w:rsidRDefault="00000000">
            <w:pPr>
              <w:pStyle w:val="biaogeleft"/>
              <w:wordWrap w:val="0"/>
              <w:ind w:left="750"/>
            </w:pPr>
            <w:r>
              <w:rPr>
                <w:rFonts w:hint="eastAsia"/>
              </w:rPr>
              <w:t>资产支持证券</w:t>
            </w:r>
          </w:p>
        </w:tc>
        <w:tc>
          <w:tcPr>
            <w:tcW w:w="2495" w:type="dxa"/>
            <w:tcBorders>
              <w:top w:val="single" w:sz="8" w:space="0" w:color="000000"/>
              <w:left w:val="single" w:sz="8" w:space="0" w:color="000000"/>
              <w:bottom w:val="single" w:sz="6" w:space="0" w:color="000000"/>
              <w:right w:val="single" w:sz="8" w:space="0" w:color="000000"/>
            </w:tcBorders>
            <w:vAlign w:val="center"/>
          </w:tcPr>
          <w:p w14:paraId="3BA5B451" w14:textId="71DFBFF9" w:rsidR="0069510E" w:rsidRDefault="00000000">
            <w:pPr>
              <w:pStyle w:val="biaogeright"/>
              <w:wordWrap w:val="0"/>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5F0354AD" w14:textId="2FD4B9F4" w:rsidR="0069510E" w:rsidRDefault="00000000">
            <w:pPr>
              <w:pStyle w:val="biaogeright"/>
              <w:wordWrap w:val="0"/>
            </w:pPr>
            <w:r>
              <w:t>-</w:t>
            </w:r>
          </w:p>
        </w:tc>
      </w:tr>
      <w:tr w:rsidR="0069510E" w14:paraId="24E4ADF0"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5D1A1A1" w14:textId="77777777" w:rsidR="0069510E" w:rsidRDefault="00000000">
            <w:pPr>
              <w:pStyle w:val="biaogecenter"/>
              <w:wordWrap w:val="0"/>
            </w:pPr>
            <w:r>
              <w:rPr>
                <w:rFonts w:hAnsi="等线" w:hint="eastAsia"/>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tcPr>
          <w:p w14:paraId="06329FDE" w14:textId="77777777" w:rsidR="0069510E" w:rsidRDefault="00000000">
            <w:pPr>
              <w:pStyle w:val="biaogeleft"/>
              <w:wordWrap w:val="0"/>
            </w:pPr>
            <w:r>
              <w:rPr>
                <w:rFonts w:hint="eastAsia"/>
              </w:rPr>
              <w:t>贵金属投资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5F2BBD38" w14:textId="0EEEA148" w:rsidR="0069510E" w:rsidRDefault="00000000">
            <w:pPr>
              <w:pStyle w:val="biaogeright"/>
              <w:wordWrap w:val="0"/>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2C0708AD" w14:textId="73AE0040" w:rsidR="0069510E" w:rsidRDefault="00000000">
            <w:pPr>
              <w:pStyle w:val="biaogeright"/>
              <w:wordWrap w:val="0"/>
            </w:pPr>
            <w:r>
              <w:t>-</w:t>
            </w:r>
          </w:p>
        </w:tc>
      </w:tr>
      <w:tr w:rsidR="0069510E" w14:paraId="7B42BAC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3F1A8E6" w14:textId="77777777" w:rsidR="0069510E" w:rsidRDefault="00000000">
            <w:pPr>
              <w:pStyle w:val="biaogecenter"/>
              <w:wordWrap w:val="0"/>
            </w:pPr>
            <w:r>
              <w:rPr>
                <w:rFonts w:hAnsi="等线" w:hint="eastAsia"/>
                <w:color w:val="000000"/>
              </w:rPr>
              <w:t>5</w:t>
            </w:r>
          </w:p>
        </w:tc>
        <w:tc>
          <w:tcPr>
            <w:tcW w:w="2815" w:type="dxa"/>
            <w:tcBorders>
              <w:top w:val="single" w:sz="8" w:space="0" w:color="000000"/>
              <w:left w:val="single" w:sz="8" w:space="0" w:color="000000"/>
              <w:bottom w:val="single" w:sz="6" w:space="0" w:color="000000"/>
              <w:right w:val="single" w:sz="8" w:space="0" w:color="000000"/>
            </w:tcBorders>
            <w:vAlign w:val="center"/>
          </w:tcPr>
          <w:p w14:paraId="18E98228" w14:textId="77777777" w:rsidR="0069510E" w:rsidRDefault="00000000">
            <w:pPr>
              <w:pStyle w:val="biaogeleft"/>
              <w:wordWrap w:val="0"/>
            </w:pPr>
            <w:r>
              <w:rPr>
                <w:rFonts w:hint="eastAsia"/>
              </w:rPr>
              <w:t>金融衍生</w:t>
            </w:r>
            <w:proofErr w:type="gramStart"/>
            <w:r>
              <w:rPr>
                <w:rFonts w:hint="eastAsia"/>
              </w:rPr>
              <w:t>品投资</w:t>
            </w:r>
            <w:proofErr w:type="gramEnd"/>
          </w:p>
        </w:tc>
        <w:tc>
          <w:tcPr>
            <w:tcW w:w="2495" w:type="dxa"/>
            <w:tcBorders>
              <w:top w:val="single" w:sz="8" w:space="0" w:color="000000"/>
              <w:left w:val="single" w:sz="8" w:space="0" w:color="000000"/>
              <w:bottom w:val="single" w:sz="6" w:space="0" w:color="000000"/>
              <w:right w:val="single" w:sz="8" w:space="0" w:color="000000"/>
            </w:tcBorders>
            <w:vAlign w:val="center"/>
          </w:tcPr>
          <w:p w14:paraId="51330316" w14:textId="754C80D2" w:rsidR="0069510E" w:rsidRDefault="00000000">
            <w:pPr>
              <w:pStyle w:val="biaogeright"/>
              <w:wordWrap w:val="0"/>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2D0A3291" w14:textId="12F6F5F2" w:rsidR="0069510E" w:rsidRDefault="00000000">
            <w:pPr>
              <w:pStyle w:val="biaogeright"/>
              <w:wordWrap w:val="0"/>
            </w:pPr>
            <w:r>
              <w:t>-</w:t>
            </w:r>
          </w:p>
        </w:tc>
      </w:tr>
      <w:tr w:rsidR="0069510E" w14:paraId="5BCE33F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A03E617" w14:textId="77777777" w:rsidR="0069510E" w:rsidRDefault="00000000">
            <w:pPr>
              <w:pStyle w:val="biaogecenter"/>
              <w:wordWrap w:val="0"/>
            </w:pPr>
            <w:r>
              <w:rPr>
                <w:rFonts w:hAnsi="等线" w:hint="eastAsia"/>
                <w:color w:val="000000"/>
              </w:rPr>
              <w:t>6</w:t>
            </w:r>
          </w:p>
        </w:tc>
        <w:tc>
          <w:tcPr>
            <w:tcW w:w="2815" w:type="dxa"/>
            <w:tcBorders>
              <w:top w:val="single" w:sz="8" w:space="0" w:color="000000"/>
              <w:left w:val="single" w:sz="8" w:space="0" w:color="000000"/>
              <w:bottom w:val="single" w:sz="6" w:space="0" w:color="000000"/>
              <w:right w:val="single" w:sz="8" w:space="0" w:color="000000"/>
            </w:tcBorders>
            <w:vAlign w:val="center"/>
          </w:tcPr>
          <w:p w14:paraId="129EE7FC" w14:textId="77777777" w:rsidR="0069510E" w:rsidRDefault="00000000">
            <w:pPr>
              <w:pStyle w:val="biaogeleft"/>
              <w:wordWrap w:val="0"/>
            </w:pPr>
            <w:r>
              <w:rPr>
                <w:rFonts w:hint="eastAsia"/>
              </w:rPr>
              <w:t>买入返售金融资产</w:t>
            </w:r>
          </w:p>
        </w:tc>
        <w:tc>
          <w:tcPr>
            <w:tcW w:w="2495" w:type="dxa"/>
            <w:tcBorders>
              <w:top w:val="single" w:sz="8" w:space="0" w:color="000000"/>
              <w:left w:val="single" w:sz="8" w:space="0" w:color="000000"/>
              <w:bottom w:val="single" w:sz="6" w:space="0" w:color="000000"/>
              <w:right w:val="single" w:sz="8" w:space="0" w:color="000000"/>
            </w:tcBorders>
            <w:vAlign w:val="center"/>
          </w:tcPr>
          <w:p w14:paraId="75366A09" w14:textId="27460FEB" w:rsidR="0069510E" w:rsidRDefault="00000000">
            <w:pPr>
              <w:pStyle w:val="biaogeright"/>
              <w:wordWrap w:val="0"/>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438EE404" w14:textId="45DD7D64" w:rsidR="0069510E" w:rsidRDefault="00000000">
            <w:pPr>
              <w:pStyle w:val="biaogeright"/>
              <w:wordWrap w:val="0"/>
            </w:pPr>
            <w:r>
              <w:t>-</w:t>
            </w:r>
          </w:p>
        </w:tc>
      </w:tr>
      <w:tr w:rsidR="0069510E" w14:paraId="60999B9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0AC3B4A" w14:textId="77777777" w:rsidR="0069510E" w:rsidRDefault="0069510E">
            <w:pPr>
              <w:widowControl/>
              <w:jc w:val="left"/>
              <w:rPr>
                <w:rFonts w:cs="宋体"/>
                <w:kern w:val="0"/>
                <w:sz w:val="20"/>
                <w:szCs w:val="20"/>
              </w:rPr>
            </w:pPr>
          </w:p>
        </w:tc>
        <w:tc>
          <w:tcPr>
            <w:tcW w:w="2815" w:type="dxa"/>
            <w:tcBorders>
              <w:top w:val="single" w:sz="8" w:space="0" w:color="000000"/>
              <w:left w:val="single" w:sz="8" w:space="0" w:color="000000"/>
              <w:bottom w:val="single" w:sz="6" w:space="0" w:color="000000"/>
              <w:right w:val="single" w:sz="8" w:space="0" w:color="000000"/>
            </w:tcBorders>
            <w:vAlign w:val="center"/>
          </w:tcPr>
          <w:p w14:paraId="3A6B2DF8" w14:textId="77777777" w:rsidR="0069510E" w:rsidRDefault="00000000">
            <w:pPr>
              <w:pStyle w:val="biaogeleft"/>
              <w:wordWrap w:val="0"/>
            </w:pPr>
            <w:r>
              <w:rPr>
                <w:rFonts w:hint="eastAsia"/>
              </w:rPr>
              <w:t>其中：买断式回购的买入返售金融资产</w:t>
            </w:r>
          </w:p>
        </w:tc>
        <w:tc>
          <w:tcPr>
            <w:tcW w:w="2495" w:type="dxa"/>
            <w:tcBorders>
              <w:top w:val="single" w:sz="8" w:space="0" w:color="000000"/>
              <w:left w:val="single" w:sz="8" w:space="0" w:color="000000"/>
              <w:bottom w:val="single" w:sz="6" w:space="0" w:color="000000"/>
              <w:right w:val="single" w:sz="8" w:space="0" w:color="000000"/>
            </w:tcBorders>
            <w:vAlign w:val="center"/>
          </w:tcPr>
          <w:p w14:paraId="3CCF63C0" w14:textId="5D20490E" w:rsidR="0069510E" w:rsidRDefault="00000000">
            <w:pPr>
              <w:pStyle w:val="biaogeright"/>
              <w:wordWrap w:val="0"/>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7B32A2B9" w14:textId="3A9F9539" w:rsidR="0069510E" w:rsidRDefault="00000000">
            <w:pPr>
              <w:pStyle w:val="biaogeright"/>
              <w:wordWrap w:val="0"/>
            </w:pPr>
            <w:r>
              <w:t>-</w:t>
            </w:r>
          </w:p>
        </w:tc>
      </w:tr>
      <w:tr w:rsidR="0069510E" w14:paraId="1E3FD9C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FF246B7" w14:textId="77777777" w:rsidR="0069510E" w:rsidRDefault="00000000">
            <w:pPr>
              <w:pStyle w:val="biaogecenter"/>
              <w:wordWrap w:val="0"/>
            </w:pPr>
            <w:r>
              <w:rPr>
                <w:rFonts w:hAnsi="等线" w:hint="eastAsia"/>
                <w:color w:val="000000"/>
              </w:rPr>
              <w:t>7</w:t>
            </w:r>
          </w:p>
        </w:tc>
        <w:tc>
          <w:tcPr>
            <w:tcW w:w="2815" w:type="dxa"/>
            <w:tcBorders>
              <w:top w:val="single" w:sz="8" w:space="0" w:color="000000"/>
              <w:left w:val="single" w:sz="8" w:space="0" w:color="000000"/>
              <w:bottom w:val="single" w:sz="6" w:space="0" w:color="000000"/>
              <w:right w:val="single" w:sz="8" w:space="0" w:color="000000"/>
            </w:tcBorders>
            <w:vAlign w:val="center"/>
          </w:tcPr>
          <w:p w14:paraId="0C8FE567" w14:textId="77777777" w:rsidR="0069510E" w:rsidRDefault="00000000">
            <w:pPr>
              <w:pStyle w:val="biaogeleft"/>
              <w:wordWrap w:val="0"/>
            </w:pPr>
            <w:r>
              <w:rPr>
                <w:rFonts w:hint="eastAsia"/>
              </w:rPr>
              <w:t>银行存款和结算备付金合计</w:t>
            </w:r>
          </w:p>
        </w:tc>
        <w:tc>
          <w:tcPr>
            <w:tcW w:w="2495" w:type="dxa"/>
            <w:tcBorders>
              <w:top w:val="single" w:sz="8" w:space="0" w:color="000000"/>
              <w:left w:val="single" w:sz="8" w:space="0" w:color="000000"/>
              <w:bottom w:val="single" w:sz="6" w:space="0" w:color="000000"/>
              <w:right w:val="single" w:sz="8" w:space="0" w:color="000000"/>
            </w:tcBorders>
            <w:vAlign w:val="center"/>
          </w:tcPr>
          <w:p w14:paraId="07604AE8" w14:textId="172C7E35" w:rsidR="0069510E" w:rsidRDefault="00000000">
            <w:pPr>
              <w:pStyle w:val="biaogeright"/>
              <w:wordWrap w:val="0"/>
            </w:pPr>
            <w:r>
              <w:t>6,272,435.69</w:t>
            </w:r>
          </w:p>
        </w:tc>
        <w:tc>
          <w:tcPr>
            <w:tcW w:w="2572" w:type="dxa"/>
            <w:tcBorders>
              <w:top w:val="single" w:sz="8" w:space="0" w:color="000000"/>
              <w:left w:val="single" w:sz="8" w:space="0" w:color="000000"/>
              <w:bottom w:val="single" w:sz="6" w:space="0" w:color="000000"/>
              <w:right w:val="single" w:sz="8" w:space="0" w:color="000000"/>
            </w:tcBorders>
            <w:vAlign w:val="center"/>
          </w:tcPr>
          <w:p w14:paraId="14265963" w14:textId="20F26A35" w:rsidR="0069510E" w:rsidRDefault="00000000">
            <w:pPr>
              <w:pStyle w:val="biaogeright"/>
              <w:wordWrap w:val="0"/>
            </w:pPr>
            <w:r>
              <w:t>5.90</w:t>
            </w:r>
          </w:p>
        </w:tc>
      </w:tr>
      <w:tr w:rsidR="0069510E" w14:paraId="1EE1AB6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2932EBE" w14:textId="77777777" w:rsidR="0069510E" w:rsidRDefault="00000000">
            <w:pPr>
              <w:pStyle w:val="biaogecenter"/>
              <w:wordWrap w:val="0"/>
            </w:pPr>
            <w:r>
              <w:rPr>
                <w:rFonts w:hAnsi="等线" w:hint="eastAsia"/>
                <w:color w:val="000000"/>
              </w:rPr>
              <w:t>8</w:t>
            </w:r>
          </w:p>
        </w:tc>
        <w:tc>
          <w:tcPr>
            <w:tcW w:w="2815" w:type="dxa"/>
            <w:tcBorders>
              <w:top w:val="single" w:sz="8" w:space="0" w:color="000000"/>
              <w:left w:val="single" w:sz="8" w:space="0" w:color="000000"/>
              <w:bottom w:val="single" w:sz="6" w:space="0" w:color="000000"/>
              <w:right w:val="single" w:sz="8" w:space="0" w:color="000000"/>
            </w:tcBorders>
            <w:vAlign w:val="center"/>
          </w:tcPr>
          <w:p w14:paraId="3374FB60" w14:textId="77777777" w:rsidR="0069510E" w:rsidRDefault="00000000">
            <w:pPr>
              <w:pStyle w:val="biaogeleft"/>
              <w:wordWrap w:val="0"/>
            </w:pPr>
            <w:r>
              <w:rPr>
                <w:rFonts w:hint="eastAsia"/>
              </w:rPr>
              <w:t>其他资产</w:t>
            </w:r>
          </w:p>
        </w:tc>
        <w:tc>
          <w:tcPr>
            <w:tcW w:w="2495" w:type="dxa"/>
            <w:tcBorders>
              <w:top w:val="single" w:sz="8" w:space="0" w:color="000000"/>
              <w:left w:val="single" w:sz="8" w:space="0" w:color="000000"/>
              <w:bottom w:val="single" w:sz="6" w:space="0" w:color="000000"/>
              <w:right w:val="single" w:sz="8" w:space="0" w:color="000000"/>
            </w:tcBorders>
            <w:vAlign w:val="center"/>
          </w:tcPr>
          <w:p w14:paraId="29DC6F3D" w14:textId="0EE13A84" w:rsidR="0069510E" w:rsidRDefault="00000000">
            <w:pPr>
              <w:pStyle w:val="biaogeright"/>
              <w:wordWrap w:val="0"/>
            </w:pPr>
            <w:r>
              <w:t>9,065,916.79</w:t>
            </w:r>
          </w:p>
        </w:tc>
        <w:tc>
          <w:tcPr>
            <w:tcW w:w="2572" w:type="dxa"/>
            <w:tcBorders>
              <w:top w:val="single" w:sz="8" w:space="0" w:color="000000"/>
              <w:left w:val="single" w:sz="8" w:space="0" w:color="000000"/>
              <w:bottom w:val="single" w:sz="6" w:space="0" w:color="000000"/>
              <w:right w:val="single" w:sz="8" w:space="0" w:color="000000"/>
            </w:tcBorders>
            <w:vAlign w:val="center"/>
          </w:tcPr>
          <w:p w14:paraId="08A43714" w14:textId="718E8376" w:rsidR="0069510E" w:rsidRDefault="00000000">
            <w:pPr>
              <w:pStyle w:val="biaogeright"/>
              <w:wordWrap w:val="0"/>
            </w:pPr>
            <w:r>
              <w:t>8.52</w:t>
            </w:r>
          </w:p>
        </w:tc>
      </w:tr>
      <w:tr w:rsidR="0069510E" w14:paraId="40A33BC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27A07B4" w14:textId="77777777" w:rsidR="0069510E" w:rsidRDefault="00000000">
            <w:pPr>
              <w:pStyle w:val="biaogecenter"/>
              <w:wordWrap w:val="0"/>
            </w:pPr>
            <w:r>
              <w:rPr>
                <w:rFonts w:hint="eastAsia"/>
              </w:rPr>
              <w:t>9</w:t>
            </w:r>
          </w:p>
        </w:tc>
        <w:tc>
          <w:tcPr>
            <w:tcW w:w="2815" w:type="dxa"/>
            <w:tcBorders>
              <w:top w:val="single" w:sz="8" w:space="0" w:color="000000"/>
              <w:left w:val="single" w:sz="8" w:space="0" w:color="000000"/>
              <w:bottom w:val="single" w:sz="6" w:space="0" w:color="000000"/>
              <w:right w:val="single" w:sz="8" w:space="0" w:color="000000"/>
            </w:tcBorders>
            <w:vAlign w:val="center"/>
          </w:tcPr>
          <w:p w14:paraId="2E866A72" w14:textId="77777777" w:rsidR="0069510E" w:rsidRDefault="00000000">
            <w:pPr>
              <w:pStyle w:val="biaogeleft"/>
              <w:wordWrap w:val="0"/>
            </w:pPr>
            <w:r>
              <w:rPr>
                <w:rFonts w:hint="eastAsia"/>
              </w:rPr>
              <w:t>合计</w:t>
            </w:r>
          </w:p>
        </w:tc>
        <w:tc>
          <w:tcPr>
            <w:tcW w:w="2495" w:type="dxa"/>
            <w:tcBorders>
              <w:top w:val="single" w:sz="8" w:space="0" w:color="000000"/>
              <w:left w:val="single" w:sz="8" w:space="0" w:color="000000"/>
              <w:bottom w:val="single" w:sz="6" w:space="0" w:color="000000"/>
              <w:right w:val="single" w:sz="8" w:space="0" w:color="000000"/>
            </w:tcBorders>
            <w:vAlign w:val="center"/>
          </w:tcPr>
          <w:p w14:paraId="75AE5A06" w14:textId="035637D6" w:rsidR="0069510E" w:rsidRDefault="00000000">
            <w:pPr>
              <w:pStyle w:val="biaogeright"/>
              <w:wordWrap w:val="0"/>
            </w:pPr>
            <w:r>
              <w:t>106,401,099.76</w:t>
            </w:r>
          </w:p>
        </w:tc>
        <w:tc>
          <w:tcPr>
            <w:tcW w:w="2572" w:type="dxa"/>
            <w:tcBorders>
              <w:top w:val="single" w:sz="8" w:space="0" w:color="000000"/>
              <w:left w:val="single" w:sz="8" w:space="0" w:color="000000"/>
              <w:bottom w:val="single" w:sz="6" w:space="0" w:color="000000"/>
              <w:right w:val="single" w:sz="8" w:space="0" w:color="000000"/>
            </w:tcBorders>
            <w:vAlign w:val="center"/>
          </w:tcPr>
          <w:p w14:paraId="3CC08460" w14:textId="1DA8CADC" w:rsidR="0069510E" w:rsidRDefault="00000000">
            <w:pPr>
              <w:pStyle w:val="biaogeright"/>
              <w:wordWrap w:val="0"/>
            </w:pPr>
            <w:r>
              <w:t>100.00</w:t>
            </w:r>
          </w:p>
        </w:tc>
      </w:tr>
    </w:tbl>
    <w:p w14:paraId="513A1B03" w14:textId="77777777" w:rsidR="0069510E" w:rsidRDefault="0069510E">
      <w:pPr>
        <w:widowControl/>
        <w:jc w:val="left"/>
        <w:rPr>
          <w:rFonts w:ascii="宋体" w:eastAsia="宋体" w:hAnsi="宋体" w:cs="宋体"/>
          <w:kern w:val="0"/>
          <w:sz w:val="24"/>
          <w:szCs w:val="24"/>
        </w:rPr>
      </w:pPr>
    </w:p>
    <w:p w14:paraId="3D2B1F60" w14:textId="77777777" w:rsidR="0069510E" w:rsidRDefault="00000000">
      <w:pPr>
        <w:pStyle w:val="zhangjiep"/>
        <w:rPr>
          <w:rFonts w:asciiTheme="minorEastAsia" w:eastAsiaTheme="minorEastAsia" w:hAnsiTheme="minorEastAsia" w:cs="Times New Roman"/>
          <w:bCs/>
          <w:kern w:val="2"/>
        </w:rPr>
      </w:pPr>
      <w:bookmarkStart w:id="216" w:name="_Toc101354065"/>
      <w:r>
        <w:rPr>
          <w:rFonts w:asciiTheme="minorEastAsia" w:eastAsiaTheme="minorEastAsia" w:hAnsiTheme="minorEastAsia" w:cs="Times New Roman"/>
          <w:bCs/>
          <w:kern w:val="2"/>
        </w:rPr>
        <w:t>2、</w:t>
      </w:r>
      <w:r>
        <w:rPr>
          <w:rFonts w:asciiTheme="minorEastAsia" w:eastAsiaTheme="minorEastAsia" w:hAnsiTheme="minorEastAsia" w:cs="Times New Roman" w:hint="eastAsia"/>
          <w:bCs/>
          <w:kern w:val="2"/>
        </w:rPr>
        <w:t>报告期末按行业分类的股票投资组合</w:t>
      </w:r>
      <w:bookmarkEnd w:id="216"/>
    </w:p>
    <w:tbl>
      <w:tblPr>
        <w:tblW w:w="0" w:type="auto"/>
        <w:tblInd w:w="108" w:type="dxa"/>
        <w:tblLook w:val="04A0" w:firstRow="1" w:lastRow="0" w:firstColumn="1" w:lastColumn="0" w:noHBand="0" w:noVBand="1"/>
      </w:tblPr>
      <w:tblGrid>
        <w:gridCol w:w="795"/>
        <w:gridCol w:w="2596"/>
        <w:gridCol w:w="2596"/>
        <w:gridCol w:w="2672"/>
      </w:tblGrid>
      <w:tr w:rsidR="0069510E" w14:paraId="12F15DDB" w14:textId="77777777">
        <w:tc>
          <w:tcPr>
            <w:tcW w:w="795" w:type="dxa"/>
            <w:tcBorders>
              <w:top w:val="single" w:sz="8" w:space="0" w:color="000000"/>
              <w:left w:val="single" w:sz="8" w:space="0" w:color="000000"/>
              <w:bottom w:val="single" w:sz="6" w:space="0" w:color="000000"/>
              <w:right w:val="single" w:sz="8" w:space="0" w:color="000000"/>
            </w:tcBorders>
            <w:vAlign w:val="center"/>
          </w:tcPr>
          <w:p w14:paraId="3A5F852F" w14:textId="77777777" w:rsidR="0069510E" w:rsidRDefault="00000000">
            <w:pPr>
              <w:pStyle w:val="biaogecenter"/>
              <w:wordWrap w:val="0"/>
            </w:pPr>
            <w:r>
              <w:rPr>
                <w:rFonts w:hAnsi="等线" w:hint="eastAsia"/>
                <w:color w:val="000000"/>
              </w:rPr>
              <w:lastRenderedPageBreak/>
              <w:t>代码</w:t>
            </w:r>
          </w:p>
        </w:tc>
        <w:tc>
          <w:tcPr>
            <w:tcW w:w="2596" w:type="dxa"/>
            <w:tcBorders>
              <w:top w:val="single" w:sz="8" w:space="0" w:color="000000"/>
              <w:left w:val="single" w:sz="8" w:space="0" w:color="000000"/>
              <w:bottom w:val="single" w:sz="6" w:space="0" w:color="000000"/>
              <w:right w:val="single" w:sz="8" w:space="0" w:color="000000"/>
            </w:tcBorders>
            <w:vAlign w:val="center"/>
          </w:tcPr>
          <w:p w14:paraId="7D8537B5" w14:textId="77777777" w:rsidR="0069510E" w:rsidRDefault="00000000">
            <w:pPr>
              <w:pStyle w:val="biaogecenter"/>
              <w:wordWrap w:val="0"/>
            </w:pPr>
            <w:r>
              <w:rPr>
                <w:rFonts w:hAnsi="等线" w:hint="eastAsia"/>
                <w:color w:val="000000"/>
              </w:rPr>
              <w:t>行业类别</w:t>
            </w:r>
          </w:p>
        </w:tc>
        <w:tc>
          <w:tcPr>
            <w:tcW w:w="2596" w:type="dxa"/>
            <w:tcBorders>
              <w:top w:val="single" w:sz="8" w:space="0" w:color="000000"/>
              <w:left w:val="single" w:sz="8" w:space="0" w:color="000000"/>
              <w:bottom w:val="single" w:sz="6" w:space="0" w:color="000000"/>
              <w:right w:val="single" w:sz="8" w:space="0" w:color="000000"/>
            </w:tcBorders>
            <w:vAlign w:val="center"/>
          </w:tcPr>
          <w:p w14:paraId="7AB72093" w14:textId="77777777" w:rsidR="0069510E" w:rsidRDefault="00000000">
            <w:pPr>
              <w:pStyle w:val="biaogecenter"/>
              <w:wordWrap w:val="0"/>
            </w:pPr>
            <w:r>
              <w:rPr>
                <w:rFonts w:hAnsi="等线" w:hint="eastAsia"/>
                <w:color w:val="000000"/>
              </w:rPr>
              <w:t>公允价值(元)</w:t>
            </w:r>
          </w:p>
        </w:tc>
        <w:tc>
          <w:tcPr>
            <w:tcW w:w="2672" w:type="dxa"/>
            <w:tcBorders>
              <w:top w:val="single" w:sz="8" w:space="0" w:color="000000"/>
              <w:left w:val="single" w:sz="8" w:space="0" w:color="000000"/>
              <w:bottom w:val="single" w:sz="6" w:space="0" w:color="000000"/>
              <w:right w:val="single" w:sz="8" w:space="0" w:color="000000"/>
            </w:tcBorders>
            <w:vAlign w:val="center"/>
          </w:tcPr>
          <w:p w14:paraId="5E699120" w14:textId="77777777" w:rsidR="0069510E" w:rsidRDefault="00000000">
            <w:pPr>
              <w:pStyle w:val="biaogecenter"/>
              <w:wordWrap w:val="0"/>
            </w:pPr>
            <w:r>
              <w:rPr>
                <w:rFonts w:hAnsi="等线" w:hint="eastAsia"/>
                <w:color w:val="000000"/>
              </w:rPr>
              <w:t>占基金资产净值比例（%）</w:t>
            </w:r>
          </w:p>
        </w:tc>
      </w:tr>
      <w:tr w:rsidR="0069510E" w14:paraId="5FEE6AF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0AA5D3E" w14:textId="77777777" w:rsidR="0069510E" w:rsidRDefault="00000000">
            <w:pPr>
              <w:pStyle w:val="biaogecenter"/>
              <w:wordWrap w:val="0"/>
            </w:pPr>
            <w:r>
              <w:rPr>
                <w:rFonts w:hint="eastAsia"/>
              </w:rPr>
              <w:t>A</w:t>
            </w:r>
          </w:p>
        </w:tc>
        <w:tc>
          <w:tcPr>
            <w:tcW w:w="2596" w:type="dxa"/>
            <w:tcBorders>
              <w:top w:val="single" w:sz="8" w:space="0" w:color="000000"/>
              <w:left w:val="single" w:sz="8" w:space="0" w:color="000000"/>
              <w:bottom w:val="single" w:sz="6" w:space="0" w:color="000000"/>
              <w:right w:val="single" w:sz="8" w:space="0" w:color="000000"/>
            </w:tcBorders>
            <w:vAlign w:val="center"/>
          </w:tcPr>
          <w:p w14:paraId="32C806B0" w14:textId="77777777" w:rsidR="0069510E" w:rsidRDefault="00000000">
            <w:pPr>
              <w:pStyle w:val="biaogeleft"/>
              <w:wordWrap w:val="0"/>
            </w:pPr>
            <w:r>
              <w:rPr>
                <w:rFonts w:hint="eastAsia"/>
              </w:rPr>
              <w:t>农、林、牧、渔业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3EB56EBF" w14:textId="6F7B23A6" w:rsidR="0069510E" w:rsidRDefault="00000000">
            <w:pPr>
              <w:pStyle w:val="biaogeright"/>
              <w:wordWrap w:val="0"/>
            </w:pPr>
            <w:r>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516662F0" w14:textId="62138D51" w:rsidR="0069510E" w:rsidRDefault="00000000">
            <w:pPr>
              <w:pStyle w:val="biaogeright"/>
              <w:wordWrap w:val="0"/>
            </w:pPr>
            <w:r>
              <w:rPr>
                <w:rFonts w:hAnsi="等线"/>
                <w:color w:val="000000"/>
              </w:rPr>
              <w:t>-</w:t>
            </w:r>
          </w:p>
        </w:tc>
      </w:tr>
      <w:tr w:rsidR="0069510E" w14:paraId="0109EB9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889DD58" w14:textId="77777777" w:rsidR="0069510E" w:rsidRDefault="00000000">
            <w:pPr>
              <w:pStyle w:val="biaogecenter"/>
              <w:wordWrap w:val="0"/>
            </w:pPr>
            <w:r>
              <w:rPr>
                <w:rFonts w:hint="eastAsia"/>
              </w:rPr>
              <w:t>B</w:t>
            </w:r>
          </w:p>
        </w:tc>
        <w:tc>
          <w:tcPr>
            <w:tcW w:w="2596" w:type="dxa"/>
            <w:tcBorders>
              <w:top w:val="single" w:sz="8" w:space="0" w:color="000000"/>
              <w:left w:val="single" w:sz="8" w:space="0" w:color="000000"/>
              <w:bottom w:val="single" w:sz="6" w:space="0" w:color="000000"/>
              <w:right w:val="single" w:sz="8" w:space="0" w:color="000000"/>
            </w:tcBorders>
            <w:vAlign w:val="center"/>
          </w:tcPr>
          <w:p w14:paraId="3BFD567B" w14:textId="77777777" w:rsidR="0069510E" w:rsidRDefault="00000000">
            <w:pPr>
              <w:pStyle w:val="biaogeleft"/>
              <w:wordWrap w:val="0"/>
            </w:pPr>
            <w:r>
              <w:rPr>
                <w:rFonts w:hint="eastAsia"/>
              </w:rPr>
              <w:t>采矿业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00EB7A8A" w14:textId="23213990" w:rsidR="0069510E" w:rsidRDefault="00000000">
            <w:pPr>
              <w:pStyle w:val="biaogeright"/>
              <w:wordWrap w:val="0"/>
            </w:pPr>
            <w:r>
              <w:rPr>
                <w:rFonts w:hAnsi="等线"/>
                <w:color w:val="000000"/>
              </w:rPr>
              <w:t>9,518,438.00</w:t>
            </w:r>
          </w:p>
        </w:tc>
        <w:tc>
          <w:tcPr>
            <w:tcW w:w="2672" w:type="dxa"/>
            <w:tcBorders>
              <w:top w:val="single" w:sz="8" w:space="0" w:color="000000"/>
              <w:left w:val="single" w:sz="8" w:space="0" w:color="000000"/>
              <w:bottom w:val="single" w:sz="6" w:space="0" w:color="000000"/>
              <w:right w:val="single" w:sz="8" w:space="0" w:color="000000"/>
            </w:tcBorders>
            <w:vAlign w:val="center"/>
          </w:tcPr>
          <w:p w14:paraId="64C8A90B" w14:textId="4CAA1AAF" w:rsidR="0069510E" w:rsidRDefault="00000000">
            <w:pPr>
              <w:pStyle w:val="biaogeright"/>
              <w:wordWrap w:val="0"/>
            </w:pPr>
            <w:r>
              <w:rPr>
                <w:rFonts w:hAnsi="等线"/>
                <w:color w:val="000000"/>
              </w:rPr>
              <w:t>8.96</w:t>
            </w:r>
          </w:p>
        </w:tc>
      </w:tr>
      <w:tr w:rsidR="0069510E" w14:paraId="3775E752"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49F773C" w14:textId="77777777" w:rsidR="0069510E" w:rsidRDefault="00000000">
            <w:pPr>
              <w:pStyle w:val="biaogecenter"/>
              <w:wordWrap w:val="0"/>
            </w:pPr>
            <w:r>
              <w:rPr>
                <w:rFonts w:hint="eastAsia"/>
              </w:rPr>
              <w:t>C</w:t>
            </w:r>
          </w:p>
        </w:tc>
        <w:tc>
          <w:tcPr>
            <w:tcW w:w="2596" w:type="dxa"/>
            <w:tcBorders>
              <w:top w:val="single" w:sz="8" w:space="0" w:color="000000"/>
              <w:left w:val="single" w:sz="8" w:space="0" w:color="000000"/>
              <w:bottom w:val="single" w:sz="6" w:space="0" w:color="000000"/>
              <w:right w:val="single" w:sz="8" w:space="0" w:color="000000"/>
            </w:tcBorders>
            <w:vAlign w:val="center"/>
          </w:tcPr>
          <w:p w14:paraId="24AE3D46" w14:textId="77777777" w:rsidR="0069510E" w:rsidRDefault="00000000">
            <w:pPr>
              <w:pStyle w:val="biaogeleft"/>
              <w:wordWrap w:val="0"/>
            </w:pPr>
            <w:r>
              <w:rPr>
                <w:rFonts w:hint="eastAsia"/>
              </w:rPr>
              <w:t>制造业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4B716AD7" w14:textId="34CE8F74" w:rsidR="0069510E" w:rsidRDefault="00000000">
            <w:pPr>
              <w:pStyle w:val="biaogeright"/>
              <w:wordWrap w:val="0"/>
            </w:pPr>
            <w:r>
              <w:rPr>
                <w:rFonts w:hAnsi="等线"/>
                <w:color w:val="000000"/>
              </w:rPr>
              <w:t>61,706,740.44</w:t>
            </w:r>
          </w:p>
        </w:tc>
        <w:tc>
          <w:tcPr>
            <w:tcW w:w="2672" w:type="dxa"/>
            <w:tcBorders>
              <w:top w:val="single" w:sz="8" w:space="0" w:color="000000"/>
              <w:left w:val="single" w:sz="8" w:space="0" w:color="000000"/>
              <w:bottom w:val="single" w:sz="6" w:space="0" w:color="000000"/>
              <w:right w:val="single" w:sz="8" w:space="0" w:color="000000"/>
            </w:tcBorders>
            <w:vAlign w:val="center"/>
          </w:tcPr>
          <w:p w14:paraId="591C8DB9" w14:textId="736233D9" w:rsidR="0069510E" w:rsidRDefault="00000000">
            <w:pPr>
              <w:pStyle w:val="biaogeright"/>
              <w:wordWrap w:val="0"/>
            </w:pPr>
            <w:r>
              <w:rPr>
                <w:rFonts w:hAnsi="等线"/>
                <w:color w:val="000000"/>
              </w:rPr>
              <w:t>58.09</w:t>
            </w:r>
          </w:p>
        </w:tc>
      </w:tr>
      <w:tr w:rsidR="0069510E" w14:paraId="64D1CE0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1380AF5" w14:textId="77777777" w:rsidR="0069510E" w:rsidRDefault="00000000">
            <w:pPr>
              <w:pStyle w:val="biaogecenter"/>
              <w:wordWrap w:val="0"/>
            </w:pPr>
            <w:r>
              <w:rPr>
                <w:rFonts w:hAnsi="等线" w:hint="eastAsia"/>
                <w:color w:val="000000"/>
              </w:rPr>
              <w:t>D</w:t>
            </w:r>
          </w:p>
        </w:tc>
        <w:tc>
          <w:tcPr>
            <w:tcW w:w="2596" w:type="dxa"/>
            <w:tcBorders>
              <w:top w:val="single" w:sz="8" w:space="0" w:color="000000"/>
              <w:left w:val="single" w:sz="8" w:space="0" w:color="000000"/>
              <w:bottom w:val="single" w:sz="6" w:space="0" w:color="000000"/>
              <w:right w:val="single" w:sz="8" w:space="0" w:color="000000"/>
            </w:tcBorders>
            <w:vAlign w:val="center"/>
          </w:tcPr>
          <w:p w14:paraId="1E092E80" w14:textId="77777777" w:rsidR="0069510E" w:rsidRDefault="00000000">
            <w:pPr>
              <w:pStyle w:val="biaogeleft"/>
              <w:wordWrap w:val="0"/>
            </w:pPr>
            <w:r>
              <w:rPr>
                <w:rFonts w:hint="eastAsia"/>
              </w:rPr>
              <w:t>电力、热力、燃气及水生产和供应业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6149A1A4" w14:textId="196BFC74" w:rsidR="0069510E" w:rsidRDefault="00000000">
            <w:pPr>
              <w:pStyle w:val="biaogeright"/>
              <w:wordWrap w:val="0"/>
            </w:pPr>
            <w:r>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60CAF2CF" w14:textId="5EC0A1EA" w:rsidR="0069510E" w:rsidRDefault="00000000">
            <w:pPr>
              <w:pStyle w:val="biaogeright"/>
              <w:wordWrap w:val="0"/>
            </w:pPr>
            <w:r>
              <w:rPr>
                <w:rFonts w:hAnsi="等线"/>
                <w:color w:val="000000"/>
              </w:rPr>
              <w:t>-</w:t>
            </w:r>
          </w:p>
        </w:tc>
      </w:tr>
      <w:tr w:rsidR="0069510E" w14:paraId="64C8CDD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FDAEDA3" w14:textId="77777777" w:rsidR="0069510E" w:rsidRDefault="00000000">
            <w:pPr>
              <w:pStyle w:val="biaogecenter"/>
              <w:wordWrap w:val="0"/>
            </w:pPr>
            <w:r>
              <w:rPr>
                <w:rFonts w:hint="eastAsia"/>
              </w:rPr>
              <w:t>E</w:t>
            </w:r>
          </w:p>
        </w:tc>
        <w:tc>
          <w:tcPr>
            <w:tcW w:w="2596" w:type="dxa"/>
            <w:tcBorders>
              <w:top w:val="single" w:sz="8" w:space="0" w:color="000000"/>
              <w:left w:val="single" w:sz="8" w:space="0" w:color="000000"/>
              <w:bottom w:val="single" w:sz="6" w:space="0" w:color="000000"/>
              <w:right w:val="single" w:sz="8" w:space="0" w:color="000000"/>
            </w:tcBorders>
            <w:vAlign w:val="center"/>
          </w:tcPr>
          <w:p w14:paraId="6CDB7E66" w14:textId="77777777" w:rsidR="0069510E" w:rsidRDefault="00000000">
            <w:pPr>
              <w:pStyle w:val="biaogeleft"/>
              <w:wordWrap w:val="0"/>
            </w:pPr>
            <w:r>
              <w:rPr>
                <w:rFonts w:hint="eastAsia"/>
              </w:rPr>
              <w:t>建筑业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3B8CF662" w14:textId="1F107B8E" w:rsidR="0069510E" w:rsidRDefault="00000000">
            <w:pPr>
              <w:pStyle w:val="biaogeright"/>
              <w:wordWrap w:val="0"/>
            </w:pPr>
            <w:r>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29D4D3A9" w14:textId="5660BF7D" w:rsidR="0069510E" w:rsidRDefault="00000000">
            <w:pPr>
              <w:pStyle w:val="biaogeright"/>
              <w:wordWrap w:val="0"/>
            </w:pPr>
            <w:r>
              <w:rPr>
                <w:rFonts w:hAnsi="等线"/>
                <w:color w:val="000000"/>
              </w:rPr>
              <w:t>-</w:t>
            </w:r>
          </w:p>
        </w:tc>
      </w:tr>
      <w:tr w:rsidR="0069510E" w14:paraId="19F84982"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68E7E77" w14:textId="77777777" w:rsidR="0069510E" w:rsidRDefault="00000000">
            <w:pPr>
              <w:pStyle w:val="biaogecenter"/>
              <w:wordWrap w:val="0"/>
            </w:pPr>
            <w:r>
              <w:rPr>
                <w:rFonts w:hAnsi="等线" w:hint="eastAsia"/>
                <w:color w:val="000000"/>
              </w:rPr>
              <w:t>F</w:t>
            </w:r>
          </w:p>
        </w:tc>
        <w:tc>
          <w:tcPr>
            <w:tcW w:w="2596" w:type="dxa"/>
            <w:tcBorders>
              <w:top w:val="single" w:sz="8" w:space="0" w:color="000000"/>
              <w:left w:val="single" w:sz="8" w:space="0" w:color="000000"/>
              <w:bottom w:val="single" w:sz="6" w:space="0" w:color="000000"/>
              <w:right w:val="single" w:sz="8" w:space="0" w:color="000000"/>
            </w:tcBorders>
            <w:vAlign w:val="center"/>
          </w:tcPr>
          <w:p w14:paraId="23965347" w14:textId="77777777" w:rsidR="0069510E" w:rsidRDefault="00000000">
            <w:pPr>
              <w:pStyle w:val="biaogeleft"/>
              <w:wordWrap w:val="0"/>
            </w:pPr>
            <w:r>
              <w:rPr>
                <w:rFonts w:hint="eastAsia"/>
              </w:rPr>
              <w:t>批发和零售业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59059F89" w14:textId="589F147F" w:rsidR="0069510E" w:rsidRDefault="00000000">
            <w:pPr>
              <w:pStyle w:val="biaogeright"/>
              <w:wordWrap w:val="0"/>
            </w:pPr>
            <w:r>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47C63551" w14:textId="69E2302A" w:rsidR="0069510E" w:rsidRDefault="00000000">
            <w:pPr>
              <w:pStyle w:val="biaogeright"/>
              <w:wordWrap w:val="0"/>
            </w:pPr>
            <w:r>
              <w:rPr>
                <w:rFonts w:hAnsi="等线"/>
                <w:color w:val="000000"/>
              </w:rPr>
              <w:t>-</w:t>
            </w:r>
          </w:p>
        </w:tc>
      </w:tr>
      <w:tr w:rsidR="0069510E" w14:paraId="380ABDE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528B4F9" w14:textId="77777777" w:rsidR="0069510E" w:rsidRDefault="00000000">
            <w:pPr>
              <w:pStyle w:val="biaogecenter"/>
              <w:wordWrap w:val="0"/>
            </w:pPr>
            <w:r>
              <w:rPr>
                <w:rFonts w:hAnsi="等线" w:hint="eastAsia"/>
                <w:color w:val="000000"/>
              </w:rPr>
              <w:t>G</w:t>
            </w:r>
          </w:p>
        </w:tc>
        <w:tc>
          <w:tcPr>
            <w:tcW w:w="2596" w:type="dxa"/>
            <w:tcBorders>
              <w:top w:val="single" w:sz="8" w:space="0" w:color="000000"/>
              <w:left w:val="single" w:sz="8" w:space="0" w:color="000000"/>
              <w:bottom w:val="single" w:sz="6" w:space="0" w:color="000000"/>
              <w:right w:val="single" w:sz="8" w:space="0" w:color="000000"/>
            </w:tcBorders>
            <w:vAlign w:val="center"/>
          </w:tcPr>
          <w:p w14:paraId="65B3AFDD" w14:textId="77777777" w:rsidR="0069510E" w:rsidRDefault="00000000">
            <w:pPr>
              <w:pStyle w:val="biaogeleft"/>
              <w:wordWrap w:val="0"/>
            </w:pPr>
            <w:r>
              <w:rPr>
                <w:rFonts w:hint="eastAsia"/>
              </w:rPr>
              <w:t>交通运输、仓储和邮政业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396E9158" w14:textId="255EA7E8" w:rsidR="0069510E" w:rsidRDefault="00000000">
            <w:pPr>
              <w:pStyle w:val="biaogeright"/>
              <w:wordWrap w:val="0"/>
            </w:pPr>
            <w:r>
              <w:rPr>
                <w:rFonts w:hAnsi="等线"/>
                <w:color w:val="000000"/>
              </w:rPr>
              <w:t>4,202,534.00</w:t>
            </w:r>
          </w:p>
        </w:tc>
        <w:tc>
          <w:tcPr>
            <w:tcW w:w="2672" w:type="dxa"/>
            <w:tcBorders>
              <w:top w:val="single" w:sz="8" w:space="0" w:color="000000"/>
              <w:left w:val="single" w:sz="8" w:space="0" w:color="000000"/>
              <w:bottom w:val="single" w:sz="6" w:space="0" w:color="000000"/>
              <w:right w:val="single" w:sz="8" w:space="0" w:color="000000"/>
            </w:tcBorders>
            <w:vAlign w:val="center"/>
          </w:tcPr>
          <w:p w14:paraId="61CAB190" w14:textId="3B5C314B" w:rsidR="0069510E" w:rsidRDefault="00000000">
            <w:pPr>
              <w:pStyle w:val="biaogeright"/>
              <w:wordWrap w:val="0"/>
            </w:pPr>
            <w:r>
              <w:rPr>
                <w:rFonts w:hAnsi="等线"/>
                <w:color w:val="000000"/>
              </w:rPr>
              <w:t>3.96</w:t>
            </w:r>
          </w:p>
        </w:tc>
      </w:tr>
      <w:tr w:rsidR="0069510E" w14:paraId="330587A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F24F40F" w14:textId="77777777" w:rsidR="0069510E" w:rsidRDefault="00000000">
            <w:pPr>
              <w:pStyle w:val="biaogecenter"/>
              <w:wordWrap w:val="0"/>
            </w:pPr>
            <w:r>
              <w:rPr>
                <w:rFonts w:hAnsi="等线" w:hint="eastAsia"/>
                <w:color w:val="000000"/>
              </w:rPr>
              <w:t>H</w:t>
            </w:r>
          </w:p>
        </w:tc>
        <w:tc>
          <w:tcPr>
            <w:tcW w:w="2596" w:type="dxa"/>
            <w:tcBorders>
              <w:top w:val="single" w:sz="8" w:space="0" w:color="000000"/>
              <w:left w:val="single" w:sz="8" w:space="0" w:color="000000"/>
              <w:bottom w:val="single" w:sz="6" w:space="0" w:color="000000"/>
              <w:right w:val="single" w:sz="8" w:space="0" w:color="000000"/>
            </w:tcBorders>
            <w:vAlign w:val="center"/>
          </w:tcPr>
          <w:p w14:paraId="17B39774" w14:textId="77777777" w:rsidR="0069510E" w:rsidRDefault="00000000">
            <w:pPr>
              <w:pStyle w:val="biaogeleft"/>
              <w:wordWrap w:val="0"/>
            </w:pPr>
            <w:r>
              <w:rPr>
                <w:rFonts w:hint="eastAsia"/>
              </w:rPr>
              <w:t>住宿和餐饮业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5FC5F2DD" w14:textId="5ADBE50F" w:rsidR="0069510E" w:rsidRDefault="00000000">
            <w:pPr>
              <w:pStyle w:val="biaogeright"/>
              <w:wordWrap w:val="0"/>
            </w:pPr>
            <w:r>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4802EB31" w14:textId="40EF4FFC" w:rsidR="0069510E" w:rsidRDefault="00000000">
            <w:pPr>
              <w:pStyle w:val="biaogeright"/>
              <w:wordWrap w:val="0"/>
            </w:pPr>
            <w:r>
              <w:rPr>
                <w:rFonts w:hAnsi="等线"/>
                <w:color w:val="000000"/>
              </w:rPr>
              <w:t>-</w:t>
            </w:r>
          </w:p>
        </w:tc>
      </w:tr>
      <w:tr w:rsidR="0069510E" w14:paraId="218D39D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631C4C4" w14:textId="77777777" w:rsidR="0069510E" w:rsidRDefault="00000000">
            <w:pPr>
              <w:pStyle w:val="biaogecenter"/>
              <w:wordWrap w:val="0"/>
            </w:pPr>
            <w:r>
              <w:rPr>
                <w:rFonts w:hAnsi="等线" w:hint="eastAsia"/>
                <w:color w:val="000000"/>
              </w:rPr>
              <w:t>I</w:t>
            </w:r>
          </w:p>
        </w:tc>
        <w:tc>
          <w:tcPr>
            <w:tcW w:w="2596" w:type="dxa"/>
            <w:tcBorders>
              <w:top w:val="single" w:sz="8" w:space="0" w:color="000000"/>
              <w:left w:val="single" w:sz="8" w:space="0" w:color="000000"/>
              <w:bottom w:val="single" w:sz="6" w:space="0" w:color="000000"/>
              <w:right w:val="single" w:sz="8" w:space="0" w:color="000000"/>
            </w:tcBorders>
            <w:vAlign w:val="center"/>
          </w:tcPr>
          <w:p w14:paraId="6E568EC2" w14:textId="77777777" w:rsidR="0069510E" w:rsidRDefault="00000000">
            <w:pPr>
              <w:pStyle w:val="biaogeleft"/>
              <w:wordWrap w:val="0"/>
            </w:pPr>
            <w:r>
              <w:rPr>
                <w:rFonts w:hint="eastAsia"/>
              </w:rPr>
              <w:t>信息传输、软件和信息技术服务业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09AF968D" w14:textId="37DC40BA" w:rsidR="0069510E" w:rsidRDefault="00000000">
            <w:pPr>
              <w:pStyle w:val="biaogeright"/>
              <w:wordWrap w:val="0"/>
            </w:pPr>
            <w:r>
              <w:rPr>
                <w:rFonts w:hAnsi="等线"/>
                <w:color w:val="000000"/>
              </w:rPr>
              <w:t>4,709.28</w:t>
            </w:r>
          </w:p>
        </w:tc>
        <w:tc>
          <w:tcPr>
            <w:tcW w:w="2672" w:type="dxa"/>
            <w:tcBorders>
              <w:top w:val="single" w:sz="8" w:space="0" w:color="000000"/>
              <w:left w:val="single" w:sz="8" w:space="0" w:color="000000"/>
              <w:bottom w:val="single" w:sz="6" w:space="0" w:color="000000"/>
              <w:right w:val="single" w:sz="8" w:space="0" w:color="000000"/>
            </w:tcBorders>
            <w:vAlign w:val="center"/>
          </w:tcPr>
          <w:p w14:paraId="302F4C41" w14:textId="17ABF2AB" w:rsidR="0069510E" w:rsidRDefault="00000000">
            <w:pPr>
              <w:pStyle w:val="biaogeright"/>
              <w:wordWrap w:val="0"/>
            </w:pPr>
            <w:r>
              <w:rPr>
                <w:rFonts w:hAnsi="等线"/>
                <w:color w:val="000000"/>
              </w:rPr>
              <w:t>0.00</w:t>
            </w:r>
          </w:p>
        </w:tc>
      </w:tr>
      <w:tr w:rsidR="0069510E" w14:paraId="15A9FE72"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1F00FD2" w14:textId="77777777" w:rsidR="0069510E" w:rsidRDefault="00000000">
            <w:pPr>
              <w:pStyle w:val="biaogecenter"/>
              <w:wordWrap w:val="0"/>
            </w:pPr>
            <w:r>
              <w:rPr>
                <w:rFonts w:hAnsi="等线" w:hint="eastAsia"/>
                <w:color w:val="000000"/>
              </w:rPr>
              <w:t>J</w:t>
            </w:r>
          </w:p>
        </w:tc>
        <w:tc>
          <w:tcPr>
            <w:tcW w:w="2596" w:type="dxa"/>
            <w:tcBorders>
              <w:top w:val="single" w:sz="8" w:space="0" w:color="000000"/>
              <w:left w:val="single" w:sz="8" w:space="0" w:color="000000"/>
              <w:bottom w:val="single" w:sz="6" w:space="0" w:color="000000"/>
              <w:right w:val="single" w:sz="8" w:space="0" w:color="000000"/>
            </w:tcBorders>
            <w:vAlign w:val="center"/>
          </w:tcPr>
          <w:p w14:paraId="319BBFA9" w14:textId="77777777" w:rsidR="0069510E" w:rsidRDefault="00000000">
            <w:pPr>
              <w:pStyle w:val="biaogeleft"/>
              <w:wordWrap w:val="0"/>
            </w:pPr>
            <w:r>
              <w:rPr>
                <w:rFonts w:hint="eastAsia"/>
              </w:rPr>
              <w:t>金融业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3F147E1A" w14:textId="3A894E75" w:rsidR="0069510E" w:rsidRDefault="00000000">
            <w:pPr>
              <w:pStyle w:val="biaogeright"/>
              <w:wordWrap w:val="0"/>
            </w:pPr>
            <w:r>
              <w:rPr>
                <w:rFonts w:hAnsi="等线"/>
                <w:color w:val="000000"/>
              </w:rPr>
              <w:t>5,288,560.76</w:t>
            </w:r>
          </w:p>
        </w:tc>
        <w:tc>
          <w:tcPr>
            <w:tcW w:w="2672" w:type="dxa"/>
            <w:tcBorders>
              <w:top w:val="single" w:sz="8" w:space="0" w:color="000000"/>
              <w:left w:val="single" w:sz="8" w:space="0" w:color="000000"/>
              <w:bottom w:val="single" w:sz="6" w:space="0" w:color="000000"/>
              <w:right w:val="single" w:sz="8" w:space="0" w:color="000000"/>
            </w:tcBorders>
            <w:vAlign w:val="center"/>
          </w:tcPr>
          <w:p w14:paraId="10367EC5" w14:textId="4093AB28" w:rsidR="0069510E" w:rsidRDefault="00000000">
            <w:pPr>
              <w:pStyle w:val="biaogeright"/>
              <w:wordWrap w:val="0"/>
            </w:pPr>
            <w:r>
              <w:rPr>
                <w:rFonts w:hAnsi="等线"/>
                <w:color w:val="000000"/>
              </w:rPr>
              <w:t>4.98</w:t>
            </w:r>
          </w:p>
        </w:tc>
      </w:tr>
      <w:tr w:rsidR="0069510E" w14:paraId="24510EF0"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5931BB4" w14:textId="77777777" w:rsidR="0069510E" w:rsidRDefault="00000000">
            <w:pPr>
              <w:pStyle w:val="biaogecenter"/>
              <w:wordWrap w:val="0"/>
            </w:pPr>
            <w:r>
              <w:rPr>
                <w:rFonts w:hAnsi="等线" w:hint="eastAsia"/>
                <w:color w:val="000000"/>
              </w:rPr>
              <w:t>K</w:t>
            </w:r>
          </w:p>
        </w:tc>
        <w:tc>
          <w:tcPr>
            <w:tcW w:w="2596" w:type="dxa"/>
            <w:tcBorders>
              <w:top w:val="single" w:sz="8" w:space="0" w:color="000000"/>
              <w:left w:val="single" w:sz="8" w:space="0" w:color="000000"/>
              <w:bottom w:val="single" w:sz="6" w:space="0" w:color="000000"/>
              <w:right w:val="single" w:sz="8" w:space="0" w:color="000000"/>
            </w:tcBorders>
            <w:vAlign w:val="center"/>
          </w:tcPr>
          <w:p w14:paraId="679A9C62" w14:textId="77777777" w:rsidR="0069510E" w:rsidRDefault="00000000">
            <w:pPr>
              <w:pStyle w:val="biaogeleft"/>
              <w:wordWrap w:val="0"/>
            </w:pPr>
            <w:r>
              <w:rPr>
                <w:rFonts w:hint="eastAsia"/>
              </w:rPr>
              <w:t>房地产业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316E4D32" w14:textId="7C19F066" w:rsidR="0069510E" w:rsidRDefault="00000000">
            <w:pPr>
              <w:pStyle w:val="biaogeright"/>
              <w:wordWrap w:val="0"/>
            </w:pPr>
            <w:r>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6F9438B9" w14:textId="0A287537" w:rsidR="0069510E" w:rsidRDefault="00000000">
            <w:pPr>
              <w:pStyle w:val="biaogeright"/>
              <w:wordWrap w:val="0"/>
            </w:pPr>
            <w:r>
              <w:rPr>
                <w:rFonts w:hAnsi="等线"/>
                <w:color w:val="000000"/>
              </w:rPr>
              <w:t>-</w:t>
            </w:r>
          </w:p>
        </w:tc>
      </w:tr>
      <w:tr w:rsidR="0069510E" w14:paraId="3BA33E0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4B6DF3C" w14:textId="77777777" w:rsidR="0069510E" w:rsidRDefault="00000000">
            <w:pPr>
              <w:pStyle w:val="biaogecenter"/>
              <w:wordWrap w:val="0"/>
            </w:pPr>
            <w:r>
              <w:rPr>
                <w:rFonts w:hAnsi="等线" w:hint="eastAsia"/>
                <w:color w:val="000000"/>
              </w:rPr>
              <w:t>L</w:t>
            </w:r>
          </w:p>
        </w:tc>
        <w:tc>
          <w:tcPr>
            <w:tcW w:w="2596" w:type="dxa"/>
            <w:tcBorders>
              <w:top w:val="single" w:sz="8" w:space="0" w:color="000000"/>
              <w:left w:val="single" w:sz="8" w:space="0" w:color="000000"/>
              <w:bottom w:val="single" w:sz="6" w:space="0" w:color="000000"/>
              <w:right w:val="single" w:sz="8" w:space="0" w:color="000000"/>
            </w:tcBorders>
            <w:vAlign w:val="center"/>
          </w:tcPr>
          <w:p w14:paraId="069ED6AB" w14:textId="77777777" w:rsidR="0069510E" w:rsidRDefault="00000000">
            <w:pPr>
              <w:pStyle w:val="biaogeleft"/>
              <w:wordWrap w:val="0"/>
            </w:pPr>
            <w:r>
              <w:rPr>
                <w:rFonts w:hint="eastAsia"/>
              </w:rPr>
              <w:t>租赁和商务服务业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169E17BE" w14:textId="4D2571B5" w:rsidR="0069510E" w:rsidRDefault="00000000">
            <w:pPr>
              <w:pStyle w:val="biaogeright"/>
              <w:wordWrap w:val="0"/>
            </w:pPr>
            <w:r>
              <w:rPr>
                <w:rFonts w:hAnsi="等线"/>
                <w:color w:val="000000"/>
              </w:rPr>
              <w:t>7,234,872.00</w:t>
            </w:r>
          </w:p>
        </w:tc>
        <w:tc>
          <w:tcPr>
            <w:tcW w:w="2672" w:type="dxa"/>
            <w:tcBorders>
              <w:top w:val="single" w:sz="8" w:space="0" w:color="000000"/>
              <w:left w:val="single" w:sz="8" w:space="0" w:color="000000"/>
              <w:bottom w:val="single" w:sz="6" w:space="0" w:color="000000"/>
              <w:right w:val="single" w:sz="8" w:space="0" w:color="000000"/>
            </w:tcBorders>
            <w:vAlign w:val="center"/>
          </w:tcPr>
          <w:p w14:paraId="4A01A1A6" w14:textId="30880578" w:rsidR="0069510E" w:rsidRDefault="00000000">
            <w:pPr>
              <w:pStyle w:val="biaogeright"/>
              <w:wordWrap w:val="0"/>
            </w:pPr>
            <w:r>
              <w:rPr>
                <w:rFonts w:hAnsi="等线"/>
                <w:color w:val="000000"/>
              </w:rPr>
              <w:t>6.81</w:t>
            </w:r>
          </w:p>
        </w:tc>
      </w:tr>
      <w:tr w:rsidR="0069510E" w14:paraId="569475D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08FCC38" w14:textId="77777777" w:rsidR="0069510E" w:rsidRDefault="00000000">
            <w:pPr>
              <w:pStyle w:val="biaogecenter"/>
              <w:wordWrap w:val="0"/>
            </w:pPr>
            <w:r>
              <w:rPr>
                <w:rFonts w:hAnsi="等线" w:hint="eastAsia"/>
                <w:color w:val="000000"/>
              </w:rPr>
              <w:t>M</w:t>
            </w:r>
          </w:p>
        </w:tc>
        <w:tc>
          <w:tcPr>
            <w:tcW w:w="2596" w:type="dxa"/>
            <w:tcBorders>
              <w:top w:val="single" w:sz="8" w:space="0" w:color="000000"/>
              <w:left w:val="single" w:sz="8" w:space="0" w:color="000000"/>
              <w:bottom w:val="single" w:sz="6" w:space="0" w:color="000000"/>
              <w:right w:val="single" w:sz="8" w:space="0" w:color="000000"/>
            </w:tcBorders>
            <w:vAlign w:val="center"/>
          </w:tcPr>
          <w:p w14:paraId="279A37DE" w14:textId="77777777" w:rsidR="0069510E" w:rsidRDefault="00000000">
            <w:pPr>
              <w:pStyle w:val="biaogeleft"/>
              <w:wordWrap w:val="0"/>
            </w:pPr>
            <w:r>
              <w:rPr>
                <w:rFonts w:hint="eastAsia"/>
              </w:rPr>
              <w:t>科学研究和技术服务业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625E09FA" w14:textId="6D46A8D4" w:rsidR="0069510E" w:rsidRDefault="00000000">
            <w:pPr>
              <w:pStyle w:val="biaogeright"/>
              <w:wordWrap w:val="0"/>
            </w:pPr>
            <w:r>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4CB1A85A" w14:textId="4AC7BDDB" w:rsidR="0069510E" w:rsidRDefault="00000000">
            <w:pPr>
              <w:pStyle w:val="biaogeright"/>
              <w:wordWrap w:val="0"/>
            </w:pPr>
            <w:r>
              <w:rPr>
                <w:rFonts w:hAnsi="等线"/>
                <w:color w:val="000000"/>
              </w:rPr>
              <w:t>-</w:t>
            </w:r>
          </w:p>
        </w:tc>
      </w:tr>
      <w:tr w:rsidR="0069510E" w14:paraId="787D5DB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8797739" w14:textId="77777777" w:rsidR="0069510E" w:rsidRDefault="00000000">
            <w:pPr>
              <w:pStyle w:val="biaogecenter"/>
              <w:wordWrap w:val="0"/>
            </w:pPr>
            <w:r>
              <w:rPr>
                <w:rFonts w:hAnsi="等线" w:hint="eastAsia"/>
                <w:color w:val="000000"/>
              </w:rPr>
              <w:t>N</w:t>
            </w:r>
          </w:p>
        </w:tc>
        <w:tc>
          <w:tcPr>
            <w:tcW w:w="2596" w:type="dxa"/>
            <w:tcBorders>
              <w:top w:val="single" w:sz="8" w:space="0" w:color="000000"/>
              <w:left w:val="single" w:sz="8" w:space="0" w:color="000000"/>
              <w:bottom w:val="single" w:sz="6" w:space="0" w:color="000000"/>
              <w:right w:val="single" w:sz="8" w:space="0" w:color="000000"/>
            </w:tcBorders>
            <w:vAlign w:val="center"/>
          </w:tcPr>
          <w:p w14:paraId="06DF8F71" w14:textId="77777777" w:rsidR="0069510E" w:rsidRDefault="00000000">
            <w:pPr>
              <w:pStyle w:val="biaogeleft"/>
              <w:wordWrap w:val="0"/>
            </w:pPr>
            <w:r>
              <w:rPr>
                <w:rFonts w:hint="eastAsia"/>
              </w:rPr>
              <w:t>水利、环境和公共设施管理业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498E8B56" w14:textId="6BCB69AD" w:rsidR="0069510E" w:rsidRDefault="00000000">
            <w:pPr>
              <w:pStyle w:val="biaogeright"/>
              <w:wordWrap w:val="0"/>
            </w:pPr>
            <w:r>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7C843F4D" w14:textId="75A1F9FF" w:rsidR="0069510E" w:rsidRDefault="00000000">
            <w:pPr>
              <w:pStyle w:val="biaogeright"/>
              <w:wordWrap w:val="0"/>
            </w:pPr>
            <w:r>
              <w:rPr>
                <w:rFonts w:hAnsi="等线"/>
                <w:color w:val="000000"/>
              </w:rPr>
              <w:t>-</w:t>
            </w:r>
          </w:p>
        </w:tc>
      </w:tr>
      <w:tr w:rsidR="0069510E" w14:paraId="5D26CE6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C8203BB" w14:textId="77777777" w:rsidR="0069510E" w:rsidRDefault="00000000">
            <w:pPr>
              <w:pStyle w:val="biaogecenter"/>
              <w:wordWrap w:val="0"/>
            </w:pPr>
            <w:r>
              <w:rPr>
                <w:rFonts w:hAnsi="等线" w:hint="eastAsia"/>
                <w:color w:val="000000"/>
              </w:rPr>
              <w:t>O</w:t>
            </w:r>
          </w:p>
        </w:tc>
        <w:tc>
          <w:tcPr>
            <w:tcW w:w="2596" w:type="dxa"/>
            <w:tcBorders>
              <w:top w:val="single" w:sz="8" w:space="0" w:color="000000"/>
              <w:left w:val="single" w:sz="8" w:space="0" w:color="000000"/>
              <w:bottom w:val="single" w:sz="6" w:space="0" w:color="000000"/>
              <w:right w:val="single" w:sz="8" w:space="0" w:color="000000"/>
            </w:tcBorders>
            <w:vAlign w:val="center"/>
          </w:tcPr>
          <w:p w14:paraId="22D628AD" w14:textId="77777777" w:rsidR="0069510E" w:rsidRDefault="00000000">
            <w:pPr>
              <w:pStyle w:val="biaogeleft"/>
              <w:wordWrap w:val="0"/>
            </w:pPr>
            <w:r>
              <w:rPr>
                <w:rFonts w:hint="eastAsia"/>
              </w:rPr>
              <w:t>居民服务、修理和其他服务业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0CE3458D" w14:textId="6200980E" w:rsidR="0069510E" w:rsidRDefault="00000000">
            <w:pPr>
              <w:pStyle w:val="biaogeright"/>
              <w:wordWrap w:val="0"/>
            </w:pPr>
            <w:r>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05EFD764" w14:textId="4BD64AFE" w:rsidR="0069510E" w:rsidRDefault="00000000">
            <w:pPr>
              <w:pStyle w:val="biaogeright"/>
              <w:wordWrap w:val="0"/>
            </w:pPr>
            <w:r>
              <w:rPr>
                <w:rFonts w:hAnsi="等线"/>
                <w:color w:val="000000"/>
              </w:rPr>
              <w:t>-</w:t>
            </w:r>
          </w:p>
        </w:tc>
      </w:tr>
      <w:tr w:rsidR="0069510E" w14:paraId="5065893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4C90C4D" w14:textId="77777777" w:rsidR="0069510E" w:rsidRDefault="00000000">
            <w:pPr>
              <w:pStyle w:val="biaogecenter"/>
              <w:wordWrap w:val="0"/>
            </w:pPr>
            <w:r>
              <w:rPr>
                <w:rFonts w:hAnsi="等线" w:hint="eastAsia"/>
                <w:color w:val="000000"/>
              </w:rPr>
              <w:t>P</w:t>
            </w:r>
          </w:p>
        </w:tc>
        <w:tc>
          <w:tcPr>
            <w:tcW w:w="2596" w:type="dxa"/>
            <w:tcBorders>
              <w:top w:val="single" w:sz="8" w:space="0" w:color="000000"/>
              <w:left w:val="single" w:sz="8" w:space="0" w:color="000000"/>
              <w:bottom w:val="single" w:sz="6" w:space="0" w:color="000000"/>
              <w:right w:val="single" w:sz="8" w:space="0" w:color="000000"/>
            </w:tcBorders>
            <w:vAlign w:val="center"/>
          </w:tcPr>
          <w:p w14:paraId="1FE9B95F" w14:textId="77777777" w:rsidR="0069510E" w:rsidRDefault="00000000">
            <w:pPr>
              <w:pStyle w:val="biaogeleft"/>
              <w:wordWrap w:val="0"/>
            </w:pPr>
            <w:r>
              <w:rPr>
                <w:rFonts w:hint="eastAsia"/>
              </w:rPr>
              <w:t>教育</w:t>
            </w:r>
          </w:p>
        </w:tc>
        <w:tc>
          <w:tcPr>
            <w:tcW w:w="2596" w:type="dxa"/>
            <w:tcBorders>
              <w:top w:val="single" w:sz="8" w:space="0" w:color="000000"/>
              <w:left w:val="single" w:sz="8" w:space="0" w:color="000000"/>
              <w:bottom w:val="single" w:sz="6" w:space="0" w:color="000000"/>
              <w:right w:val="single" w:sz="8" w:space="0" w:color="000000"/>
            </w:tcBorders>
            <w:vAlign w:val="center"/>
          </w:tcPr>
          <w:p w14:paraId="64792B5B" w14:textId="7707E06A" w:rsidR="0069510E" w:rsidRDefault="00000000">
            <w:pPr>
              <w:pStyle w:val="biaogeright"/>
              <w:wordWrap w:val="0"/>
            </w:pPr>
            <w:r>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17812498" w14:textId="0439432A" w:rsidR="0069510E" w:rsidRDefault="00000000">
            <w:pPr>
              <w:pStyle w:val="biaogeright"/>
              <w:wordWrap w:val="0"/>
            </w:pPr>
            <w:r>
              <w:rPr>
                <w:rFonts w:hAnsi="等线"/>
                <w:color w:val="000000"/>
              </w:rPr>
              <w:t>-</w:t>
            </w:r>
          </w:p>
        </w:tc>
      </w:tr>
      <w:tr w:rsidR="0069510E" w14:paraId="6A01937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24E3DC6" w14:textId="77777777" w:rsidR="0069510E" w:rsidRDefault="00000000">
            <w:pPr>
              <w:pStyle w:val="biaogecenter"/>
              <w:wordWrap w:val="0"/>
            </w:pPr>
            <w:r>
              <w:rPr>
                <w:rFonts w:hAnsi="等线" w:hint="eastAsia"/>
                <w:color w:val="000000"/>
              </w:rPr>
              <w:t>Q</w:t>
            </w:r>
          </w:p>
        </w:tc>
        <w:tc>
          <w:tcPr>
            <w:tcW w:w="2596" w:type="dxa"/>
            <w:tcBorders>
              <w:top w:val="single" w:sz="8" w:space="0" w:color="000000"/>
              <w:left w:val="single" w:sz="8" w:space="0" w:color="000000"/>
              <w:bottom w:val="single" w:sz="6" w:space="0" w:color="000000"/>
              <w:right w:val="single" w:sz="8" w:space="0" w:color="000000"/>
            </w:tcBorders>
            <w:vAlign w:val="center"/>
          </w:tcPr>
          <w:p w14:paraId="6EA4CE9C" w14:textId="77777777" w:rsidR="0069510E" w:rsidRDefault="00000000">
            <w:pPr>
              <w:pStyle w:val="biaogeleft"/>
              <w:wordWrap w:val="0"/>
            </w:pPr>
            <w:r>
              <w:rPr>
                <w:rFonts w:hint="eastAsia"/>
              </w:rPr>
              <w:t>卫生和社会工作</w:t>
            </w:r>
          </w:p>
        </w:tc>
        <w:tc>
          <w:tcPr>
            <w:tcW w:w="2596" w:type="dxa"/>
            <w:tcBorders>
              <w:top w:val="single" w:sz="8" w:space="0" w:color="000000"/>
              <w:left w:val="single" w:sz="8" w:space="0" w:color="000000"/>
              <w:bottom w:val="single" w:sz="6" w:space="0" w:color="000000"/>
              <w:right w:val="single" w:sz="8" w:space="0" w:color="000000"/>
            </w:tcBorders>
            <w:vAlign w:val="center"/>
          </w:tcPr>
          <w:p w14:paraId="43973646" w14:textId="23D25117" w:rsidR="0069510E" w:rsidRDefault="00000000">
            <w:pPr>
              <w:pStyle w:val="biaogeright"/>
              <w:wordWrap w:val="0"/>
            </w:pPr>
            <w:r>
              <w:rPr>
                <w:rFonts w:hAnsi="等线"/>
                <w:color w:val="000000"/>
              </w:rPr>
              <w:t>3,106,892.80</w:t>
            </w:r>
          </w:p>
        </w:tc>
        <w:tc>
          <w:tcPr>
            <w:tcW w:w="2672" w:type="dxa"/>
            <w:tcBorders>
              <w:top w:val="single" w:sz="8" w:space="0" w:color="000000"/>
              <w:left w:val="single" w:sz="8" w:space="0" w:color="000000"/>
              <w:bottom w:val="single" w:sz="6" w:space="0" w:color="000000"/>
              <w:right w:val="single" w:sz="8" w:space="0" w:color="000000"/>
            </w:tcBorders>
            <w:vAlign w:val="center"/>
          </w:tcPr>
          <w:p w14:paraId="1B0A0229" w14:textId="567DA6FC" w:rsidR="0069510E" w:rsidRDefault="00000000">
            <w:pPr>
              <w:pStyle w:val="biaogeright"/>
              <w:wordWrap w:val="0"/>
            </w:pPr>
            <w:r>
              <w:rPr>
                <w:rFonts w:hAnsi="等线"/>
                <w:color w:val="000000"/>
              </w:rPr>
              <w:t>2.92</w:t>
            </w:r>
          </w:p>
        </w:tc>
      </w:tr>
      <w:tr w:rsidR="0069510E" w14:paraId="01DE26B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984363E" w14:textId="77777777" w:rsidR="0069510E" w:rsidRDefault="00000000">
            <w:pPr>
              <w:pStyle w:val="biaogecenter"/>
              <w:wordWrap w:val="0"/>
            </w:pPr>
            <w:r>
              <w:rPr>
                <w:rFonts w:hAnsi="等线" w:hint="eastAsia"/>
                <w:color w:val="000000"/>
              </w:rPr>
              <w:t>R</w:t>
            </w:r>
          </w:p>
        </w:tc>
        <w:tc>
          <w:tcPr>
            <w:tcW w:w="2596" w:type="dxa"/>
            <w:tcBorders>
              <w:top w:val="single" w:sz="8" w:space="0" w:color="000000"/>
              <w:left w:val="single" w:sz="8" w:space="0" w:color="000000"/>
              <w:bottom w:val="single" w:sz="6" w:space="0" w:color="000000"/>
              <w:right w:val="single" w:sz="8" w:space="0" w:color="000000"/>
            </w:tcBorders>
            <w:vAlign w:val="center"/>
          </w:tcPr>
          <w:p w14:paraId="4021D0D3" w14:textId="77777777" w:rsidR="0069510E" w:rsidRDefault="00000000">
            <w:pPr>
              <w:pStyle w:val="biaogeleft"/>
              <w:wordWrap w:val="0"/>
            </w:pPr>
            <w:r>
              <w:rPr>
                <w:rFonts w:hint="eastAsia"/>
              </w:rPr>
              <w:t>文化、体育和娱乐业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6C55027F" w14:textId="2D7C0443" w:rsidR="0069510E" w:rsidRDefault="00000000">
            <w:pPr>
              <w:pStyle w:val="biaogeright"/>
              <w:wordWrap w:val="0"/>
            </w:pPr>
            <w:r>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144DA5CB" w14:textId="09BC5BB4" w:rsidR="0069510E" w:rsidRDefault="00000000">
            <w:pPr>
              <w:pStyle w:val="biaogeright"/>
              <w:wordWrap w:val="0"/>
            </w:pPr>
            <w:r>
              <w:rPr>
                <w:rFonts w:hAnsi="等线"/>
                <w:color w:val="000000"/>
              </w:rPr>
              <w:t>-</w:t>
            </w:r>
          </w:p>
        </w:tc>
      </w:tr>
      <w:tr w:rsidR="0069510E" w14:paraId="41E03A2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27F8595" w14:textId="77777777" w:rsidR="0069510E" w:rsidRDefault="00000000">
            <w:pPr>
              <w:pStyle w:val="biaogecenter"/>
              <w:wordWrap w:val="0"/>
            </w:pPr>
            <w:r>
              <w:rPr>
                <w:rFonts w:hAnsi="等线" w:hint="eastAsia"/>
                <w:color w:val="000000"/>
              </w:rPr>
              <w:t>S</w:t>
            </w:r>
          </w:p>
        </w:tc>
        <w:tc>
          <w:tcPr>
            <w:tcW w:w="2596" w:type="dxa"/>
            <w:tcBorders>
              <w:top w:val="single" w:sz="8" w:space="0" w:color="000000"/>
              <w:left w:val="single" w:sz="8" w:space="0" w:color="000000"/>
              <w:bottom w:val="single" w:sz="6" w:space="0" w:color="000000"/>
              <w:right w:val="single" w:sz="8" w:space="0" w:color="000000"/>
            </w:tcBorders>
            <w:vAlign w:val="center"/>
          </w:tcPr>
          <w:p w14:paraId="313475D5" w14:textId="77777777" w:rsidR="0069510E" w:rsidRDefault="00000000">
            <w:pPr>
              <w:pStyle w:val="biaogeleft"/>
              <w:wordWrap w:val="0"/>
            </w:pPr>
            <w:r>
              <w:rPr>
                <w:rFonts w:hint="eastAsia"/>
              </w:rPr>
              <w:t>综合</w:t>
            </w:r>
          </w:p>
        </w:tc>
        <w:tc>
          <w:tcPr>
            <w:tcW w:w="2596" w:type="dxa"/>
            <w:tcBorders>
              <w:top w:val="single" w:sz="8" w:space="0" w:color="000000"/>
              <w:left w:val="single" w:sz="8" w:space="0" w:color="000000"/>
              <w:bottom w:val="single" w:sz="6" w:space="0" w:color="000000"/>
              <w:right w:val="single" w:sz="8" w:space="0" w:color="000000"/>
            </w:tcBorders>
            <w:vAlign w:val="center"/>
          </w:tcPr>
          <w:p w14:paraId="4499288C" w14:textId="1A16C84F" w:rsidR="0069510E" w:rsidRDefault="00000000">
            <w:pPr>
              <w:pStyle w:val="biaogeright"/>
              <w:wordWrap w:val="0"/>
            </w:pPr>
            <w:r>
              <w:rPr>
                <w:rFonts w:hAnsi="等线"/>
                <w:color w:val="000000"/>
              </w:rP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42B5573B" w14:textId="770F2FD9" w:rsidR="0069510E" w:rsidRDefault="00000000">
            <w:pPr>
              <w:pStyle w:val="biaogeright"/>
              <w:wordWrap w:val="0"/>
            </w:pPr>
            <w:r>
              <w:rPr>
                <w:rFonts w:hAnsi="等线"/>
                <w:color w:val="000000"/>
              </w:rPr>
              <w:t>-</w:t>
            </w:r>
          </w:p>
        </w:tc>
      </w:tr>
      <w:tr w:rsidR="0069510E" w14:paraId="3EEEBA7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2234A66" w14:textId="77777777" w:rsidR="0069510E" w:rsidRDefault="0069510E">
            <w:pPr>
              <w:widowControl/>
              <w:jc w:val="left"/>
              <w:rPr>
                <w:rFonts w:cs="宋体"/>
                <w:kern w:val="0"/>
                <w:sz w:val="20"/>
                <w:szCs w:val="20"/>
              </w:rPr>
            </w:pPr>
          </w:p>
        </w:tc>
        <w:tc>
          <w:tcPr>
            <w:tcW w:w="2596" w:type="dxa"/>
            <w:tcBorders>
              <w:top w:val="single" w:sz="8" w:space="0" w:color="000000"/>
              <w:left w:val="single" w:sz="8" w:space="0" w:color="000000"/>
              <w:bottom w:val="single" w:sz="6" w:space="0" w:color="000000"/>
              <w:right w:val="single" w:sz="8" w:space="0" w:color="000000"/>
            </w:tcBorders>
            <w:vAlign w:val="center"/>
          </w:tcPr>
          <w:p w14:paraId="2EEA044C" w14:textId="77777777" w:rsidR="0069510E" w:rsidRDefault="00000000">
            <w:pPr>
              <w:pStyle w:val="biaogeleft"/>
              <w:wordWrap w:val="0"/>
            </w:pPr>
            <w:r>
              <w:rPr>
                <w:rFonts w:hint="eastAsia"/>
              </w:rPr>
              <w:t>合计</w:t>
            </w:r>
          </w:p>
        </w:tc>
        <w:tc>
          <w:tcPr>
            <w:tcW w:w="2596" w:type="dxa"/>
            <w:tcBorders>
              <w:top w:val="single" w:sz="8" w:space="0" w:color="000000"/>
              <w:left w:val="single" w:sz="8" w:space="0" w:color="000000"/>
              <w:bottom w:val="single" w:sz="6" w:space="0" w:color="000000"/>
              <w:right w:val="single" w:sz="8" w:space="0" w:color="000000"/>
            </w:tcBorders>
            <w:vAlign w:val="center"/>
          </w:tcPr>
          <w:p w14:paraId="62B397E5" w14:textId="1CAB9E08" w:rsidR="0069510E" w:rsidRDefault="00000000">
            <w:pPr>
              <w:pStyle w:val="biaogeright"/>
              <w:wordWrap w:val="0"/>
            </w:pPr>
            <w:r>
              <w:rPr>
                <w:rFonts w:hAnsi="等线"/>
                <w:color w:val="000000"/>
              </w:rPr>
              <w:t>91,062,747.28</w:t>
            </w:r>
          </w:p>
        </w:tc>
        <w:tc>
          <w:tcPr>
            <w:tcW w:w="2672" w:type="dxa"/>
            <w:tcBorders>
              <w:top w:val="single" w:sz="8" w:space="0" w:color="000000"/>
              <w:left w:val="single" w:sz="8" w:space="0" w:color="000000"/>
              <w:bottom w:val="single" w:sz="6" w:space="0" w:color="000000"/>
              <w:right w:val="single" w:sz="8" w:space="0" w:color="000000"/>
            </w:tcBorders>
            <w:vAlign w:val="center"/>
          </w:tcPr>
          <w:p w14:paraId="1ED7268D" w14:textId="7EDA58AB" w:rsidR="0069510E" w:rsidRDefault="00000000">
            <w:pPr>
              <w:pStyle w:val="biaogeright"/>
              <w:wordWrap w:val="0"/>
            </w:pPr>
            <w:r>
              <w:rPr>
                <w:rFonts w:hAnsi="等线"/>
                <w:color w:val="000000"/>
              </w:rPr>
              <w:t>85.73</w:t>
            </w:r>
          </w:p>
        </w:tc>
      </w:tr>
    </w:tbl>
    <w:p w14:paraId="6773B5B3" w14:textId="77777777" w:rsidR="0069510E" w:rsidRDefault="0069510E">
      <w:pPr>
        <w:widowControl/>
        <w:jc w:val="left"/>
        <w:rPr>
          <w:rFonts w:ascii="宋体" w:eastAsia="宋体" w:hAnsi="宋体" w:cs="宋体"/>
          <w:kern w:val="0"/>
          <w:sz w:val="24"/>
          <w:szCs w:val="24"/>
        </w:rPr>
      </w:pPr>
    </w:p>
    <w:p w14:paraId="5D0E91C1" w14:textId="77777777" w:rsidR="0069510E" w:rsidRDefault="00000000">
      <w:pPr>
        <w:pStyle w:val="zhangjiep"/>
        <w:rPr>
          <w:rFonts w:asciiTheme="minorEastAsia" w:eastAsiaTheme="minorEastAsia" w:hAnsiTheme="minorEastAsia" w:cs="Times New Roman"/>
          <w:bCs/>
          <w:kern w:val="2"/>
        </w:rPr>
      </w:pPr>
      <w:bookmarkStart w:id="217" w:name="_Toc101354066"/>
      <w:r>
        <w:rPr>
          <w:rFonts w:asciiTheme="minorEastAsia" w:eastAsiaTheme="minorEastAsia" w:hAnsiTheme="minorEastAsia" w:cs="Times New Roman"/>
          <w:bCs/>
          <w:kern w:val="2"/>
        </w:rPr>
        <w:t>3、</w:t>
      </w:r>
      <w:r>
        <w:rPr>
          <w:rFonts w:asciiTheme="minorEastAsia" w:eastAsiaTheme="minorEastAsia" w:hAnsiTheme="minorEastAsia" w:cs="Times New Roman" w:hint="eastAsia"/>
          <w:bCs/>
          <w:kern w:val="2"/>
        </w:rPr>
        <w:t>报告期末按公允价值占基金资产净值比例大小排序的前十名股票投资明细</w:t>
      </w:r>
      <w:bookmarkEnd w:id="217"/>
    </w:p>
    <w:tbl>
      <w:tblPr>
        <w:tblW w:w="0" w:type="auto"/>
        <w:tblInd w:w="108" w:type="dxa"/>
        <w:tblLook w:val="04A0" w:firstRow="1" w:lastRow="0" w:firstColumn="1" w:lastColumn="0" w:noHBand="0" w:noVBand="1"/>
      </w:tblPr>
      <w:tblGrid>
        <w:gridCol w:w="472"/>
        <w:gridCol w:w="1402"/>
        <w:gridCol w:w="1528"/>
        <w:gridCol w:w="1560"/>
        <w:gridCol w:w="1978"/>
        <w:gridCol w:w="1719"/>
      </w:tblGrid>
      <w:tr w:rsidR="0069510E" w14:paraId="5F5B40C8"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12FA9160" w14:textId="77777777" w:rsidR="0069510E" w:rsidRDefault="00000000">
            <w:pPr>
              <w:pStyle w:val="biaogecenter"/>
              <w:wordWrap w:val="0"/>
            </w:pPr>
            <w:r>
              <w:rPr>
                <w:rFonts w:hAnsi="等线" w:hint="eastAsia"/>
                <w:color w:val="000000"/>
              </w:rPr>
              <w:t>序号</w:t>
            </w:r>
          </w:p>
        </w:tc>
        <w:tc>
          <w:tcPr>
            <w:tcW w:w="1402" w:type="dxa"/>
            <w:tcBorders>
              <w:top w:val="single" w:sz="8" w:space="0" w:color="000000"/>
              <w:left w:val="single" w:sz="8" w:space="0" w:color="000000"/>
              <w:bottom w:val="single" w:sz="6" w:space="0" w:color="000000"/>
              <w:right w:val="single" w:sz="8" w:space="0" w:color="000000"/>
            </w:tcBorders>
            <w:vAlign w:val="center"/>
          </w:tcPr>
          <w:p w14:paraId="31A7D7CF" w14:textId="77777777" w:rsidR="0069510E" w:rsidRDefault="00000000">
            <w:pPr>
              <w:pStyle w:val="biaogecenter"/>
              <w:wordWrap w:val="0"/>
            </w:pPr>
            <w:r>
              <w:rPr>
                <w:rFonts w:hAnsi="等线" w:hint="eastAsia"/>
                <w:color w:val="000000"/>
              </w:rPr>
              <w:t>股票代码</w:t>
            </w:r>
          </w:p>
        </w:tc>
        <w:tc>
          <w:tcPr>
            <w:tcW w:w="1528" w:type="dxa"/>
            <w:tcBorders>
              <w:top w:val="single" w:sz="8" w:space="0" w:color="000000"/>
              <w:left w:val="single" w:sz="8" w:space="0" w:color="000000"/>
              <w:bottom w:val="single" w:sz="6" w:space="0" w:color="000000"/>
              <w:right w:val="single" w:sz="8" w:space="0" w:color="000000"/>
            </w:tcBorders>
            <w:vAlign w:val="center"/>
          </w:tcPr>
          <w:p w14:paraId="0F0EE211" w14:textId="77777777" w:rsidR="0069510E" w:rsidRDefault="00000000">
            <w:pPr>
              <w:pStyle w:val="biaogecenter"/>
              <w:wordWrap w:val="0"/>
            </w:pPr>
            <w:r>
              <w:rPr>
                <w:rFonts w:hAnsi="等线" w:hint="eastAsia"/>
                <w:color w:val="000000"/>
              </w:rPr>
              <w:t>股票名称</w:t>
            </w:r>
          </w:p>
        </w:tc>
        <w:tc>
          <w:tcPr>
            <w:tcW w:w="1560" w:type="dxa"/>
            <w:tcBorders>
              <w:top w:val="single" w:sz="8" w:space="0" w:color="000000"/>
              <w:left w:val="single" w:sz="8" w:space="0" w:color="000000"/>
              <w:bottom w:val="single" w:sz="6" w:space="0" w:color="000000"/>
              <w:right w:val="single" w:sz="8" w:space="0" w:color="000000"/>
            </w:tcBorders>
            <w:vAlign w:val="center"/>
          </w:tcPr>
          <w:p w14:paraId="49034CB0" w14:textId="77777777" w:rsidR="0069510E" w:rsidRDefault="00000000">
            <w:pPr>
              <w:pStyle w:val="biaogecenter"/>
              <w:wordWrap w:val="0"/>
            </w:pPr>
            <w:r>
              <w:rPr>
                <w:rFonts w:hAnsi="等线" w:hint="eastAsia"/>
                <w:color w:val="000000"/>
              </w:rPr>
              <w:t>数量(股)</w:t>
            </w:r>
          </w:p>
        </w:tc>
        <w:tc>
          <w:tcPr>
            <w:tcW w:w="1978" w:type="dxa"/>
            <w:tcBorders>
              <w:top w:val="single" w:sz="8" w:space="0" w:color="000000"/>
              <w:left w:val="single" w:sz="8" w:space="0" w:color="000000"/>
              <w:bottom w:val="single" w:sz="6" w:space="0" w:color="000000"/>
              <w:right w:val="single" w:sz="8" w:space="0" w:color="000000"/>
            </w:tcBorders>
            <w:vAlign w:val="center"/>
          </w:tcPr>
          <w:p w14:paraId="1EA1E3B7" w14:textId="77777777" w:rsidR="0069510E" w:rsidRDefault="00000000">
            <w:pPr>
              <w:pStyle w:val="biaogecenter"/>
              <w:wordWrap w:val="0"/>
            </w:pPr>
            <w:r>
              <w:rPr>
                <w:rFonts w:hAnsi="等线" w:hint="eastAsia"/>
                <w:color w:val="000000"/>
              </w:rPr>
              <w:t>公允价值(元)</w:t>
            </w:r>
          </w:p>
        </w:tc>
        <w:tc>
          <w:tcPr>
            <w:tcW w:w="1719" w:type="dxa"/>
            <w:tcBorders>
              <w:top w:val="single" w:sz="8" w:space="0" w:color="000000"/>
              <w:left w:val="single" w:sz="8" w:space="0" w:color="000000"/>
              <w:bottom w:val="single" w:sz="6" w:space="0" w:color="000000"/>
              <w:right w:val="single" w:sz="8" w:space="0" w:color="000000"/>
            </w:tcBorders>
            <w:vAlign w:val="center"/>
          </w:tcPr>
          <w:p w14:paraId="43A9ACE9" w14:textId="77777777" w:rsidR="0069510E" w:rsidRDefault="00000000">
            <w:pPr>
              <w:pStyle w:val="biaogecenter"/>
              <w:wordWrap w:val="0"/>
            </w:pPr>
            <w:r>
              <w:rPr>
                <w:rFonts w:hAnsi="等线" w:hint="eastAsia"/>
                <w:color w:val="000000"/>
              </w:rPr>
              <w:t>占基金资产净值比例（％）</w:t>
            </w:r>
          </w:p>
        </w:tc>
      </w:tr>
      <w:tr w:rsidR="0069510E" w14:paraId="1D493B7C"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4AD12633" w14:textId="19888811" w:rsidR="0069510E" w:rsidRDefault="00000000">
            <w:pPr>
              <w:pStyle w:val="biaogecenter"/>
              <w:wordWrap w:val="0"/>
            </w:pPr>
            <w:r>
              <w:rPr>
                <w:rFonts w:hAnsi="等线"/>
                <w:color w:val="000000"/>
              </w:rPr>
              <w:t>1</w:t>
            </w:r>
          </w:p>
        </w:tc>
        <w:tc>
          <w:tcPr>
            <w:tcW w:w="1402" w:type="dxa"/>
            <w:tcBorders>
              <w:top w:val="single" w:sz="8" w:space="0" w:color="000000"/>
              <w:left w:val="single" w:sz="8" w:space="0" w:color="000000"/>
              <w:bottom w:val="single" w:sz="6" w:space="0" w:color="000000"/>
              <w:right w:val="single" w:sz="8" w:space="0" w:color="000000"/>
            </w:tcBorders>
            <w:vAlign w:val="center"/>
          </w:tcPr>
          <w:p w14:paraId="54B361CB" w14:textId="25D8B60A" w:rsidR="0069510E" w:rsidRDefault="00000000">
            <w:pPr>
              <w:pStyle w:val="biaogeleft"/>
              <w:wordWrap w:val="0"/>
            </w:pPr>
            <w:r>
              <w:rPr>
                <w:rFonts w:hAnsi="等线"/>
                <w:color w:val="000000"/>
              </w:rPr>
              <w:t>601899</w:t>
            </w:r>
          </w:p>
        </w:tc>
        <w:tc>
          <w:tcPr>
            <w:tcW w:w="1528" w:type="dxa"/>
            <w:tcBorders>
              <w:top w:val="single" w:sz="8" w:space="0" w:color="000000"/>
              <w:left w:val="single" w:sz="8" w:space="0" w:color="000000"/>
              <w:bottom w:val="single" w:sz="6" w:space="0" w:color="000000"/>
              <w:right w:val="single" w:sz="8" w:space="0" w:color="000000"/>
            </w:tcBorders>
            <w:vAlign w:val="center"/>
          </w:tcPr>
          <w:p w14:paraId="00BB9ED6" w14:textId="05CC6A83" w:rsidR="0069510E" w:rsidRDefault="00000000">
            <w:pPr>
              <w:pStyle w:val="biaogeleft"/>
              <w:wordWrap w:val="0"/>
            </w:pPr>
            <w:r>
              <w:rPr>
                <w:rFonts w:hAnsi="等线"/>
                <w:color w:val="000000"/>
              </w:rPr>
              <w:t>紫金矿业</w:t>
            </w:r>
          </w:p>
        </w:tc>
        <w:tc>
          <w:tcPr>
            <w:tcW w:w="1560" w:type="dxa"/>
            <w:tcBorders>
              <w:top w:val="single" w:sz="8" w:space="0" w:color="000000"/>
              <w:left w:val="single" w:sz="8" w:space="0" w:color="000000"/>
              <w:bottom w:val="single" w:sz="6" w:space="0" w:color="000000"/>
              <w:right w:val="single" w:sz="8" w:space="0" w:color="000000"/>
            </w:tcBorders>
            <w:vAlign w:val="center"/>
          </w:tcPr>
          <w:p w14:paraId="38C93569" w14:textId="0E1EE501" w:rsidR="0069510E" w:rsidRDefault="00000000">
            <w:pPr>
              <w:pStyle w:val="biaogeright"/>
              <w:wordWrap w:val="0"/>
            </w:pPr>
            <w:r>
              <w:rPr>
                <w:rFonts w:hAnsi="等线"/>
                <w:color w:val="000000"/>
              </w:rPr>
              <w:t>565,900</w:t>
            </w:r>
          </w:p>
        </w:tc>
        <w:tc>
          <w:tcPr>
            <w:tcW w:w="1978" w:type="dxa"/>
            <w:tcBorders>
              <w:top w:val="single" w:sz="8" w:space="0" w:color="000000"/>
              <w:left w:val="single" w:sz="8" w:space="0" w:color="000000"/>
              <w:bottom w:val="single" w:sz="6" w:space="0" w:color="000000"/>
              <w:right w:val="single" w:sz="8" w:space="0" w:color="000000"/>
            </w:tcBorders>
            <w:vAlign w:val="center"/>
          </w:tcPr>
          <w:p w14:paraId="1A12C36E" w14:textId="524420CB" w:rsidR="0069510E" w:rsidRDefault="00000000">
            <w:pPr>
              <w:pStyle w:val="biaogeright"/>
              <w:wordWrap w:val="0"/>
            </w:pPr>
            <w:r>
              <w:rPr>
                <w:rFonts w:hAnsi="等线"/>
                <w:color w:val="000000"/>
              </w:rPr>
              <w:t>9,518,438.00</w:t>
            </w:r>
          </w:p>
        </w:tc>
        <w:tc>
          <w:tcPr>
            <w:tcW w:w="1719" w:type="dxa"/>
            <w:tcBorders>
              <w:top w:val="single" w:sz="8" w:space="0" w:color="000000"/>
              <w:left w:val="single" w:sz="8" w:space="0" w:color="000000"/>
              <w:bottom w:val="single" w:sz="6" w:space="0" w:color="000000"/>
              <w:right w:val="single" w:sz="8" w:space="0" w:color="000000"/>
            </w:tcBorders>
            <w:vAlign w:val="center"/>
          </w:tcPr>
          <w:p w14:paraId="5CE0206F" w14:textId="1AAAE5E3" w:rsidR="0069510E" w:rsidRDefault="00000000">
            <w:pPr>
              <w:pStyle w:val="biaogeright"/>
              <w:wordWrap w:val="0"/>
            </w:pPr>
            <w:r>
              <w:rPr>
                <w:rFonts w:hAnsi="等线"/>
                <w:color w:val="000000"/>
              </w:rPr>
              <w:t>8.96</w:t>
            </w:r>
          </w:p>
        </w:tc>
      </w:tr>
      <w:tr w:rsidR="0069510E" w14:paraId="2F38CCB6"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1D7BD2E0" w14:textId="2941FCA6" w:rsidR="0069510E" w:rsidRDefault="00000000">
            <w:pPr>
              <w:pStyle w:val="biaogecenter"/>
              <w:wordWrap w:val="0"/>
            </w:pPr>
            <w:r>
              <w:rPr>
                <w:rFonts w:hAnsi="等线"/>
                <w:color w:val="000000"/>
              </w:rPr>
              <w:t>2</w:t>
            </w:r>
          </w:p>
        </w:tc>
        <w:tc>
          <w:tcPr>
            <w:tcW w:w="1402" w:type="dxa"/>
            <w:tcBorders>
              <w:top w:val="single" w:sz="8" w:space="0" w:color="000000"/>
              <w:left w:val="single" w:sz="8" w:space="0" w:color="000000"/>
              <w:bottom w:val="single" w:sz="6" w:space="0" w:color="000000"/>
              <w:right w:val="single" w:sz="8" w:space="0" w:color="000000"/>
            </w:tcBorders>
            <w:vAlign w:val="center"/>
          </w:tcPr>
          <w:p w14:paraId="32559226" w14:textId="63863535" w:rsidR="0069510E" w:rsidRDefault="00000000">
            <w:pPr>
              <w:pStyle w:val="biaogeleft"/>
              <w:wordWrap w:val="0"/>
            </w:pPr>
            <w:r>
              <w:rPr>
                <w:rFonts w:hAnsi="等线"/>
                <w:color w:val="000000"/>
              </w:rPr>
              <w:t>000333</w:t>
            </w:r>
          </w:p>
        </w:tc>
        <w:tc>
          <w:tcPr>
            <w:tcW w:w="1528" w:type="dxa"/>
            <w:tcBorders>
              <w:top w:val="single" w:sz="8" w:space="0" w:color="000000"/>
              <w:left w:val="single" w:sz="8" w:space="0" w:color="000000"/>
              <w:bottom w:val="single" w:sz="6" w:space="0" w:color="000000"/>
              <w:right w:val="single" w:sz="8" w:space="0" w:color="000000"/>
            </w:tcBorders>
            <w:vAlign w:val="center"/>
          </w:tcPr>
          <w:p w14:paraId="17D48D2E" w14:textId="2EB42858" w:rsidR="0069510E" w:rsidRDefault="00000000">
            <w:pPr>
              <w:pStyle w:val="biaogeleft"/>
              <w:wordWrap w:val="0"/>
            </w:pPr>
            <w:r>
              <w:rPr>
                <w:rFonts w:hAnsi="等线"/>
                <w:color w:val="000000"/>
              </w:rPr>
              <w:t>美的集团</w:t>
            </w:r>
          </w:p>
        </w:tc>
        <w:tc>
          <w:tcPr>
            <w:tcW w:w="1560" w:type="dxa"/>
            <w:tcBorders>
              <w:top w:val="single" w:sz="8" w:space="0" w:color="000000"/>
              <w:left w:val="single" w:sz="8" w:space="0" w:color="000000"/>
              <w:bottom w:val="single" w:sz="6" w:space="0" w:color="000000"/>
              <w:right w:val="single" w:sz="8" w:space="0" w:color="000000"/>
            </w:tcBorders>
            <w:vAlign w:val="center"/>
          </w:tcPr>
          <w:p w14:paraId="5038DB3A" w14:textId="507C75A2" w:rsidR="0069510E" w:rsidRDefault="00000000">
            <w:pPr>
              <w:pStyle w:val="biaogeright"/>
              <w:wordWrap w:val="0"/>
            </w:pPr>
            <w:r>
              <w:rPr>
                <w:rFonts w:hAnsi="等线"/>
                <w:color w:val="000000"/>
              </w:rPr>
              <w:t>127,300</w:t>
            </w:r>
          </w:p>
        </w:tc>
        <w:tc>
          <w:tcPr>
            <w:tcW w:w="1978" w:type="dxa"/>
            <w:tcBorders>
              <w:top w:val="single" w:sz="8" w:space="0" w:color="000000"/>
              <w:left w:val="single" w:sz="8" w:space="0" w:color="000000"/>
              <w:bottom w:val="single" w:sz="6" w:space="0" w:color="000000"/>
              <w:right w:val="single" w:sz="8" w:space="0" w:color="000000"/>
            </w:tcBorders>
            <w:vAlign w:val="center"/>
          </w:tcPr>
          <w:p w14:paraId="303F1EC8" w14:textId="51B9B47F" w:rsidR="0069510E" w:rsidRDefault="00000000">
            <w:pPr>
              <w:pStyle w:val="biaogeright"/>
              <w:wordWrap w:val="0"/>
            </w:pPr>
            <w:r>
              <w:rPr>
                <w:rFonts w:hAnsi="等线"/>
                <w:color w:val="000000"/>
              </w:rPr>
              <w:t>8,175,206.00</w:t>
            </w:r>
          </w:p>
        </w:tc>
        <w:tc>
          <w:tcPr>
            <w:tcW w:w="1719" w:type="dxa"/>
            <w:tcBorders>
              <w:top w:val="single" w:sz="8" w:space="0" w:color="000000"/>
              <w:left w:val="single" w:sz="8" w:space="0" w:color="000000"/>
              <w:bottom w:val="single" w:sz="6" w:space="0" w:color="000000"/>
              <w:right w:val="single" w:sz="8" w:space="0" w:color="000000"/>
            </w:tcBorders>
            <w:vAlign w:val="center"/>
          </w:tcPr>
          <w:p w14:paraId="008CA8EA" w14:textId="5C4E5483" w:rsidR="0069510E" w:rsidRDefault="00000000">
            <w:pPr>
              <w:pStyle w:val="biaogeright"/>
              <w:wordWrap w:val="0"/>
            </w:pPr>
            <w:r>
              <w:rPr>
                <w:rFonts w:hAnsi="等线"/>
                <w:color w:val="000000"/>
              </w:rPr>
              <w:t>7.70</w:t>
            </w:r>
          </w:p>
        </w:tc>
      </w:tr>
      <w:tr w:rsidR="0069510E" w14:paraId="25335C73"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31122255" w14:textId="440D0067" w:rsidR="0069510E" w:rsidRDefault="00000000">
            <w:pPr>
              <w:pStyle w:val="biaogecenter"/>
              <w:wordWrap w:val="0"/>
            </w:pPr>
            <w:r>
              <w:rPr>
                <w:rFonts w:hAnsi="等线"/>
                <w:color w:val="000000"/>
              </w:rPr>
              <w:lastRenderedPageBreak/>
              <w:t>3</w:t>
            </w:r>
          </w:p>
        </w:tc>
        <w:tc>
          <w:tcPr>
            <w:tcW w:w="1402" w:type="dxa"/>
            <w:tcBorders>
              <w:top w:val="single" w:sz="8" w:space="0" w:color="000000"/>
              <w:left w:val="single" w:sz="8" w:space="0" w:color="000000"/>
              <w:bottom w:val="single" w:sz="6" w:space="0" w:color="000000"/>
              <w:right w:val="single" w:sz="8" w:space="0" w:color="000000"/>
            </w:tcBorders>
            <w:vAlign w:val="center"/>
          </w:tcPr>
          <w:p w14:paraId="1FBBEF69" w14:textId="41D54EF4" w:rsidR="0069510E" w:rsidRDefault="00000000">
            <w:pPr>
              <w:pStyle w:val="biaogeleft"/>
              <w:wordWrap w:val="0"/>
            </w:pPr>
            <w:r>
              <w:rPr>
                <w:rFonts w:hAnsi="等线"/>
                <w:color w:val="000000"/>
              </w:rPr>
              <w:t>600019</w:t>
            </w:r>
          </w:p>
        </w:tc>
        <w:tc>
          <w:tcPr>
            <w:tcW w:w="1528" w:type="dxa"/>
            <w:tcBorders>
              <w:top w:val="single" w:sz="8" w:space="0" w:color="000000"/>
              <w:left w:val="single" w:sz="8" w:space="0" w:color="000000"/>
              <w:bottom w:val="single" w:sz="6" w:space="0" w:color="000000"/>
              <w:right w:val="single" w:sz="8" w:space="0" w:color="000000"/>
            </w:tcBorders>
            <w:vAlign w:val="center"/>
          </w:tcPr>
          <w:p w14:paraId="07DC46C8" w14:textId="2F42B0D2" w:rsidR="0069510E" w:rsidRDefault="00000000">
            <w:pPr>
              <w:pStyle w:val="biaogeleft"/>
              <w:wordWrap w:val="0"/>
            </w:pPr>
            <w:r>
              <w:rPr>
                <w:rFonts w:hAnsi="等线"/>
                <w:color w:val="000000"/>
              </w:rPr>
              <w:t>宝钢股份</w:t>
            </w:r>
          </w:p>
        </w:tc>
        <w:tc>
          <w:tcPr>
            <w:tcW w:w="1560" w:type="dxa"/>
            <w:tcBorders>
              <w:top w:val="single" w:sz="8" w:space="0" w:color="000000"/>
              <w:left w:val="single" w:sz="8" w:space="0" w:color="000000"/>
              <w:bottom w:val="single" w:sz="6" w:space="0" w:color="000000"/>
              <w:right w:val="single" w:sz="8" w:space="0" w:color="000000"/>
            </w:tcBorders>
            <w:vAlign w:val="center"/>
          </w:tcPr>
          <w:p w14:paraId="28942842" w14:textId="2C863B63" w:rsidR="0069510E" w:rsidRDefault="00000000">
            <w:pPr>
              <w:pStyle w:val="biaogeright"/>
              <w:wordWrap w:val="0"/>
            </w:pPr>
            <w:r>
              <w:rPr>
                <w:rFonts w:hAnsi="等线"/>
                <w:color w:val="000000"/>
              </w:rPr>
              <w:t>1,212,900</w:t>
            </w:r>
          </w:p>
        </w:tc>
        <w:tc>
          <w:tcPr>
            <w:tcW w:w="1978" w:type="dxa"/>
            <w:tcBorders>
              <w:top w:val="single" w:sz="8" w:space="0" w:color="000000"/>
              <w:left w:val="single" w:sz="8" w:space="0" w:color="000000"/>
              <w:bottom w:val="single" w:sz="6" w:space="0" w:color="000000"/>
              <w:right w:val="single" w:sz="8" w:space="0" w:color="000000"/>
            </w:tcBorders>
            <w:vAlign w:val="center"/>
          </w:tcPr>
          <w:p w14:paraId="56D933A5" w14:textId="34A1094D" w:rsidR="0069510E" w:rsidRDefault="00000000">
            <w:pPr>
              <w:pStyle w:val="biaogeright"/>
              <w:wordWrap w:val="0"/>
            </w:pPr>
            <w:r>
              <w:rPr>
                <w:rFonts w:hAnsi="等线"/>
                <w:color w:val="000000"/>
              </w:rPr>
              <w:t>8,053,656.00</w:t>
            </w:r>
          </w:p>
        </w:tc>
        <w:tc>
          <w:tcPr>
            <w:tcW w:w="1719" w:type="dxa"/>
            <w:tcBorders>
              <w:top w:val="single" w:sz="8" w:space="0" w:color="000000"/>
              <w:left w:val="single" w:sz="8" w:space="0" w:color="000000"/>
              <w:bottom w:val="single" w:sz="6" w:space="0" w:color="000000"/>
              <w:right w:val="single" w:sz="8" w:space="0" w:color="000000"/>
            </w:tcBorders>
            <w:vAlign w:val="center"/>
          </w:tcPr>
          <w:p w14:paraId="659F23F5" w14:textId="20EE9BA0" w:rsidR="0069510E" w:rsidRDefault="00000000">
            <w:pPr>
              <w:pStyle w:val="biaogeright"/>
              <w:wordWrap w:val="0"/>
            </w:pPr>
            <w:r>
              <w:rPr>
                <w:rFonts w:hAnsi="等线"/>
                <w:color w:val="000000"/>
              </w:rPr>
              <w:t>7.58</w:t>
            </w:r>
          </w:p>
        </w:tc>
      </w:tr>
      <w:tr w:rsidR="0069510E" w14:paraId="6399F446"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3E6E7794" w14:textId="7CD51BFE" w:rsidR="0069510E" w:rsidRDefault="00000000">
            <w:pPr>
              <w:pStyle w:val="biaogecenter"/>
              <w:wordWrap w:val="0"/>
            </w:pPr>
            <w:r>
              <w:rPr>
                <w:rFonts w:hAnsi="等线"/>
                <w:color w:val="000000"/>
              </w:rPr>
              <w:t>4</w:t>
            </w:r>
          </w:p>
        </w:tc>
        <w:tc>
          <w:tcPr>
            <w:tcW w:w="1402" w:type="dxa"/>
            <w:tcBorders>
              <w:top w:val="single" w:sz="8" w:space="0" w:color="000000"/>
              <w:left w:val="single" w:sz="8" w:space="0" w:color="000000"/>
              <w:bottom w:val="single" w:sz="6" w:space="0" w:color="000000"/>
              <w:right w:val="single" w:sz="8" w:space="0" w:color="000000"/>
            </w:tcBorders>
            <w:vAlign w:val="center"/>
          </w:tcPr>
          <w:p w14:paraId="2EEE2D67" w14:textId="169FDB6F" w:rsidR="0069510E" w:rsidRDefault="00000000">
            <w:pPr>
              <w:pStyle w:val="biaogeleft"/>
              <w:wordWrap w:val="0"/>
            </w:pPr>
            <w:r>
              <w:rPr>
                <w:rFonts w:hAnsi="等线"/>
                <w:color w:val="000000"/>
              </w:rPr>
              <w:t>600519</w:t>
            </w:r>
          </w:p>
        </w:tc>
        <w:tc>
          <w:tcPr>
            <w:tcW w:w="1528" w:type="dxa"/>
            <w:tcBorders>
              <w:top w:val="single" w:sz="8" w:space="0" w:color="000000"/>
              <w:left w:val="single" w:sz="8" w:space="0" w:color="000000"/>
              <w:bottom w:val="single" w:sz="6" w:space="0" w:color="000000"/>
              <w:right w:val="single" w:sz="8" w:space="0" w:color="000000"/>
            </w:tcBorders>
            <w:vAlign w:val="center"/>
          </w:tcPr>
          <w:p w14:paraId="02508A95" w14:textId="0DB1E40E" w:rsidR="0069510E" w:rsidRDefault="00000000">
            <w:pPr>
              <w:pStyle w:val="biaogeleft"/>
              <w:wordWrap w:val="0"/>
            </w:pPr>
            <w:r>
              <w:rPr>
                <w:rFonts w:hAnsi="等线"/>
                <w:color w:val="000000"/>
              </w:rPr>
              <w:t>贵州茅台</w:t>
            </w:r>
          </w:p>
        </w:tc>
        <w:tc>
          <w:tcPr>
            <w:tcW w:w="1560" w:type="dxa"/>
            <w:tcBorders>
              <w:top w:val="single" w:sz="8" w:space="0" w:color="000000"/>
              <w:left w:val="single" w:sz="8" w:space="0" w:color="000000"/>
              <w:bottom w:val="single" w:sz="6" w:space="0" w:color="000000"/>
              <w:right w:val="single" w:sz="8" w:space="0" w:color="000000"/>
            </w:tcBorders>
            <w:vAlign w:val="center"/>
          </w:tcPr>
          <w:p w14:paraId="66E13883" w14:textId="7C869F6F" w:rsidR="0069510E" w:rsidRDefault="00000000">
            <w:pPr>
              <w:pStyle w:val="biaogeright"/>
              <w:wordWrap w:val="0"/>
            </w:pPr>
            <w:r>
              <w:rPr>
                <w:rFonts w:hAnsi="等线"/>
                <w:color w:val="000000"/>
              </w:rPr>
              <w:t>4,300</w:t>
            </w:r>
          </w:p>
        </w:tc>
        <w:tc>
          <w:tcPr>
            <w:tcW w:w="1978" w:type="dxa"/>
            <w:tcBorders>
              <w:top w:val="single" w:sz="8" w:space="0" w:color="000000"/>
              <w:left w:val="single" w:sz="8" w:space="0" w:color="000000"/>
              <w:bottom w:val="single" w:sz="6" w:space="0" w:color="000000"/>
              <w:right w:val="single" w:sz="8" w:space="0" w:color="000000"/>
            </w:tcBorders>
            <w:vAlign w:val="center"/>
          </w:tcPr>
          <w:p w14:paraId="6941F73F" w14:textId="539F67EC" w:rsidR="0069510E" w:rsidRDefault="00000000">
            <w:pPr>
              <w:pStyle w:val="biaogeright"/>
              <w:wordWrap w:val="0"/>
            </w:pPr>
            <w:r>
              <w:rPr>
                <w:rFonts w:hAnsi="等线"/>
                <w:color w:val="000000"/>
              </w:rPr>
              <w:t>7,322,470.00</w:t>
            </w:r>
          </w:p>
        </w:tc>
        <w:tc>
          <w:tcPr>
            <w:tcW w:w="1719" w:type="dxa"/>
            <w:tcBorders>
              <w:top w:val="single" w:sz="8" w:space="0" w:color="000000"/>
              <w:left w:val="single" w:sz="8" w:space="0" w:color="000000"/>
              <w:bottom w:val="single" w:sz="6" w:space="0" w:color="000000"/>
              <w:right w:val="single" w:sz="8" w:space="0" w:color="000000"/>
            </w:tcBorders>
            <w:vAlign w:val="center"/>
          </w:tcPr>
          <w:p w14:paraId="22B70DD2" w14:textId="2562B9A7" w:rsidR="0069510E" w:rsidRDefault="00000000">
            <w:pPr>
              <w:pStyle w:val="biaogeright"/>
              <w:wordWrap w:val="0"/>
            </w:pPr>
            <w:r>
              <w:rPr>
                <w:rFonts w:hAnsi="等线"/>
                <w:color w:val="000000"/>
              </w:rPr>
              <w:t>6.89</w:t>
            </w:r>
          </w:p>
        </w:tc>
      </w:tr>
      <w:tr w:rsidR="0069510E" w14:paraId="57621459"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243D0A1B" w14:textId="57790B3E" w:rsidR="0069510E" w:rsidRDefault="00000000">
            <w:pPr>
              <w:pStyle w:val="biaogecenter"/>
              <w:wordWrap w:val="0"/>
            </w:pPr>
            <w:r>
              <w:rPr>
                <w:rFonts w:hAnsi="等线"/>
                <w:color w:val="000000"/>
              </w:rPr>
              <w:t>5</w:t>
            </w:r>
          </w:p>
        </w:tc>
        <w:tc>
          <w:tcPr>
            <w:tcW w:w="1402" w:type="dxa"/>
            <w:tcBorders>
              <w:top w:val="single" w:sz="8" w:space="0" w:color="000000"/>
              <w:left w:val="single" w:sz="8" w:space="0" w:color="000000"/>
              <w:bottom w:val="single" w:sz="6" w:space="0" w:color="000000"/>
              <w:right w:val="single" w:sz="8" w:space="0" w:color="000000"/>
            </w:tcBorders>
            <w:vAlign w:val="center"/>
          </w:tcPr>
          <w:p w14:paraId="54B97E21" w14:textId="59B11F9D" w:rsidR="0069510E" w:rsidRDefault="00000000">
            <w:pPr>
              <w:pStyle w:val="biaogeleft"/>
              <w:wordWrap w:val="0"/>
            </w:pPr>
            <w:r>
              <w:rPr>
                <w:rFonts w:hAnsi="等线"/>
                <w:color w:val="000000"/>
              </w:rPr>
              <w:t>002027</w:t>
            </w:r>
          </w:p>
        </w:tc>
        <w:tc>
          <w:tcPr>
            <w:tcW w:w="1528" w:type="dxa"/>
            <w:tcBorders>
              <w:top w:val="single" w:sz="8" w:space="0" w:color="000000"/>
              <w:left w:val="single" w:sz="8" w:space="0" w:color="000000"/>
              <w:bottom w:val="single" w:sz="6" w:space="0" w:color="000000"/>
              <w:right w:val="single" w:sz="8" w:space="0" w:color="000000"/>
            </w:tcBorders>
            <w:vAlign w:val="center"/>
          </w:tcPr>
          <w:p w14:paraId="6B28AD66" w14:textId="7B16BEEC" w:rsidR="0069510E" w:rsidRDefault="00000000">
            <w:pPr>
              <w:pStyle w:val="biaogeleft"/>
              <w:wordWrap w:val="0"/>
            </w:pPr>
            <w:r>
              <w:rPr>
                <w:rFonts w:hAnsi="等线"/>
                <w:color w:val="000000"/>
              </w:rPr>
              <w:t>分众传媒</w:t>
            </w:r>
          </w:p>
        </w:tc>
        <w:tc>
          <w:tcPr>
            <w:tcW w:w="1560" w:type="dxa"/>
            <w:tcBorders>
              <w:top w:val="single" w:sz="8" w:space="0" w:color="000000"/>
              <w:left w:val="single" w:sz="8" w:space="0" w:color="000000"/>
              <w:bottom w:val="single" w:sz="6" w:space="0" w:color="000000"/>
              <w:right w:val="single" w:sz="8" w:space="0" w:color="000000"/>
            </w:tcBorders>
            <w:vAlign w:val="center"/>
          </w:tcPr>
          <w:p w14:paraId="12911419" w14:textId="32A74B5D" w:rsidR="0069510E" w:rsidRDefault="00000000">
            <w:pPr>
              <w:pStyle w:val="biaogeright"/>
              <w:wordWrap w:val="0"/>
            </w:pPr>
            <w:r>
              <w:rPr>
                <w:rFonts w:hAnsi="等线"/>
                <w:color w:val="000000"/>
              </w:rPr>
              <w:t>1,109,400</w:t>
            </w:r>
          </w:p>
        </w:tc>
        <w:tc>
          <w:tcPr>
            <w:tcW w:w="1978" w:type="dxa"/>
            <w:tcBorders>
              <w:top w:val="single" w:sz="8" w:space="0" w:color="000000"/>
              <w:left w:val="single" w:sz="8" w:space="0" w:color="000000"/>
              <w:bottom w:val="single" w:sz="6" w:space="0" w:color="000000"/>
              <w:right w:val="single" w:sz="8" w:space="0" w:color="000000"/>
            </w:tcBorders>
            <w:vAlign w:val="center"/>
          </w:tcPr>
          <w:p w14:paraId="62BCC83D" w14:textId="5702EA5A" w:rsidR="0069510E" w:rsidRDefault="00000000">
            <w:pPr>
              <w:pStyle w:val="biaogeright"/>
              <w:wordWrap w:val="0"/>
            </w:pPr>
            <w:r>
              <w:rPr>
                <w:rFonts w:hAnsi="等线"/>
                <w:color w:val="000000"/>
              </w:rPr>
              <w:t>7,233,288.00</w:t>
            </w:r>
          </w:p>
        </w:tc>
        <w:tc>
          <w:tcPr>
            <w:tcW w:w="1719" w:type="dxa"/>
            <w:tcBorders>
              <w:top w:val="single" w:sz="8" w:space="0" w:color="000000"/>
              <w:left w:val="single" w:sz="8" w:space="0" w:color="000000"/>
              <w:bottom w:val="single" w:sz="6" w:space="0" w:color="000000"/>
              <w:right w:val="single" w:sz="8" w:space="0" w:color="000000"/>
            </w:tcBorders>
            <w:vAlign w:val="center"/>
          </w:tcPr>
          <w:p w14:paraId="7F5ABF19" w14:textId="25E5680C" w:rsidR="0069510E" w:rsidRDefault="00000000">
            <w:pPr>
              <w:pStyle w:val="biaogeright"/>
              <w:wordWrap w:val="0"/>
            </w:pPr>
            <w:r>
              <w:rPr>
                <w:rFonts w:hAnsi="等线"/>
                <w:color w:val="000000"/>
              </w:rPr>
              <w:t>6.81</w:t>
            </w:r>
          </w:p>
        </w:tc>
      </w:tr>
      <w:tr w:rsidR="0069510E" w14:paraId="71525480"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68B37452" w14:textId="6CD556AB" w:rsidR="0069510E" w:rsidRDefault="00000000">
            <w:pPr>
              <w:pStyle w:val="biaogecenter"/>
              <w:wordWrap w:val="0"/>
            </w:pPr>
            <w:r>
              <w:rPr>
                <w:rFonts w:hAnsi="等线"/>
                <w:color w:val="000000"/>
              </w:rPr>
              <w:t>6</w:t>
            </w:r>
          </w:p>
        </w:tc>
        <w:tc>
          <w:tcPr>
            <w:tcW w:w="1402" w:type="dxa"/>
            <w:tcBorders>
              <w:top w:val="single" w:sz="8" w:space="0" w:color="000000"/>
              <w:left w:val="single" w:sz="8" w:space="0" w:color="000000"/>
              <w:bottom w:val="single" w:sz="6" w:space="0" w:color="000000"/>
              <w:right w:val="single" w:sz="8" w:space="0" w:color="000000"/>
            </w:tcBorders>
            <w:vAlign w:val="center"/>
          </w:tcPr>
          <w:p w14:paraId="47824D66" w14:textId="4F6AD4CF" w:rsidR="0069510E" w:rsidRDefault="00000000">
            <w:pPr>
              <w:pStyle w:val="biaogeleft"/>
              <w:wordWrap w:val="0"/>
            </w:pPr>
            <w:r>
              <w:rPr>
                <w:rFonts w:hAnsi="等线"/>
                <w:color w:val="000000"/>
              </w:rPr>
              <w:t>600426</w:t>
            </w:r>
          </w:p>
        </w:tc>
        <w:tc>
          <w:tcPr>
            <w:tcW w:w="1528" w:type="dxa"/>
            <w:tcBorders>
              <w:top w:val="single" w:sz="8" w:space="0" w:color="000000"/>
              <w:left w:val="single" w:sz="8" w:space="0" w:color="000000"/>
              <w:bottom w:val="single" w:sz="6" w:space="0" w:color="000000"/>
              <w:right w:val="single" w:sz="8" w:space="0" w:color="000000"/>
            </w:tcBorders>
            <w:vAlign w:val="center"/>
          </w:tcPr>
          <w:p w14:paraId="6CE01333" w14:textId="5072D83F" w:rsidR="0069510E" w:rsidRDefault="00000000">
            <w:pPr>
              <w:pStyle w:val="biaogeleft"/>
              <w:wordWrap w:val="0"/>
            </w:pPr>
            <w:proofErr w:type="gramStart"/>
            <w:r>
              <w:rPr>
                <w:rFonts w:hAnsi="等线"/>
                <w:color w:val="000000"/>
              </w:rPr>
              <w:t>华鲁恒升</w:t>
            </w:r>
            <w:proofErr w:type="gramEnd"/>
          </w:p>
        </w:tc>
        <w:tc>
          <w:tcPr>
            <w:tcW w:w="1560" w:type="dxa"/>
            <w:tcBorders>
              <w:top w:val="single" w:sz="8" w:space="0" w:color="000000"/>
              <w:left w:val="single" w:sz="8" w:space="0" w:color="000000"/>
              <w:bottom w:val="single" w:sz="6" w:space="0" w:color="000000"/>
              <w:right w:val="single" w:sz="8" w:space="0" w:color="000000"/>
            </w:tcBorders>
            <w:vAlign w:val="center"/>
          </w:tcPr>
          <w:p w14:paraId="6B4D80DD" w14:textId="60DEDAED" w:rsidR="0069510E" w:rsidRDefault="00000000">
            <w:pPr>
              <w:pStyle w:val="biaogeright"/>
              <w:wordWrap w:val="0"/>
            </w:pPr>
            <w:r>
              <w:rPr>
                <w:rFonts w:hAnsi="等线"/>
                <w:color w:val="000000"/>
              </w:rPr>
              <w:t>268,100</w:t>
            </w:r>
          </w:p>
        </w:tc>
        <w:tc>
          <w:tcPr>
            <w:tcW w:w="1978" w:type="dxa"/>
            <w:tcBorders>
              <w:top w:val="single" w:sz="8" w:space="0" w:color="000000"/>
              <w:left w:val="single" w:sz="8" w:space="0" w:color="000000"/>
              <w:bottom w:val="single" w:sz="6" w:space="0" w:color="000000"/>
              <w:right w:val="single" w:sz="8" w:space="0" w:color="000000"/>
            </w:tcBorders>
            <w:vAlign w:val="center"/>
          </w:tcPr>
          <w:p w14:paraId="17558983" w14:textId="6081A178" w:rsidR="0069510E" w:rsidRDefault="00000000">
            <w:pPr>
              <w:pStyle w:val="biaogeright"/>
              <w:wordWrap w:val="0"/>
            </w:pPr>
            <w:r>
              <w:rPr>
                <w:rFonts w:hAnsi="等线"/>
                <w:color w:val="000000"/>
              </w:rPr>
              <w:t>7,013,496.00</w:t>
            </w:r>
          </w:p>
        </w:tc>
        <w:tc>
          <w:tcPr>
            <w:tcW w:w="1719" w:type="dxa"/>
            <w:tcBorders>
              <w:top w:val="single" w:sz="8" w:space="0" w:color="000000"/>
              <w:left w:val="single" w:sz="8" w:space="0" w:color="000000"/>
              <w:bottom w:val="single" w:sz="6" w:space="0" w:color="000000"/>
              <w:right w:val="single" w:sz="8" w:space="0" w:color="000000"/>
            </w:tcBorders>
            <w:vAlign w:val="center"/>
          </w:tcPr>
          <w:p w14:paraId="4789175E" w14:textId="681C5D98" w:rsidR="0069510E" w:rsidRDefault="00000000">
            <w:pPr>
              <w:pStyle w:val="biaogeright"/>
              <w:wordWrap w:val="0"/>
            </w:pPr>
            <w:r>
              <w:rPr>
                <w:rFonts w:hAnsi="等线"/>
                <w:color w:val="000000"/>
              </w:rPr>
              <w:t>6.60</w:t>
            </w:r>
          </w:p>
        </w:tc>
      </w:tr>
      <w:tr w:rsidR="0069510E" w14:paraId="1A224AAC"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7E80AD27" w14:textId="233F8ABB" w:rsidR="0069510E" w:rsidRDefault="00000000">
            <w:pPr>
              <w:pStyle w:val="biaogecenter"/>
              <w:wordWrap w:val="0"/>
            </w:pPr>
            <w:r>
              <w:rPr>
                <w:rFonts w:hAnsi="等线"/>
                <w:color w:val="000000"/>
              </w:rPr>
              <w:t>7</w:t>
            </w:r>
          </w:p>
        </w:tc>
        <w:tc>
          <w:tcPr>
            <w:tcW w:w="1402" w:type="dxa"/>
            <w:tcBorders>
              <w:top w:val="single" w:sz="8" w:space="0" w:color="000000"/>
              <w:left w:val="single" w:sz="8" w:space="0" w:color="000000"/>
              <w:bottom w:val="single" w:sz="6" w:space="0" w:color="000000"/>
              <w:right w:val="single" w:sz="8" w:space="0" w:color="000000"/>
            </w:tcBorders>
            <w:vAlign w:val="center"/>
          </w:tcPr>
          <w:p w14:paraId="297FBEB6" w14:textId="57B9DABC" w:rsidR="0069510E" w:rsidRDefault="00000000">
            <w:pPr>
              <w:pStyle w:val="biaogeleft"/>
              <w:wordWrap w:val="0"/>
            </w:pPr>
            <w:r>
              <w:rPr>
                <w:rFonts w:hAnsi="等线"/>
                <w:color w:val="000000"/>
              </w:rPr>
              <w:t>600309</w:t>
            </w:r>
          </w:p>
        </w:tc>
        <w:tc>
          <w:tcPr>
            <w:tcW w:w="1528" w:type="dxa"/>
            <w:tcBorders>
              <w:top w:val="single" w:sz="8" w:space="0" w:color="000000"/>
              <w:left w:val="single" w:sz="8" w:space="0" w:color="000000"/>
              <w:bottom w:val="single" w:sz="6" w:space="0" w:color="000000"/>
              <w:right w:val="single" w:sz="8" w:space="0" w:color="000000"/>
            </w:tcBorders>
            <w:vAlign w:val="center"/>
          </w:tcPr>
          <w:p w14:paraId="24C4043E" w14:textId="10093DFC" w:rsidR="0069510E" w:rsidRDefault="00000000">
            <w:pPr>
              <w:pStyle w:val="biaogeleft"/>
              <w:wordWrap w:val="0"/>
            </w:pPr>
            <w:r>
              <w:rPr>
                <w:rFonts w:hAnsi="等线"/>
                <w:color w:val="000000"/>
              </w:rPr>
              <w:t>万华化学</w:t>
            </w:r>
          </w:p>
        </w:tc>
        <w:tc>
          <w:tcPr>
            <w:tcW w:w="1560" w:type="dxa"/>
            <w:tcBorders>
              <w:top w:val="single" w:sz="8" w:space="0" w:color="000000"/>
              <w:left w:val="single" w:sz="8" w:space="0" w:color="000000"/>
              <w:bottom w:val="single" w:sz="6" w:space="0" w:color="000000"/>
              <w:right w:val="single" w:sz="8" w:space="0" w:color="000000"/>
            </w:tcBorders>
            <w:vAlign w:val="center"/>
          </w:tcPr>
          <w:p w14:paraId="0EE373E0" w14:textId="4D9B9E4C" w:rsidR="0069510E" w:rsidRDefault="00000000">
            <w:pPr>
              <w:pStyle w:val="biaogeright"/>
              <w:wordWrap w:val="0"/>
            </w:pPr>
            <w:r>
              <w:rPr>
                <w:rFonts w:hAnsi="等线"/>
                <w:color w:val="000000"/>
              </w:rPr>
              <w:t>73,000</w:t>
            </w:r>
          </w:p>
        </w:tc>
        <w:tc>
          <w:tcPr>
            <w:tcW w:w="1978" w:type="dxa"/>
            <w:tcBorders>
              <w:top w:val="single" w:sz="8" w:space="0" w:color="000000"/>
              <w:left w:val="single" w:sz="8" w:space="0" w:color="000000"/>
              <w:bottom w:val="single" w:sz="6" w:space="0" w:color="000000"/>
              <w:right w:val="single" w:sz="8" w:space="0" w:color="000000"/>
            </w:tcBorders>
            <w:vAlign w:val="center"/>
          </w:tcPr>
          <w:p w14:paraId="46E11870" w14:textId="6614BAD3" w:rsidR="0069510E" w:rsidRDefault="00000000">
            <w:pPr>
              <w:pStyle w:val="biaogeright"/>
              <w:wordWrap w:val="0"/>
            </w:pPr>
            <w:r>
              <w:rPr>
                <w:rFonts w:hAnsi="等线"/>
                <w:color w:val="000000"/>
              </w:rPr>
              <w:t>6,044,400.00</w:t>
            </w:r>
          </w:p>
        </w:tc>
        <w:tc>
          <w:tcPr>
            <w:tcW w:w="1719" w:type="dxa"/>
            <w:tcBorders>
              <w:top w:val="single" w:sz="8" w:space="0" w:color="000000"/>
              <w:left w:val="single" w:sz="8" w:space="0" w:color="000000"/>
              <w:bottom w:val="single" w:sz="6" w:space="0" w:color="000000"/>
              <w:right w:val="single" w:sz="8" w:space="0" w:color="000000"/>
            </w:tcBorders>
            <w:vAlign w:val="center"/>
          </w:tcPr>
          <w:p w14:paraId="44736624" w14:textId="44501C19" w:rsidR="0069510E" w:rsidRDefault="00000000">
            <w:pPr>
              <w:pStyle w:val="biaogeright"/>
              <w:wordWrap w:val="0"/>
            </w:pPr>
            <w:r>
              <w:rPr>
                <w:rFonts w:hAnsi="等线"/>
                <w:color w:val="000000"/>
              </w:rPr>
              <w:t>5.69</w:t>
            </w:r>
          </w:p>
        </w:tc>
      </w:tr>
      <w:tr w:rsidR="0069510E" w14:paraId="6126BDFD"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309768ED" w14:textId="5052D70E" w:rsidR="0069510E" w:rsidRDefault="00000000">
            <w:pPr>
              <w:pStyle w:val="biaogecenter"/>
              <w:wordWrap w:val="0"/>
            </w:pPr>
            <w:r>
              <w:rPr>
                <w:rFonts w:hAnsi="等线"/>
                <w:color w:val="000000"/>
              </w:rPr>
              <w:t>8</w:t>
            </w:r>
          </w:p>
        </w:tc>
        <w:tc>
          <w:tcPr>
            <w:tcW w:w="1402" w:type="dxa"/>
            <w:tcBorders>
              <w:top w:val="single" w:sz="8" w:space="0" w:color="000000"/>
              <w:left w:val="single" w:sz="8" w:space="0" w:color="000000"/>
              <w:bottom w:val="single" w:sz="6" w:space="0" w:color="000000"/>
              <w:right w:val="single" w:sz="8" w:space="0" w:color="000000"/>
            </w:tcBorders>
            <w:vAlign w:val="center"/>
          </w:tcPr>
          <w:p w14:paraId="3BA107AB" w14:textId="1511041D" w:rsidR="0069510E" w:rsidRDefault="00000000">
            <w:pPr>
              <w:pStyle w:val="biaogeleft"/>
              <w:wordWrap w:val="0"/>
            </w:pPr>
            <w:r>
              <w:rPr>
                <w:rFonts w:hAnsi="等线"/>
                <w:color w:val="000000"/>
              </w:rPr>
              <w:t>603606</w:t>
            </w:r>
          </w:p>
        </w:tc>
        <w:tc>
          <w:tcPr>
            <w:tcW w:w="1528" w:type="dxa"/>
            <w:tcBorders>
              <w:top w:val="single" w:sz="8" w:space="0" w:color="000000"/>
              <w:left w:val="single" w:sz="8" w:space="0" w:color="000000"/>
              <w:bottom w:val="single" w:sz="6" w:space="0" w:color="000000"/>
              <w:right w:val="single" w:sz="8" w:space="0" w:color="000000"/>
            </w:tcBorders>
            <w:vAlign w:val="center"/>
          </w:tcPr>
          <w:p w14:paraId="2BAFEE1C" w14:textId="48D77FB6" w:rsidR="0069510E" w:rsidRDefault="00000000">
            <w:pPr>
              <w:pStyle w:val="biaogeleft"/>
              <w:wordWrap w:val="0"/>
            </w:pPr>
            <w:r>
              <w:rPr>
                <w:rFonts w:hAnsi="等线"/>
                <w:color w:val="000000"/>
              </w:rPr>
              <w:t>东方电缆</w:t>
            </w:r>
          </w:p>
        </w:tc>
        <w:tc>
          <w:tcPr>
            <w:tcW w:w="1560" w:type="dxa"/>
            <w:tcBorders>
              <w:top w:val="single" w:sz="8" w:space="0" w:color="000000"/>
              <w:left w:val="single" w:sz="8" w:space="0" w:color="000000"/>
              <w:bottom w:val="single" w:sz="6" w:space="0" w:color="000000"/>
              <w:right w:val="single" w:sz="8" w:space="0" w:color="000000"/>
            </w:tcBorders>
            <w:vAlign w:val="center"/>
          </w:tcPr>
          <w:p w14:paraId="174E6A7C" w14:textId="0E4B4548" w:rsidR="0069510E" w:rsidRDefault="00000000">
            <w:pPr>
              <w:pStyle w:val="biaogeright"/>
              <w:wordWrap w:val="0"/>
            </w:pPr>
            <w:r>
              <w:rPr>
                <w:rFonts w:hAnsi="等线"/>
                <w:color w:val="000000"/>
              </w:rPr>
              <w:t>120,300</w:t>
            </w:r>
          </w:p>
        </w:tc>
        <w:tc>
          <w:tcPr>
            <w:tcW w:w="1978" w:type="dxa"/>
            <w:tcBorders>
              <w:top w:val="single" w:sz="8" w:space="0" w:color="000000"/>
              <w:left w:val="single" w:sz="8" w:space="0" w:color="000000"/>
              <w:bottom w:val="single" w:sz="6" w:space="0" w:color="000000"/>
              <w:right w:val="single" w:sz="8" w:space="0" w:color="000000"/>
            </w:tcBorders>
            <w:vAlign w:val="center"/>
          </w:tcPr>
          <w:p w14:paraId="3657E75F" w14:textId="78AD9EAA" w:rsidR="0069510E" w:rsidRDefault="00000000">
            <w:pPr>
              <w:pStyle w:val="biaogeright"/>
              <w:wordWrap w:val="0"/>
            </w:pPr>
            <w:r>
              <w:rPr>
                <w:rFonts w:hAnsi="等线"/>
                <w:color w:val="000000"/>
              </w:rPr>
              <w:t>5,326,884.00</w:t>
            </w:r>
          </w:p>
        </w:tc>
        <w:tc>
          <w:tcPr>
            <w:tcW w:w="1719" w:type="dxa"/>
            <w:tcBorders>
              <w:top w:val="single" w:sz="8" w:space="0" w:color="000000"/>
              <w:left w:val="single" w:sz="8" w:space="0" w:color="000000"/>
              <w:bottom w:val="single" w:sz="6" w:space="0" w:color="000000"/>
              <w:right w:val="single" w:sz="8" w:space="0" w:color="000000"/>
            </w:tcBorders>
            <w:vAlign w:val="center"/>
          </w:tcPr>
          <w:p w14:paraId="6553F68F" w14:textId="37ACD2D9" w:rsidR="0069510E" w:rsidRDefault="00000000">
            <w:pPr>
              <w:pStyle w:val="biaogeright"/>
              <w:wordWrap w:val="0"/>
            </w:pPr>
            <w:r>
              <w:rPr>
                <w:rFonts w:hAnsi="等线"/>
                <w:color w:val="000000"/>
              </w:rPr>
              <w:t>5.01</w:t>
            </w:r>
          </w:p>
        </w:tc>
      </w:tr>
      <w:tr w:rsidR="0069510E" w14:paraId="36589B58"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26537E49" w14:textId="7C21A8AB" w:rsidR="0069510E" w:rsidRDefault="00000000">
            <w:pPr>
              <w:pStyle w:val="biaogecenter"/>
              <w:wordWrap w:val="0"/>
            </w:pPr>
            <w:r>
              <w:rPr>
                <w:rFonts w:hAnsi="等线"/>
                <w:color w:val="000000"/>
              </w:rPr>
              <w:t>9</w:t>
            </w:r>
          </w:p>
        </w:tc>
        <w:tc>
          <w:tcPr>
            <w:tcW w:w="1402" w:type="dxa"/>
            <w:tcBorders>
              <w:top w:val="single" w:sz="8" w:space="0" w:color="000000"/>
              <w:left w:val="single" w:sz="8" w:space="0" w:color="000000"/>
              <w:bottom w:val="single" w:sz="6" w:space="0" w:color="000000"/>
              <w:right w:val="single" w:sz="8" w:space="0" w:color="000000"/>
            </w:tcBorders>
            <w:vAlign w:val="center"/>
          </w:tcPr>
          <w:p w14:paraId="6C207528" w14:textId="3250A028" w:rsidR="0069510E" w:rsidRDefault="00000000">
            <w:pPr>
              <w:pStyle w:val="biaogeleft"/>
              <w:wordWrap w:val="0"/>
            </w:pPr>
            <w:r>
              <w:rPr>
                <w:rFonts w:hAnsi="等线"/>
                <w:color w:val="000000"/>
              </w:rPr>
              <w:t>300059</w:t>
            </w:r>
          </w:p>
        </w:tc>
        <w:tc>
          <w:tcPr>
            <w:tcW w:w="1528" w:type="dxa"/>
            <w:tcBorders>
              <w:top w:val="single" w:sz="8" w:space="0" w:color="000000"/>
              <w:left w:val="single" w:sz="8" w:space="0" w:color="000000"/>
              <w:bottom w:val="single" w:sz="6" w:space="0" w:color="000000"/>
              <w:right w:val="single" w:sz="8" w:space="0" w:color="000000"/>
            </w:tcBorders>
            <w:vAlign w:val="center"/>
          </w:tcPr>
          <w:p w14:paraId="343B7A0A" w14:textId="5A1CF812" w:rsidR="0069510E" w:rsidRDefault="00000000">
            <w:pPr>
              <w:pStyle w:val="biaogeleft"/>
              <w:wordWrap w:val="0"/>
            </w:pPr>
            <w:r>
              <w:rPr>
                <w:rFonts w:hAnsi="等线"/>
                <w:color w:val="000000"/>
              </w:rPr>
              <w:t>东方财富</w:t>
            </w:r>
          </w:p>
        </w:tc>
        <w:tc>
          <w:tcPr>
            <w:tcW w:w="1560" w:type="dxa"/>
            <w:tcBorders>
              <w:top w:val="single" w:sz="8" w:space="0" w:color="000000"/>
              <w:left w:val="single" w:sz="8" w:space="0" w:color="000000"/>
              <w:bottom w:val="single" w:sz="6" w:space="0" w:color="000000"/>
              <w:right w:val="single" w:sz="8" w:space="0" w:color="000000"/>
            </w:tcBorders>
            <w:vAlign w:val="center"/>
          </w:tcPr>
          <w:p w14:paraId="68C5AADF" w14:textId="2465A6B4" w:rsidR="0069510E" w:rsidRDefault="00000000">
            <w:pPr>
              <w:pStyle w:val="biaogeright"/>
              <w:wordWrap w:val="0"/>
            </w:pPr>
            <w:r>
              <w:rPr>
                <w:rFonts w:hAnsi="等线"/>
                <w:color w:val="000000"/>
              </w:rPr>
              <w:t>410,284</w:t>
            </w:r>
          </w:p>
        </w:tc>
        <w:tc>
          <w:tcPr>
            <w:tcW w:w="1978" w:type="dxa"/>
            <w:tcBorders>
              <w:top w:val="single" w:sz="8" w:space="0" w:color="000000"/>
              <w:left w:val="single" w:sz="8" w:space="0" w:color="000000"/>
              <w:bottom w:val="single" w:sz="6" w:space="0" w:color="000000"/>
              <w:right w:val="single" w:sz="8" w:space="0" w:color="000000"/>
            </w:tcBorders>
            <w:vAlign w:val="center"/>
          </w:tcPr>
          <w:p w14:paraId="023913AB" w14:textId="6AB90AE6" w:rsidR="0069510E" w:rsidRDefault="00000000">
            <w:pPr>
              <w:pStyle w:val="biaogeright"/>
              <w:wordWrap w:val="0"/>
            </w:pPr>
            <w:r>
              <w:rPr>
                <w:rFonts w:hAnsi="等线"/>
                <w:color w:val="000000"/>
              </w:rPr>
              <w:t>5,288,560.76</w:t>
            </w:r>
          </w:p>
        </w:tc>
        <w:tc>
          <w:tcPr>
            <w:tcW w:w="1719" w:type="dxa"/>
            <w:tcBorders>
              <w:top w:val="single" w:sz="8" w:space="0" w:color="000000"/>
              <w:left w:val="single" w:sz="8" w:space="0" w:color="000000"/>
              <w:bottom w:val="single" w:sz="6" w:space="0" w:color="000000"/>
              <w:right w:val="single" w:sz="8" w:space="0" w:color="000000"/>
            </w:tcBorders>
            <w:vAlign w:val="center"/>
          </w:tcPr>
          <w:p w14:paraId="62B434C0" w14:textId="57E40CA5" w:rsidR="0069510E" w:rsidRDefault="00000000">
            <w:pPr>
              <w:pStyle w:val="biaogeright"/>
              <w:wordWrap w:val="0"/>
            </w:pPr>
            <w:r>
              <w:rPr>
                <w:rFonts w:hAnsi="等线"/>
                <w:color w:val="000000"/>
              </w:rPr>
              <w:t>4.98</w:t>
            </w:r>
          </w:p>
        </w:tc>
      </w:tr>
      <w:tr w:rsidR="0069510E" w14:paraId="26125709"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004C578A" w14:textId="62C5EFC7" w:rsidR="0069510E" w:rsidRDefault="00000000">
            <w:pPr>
              <w:pStyle w:val="biaogecenter"/>
              <w:wordWrap w:val="0"/>
            </w:pPr>
            <w:r>
              <w:rPr>
                <w:rFonts w:hAnsi="等线"/>
                <w:color w:val="000000"/>
              </w:rPr>
              <w:t>10</w:t>
            </w:r>
          </w:p>
        </w:tc>
        <w:tc>
          <w:tcPr>
            <w:tcW w:w="1402" w:type="dxa"/>
            <w:tcBorders>
              <w:top w:val="single" w:sz="8" w:space="0" w:color="000000"/>
              <w:left w:val="single" w:sz="8" w:space="0" w:color="000000"/>
              <w:bottom w:val="single" w:sz="6" w:space="0" w:color="000000"/>
              <w:right w:val="single" w:sz="8" w:space="0" w:color="000000"/>
            </w:tcBorders>
            <w:vAlign w:val="center"/>
          </w:tcPr>
          <w:p w14:paraId="0BC6F113" w14:textId="5E8C9D54" w:rsidR="0069510E" w:rsidRDefault="00000000">
            <w:pPr>
              <w:pStyle w:val="biaogeleft"/>
              <w:wordWrap w:val="0"/>
            </w:pPr>
            <w:r>
              <w:rPr>
                <w:rFonts w:hAnsi="等线"/>
                <w:color w:val="000000"/>
              </w:rPr>
              <w:t>300146</w:t>
            </w:r>
          </w:p>
        </w:tc>
        <w:tc>
          <w:tcPr>
            <w:tcW w:w="1528" w:type="dxa"/>
            <w:tcBorders>
              <w:top w:val="single" w:sz="8" w:space="0" w:color="000000"/>
              <w:left w:val="single" w:sz="8" w:space="0" w:color="000000"/>
              <w:bottom w:val="single" w:sz="6" w:space="0" w:color="000000"/>
              <w:right w:val="single" w:sz="8" w:space="0" w:color="000000"/>
            </w:tcBorders>
            <w:vAlign w:val="center"/>
          </w:tcPr>
          <w:p w14:paraId="6A1B1242" w14:textId="537C78E7" w:rsidR="0069510E" w:rsidRDefault="00000000">
            <w:pPr>
              <w:pStyle w:val="biaogeleft"/>
              <w:wordWrap w:val="0"/>
            </w:pPr>
            <w:r>
              <w:rPr>
                <w:rFonts w:hAnsi="等线"/>
                <w:color w:val="000000"/>
              </w:rPr>
              <w:t>汤臣</w:t>
            </w:r>
            <w:proofErr w:type="gramStart"/>
            <w:r>
              <w:rPr>
                <w:rFonts w:hAnsi="等线"/>
                <w:color w:val="000000"/>
              </w:rPr>
              <w:t>倍</w:t>
            </w:r>
            <w:proofErr w:type="gramEnd"/>
            <w:r>
              <w:rPr>
                <w:rFonts w:hAnsi="等线"/>
                <w:color w:val="000000"/>
              </w:rPr>
              <w:t>健</w:t>
            </w:r>
          </w:p>
        </w:tc>
        <w:tc>
          <w:tcPr>
            <w:tcW w:w="1560" w:type="dxa"/>
            <w:tcBorders>
              <w:top w:val="single" w:sz="8" w:space="0" w:color="000000"/>
              <w:left w:val="single" w:sz="8" w:space="0" w:color="000000"/>
              <w:bottom w:val="single" w:sz="6" w:space="0" w:color="000000"/>
              <w:right w:val="single" w:sz="8" w:space="0" w:color="000000"/>
            </w:tcBorders>
            <w:vAlign w:val="center"/>
          </w:tcPr>
          <w:p w14:paraId="2B986A93" w14:textId="69372A81" w:rsidR="0069510E" w:rsidRDefault="00000000">
            <w:pPr>
              <w:pStyle w:val="biaogeright"/>
              <w:wordWrap w:val="0"/>
            </w:pPr>
            <w:r>
              <w:rPr>
                <w:rFonts w:hAnsi="等线"/>
                <w:color w:val="000000"/>
              </w:rPr>
              <w:t>287,300</w:t>
            </w:r>
          </w:p>
        </w:tc>
        <w:tc>
          <w:tcPr>
            <w:tcW w:w="1978" w:type="dxa"/>
            <w:tcBorders>
              <w:top w:val="single" w:sz="8" w:space="0" w:color="000000"/>
              <w:left w:val="single" w:sz="8" w:space="0" w:color="000000"/>
              <w:bottom w:val="single" w:sz="6" w:space="0" w:color="000000"/>
              <w:right w:val="single" w:sz="8" w:space="0" w:color="000000"/>
            </w:tcBorders>
            <w:vAlign w:val="center"/>
          </w:tcPr>
          <w:p w14:paraId="113D5695" w14:textId="046688FC" w:rsidR="0069510E" w:rsidRDefault="00000000">
            <w:pPr>
              <w:pStyle w:val="biaogeright"/>
              <w:wordWrap w:val="0"/>
            </w:pPr>
            <w:r>
              <w:rPr>
                <w:rFonts w:hAnsi="等线"/>
                <w:color w:val="000000"/>
              </w:rPr>
              <w:t>4,829,513.00</w:t>
            </w:r>
          </w:p>
        </w:tc>
        <w:tc>
          <w:tcPr>
            <w:tcW w:w="1719" w:type="dxa"/>
            <w:tcBorders>
              <w:top w:val="single" w:sz="8" w:space="0" w:color="000000"/>
              <w:left w:val="single" w:sz="8" w:space="0" w:color="000000"/>
              <w:bottom w:val="single" w:sz="6" w:space="0" w:color="000000"/>
              <w:right w:val="single" w:sz="8" w:space="0" w:color="000000"/>
            </w:tcBorders>
            <w:vAlign w:val="center"/>
          </w:tcPr>
          <w:p w14:paraId="792F490C" w14:textId="6CA1D129" w:rsidR="0069510E" w:rsidRDefault="00000000">
            <w:pPr>
              <w:pStyle w:val="biaogeright"/>
              <w:wordWrap w:val="0"/>
            </w:pPr>
            <w:r>
              <w:rPr>
                <w:rFonts w:hAnsi="等线"/>
                <w:color w:val="000000"/>
              </w:rPr>
              <w:t>4.55</w:t>
            </w:r>
          </w:p>
        </w:tc>
      </w:tr>
    </w:tbl>
    <w:p w14:paraId="28A1A98C" w14:textId="77777777" w:rsidR="0069510E" w:rsidRDefault="0069510E">
      <w:pPr>
        <w:widowControl/>
        <w:jc w:val="left"/>
        <w:rPr>
          <w:rFonts w:ascii="宋体" w:eastAsia="宋体" w:hAnsi="宋体" w:cs="宋体"/>
          <w:kern w:val="0"/>
          <w:sz w:val="24"/>
          <w:szCs w:val="24"/>
        </w:rPr>
      </w:pPr>
    </w:p>
    <w:p w14:paraId="5CF218F4" w14:textId="77777777" w:rsidR="0069510E" w:rsidRDefault="00000000">
      <w:pPr>
        <w:pStyle w:val="zhangjiep"/>
        <w:rPr>
          <w:rFonts w:asciiTheme="minorEastAsia" w:eastAsiaTheme="minorEastAsia" w:hAnsiTheme="minorEastAsia" w:cs="Times New Roman"/>
          <w:bCs/>
          <w:kern w:val="2"/>
        </w:rPr>
      </w:pPr>
      <w:bookmarkStart w:id="218" w:name="_Toc101354067"/>
      <w:r>
        <w:rPr>
          <w:rFonts w:asciiTheme="minorEastAsia" w:eastAsiaTheme="minorEastAsia" w:hAnsiTheme="minorEastAsia" w:cs="Times New Roman"/>
          <w:bCs/>
          <w:kern w:val="2"/>
        </w:rPr>
        <w:t>4、 报告期末按债券品种分类的债券投资组合</w:t>
      </w:r>
      <w:bookmarkEnd w:id="218"/>
    </w:p>
    <w:p w14:paraId="4EB43237" w14:textId="77777777" w:rsidR="0069510E" w:rsidRDefault="00000000">
      <w:pPr>
        <w:pStyle w:val="neirong"/>
        <w:ind w:firstLineChars="200" w:firstLine="480"/>
      </w:pPr>
      <w:r>
        <w:rPr>
          <w:rFonts w:hint="eastAsia"/>
        </w:rPr>
        <w:t>本基金本报告期末未持有债券。</w:t>
      </w:r>
    </w:p>
    <w:p w14:paraId="71F73F32" w14:textId="77777777" w:rsidR="0069510E" w:rsidRDefault="0069510E">
      <w:pPr>
        <w:widowControl/>
        <w:jc w:val="left"/>
        <w:rPr>
          <w:rFonts w:ascii="宋体" w:eastAsia="宋体" w:hAnsi="宋体" w:cs="宋体"/>
          <w:kern w:val="0"/>
          <w:sz w:val="24"/>
          <w:szCs w:val="24"/>
        </w:rPr>
      </w:pPr>
    </w:p>
    <w:p w14:paraId="35404B7D" w14:textId="77777777" w:rsidR="0069510E" w:rsidRDefault="00000000">
      <w:pPr>
        <w:pStyle w:val="zhangjiep"/>
        <w:rPr>
          <w:rFonts w:asciiTheme="minorEastAsia" w:eastAsiaTheme="minorEastAsia" w:hAnsiTheme="minorEastAsia" w:cs="Times New Roman"/>
          <w:bCs/>
          <w:kern w:val="2"/>
        </w:rPr>
      </w:pPr>
      <w:bookmarkStart w:id="219" w:name="_Toc101354068"/>
      <w:r>
        <w:rPr>
          <w:rFonts w:asciiTheme="minorEastAsia" w:eastAsiaTheme="minorEastAsia" w:hAnsiTheme="minorEastAsia" w:cs="Times New Roman"/>
          <w:bCs/>
          <w:kern w:val="2"/>
        </w:rPr>
        <w:t>5、</w:t>
      </w:r>
      <w:r>
        <w:rPr>
          <w:rFonts w:asciiTheme="minorEastAsia" w:eastAsiaTheme="minorEastAsia" w:hAnsiTheme="minorEastAsia" w:cs="Times New Roman" w:hint="eastAsia"/>
          <w:bCs/>
          <w:kern w:val="2"/>
        </w:rPr>
        <w:t>报告期末按公允价值占基金资产净值比例大小排序的前五名债券投资明细</w:t>
      </w:r>
      <w:bookmarkEnd w:id="219"/>
    </w:p>
    <w:p w14:paraId="7E9CCAA8" w14:textId="77777777" w:rsidR="0069510E" w:rsidRDefault="00000000">
      <w:pPr>
        <w:pStyle w:val="neirong"/>
        <w:ind w:firstLineChars="200" w:firstLine="480"/>
      </w:pPr>
      <w:r>
        <w:rPr>
          <w:rFonts w:hint="eastAsia"/>
        </w:rPr>
        <w:t>本基金本报告期末未持有债券。</w:t>
      </w:r>
    </w:p>
    <w:p w14:paraId="60177D79" w14:textId="77777777" w:rsidR="0069510E" w:rsidRDefault="0069510E">
      <w:pPr>
        <w:widowControl/>
        <w:jc w:val="left"/>
        <w:rPr>
          <w:rFonts w:ascii="宋体" w:eastAsia="宋体" w:hAnsi="宋体" w:cs="宋体"/>
          <w:kern w:val="0"/>
          <w:sz w:val="24"/>
          <w:szCs w:val="24"/>
        </w:rPr>
      </w:pPr>
    </w:p>
    <w:p w14:paraId="00358146" w14:textId="77777777" w:rsidR="0069510E" w:rsidRDefault="00000000">
      <w:pPr>
        <w:pStyle w:val="zhangjiep"/>
        <w:rPr>
          <w:rFonts w:asciiTheme="minorEastAsia" w:eastAsiaTheme="minorEastAsia" w:hAnsiTheme="minorEastAsia" w:cs="Times New Roman"/>
          <w:bCs/>
          <w:kern w:val="2"/>
        </w:rPr>
      </w:pPr>
      <w:bookmarkStart w:id="220" w:name="_Toc101354069"/>
      <w:r>
        <w:rPr>
          <w:rFonts w:asciiTheme="minorEastAsia" w:eastAsiaTheme="minorEastAsia" w:hAnsiTheme="minorEastAsia" w:cs="Times New Roman"/>
          <w:bCs/>
          <w:kern w:val="2"/>
        </w:rPr>
        <w:t>6、</w:t>
      </w:r>
      <w:r>
        <w:rPr>
          <w:rFonts w:asciiTheme="minorEastAsia" w:eastAsiaTheme="minorEastAsia" w:hAnsiTheme="minorEastAsia" w:cs="Times New Roman" w:hint="eastAsia"/>
          <w:bCs/>
          <w:kern w:val="2"/>
        </w:rPr>
        <w:t>报告期末按公允价值占基金资产净值比例大小排序的前十名资产支持证券投资明细</w:t>
      </w:r>
      <w:bookmarkEnd w:id="220"/>
    </w:p>
    <w:p w14:paraId="1FAD06A4" w14:textId="77777777" w:rsidR="0069510E" w:rsidRDefault="00000000">
      <w:pPr>
        <w:pStyle w:val="neirong"/>
        <w:ind w:firstLineChars="200" w:firstLine="480"/>
      </w:pPr>
      <w:r>
        <w:rPr>
          <w:rFonts w:hint="eastAsia"/>
        </w:rPr>
        <w:t>本基金本报告期末未持有资产支持证券。</w:t>
      </w:r>
    </w:p>
    <w:p w14:paraId="4BE47B80" w14:textId="77777777" w:rsidR="0069510E" w:rsidRDefault="0069510E">
      <w:pPr>
        <w:widowControl/>
        <w:jc w:val="left"/>
        <w:rPr>
          <w:rFonts w:ascii="宋体" w:eastAsia="宋体" w:hAnsi="宋体" w:cs="宋体"/>
          <w:kern w:val="0"/>
          <w:sz w:val="24"/>
          <w:szCs w:val="24"/>
        </w:rPr>
      </w:pPr>
    </w:p>
    <w:p w14:paraId="1762AF06" w14:textId="77777777" w:rsidR="0069510E" w:rsidRDefault="00000000">
      <w:pPr>
        <w:pStyle w:val="zhangjiep"/>
        <w:rPr>
          <w:rFonts w:asciiTheme="minorEastAsia" w:eastAsiaTheme="minorEastAsia" w:hAnsiTheme="minorEastAsia" w:cs="Times New Roman"/>
          <w:bCs/>
          <w:kern w:val="2"/>
        </w:rPr>
      </w:pPr>
      <w:bookmarkStart w:id="221" w:name="_Toc101354070"/>
      <w:r>
        <w:rPr>
          <w:rFonts w:asciiTheme="minorEastAsia" w:eastAsiaTheme="minorEastAsia" w:hAnsiTheme="minorEastAsia" w:cs="Times New Roman"/>
          <w:bCs/>
          <w:kern w:val="2"/>
        </w:rPr>
        <w:t>7、</w:t>
      </w:r>
      <w:r>
        <w:rPr>
          <w:rFonts w:asciiTheme="minorEastAsia" w:eastAsiaTheme="minorEastAsia" w:hAnsiTheme="minorEastAsia" w:cs="Times New Roman" w:hint="eastAsia"/>
          <w:bCs/>
          <w:kern w:val="2"/>
        </w:rPr>
        <w:t>报告期末按公允价值占基金资产净值比例大小排序的前五名贵金属投资明细</w:t>
      </w:r>
      <w:bookmarkEnd w:id="221"/>
    </w:p>
    <w:p w14:paraId="3FE144A2" w14:textId="77777777" w:rsidR="0069510E" w:rsidRDefault="00000000">
      <w:pPr>
        <w:pStyle w:val="neirong"/>
        <w:ind w:firstLineChars="200" w:firstLine="480"/>
      </w:pPr>
      <w:r>
        <w:rPr>
          <w:rFonts w:hint="eastAsia"/>
        </w:rPr>
        <w:t>本基金本报告期末未持有贵金属。</w:t>
      </w:r>
    </w:p>
    <w:p w14:paraId="4012D152" w14:textId="77777777" w:rsidR="0069510E" w:rsidRDefault="0069510E">
      <w:pPr>
        <w:widowControl/>
        <w:jc w:val="left"/>
        <w:rPr>
          <w:rFonts w:ascii="宋体" w:eastAsia="宋体" w:hAnsi="宋体" w:cs="宋体"/>
          <w:kern w:val="0"/>
          <w:sz w:val="24"/>
          <w:szCs w:val="24"/>
        </w:rPr>
      </w:pPr>
    </w:p>
    <w:p w14:paraId="2CF501CB" w14:textId="77777777" w:rsidR="0069510E" w:rsidRDefault="00000000">
      <w:pPr>
        <w:pStyle w:val="zhangjiep"/>
        <w:rPr>
          <w:rFonts w:asciiTheme="minorEastAsia" w:eastAsiaTheme="minorEastAsia" w:hAnsiTheme="minorEastAsia" w:cs="Times New Roman"/>
          <w:bCs/>
          <w:kern w:val="2"/>
        </w:rPr>
      </w:pPr>
      <w:bookmarkStart w:id="222" w:name="_Toc101354071"/>
      <w:r>
        <w:rPr>
          <w:rFonts w:asciiTheme="minorEastAsia" w:eastAsiaTheme="minorEastAsia" w:hAnsiTheme="minorEastAsia" w:cs="Times New Roman"/>
          <w:bCs/>
          <w:kern w:val="2"/>
        </w:rPr>
        <w:t>8、</w:t>
      </w:r>
      <w:r>
        <w:rPr>
          <w:rFonts w:asciiTheme="minorEastAsia" w:eastAsiaTheme="minorEastAsia" w:hAnsiTheme="minorEastAsia" w:cs="Times New Roman" w:hint="eastAsia"/>
          <w:bCs/>
          <w:kern w:val="2"/>
        </w:rPr>
        <w:t>报告期末按公允价值占基金资产净值比例大小排序的前五名权证投资明细</w:t>
      </w:r>
      <w:bookmarkEnd w:id="222"/>
    </w:p>
    <w:p w14:paraId="4E529BC4" w14:textId="77777777" w:rsidR="0069510E" w:rsidRDefault="00000000">
      <w:pPr>
        <w:pStyle w:val="neirong"/>
        <w:ind w:firstLineChars="200" w:firstLine="480"/>
      </w:pPr>
      <w:r>
        <w:rPr>
          <w:rFonts w:hint="eastAsia"/>
        </w:rPr>
        <w:t>本基金本报告期末未持有权证。</w:t>
      </w:r>
    </w:p>
    <w:p w14:paraId="522E91EF" w14:textId="77777777" w:rsidR="0069510E" w:rsidRDefault="0069510E">
      <w:pPr>
        <w:widowControl/>
        <w:jc w:val="left"/>
        <w:rPr>
          <w:rFonts w:ascii="宋体" w:eastAsia="宋体" w:hAnsi="宋体" w:cs="宋体"/>
          <w:kern w:val="0"/>
          <w:sz w:val="24"/>
          <w:szCs w:val="24"/>
        </w:rPr>
      </w:pPr>
    </w:p>
    <w:p w14:paraId="5FA14E98" w14:textId="77777777" w:rsidR="0069510E" w:rsidRDefault="00000000">
      <w:pPr>
        <w:pStyle w:val="zhangjiep"/>
        <w:rPr>
          <w:rFonts w:asciiTheme="minorEastAsia" w:eastAsiaTheme="minorEastAsia" w:hAnsiTheme="minorEastAsia" w:cs="Times New Roman"/>
          <w:bCs/>
          <w:kern w:val="2"/>
        </w:rPr>
      </w:pPr>
      <w:bookmarkStart w:id="223" w:name="_Toc101354072"/>
      <w:r>
        <w:rPr>
          <w:rFonts w:asciiTheme="minorEastAsia" w:eastAsiaTheme="minorEastAsia" w:hAnsiTheme="minorEastAsia" w:cs="Times New Roman"/>
          <w:bCs/>
          <w:kern w:val="2"/>
        </w:rPr>
        <w:t>9、</w:t>
      </w:r>
      <w:r>
        <w:rPr>
          <w:rFonts w:asciiTheme="minorEastAsia" w:eastAsiaTheme="minorEastAsia" w:hAnsiTheme="minorEastAsia" w:cs="Times New Roman" w:hint="eastAsia"/>
          <w:bCs/>
          <w:kern w:val="2"/>
        </w:rPr>
        <w:t>报告期末本基金投资的股指期货交易情况说明</w:t>
      </w:r>
      <w:bookmarkEnd w:id="223"/>
    </w:p>
    <w:p w14:paraId="4A511614" w14:textId="77777777" w:rsidR="0069510E" w:rsidRDefault="00000000">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1）</w:t>
      </w:r>
      <w:r>
        <w:rPr>
          <w:rFonts w:asciiTheme="minorEastAsia" w:eastAsiaTheme="minorEastAsia" w:hAnsiTheme="minorEastAsia" w:cs="Times New Roman" w:hint="eastAsia"/>
          <w:bCs/>
          <w:kern w:val="2"/>
        </w:rPr>
        <w:t>报告期末本基金投资的股指期货持仓和损益明细</w:t>
      </w:r>
    </w:p>
    <w:p w14:paraId="23C8D695" w14:textId="77777777" w:rsidR="0069510E" w:rsidRDefault="00000000">
      <w:pPr>
        <w:pStyle w:val="neirong"/>
        <w:ind w:firstLineChars="200" w:firstLine="480"/>
      </w:pPr>
      <w:r>
        <w:rPr>
          <w:rFonts w:hint="eastAsia"/>
        </w:rPr>
        <w:t>本基金本报告期末未投资股指期货。</w:t>
      </w:r>
    </w:p>
    <w:p w14:paraId="6ADCD962" w14:textId="77777777" w:rsidR="0069510E" w:rsidRDefault="0069510E">
      <w:pPr>
        <w:widowControl/>
        <w:jc w:val="left"/>
        <w:rPr>
          <w:rFonts w:ascii="宋体" w:eastAsia="宋体" w:hAnsi="宋体" w:cs="宋体"/>
          <w:kern w:val="0"/>
          <w:sz w:val="24"/>
          <w:szCs w:val="24"/>
        </w:rPr>
      </w:pPr>
    </w:p>
    <w:p w14:paraId="358C7AD7" w14:textId="77777777" w:rsidR="0069510E" w:rsidRDefault="00000000">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2） 本基金投资股指期货的投资政策</w:t>
      </w:r>
    </w:p>
    <w:p w14:paraId="695155DB" w14:textId="77777777" w:rsidR="0069510E" w:rsidRDefault="00000000">
      <w:pPr>
        <w:pStyle w:val="neirong"/>
        <w:spacing w:before="0"/>
        <w:ind w:firstLineChars="200" w:firstLine="480"/>
      </w:pPr>
      <w:r>
        <w:rPr>
          <w:rFonts w:hint="eastAsia"/>
        </w:rPr>
        <w:t>本基金本报告期末未投资股指期货。</w:t>
      </w:r>
    </w:p>
    <w:p w14:paraId="7057A4E6" w14:textId="77777777" w:rsidR="0069510E" w:rsidRDefault="0069510E">
      <w:pPr>
        <w:widowControl/>
        <w:jc w:val="left"/>
        <w:rPr>
          <w:rFonts w:ascii="宋体" w:eastAsia="宋体" w:hAnsi="宋体" w:cs="宋体"/>
          <w:kern w:val="0"/>
          <w:sz w:val="24"/>
          <w:szCs w:val="24"/>
        </w:rPr>
      </w:pPr>
    </w:p>
    <w:p w14:paraId="6D5DEC6F" w14:textId="77777777" w:rsidR="0069510E" w:rsidRDefault="00000000">
      <w:pPr>
        <w:pStyle w:val="zhangjiep"/>
        <w:rPr>
          <w:rFonts w:asciiTheme="minorEastAsia" w:eastAsiaTheme="minorEastAsia" w:hAnsiTheme="minorEastAsia" w:cs="Times New Roman"/>
          <w:bCs/>
          <w:kern w:val="2"/>
        </w:rPr>
      </w:pPr>
      <w:bookmarkStart w:id="224" w:name="_Toc101354073"/>
      <w:r>
        <w:rPr>
          <w:rFonts w:asciiTheme="minorEastAsia" w:eastAsiaTheme="minorEastAsia" w:hAnsiTheme="minorEastAsia" w:cs="Times New Roman"/>
          <w:bCs/>
          <w:kern w:val="2"/>
        </w:rPr>
        <w:t>10、</w:t>
      </w:r>
      <w:r>
        <w:rPr>
          <w:rFonts w:asciiTheme="minorEastAsia" w:eastAsiaTheme="minorEastAsia" w:hAnsiTheme="minorEastAsia" w:cs="Times New Roman" w:hint="eastAsia"/>
          <w:bCs/>
          <w:kern w:val="2"/>
        </w:rPr>
        <w:t>报告期末本基金投资的国债期货交易情况说明</w:t>
      </w:r>
      <w:bookmarkEnd w:id="224"/>
    </w:p>
    <w:p w14:paraId="47445948" w14:textId="77777777" w:rsidR="0069510E" w:rsidRDefault="00000000">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1）</w:t>
      </w:r>
      <w:r>
        <w:rPr>
          <w:rFonts w:asciiTheme="minorEastAsia" w:eastAsiaTheme="minorEastAsia" w:hAnsiTheme="minorEastAsia" w:cs="Times New Roman" w:hint="eastAsia"/>
          <w:bCs/>
          <w:kern w:val="2"/>
        </w:rPr>
        <w:t>本期国债期货投资政策</w:t>
      </w:r>
    </w:p>
    <w:p w14:paraId="2421FBD8" w14:textId="77777777" w:rsidR="0069510E" w:rsidRDefault="00000000">
      <w:pPr>
        <w:pStyle w:val="neirong"/>
        <w:spacing w:before="0"/>
        <w:ind w:firstLineChars="200" w:firstLine="480"/>
      </w:pPr>
      <w:r>
        <w:rPr>
          <w:rFonts w:hint="eastAsia"/>
        </w:rPr>
        <w:t xml:space="preserve">本基金本报告期末未投资国债期货。 </w:t>
      </w:r>
    </w:p>
    <w:p w14:paraId="46C75B65" w14:textId="77777777" w:rsidR="0069510E" w:rsidRDefault="0069510E">
      <w:pPr>
        <w:widowControl/>
        <w:jc w:val="left"/>
        <w:rPr>
          <w:rFonts w:asciiTheme="minorEastAsia" w:hAnsiTheme="minorEastAsia" w:cs="Times New Roman"/>
          <w:bCs/>
          <w:sz w:val="24"/>
          <w:szCs w:val="24"/>
        </w:rPr>
      </w:pPr>
    </w:p>
    <w:p w14:paraId="690A07EF" w14:textId="77777777" w:rsidR="0069510E" w:rsidRDefault="00000000">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lastRenderedPageBreak/>
        <w:t>（</w:t>
      </w:r>
      <w:r>
        <w:rPr>
          <w:rFonts w:asciiTheme="minorEastAsia" w:eastAsiaTheme="minorEastAsia" w:hAnsiTheme="minorEastAsia" w:cs="Times New Roman"/>
          <w:bCs/>
          <w:kern w:val="2"/>
        </w:rPr>
        <w:t>2</w:t>
      </w: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 xml:space="preserve"> 报告期末本基金投资的国债期货持仓和损益明细</w:t>
      </w:r>
    </w:p>
    <w:p w14:paraId="40DF3849" w14:textId="77777777" w:rsidR="0069510E" w:rsidRDefault="00000000">
      <w:pPr>
        <w:pStyle w:val="neirong"/>
        <w:ind w:firstLineChars="200" w:firstLine="480"/>
      </w:pPr>
      <w:r>
        <w:rPr>
          <w:rFonts w:hint="eastAsia"/>
        </w:rPr>
        <w:t>本基金本报告期末未投资国债期货。 </w:t>
      </w:r>
    </w:p>
    <w:p w14:paraId="4E7F27E7" w14:textId="77777777" w:rsidR="0069510E" w:rsidRDefault="0069510E">
      <w:pPr>
        <w:widowControl/>
        <w:jc w:val="left"/>
        <w:rPr>
          <w:rFonts w:ascii="宋体" w:eastAsia="宋体" w:hAnsi="宋体" w:cs="宋体"/>
          <w:kern w:val="0"/>
          <w:sz w:val="24"/>
          <w:szCs w:val="24"/>
        </w:rPr>
      </w:pPr>
    </w:p>
    <w:p w14:paraId="7F2AAB85" w14:textId="77777777" w:rsidR="0069510E" w:rsidRDefault="00000000">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3） 本期国债期货投资评价</w:t>
      </w:r>
    </w:p>
    <w:p w14:paraId="23030F05" w14:textId="77777777" w:rsidR="0069510E" w:rsidRDefault="00000000">
      <w:pPr>
        <w:pStyle w:val="neirong"/>
        <w:spacing w:before="0"/>
        <w:ind w:firstLineChars="200" w:firstLine="480"/>
      </w:pPr>
      <w:r>
        <w:rPr>
          <w:rFonts w:hint="eastAsia"/>
        </w:rPr>
        <w:t xml:space="preserve">本基金本报告期末未投资国债期货。 </w:t>
      </w:r>
    </w:p>
    <w:p w14:paraId="4763F67A" w14:textId="77777777" w:rsidR="0069510E" w:rsidRDefault="0069510E">
      <w:pPr>
        <w:widowControl/>
        <w:jc w:val="left"/>
        <w:rPr>
          <w:rFonts w:ascii="宋体" w:eastAsia="宋体" w:hAnsi="宋体" w:cs="宋体"/>
          <w:kern w:val="0"/>
          <w:sz w:val="24"/>
          <w:szCs w:val="24"/>
        </w:rPr>
      </w:pPr>
    </w:p>
    <w:p w14:paraId="60F380FB" w14:textId="77777777" w:rsidR="0069510E" w:rsidRDefault="00000000">
      <w:pPr>
        <w:pStyle w:val="zhangjiep"/>
        <w:ind w:left="0"/>
        <w:rPr>
          <w:rFonts w:asciiTheme="minorEastAsia" w:eastAsiaTheme="minorEastAsia" w:hAnsiTheme="minorEastAsia" w:cs="Times New Roman"/>
          <w:bCs/>
          <w:kern w:val="2"/>
        </w:rPr>
      </w:pPr>
      <w:bookmarkStart w:id="225" w:name="_Toc101354074"/>
      <w:r>
        <w:rPr>
          <w:rFonts w:asciiTheme="minorEastAsia" w:eastAsiaTheme="minorEastAsia" w:hAnsiTheme="minorEastAsia" w:cs="Times New Roman"/>
          <w:bCs/>
          <w:kern w:val="2"/>
        </w:rPr>
        <w:t>11、</w:t>
      </w:r>
      <w:r>
        <w:rPr>
          <w:rFonts w:asciiTheme="minorEastAsia" w:eastAsiaTheme="minorEastAsia" w:hAnsiTheme="minorEastAsia" w:cs="Times New Roman" w:hint="eastAsia"/>
          <w:bCs/>
          <w:kern w:val="2"/>
        </w:rPr>
        <w:t>投资组合报告附注</w:t>
      </w:r>
      <w:bookmarkEnd w:id="225"/>
      <w:r>
        <w:rPr>
          <w:rFonts w:asciiTheme="minorEastAsia" w:eastAsiaTheme="minorEastAsia" w:hAnsiTheme="minorEastAsia" w:cs="Times New Roman"/>
          <w:bCs/>
          <w:kern w:val="2"/>
        </w:rPr>
        <w:t xml:space="preserve"> </w:t>
      </w:r>
    </w:p>
    <w:p w14:paraId="78A81524" w14:textId="77777777" w:rsidR="0069510E" w:rsidRDefault="00000000">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1）</w:t>
      </w:r>
      <w:r>
        <w:rPr>
          <w:rFonts w:asciiTheme="minorEastAsia" w:eastAsiaTheme="minorEastAsia" w:hAnsiTheme="minorEastAsia" w:cs="Times New Roman" w:hint="eastAsia"/>
          <w:bCs/>
          <w:kern w:val="2"/>
        </w:rPr>
        <w:t>本基金投资的前十名证券的发行主体中，紫金矿业在报告编制日前一年内被上海证券交易所出具监管关注。</w:t>
      </w:r>
      <w:proofErr w:type="gramStart"/>
      <w:r>
        <w:rPr>
          <w:rFonts w:asciiTheme="minorEastAsia" w:eastAsiaTheme="minorEastAsia" w:hAnsiTheme="minorEastAsia" w:cs="Times New Roman" w:hint="eastAsia"/>
          <w:bCs/>
          <w:kern w:val="2"/>
        </w:rPr>
        <w:t>华鲁恒升在</w:t>
      </w:r>
      <w:proofErr w:type="gramEnd"/>
      <w:r>
        <w:rPr>
          <w:rFonts w:asciiTheme="minorEastAsia" w:eastAsiaTheme="minorEastAsia" w:hAnsiTheme="minorEastAsia" w:cs="Times New Roman" w:hint="eastAsia"/>
          <w:bCs/>
          <w:kern w:val="2"/>
        </w:rPr>
        <w:t>报告编制日前一年内被山东省市场监督管理局进行行政处罚。汤臣</w:t>
      </w:r>
      <w:proofErr w:type="gramStart"/>
      <w:r>
        <w:rPr>
          <w:rFonts w:asciiTheme="minorEastAsia" w:eastAsiaTheme="minorEastAsia" w:hAnsiTheme="minorEastAsia" w:cs="Times New Roman" w:hint="eastAsia"/>
          <w:bCs/>
          <w:kern w:val="2"/>
        </w:rPr>
        <w:t>倍</w:t>
      </w:r>
      <w:proofErr w:type="gramEnd"/>
      <w:r>
        <w:rPr>
          <w:rFonts w:asciiTheme="minorEastAsia" w:eastAsiaTheme="minorEastAsia" w:hAnsiTheme="minorEastAsia" w:cs="Times New Roman" w:hint="eastAsia"/>
          <w:bCs/>
          <w:kern w:val="2"/>
        </w:rPr>
        <w:t>健在报告编制日前一年内被珠海市应急管理局进行挂牌督办处罚。</w:t>
      </w:r>
    </w:p>
    <w:p w14:paraId="633FFEDC" w14:textId="77777777" w:rsidR="0069510E" w:rsidRDefault="00000000" w:rsidP="004A5EC5">
      <w:pPr>
        <w:pStyle w:val="zhangjiep2"/>
        <w:ind w:firstLine="405"/>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本基金对上述主体发行的相关证券的投资决策程序符合相关法律法规及基金合同的要求。</w:t>
      </w:r>
    </w:p>
    <w:p w14:paraId="7A39B03A" w14:textId="752B90E2" w:rsidR="0069510E" w:rsidRDefault="00000000" w:rsidP="004A5EC5">
      <w:pPr>
        <w:pStyle w:val="zhangjiep2"/>
        <w:ind w:firstLine="405"/>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除上述主体外，本基金投资的其他前十名证券的发行主体本期没有出现被监管部门立案调查，或在报告编制日前一年内受到公开谴责、处罚的情形。</w:t>
      </w:r>
    </w:p>
    <w:p w14:paraId="122A96F0" w14:textId="77777777" w:rsidR="0069510E" w:rsidRDefault="0069510E" w:rsidP="004A5EC5">
      <w:pPr>
        <w:pStyle w:val="zhangjiep2"/>
        <w:ind w:firstLine="405"/>
        <w:rPr>
          <w:rFonts w:asciiTheme="minorEastAsia" w:eastAsiaTheme="minorEastAsia" w:hAnsiTheme="minorEastAsia" w:cs="Times New Roman"/>
          <w:bCs/>
          <w:kern w:val="2"/>
        </w:rPr>
      </w:pPr>
    </w:p>
    <w:p w14:paraId="60577116" w14:textId="1C79CC13" w:rsidR="0069510E" w:rsidRDefault="00000000">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2） 本基金投资的前十名股票没有超出基金合同规定的备选股票库。</w:t>
      </w:r>
    </w:p>
    <w:p w14:paraId="159A55AD" w14:textId="77777777" w:rsidR="0069510E" w:rsidRDefault="0069510E">
      <w:pPr>
        <w:pStyle w:val="zhangjiep2"/>
        <w:rPr>
          <w:rFonts w:asciiTheme="minorEastAsia" w:eastAsiaTheme="minorEastAsia" w:hAnsiTheme="minorEastAsia" w:cs="Times New Roman"/>
          <w:bCs/>
          <w:kern w:val="2"/>
        </w:rPr>
      </w:pPr>
    </w:p>
    <w:p w14:paraId="5CD58AEA" w14:textId="77777777" w:rsidR="0069510E" w:rsidRDefault="00000000">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3） 其他资产构成</w:t>
      </w:r>
    </w:p>
    <w:tbl>
      <w:tblPr>
        <w:tblW w:w="9045" w:type="dxa"/>
        <w:tblInd w:w="108" w:type="dxa"/>
        <w:tblLook w:val="04A0" w:firstRow="1" w:lastRow="0" w:firstColumn="1" w:lastColumn="0" w:noHBand="0" w:noVBand="1"/>
      </w:tblPr>
      <w:tblGrid>
        <w:gridCol w:w="1276"/>
        <w:gridCol w:w="3709"/>
        <w:gridCol w:w="4060"/>
      </w:tblGrid>
      <w:tr w:rsidR="0069510E" w14:paraId="3DF6F7B1"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073F0E46" w14:textId="77777777" w:rsidR="0069510E" w:rsidRDefault="00000000">
            <w:pPr>
              <w:pStyle w:val="biaogecenter"/>
              <w:wordWrap w:val="0"/>
            </w:pPr>
            <w:r>
              <w:rPr>
                <w:rFonts w:hAnsi="等线" w:hint="eastAsia"/>
                <w:color w:val="000000"/>
              </w:rPr>
              <w:t>序号</w:t>
            </w:r>
          </w:p>
        </w:tc>
        <w:tc>
          <w:tcPr>
            <w:tcW w:w="3709" w:type="dxa"/>
            <w:tcBorders>
              <w:top w:val="single" w:sz="8" w:space="0" w:color="000000"/>
              <w:left w:val="single" w:sz="8" w:space="0" w:color="000000"/>
              <w:bottom w:val="single" w:sz="6" w:space="0" w:color="000000"/>
              <w:right w:val="single" w:sz="8" w:space="0" w:color="000000"/>
            </w:tcBorders>
            <w:vAlign w:val="center"/>
          </w:tcPr>
          <w:p w14:paraId="1913500D" w14:textId="77777777" w:rsidR="0069510E" w:rsidRDefault="00000000">
            <w:pPr>
              <w:pStyle w:val="biaogecenter"/>
              <w:wordWrap w:val="0"/>
            </w:pPr>
            <w:r>
              <w:rPr>
                <w:rFonts w:hint="eastAsia"/>
              </w:rPr>
              <w:t>名称</w:t>
            </w:r>
          </w:p>
        </w:tc>
        <w:tc>
          <w:tcPr>
            <w:tcW w:w="4060" w:type="dxa"/>
            <w:tcBorders>
              <w:top w:val="single" w:sz="8" w:space="0" w:color="000000"/>
              <w:left w:val="single" w:sz="8" w:space="0" w:color="000000"/>
              <w:bottom w:val="single" w:sz="6" w:space="0" w:color="000000"/>
              <w:right w:val="single" w:sz="8" w:space="0" w:color="000000"/>
            </w:tcBorders>
            <w:vAlign w:val="center"/>
          </w:tcPr>
          <w:p w14:paraId="14F2B42E" w14:textId="77777777" w:rsidR="0069510E" w:rsidRDefault="00000000">
            <w:pPr>
              <w:pStyle w:val="biaogecenter"/>
              <w:wordWrap w:val="0"/>
            </w:pPr>
            <w:r>
              <w:rPr>
                <w:rFonts w:hint="eastAsia"/>
              </w:rPr>
              <w:t>金额(元)</w:t>
            </w:r>
          </w:p>
        </w:tc>
      </w:tr>
      <w:tr w:rsidR="0069510E" w14:paraId="26BD07BF"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468916DE" w14:textId="77777777" w:rsidR="0069510E" w:rsidRDefault="00000000">
            <w:pPr>
              <w:pStyle w:val="biaogecenter"/>
              <w:wordWrap w:val="0"/>
            </w:pPr>
            <w:r>
              <w:rPr>
                <w:rFonts w:hAnsi="等线" w:hint="eastAsia"/>
                <w:color w:val="000000"/>
              </w:rPr>
              <w:t>1</w:t>
            </w:r>
          </w:p>
        </w:tc>
        <w:tc>
          <w:tcPr>
            <w:tcW w:w="3709" w:type="dxa"/>
            <w:tcBorders>
              <w:top w:val="single" w:sz="8" w:space="0" w:color="000000"/>
              <w:left w:val="single" w:sz="8" w:space="0" w:color="000000"/>
              <w:bottom w:val="single" w:sz="6" w:space="0" w:color="000000"/>
              <w:right w:val="single" w:sz="8" w:space="0" w:color="000000"/>
            </w:tcBorders>
            <w:vAlign w:val="center"/>
          </w:tcPr>
          <w:p w14:paraId="143F2D20" w14:textId="77777777" w:rsidR="0069510E" w:rsidRDefault="00000000">
            <w:pPr>
              <w:pStyle w:val="biaogeleft"/>
              <w:wordWrap w:val="0"/>
            </w:pPr>
            <w:r>
              <w:rPr>
                <w:rFonts w:hint="eastAsia"/>
              </w:rPr>
              <w:t>存出保证金</w:t>
            </w:r>
          </w:p>
        </w:tc>
        <w:tc>
          <w:tcPr>
            <w:tcW w:w="4060" w:type="dxa"/>
            <w:tcBorders>
              <w:top w:val="single" w:sz="8" w:space="0" w:color="000000"/>
              <w:left w:val="single" w:sz="8" w:space="0" w:color="000000"/>
              <w:bottom w:val="single" w:sz="6" w:space="0" w:color="000000"/>
              <w:right w:val="single" w:sz="8" w:space="0" w:color="000000"/>
            </w:tcBorders>
            <w:vAlign w:val="center"/>
          </w:tcPr>
          <w:p w14:paraId="56B2DC5F" w14:textId="0796AAA1" w:rsidR="0069510E" w:rsidRDefault="00000000">
            <w:pPr>
              <w:pStyle w:val="biaogeright"/>
              <w:wordWrap w:val="0"/>
            </w:pPr>
            <w:r>
              <w:t>9,065,916.79</w:t>
            </w:r>
          </w:p>
        </w:tc>
      </w:tr>
      <w:tr w:rsidR="0069510E" w14:paraId="121202BF"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3CDEFF0E" w14:textId="77777777" w:rsidR="0069510E" w:rsidRDefault="00000000">
            <w:pPr>
              <w:pStyle w:val="biaogecenter"/>
              <w:wordWrap w:val="0"/>
            </w:pPr>
            <w:r>
              <w:rPr>
                <w:rFonts w:hAnsi="等线" w:hint="eastAsia"/>
                <w:color w:val="000000"/>
              </w:rPr>
              <w:t>2</w:t>
            </w:r>
          </w:p>
        </w:tc>
        <w:tc>
          <w:tcPr>
            <w:tcW w:w="3709" w:type="dxa"/>
            <w:tcBorders>
              <w:top w:val="single" w:sz="8" w:space="0" w:color="000000"/>
              <w:left w:val="single" w:sz="8" w:space="0" w:color="000000"/>
              <w:bottom w:val="single" w:sz="6" w:space="0" w:color="000000"/>
              <w:right w:val="single" w:sz="8" w:space="0" w:color="000000"/>
            </w:tcBorders>
            <w:vAlign w:val="center"/>
          </w:tcPr>
          <w:p w14:paraId="51EB9FAA" w14:textId="77777777" w:rsidR="0069510E" w:rsidRDefault="00000000">
            <w:pPr>
              <w:pStyle w:val="biaogeleft"/>
              <w:wordWrap w:val="0"/>
            </w:pPr>
            <w:r>
              <w:rPr>
                <w:rFonts w:hint="eastAsia"/>
              </w:rPr>
              <w:t>应收证券清算款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575925F5" w14:textId="3A1C9F08" w:rsidR="0069510E" w:rsidRDefault="00000000">
            <w:pPr>
              <w:pStyle w:val="biaogeright"/>
              <w:wordWrap w:val="0"/>
            </w:pPr>
            <w:r>
              <w:t>-</w:t>
            </w:r>
          </w:p>
        </w:tc>
      </w:tr>
      <w:tr w:rsidR="0069510E" w14:paraId="564FD078"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58000B96" w14:textId="77777777" w:rsidR="0069510E" w:rsidRDefault="00000000">
            <w:pPr>
              <w:pStyle w:val="biaogecenter"/>
              <w:wordWrap w:val="0"/>
            </w:pPr>
            <w:r>
              <w:rPr>
                <w:rFonts w:hAnsi="等线" w:hint="eastAsia"/>
                <w:color w:val="000000"/>
              </w:rPr>
              <w:t>3</w:t>
            </w:r>
          </w:p>
        </w:tc>
        <w:tc>
          <w:tcPr>
            <w:tcW w:w="3709" w:type="dxa"/>
            <w:tcBorders>
              <w:top w:val="single" w:sz="8" w:space="0" w:color="000000"/>
              <w:left w:val="single" w:sz="8" w:space="0" w:color="000000"/>
              <w:bottom w:val="single" w:sz="6" w:space="0" w:color="000000"/>
              <w:right w:val="single" w:sz="8" w:space="0" w:color="000000"/>
            </w:tcBorders>
            <w:vAlign w:val="center"/>
          </w:tcPr>
          <w:p w14:paraId="14C96E29" w14:textId="77777777" w:rsidR="0069510E" w:rsidRDefault="00000000">
            <w:pPr>
              <w:pStyle w:val="biaogeleft"/>
              <w:wordWrap w:val="0"/>
            </w:pPr>
            <w:r>
              <w:rPr>
                <w:rFonts w:hint="eastAsia"/>
              </w:rPr>
              <w:t>应收股利</w:t>
            </w:r>
          </w:p>
        </w:tc>
        <w:tc>
          <w:tcPr>
            <w:tcW w:w="4060" w:type="dxa"/>
            <w:tcBorders>
              <w:top w:val="single" w:sz="8" w:space="0" w:color="000000"/>
              <w:left w:val="single" w:sz="8" w:space="0" w:color="000000"/>
              <w:bottom w:val="single" w:sz="6" w:space="0" w:color="000000"/>
              <w:right w:val="single" w:sz="8" w:space="0" w:color="000000"/>
            </w:tcBorders>
            <w:vAlign w:val="center"/>
          </w:tcPr>
          <w:p w14:paraId="0E93C741" w14:textId="770DC6C0" w:rsidR="0069510E" w:rsidRDefault="00000000">
            <w:pPr>
              <w:pStyle w:val="biaogeright"/>
              <w:wordWrap w:val="0"/>
            </w:pPr>
            <w:r>
              <w:t>-</w:t>
            </w:r>
          </w:p>
        </w:tc>
      </w:tr>
      <w:tr w:rsidR="0069510E" w14:paraId="6D5EF2D7"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4EFD6CDA" w14:textId="77777777" w:rsidR="0069510E" w:rsidRDefault="00000000">
            <w:pPr>
              <w:pStyle w:val="biaogecenter"/>
              <w:wordWrap w:val="0"/>
            </w:pPr>
            <w:r>
              <w:rPr>
                <w:rFonts w:hAnsi="等线" w:hint="eastAsia"/>
                <w:color w:val="000000"/>
              </w:rPr>
              <w:t>4</w:t>
            </w:r>
          </w:p>
        </w:tc>
        <w:tc>
          <w:tcPr>
            <w:tcW w:w="3709" w:type="dxa"/>
            <w:tcBorders>
              <w:top w:val="single" w:sz="8" w:space="0" w:color="000000"/>
              <w:left w:val="single" w:sz="8" w:space="0" w:color="000000"/>
              <w:bottom w:val="single" w:sz="6" w:space="0" w:color="000000"/>
              <w:right w:val="single" w:sz="8" w:space="0" w:color="000000"/>
            </w:tcBorders>
            <w:vAlign w:val="center"/>
          </w:tcPr>
          <w:p w14:paraId="6B45B831" w14:textId="77777777" w:rsidR="0069510E" w:rsidRDefault="00000000">
            <w:pPr>
              <w:pStyle w:val="biaogeleft"/>
              <w:wordWrap w:val="0"/>
            </w:pPr>
            <w:r>
              <w:rPr>
                <w:rFonts w:hint="eastAsia"/>
              </w:rPr>
              <w:t>应收利息</w:t>
            </w:r>
          </w:p>
        </w:tc>
        <w:tc>
          <w:tcPr>
            <w:tcW w:w="4060" w:type="dxa"/>
            <w:tcBorders>
              <w:top w:val="single" w:sz="8" w:space="0" w:color="000000"/>
              <w:left w:val="single" w:sz="8" w:space="0" w:color="000000"/>
              <w:bottom w:val="single" w:sz="6" w:space="0" w:color="000000"/>
              <w:right w:val="single" w:sz="8" w:space="0" w:color="000000"/>
            </w:tcBorders>
            <w:vAlign w:val="center"/>
          </w:tcPr>
          <w:p w14:paraId="6CB81733" w14:textId="668EB393" w:rsidR="0069510E" w:rsidRDefault="00000000">
            <w:pPr>
              <w:pStyle w:val="biaogeright"/>
              <w:wordWrap w:val="0"/>
            </w:pPr>
            <w:r>
              <w:t>-</w:t>
            </w:r>
          </w:p>
        </w:tc>
      </w:tr>
      <w:tr w:rsidR="0069510E" w14:paraId="7E2C39DC"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6E9710EC" w14:textId="77777777" w:rsidR="0069510E" w:rsidRDefault="00000000">
            <w:pPr>
              <w:pStyle w:val="biaogecenter"/>
              <w:wordWrap w:val="0"/>
            </w:pPr>
            <w:r>
              <w:rPr>
                <w:rFonts w:hAnsi="等线" w:hint="eastAsia"/>
                <w:color w:val="000000"/>
              </w:rPr>
              <w:t>5</w:t>
            </w:r>
          </w:p>
        </w:tc>
        <w:tc>
          <w:tcPr>
            <w:tcW w:w="3709" w:type="dxa"/>
            <w:tcBorders>
              <w:top w:val="single" w:sz="8" w:space="0" w:color="000000"/>
              <w:left w:val="single" w:sz="8" w:space="0" w:color="000000"/>
              <w:bottom w:val="single" w:sz="6" w:space="0" w:color="000000"/>
              <w:right w:val="single" w:sz="8" w:space="0" w:color="000000"/>
            </w:tcBorders>
            <w:vAlign w:val="center"/>
          </w:tcPr>
          <w:p w14:paraId="34712073" w14:textId="77777777" w:rsidR="0069510E" w:rsidRDefault="00000000">
            <w:pPr>
              <w:pStyle w:val="biaogeleft"/>
              <w:wordWrap w:val="0"/>
            </w:pPr>
            <w:r>
              <w:rPr>
                <w:rFonts w:hint="eastAsia"/>
              </w:rPr>
              <w:t>应收申购款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72F6B936" w14:textId="0B8C0A1D" w:rsidR="0069510E" w:rsidRDefault="00000000">
            <w:pPr>
              <w:pStyle w:val="biaogeright"/>
              <w:wordWrap w:val="0"/>
            </w:pPr>
            <w:r>
              <w:t>-</w:t>
            </w:r>
          </w:p>
        </w:tc>
      </w:tr>
      <w:tr w:rsidR="0069510E" w14:paraId="1091CD15"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01B4A6D6" w14:textId="77777777" w:rsidR="0069510E" w:rsidRDefault="00000000">
            <w:pPr>
              <w:pStyle w:val="biaogecenter"/>
              <w:wordWrap w:val="0"/>
            </w:pPr>
            <w:r>
              <w:rPr>
                <w:rFonts w:hAnsi="等线" w:hint="eastAsia"/>
                <w:color w:val="000000"/>
              </w:rPr>
              <w:t>6</w:t>
            </w:r>
          </w:p>
        </w:tc>
        <w:tc>
          <w:tcPr>
            <w:tcW w:w="3709" w:type="dxa"/>
            <w:tcBorders>
              <w:top w:val="single" w:sz="8" w:space="0" w:color="000000"/>
              <w:left w:val="single" w:sz="8" w:space="0" w:color="000000"/>
              <w:bottom w:val="single" w:sz="6" w:space="0" w:color="000000"/>
              <w:right w:val="single" w:sz="8" w:space="0" w:color="000000"/>
            </w:tcBorders>
            <w:vAlign w:val="center"/>
          </w:tcPr>
          <w:p w14:paraId="0A71013D" w14:textId="77777777" w:rsidR="0069510E" w:rsidRDefault="00000000">
            <w:pPr>
              <w:pStyle w:val="biaogeleft"/>
              <w:wordWrap w:val="0"/>
            </w:pPr>
            <w:r>
              <w:rPr>
                <w:rFonts w:hint="eastAsia"/>
              </w:rPr>
              <w:t>其他应收款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2C493C0F" w14:textId="166CA9BE" w:rsidR="0069510E" w:rsidRDefault="00000000">
            <w:pPr>
              <w:pStyle w:val="biaogeright"/>
              <w:wordWrap w:val="0"/>
            </w:pPr>
            <w:r>
              <w:t>-</w:t>
            </w:r>
          </w:p>
        </w:tc>
      </w:tr>
      <w:tr w:rsidR="0069510E" w14:paraId="2B9868F8"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4475475A" w14:textId="77777777" w:rsidR="0069510E" w:rsidRDefault="00000000">
            <w:pPr>
              <w:pStyle w:val="biaogecenter"/>
              <w:wordWrap w:val="0"/>
            </w:pPr>
            <w:r>
              <w:rPr>
                <w:rFonts w:hAnsi="等线" w:hint="eastAsia"/>
                <w:color w:val="000000"/>
              </w:rPr>
              <w:t>7</w:t>
            </w:r>
          </w:p>
        </w:tc>
        <w:tc>
          <w:tcPr>
            <w:tcW w:w="3709" w:type="dxa"/>
            <w:tcBorders>
              <w:top w:val="single" w:sz="8" w:space="0" w:color="000000"/>
              <w:left w:val="single" w:sz="8" w:space="0" w:color="000000"/>
              <w:bottom w:val="single" w:sz="6" w:space="0" w:color="000000"/>
              <w:right w:val="single" w:sz="8" w:space="0" w:color="000000"/>
            </w:tcBorders>
            <w:vAlign w:val="center"/>
          </w:tcPr>
          <w:p w14:paraId="623F2A09" w14:textId="77777777" w:rsidR="0069510E" w:rsidRDefault="00000000">
            <w:pPr>
              <w:pStyle w:val="biaogeleft"/>
              <w:wordWrap w:val="0"/>
            </w:pPr>
            <w:r>
              <w:rPr>
                <w:rFonts w:hint="eastAsia"/>
              </w:rPr>
              <w:t>其他</w:t>
            </w:r>
          </w:p>
        </w:tc>
        <w:tc>
          <w:tcPr>
            <w:tcW w:w="4060" w:type="dxa"/>
            <w:tcBorders>
              <w:top w:val="single" w:sz="8" w:space="0" w:color="000000"/>
              <w:left w:val="single" w:sz="8" w:space="0" w:color="000000"/>
              <w:bottom w:val="single" w:sz="6" w:space="0" w:color="000000"/>
              <w:right w:val="single" w:sz="8" w:space="0" w:color="000000"/>
            </w:tcBorders>
            <w:vAlign w:val="center"/>
          </w:tcPr>
          <w:p w14:paraId="2C3C97CD" w14:textId="61B8A222" w:rsidR="0069510E" w:rsidRDefault="00000000">
            <w:pPr>
              <w:pStyle w:val="biaogeright"/>
              <w:wordWrap w:val="0"/>
            </w:pPr>
            <w:r>
              <w:t>-</w:t>
            </w:r>
          </w:p>
        </w:tc>
      </w:tr>
      <w:tr w:rsidR="0069510E" w14:paraId="5D4FF19B"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10FFAF3D" w14:textId="77777777" w:rsidR="0069510E" w:rsidRDefault="00000000">
            <w:pPr>
              <w:pStyle w:val="biaogecenter"/>
              <w:wordWrap w:val="0"/>
            </w:pPr>
            <w:r>
              <w:rPr>
                <w:rFonts w:hAnsi="等线" w:hint="eastAsia"/>
                <w:color w:val="000000"/>
              </w:rPr>
              <w:t>8</w:t>
            </w:r>
          </w:p>
        </w:tc>
        <w:tc>
          <w:tcPr>
            <w:tcW w:w="3709" w:type="dxa"/>
            <w:tcBorders>
              <w:top w:val="single" w:sz="8" w:space="0" w:color="000000"/>
              <w:left w:val="single" w:sz="8" w:space="0" w:color="000000"/>
              <w:bottom w:val="single" w:sz="6" w:space="0" w:color="000000"/>
              <w:right w:val="single" w:sz="8" w:space="0" w:color="000000"/>
            </w:tcBorders>
            <w:vAlign w:val="center"/>
          </w:tcPr>
          <w:p w14:paraId="3BF27307" w14:textId="77777777" w:rsidR="0069510E" w:rsidRDefault="00000000">
            <w:pPr>
              <w:pStyle w:val="biaogeleft"/>
              <w:wordWrap w:val="0"/>
            </w:pPr>
            <w:r>
              <w:rPr>
                <w:rFonts w:hint="eastAsia"/>
              </w:rPr>
              <w:t>合计</w:t>
            </w:r>
          </w:p>
        </w:tc>
        <w:tc>
          <w:tcPr>
            <w:tcW w:w="4060" w:type="dxa"/>
            <w:tcBorders>
              <w:top w:val="single" w:sz="8" w:space="0" w:color="000000"/>
              <w:left w:val="single" w:sz="8" w:space="0" w:color="000000"/>
              <w:bottom w:val="single" w:sz="6" w:space="0" w:color="000000"/>
              <w:right w:val="single" w:sz="8" w:space="0" w:color="000000"/>
            </w:tcBorders>
            <w:vAlign w:val="center"/>
          </w:tcPr>
          <w:p w14:paraId="5F33B267" w14:textId="0330D077" w:rsidR="0069510E" w:rsidRDefault="00000000">
            <w:pPr>
              <w:pStyle w:val="biaogeright"/>
              <w:wordWrap w:val="0"/>
            </w:pPr>
            <w:r>
              <w:t>9,065,916.79</w:t>
            </w:r>
          </w:p>
        </w:tc>
      </w:tr>
    </w:tbl>
    <w:p w14:paraId="5EF4BF7E" w14:textId="77777777" w:rsidR="0069510E" w:rsidRDefault="0069510E">
      <w:pPr>
        <w:widowControl/>
        <w:jc w:val="left"/>
        <w:rPr>
          <w:rFonts w:ascii="宋体" w:eastAsia="宋体" w:hAnsi="宋体" w:cs="宋体"/>
          <w:kern w:val="0"/>
          <w:sz w:val="24"/>
          <w:szCs w:val="24"/>
        </w:rPr>
      </w:pPr>
    </w:p>
    <w:p w14:paraId="6E632C19" w14:textId="77777777" w:rsidR="0069510E" w:rsidRDefault="00000000">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4）</w:t>
      </w:r>
      <w:r>
        <w:rPr>
          <w:rFonts w:asciiTheme="minorEastAsia" w:eastAsiaTheme="minorEastAsia" w:hAnsiTheme="minorEastAsia" w:cs="Times New Roman" w:hint="eastAsia"/>
          <w:bCs/>
          <w:kern w:val="2"/>
        </w:rPr>
        <w:t>报告期末持有的处于转股期的可转换债券明细</w:t>
      </w:r>
    </w:p>
    <w:p w14:paraId="6D9FA76D" w14:textId="77777777" w:rsidR="0069510E" w:rsidRDefault="00000000">
      <w:pPr>
        <w:pStyle w:val="neirong"/>
        <w:ind w:firstLineChars="200" w:firstLine="480"/>
      </w:pPr>
      <w:r>
        <w:rPr>
          <w:rFonts w:hint="eastAsia"/>
        </w:rPr>
        <w:t>本基金本报告期末未持有处于转股期的可转换债券。</w:t>
      </w:r>
    </w:p>
    <w:p w14:paraId="20E6F39D" w14:textId="77777777" w:rsidR="0069510E" w:rsidRDefault="0069510E">
      <w:pPr>
        <w:widowControl/>
        <w:jc w:val="left"/>
        <w:rPr>
          <w:rFonts w:ascii="宋体" w:eastAsia="宋体" w:hAnsi="宋体" w:cs="宋体"/>
          <w:kern w:val="0"/>
          <w:sz w:val="24"/>
          <w:szCs w:val="24"/>
        </w:rPr>
      </w:pPr>
    </w:p>
    <w:p w14:paraId="571CA0FB" w14:textId="77777777" w:rsidR="0069510E" w:rsidRDefault="00000000">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5） 报告</w:t>
      </w:r>
      <w:proofErr w:type="gramStart"/>
      <w:r>
        <w:rPr>
          <w:rFonts w:asciiTheme="minorEastAsia" w:eastAsiaTheme="minorEastAsia" w:hAnsiTheme="minorEastAsia" w:cs="Times New Roman" w:hint="eastAsia"/>
          <w:bCs/>
          <w:kern w:val="2"/>
        </w:rPr>
        <w:t>期末前</w:t>
      </w:r>
      <w:proofErr w:type="gramEnd"/>
      <w:r>
        <w:rPr>
          <w:rFonts w:asciiTheme="minorEastAsia" w:eastAsiaTheme="minorEastAsia" w:hAnsiTheme="minorEastAsia" w:cs="Times New Roman" w:hint="eastAsia"/>
          <w:bCs/>
          <w:kern w:val="2"/>
        </w:rPr>
        <w:t>十名股票中存在流通受限情况的说明</w:t>
      </w:r>
    </w:p>
    <w:p w14:paraId="005899F3" w14:textId="77777777" w:rsidR="0069510E" w:rsidRDefault="00000000">
      <w:pPr>
        <w:pStyle w:val="neirong"/>
        <w:ind w:firstLineChars="200" w:firstLine="480"/>
      </w:pPr>
      <w:r>
        <w:rPr>
          <w:rFonts w:hint="eastAsia"/>
        </w:rPr>
        <w:t>本基金本报告</w:t>
      </w:r>
      <w:proofErr w:type="gramStart"/>
      <w:r>
        <w:rPr>
          <w:rFonts w:hint="eastAsia"/>
        </w:rPr>
        <w:t>期末前</w:t>
      </w:r>
      <w:proofErr w:type="gramEnd"/>
      <w:r>
        <w:rPr>
          <w:rFonts w:hint="eastAsia"/>
        </w:rPr>
        <w:t>十名股票中不存在流通受限股票。</w:t>
      </w:r>
    </w:p>
    <w:p w14:paraId="6216ADCE" w14:textId="77777777" w:rsidR="0069510E" w:rsidRDefault="0069510E">
      <w:pPr>
        <w:widowControl/>
        <w:jc w:val="left"/>
        <w:rPr>
          <w:rFonts w:ascii="宋体" w:eastAsia="宋体" w:hAnsi="宋体" w:cs="宋体"/>
          <w:kern w:val="0"/>
          <w:sz w:val="24"/>
          <w:szCs w:val="24"/>
        </w:rPr>
      </w:pPr>
    </w:p>
    <w:p w14:paraId="1B16B053" w14:textId="77777777" w:rsidR="0069510E" w:rsidRDefault="00000000">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lastRenderedPageBreak/>
        <w:t>（</w:t>
      </w:r>
      <w:r>
        <w:rPr>
          <w:rFonts w:asciiTheme="minorEastAsia" w:eastAsiaTheme="minorEastAsia" w:hAnsiTheme="minorEastAsia" w:cs="Times New Roman"/>
          <w:bCs/>
          <w:kern w:val="2"/>
        </w:rPr>
        <w:t>6）</w:t>
      </w:r>
      <w:r>
        <w:rPr>
          <w:rFonts w:asciiTheme="minorEastAsia" w:eastAsiaTheme="minorEastAsia" w:hAnsiTheme="minorEastAsia" w:cs="Times New Roman" w:hint="eastAsia"/>
          <w:bCs/>
          <w:kern w:val="2"/>
        </w:rPr>
        <w:t>投资组合报告附注的其他文字描述部分</w:t>
      </w:r>
    </w:p>
    <w:p w14:paraId="50772503" w14:textId="77777777" w:rsidR="0069510E"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由于四舍五入原因，分项之和与合计可能有尾差。</w:t>
      </w:r>
    </w:p>
    <w:p w14:paraId="05D3BB29" w14:textId="77777777" w:rsidR="0069510E" w:rsidRDefault="0069510E">
      <w:pPr>
        <w:spacing w:line="360" w:lineRule="auto"/>
        <w:ind w:firstLineChars="200" w:firstLine="480"/>
        <w:rPr>
          <w:rFonts w:asciiTheme="minorEastAsia" w:hAnsiTheme="minorEastAsia" w:cs="Times New Roman"/>
          <w:bCs/>
          <w:sz w:val="24"/>
          <w:szCs w:val="24"/>
        </w:rPr>
      </w:pPr>
    </w:p>
    <w:p w14:paraId="26BFC9EB" w14:textId="77777777" w:rsidR="0069510E" w:rsidRDefault="00000000">
      <w:pPr>
        <w:spacing w:line="360" w:lineRule="auto"/>
        <w:ind w:firstLineChars="200" w:firstLine="482"/>
        <w:rPr>
          <w:rFonts w:ascii="宋体" w:hAnsi="宋体" w:cs="Arial"/>
          <w:b/>
          <w:bCs/>
          <w:sz w:val="24"/>
        </w:rPr>
      </w:pPr>
      <w:r>
        <w:rPr>
          <w:rFonts w:ascii="宋体" w:hAnsi="宋体" w:hint="eastAsia"/>
          <w:b/>
          <w:sz w:val="24"/>
        </w:rPr>
        <w:t>十、</w:t>
      </w:r>
      <w:r>
        <w:rPr>
          <w:rFonts w:ascii="宋体" w:hAnsi="宋体" w:cs="Arial" w:hint="eastAsia"/>
          <w:b/>
          <w:bCs/>
          <w:sz w:val="24"/>
        </w:rPr>
        <w:t>基金净值表现</w:t>
      </w:r>
    </w:p>
    <w:p w14:paraId="26B214CA" w14:textId="77777777" w:rsidR="0069510E" w:rsidRDefault="00000000">
      <w:pPr>
        <w:spacing w:line="360" w:lineRule="auto"/>
        <w:ind w:firstLineChars="200" w:firstLine="480"/>
        <w:rPr>
          <w:rFonts w:asciiTheme="minorEastAsia" w:hAnsiTheme="minorEastAsia" w:cs="Times New Roman"/>
          <w:bCs/>
          <w:sz w:val="24"/>
          <w:szCs w:val="24"/>
        </w:rPr>
      </w:pPr>
      <w:bookmarkStart w:id="226" w:name="_Toc416264546"/>
      <w:bookmarkStart w:id="227" w:name="_Toc68266297"/>
      <w:bookmarkStart w:id="228" w:name="_Toc79392624"/>
      <w:bookmarkStart w:id="229" w:name="_Toc19520"/>
      <w:bookmarkStart w:id="230" w:name="_Toc141703891"/>
      <w:bookmarkStart w:id="231" w:name="_Toc48649710"/>
      <w:bookmarkStart w:id="232" w:name="_Toc31469"/>
      <w:bookmarkStart w:id="233" w:name="_Toc14725"/>
      <w:bookmarkStart w:id="234" w:name="_Toc26152"/>
      <w:bookmarkStart w:id="235" w:name="_Toc123102458"/>
      <w:bookmarkStart w:id="236" w:name="_Toc139991741"/>
      <w:bookmarkStart w:id="237" w:name="_Toc123112239"/>
      <w:bookmarkStart w:id="238" w:name="_Toc2255"/>
      <w:bookmarkStart w:id="239" w:name="_Toc3244"/>
      <w:bookmarkStart w:id="240" w:name="_Toc22674"/>
      <w:bookmarkStart w:id="241" w:name="_Toc123051457"/>
      <w:bookmarkStart w:id="242" w:name="_Toc352229757"/>
      <w:bookmarkStart w:id="243" w:name="_Toc26084"/>
      <w:bookmarkStart w:id="244" w:name="_Toc26383"/>
      <w:bookmarkStart w:id="245" w:name="_Toc16789"/>
      <w:bookmarkStart w:id="246" w:name="_Toc21886"/>
      <w:bookmarkStart w:id="247" w:name="_Toc98560357"/>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r>
        <w:rPr>
          <w:rFonts w:asciiTheme="minorEastAsia" w:hAnsiTheme="minorEastAsia" w:cs="Times New Roman"/>
          <w:bCs/>
          <w:sz w:val="24"/>
          <w:szCs w:val="24"/>
        </w:rPr>
        <w:t>1</w:t>
      </w:r>
      <w:r>
        <w:rPr>
          <w:rFonts w:asciiTheme="minorEastAsia" w:hAnsiTheme="minorEastAsia" w:cs="Times New Roman" w:hint="eastAsia"/>
          <w:bCs/>
          <w:sz w:val="24"/>
          <w:szCs w:val="24"/>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18D449C0" w14:textId="77777777" w:rsidR="0069510E" w:rsidRDefault="00000000">
      <w:pPr>
        <w:spacing w:line="360" w:lineRule="auto"/>
        <w:rPr>
          <w:rFonts w:ascii="宋体" w:hAnsi="宋体"/>
          <w:bCs/>
          <w:szCs w:val="21"/>
        </w:rPr>
      </w:pPr>
      <w:r>
        <w:rPr>
          <w:rFonts w:ascii="宋体" w:hAnsi="宋体" w:hint="eastAsia"/>
          <w:bCs/>
          <w:szCs w:val="21"/>
        </w:rPr>
        <w:t>（1）</w:t>
      </w:r>
      <w:proofErr w:type="gramStart"/>
      <w:r>
        <w:rPr>
          <w:rFonts w:ascii="宋体" w:hAnsi="宋体" w:hint="eastAsia"/>
          <w:bCs/>
          <w:szCs w:val="21"/>
        </w:rPr>
        <w:t>富荣福银混合</w:t>
      </w:r>
      <w:proofErr w:type="gramEnd"/>
      <w:r>
        <w:rPr>
          <w:rFonts w:ascii="宋体" w:hAnsi="宋体" w:hint="eastAsia"/>
          <w:bCs/>
          <w:szCs w:val="21"/>
        </w:rPr>
        <w:t>A（</w:t>
      </w:r>
      <w:r>
        <w:rPr>
          <w:rFonts w:ascii="宋体" w:hAnsi="宋体" w:hint="eastAsia"/>
          <w:color w:val="000000"/>
          <w:kern w:val="0"/>
          <w:szCs w:val="21"/>
        </w:rPr>
        <w:t>基金代码：</w:t>
      </w:r>
      <w:r>
        <w:rPr>
          <w:rFonts w:ascii="宋体" w:hAnsi="宋体"/>
          <w:color w:val="000000"/>
          <w:kern w:val="0"/>
          <w:szCs w:val="21"/>
        </w:rPr>
        <w:t>012545</w:t>
      </w:r>
      <w:r>
        <w:rPr>
          <w:rFonts w:ascii="宋体" w:hAnsi="宋体" w:hint="eastAsia"/>
          <w:bCs/>
          <w:szCs w:val="21"/>
        </w:rPr>
        <w:t>）</w:t>
      </w:r>
    </w:p>
    <w:tbl>
      <w:tblPr>
        <w:tblW w:w="9948" w:type="dxa"/>
        <w:jc w:val="center"/>
        <w:tblLook w:val="04A0" w:firstRow="1" w:lastRow="0" w:firstColumn="1" w:lastColumn="0" w:noHBand="0" w:noVBand="1"/>
      </w:tblPr>
      <w:tblGrid>
        <w:gridCol w:w="1454"/>
        <w:gridCol w:w="1385"/>
        <w:gridCol w:w="1419"/>
        <w:gridCol w:w="1275"/>
        <w:gridCol w:w="1683"/>
        <w:gridCol w:w="1369"/>
        <w:gridCol w:w="1363"/>
      </w:tblGrid>
      <w:tr w:rsidR="0069510E" w14:paraId="49C51003" w14:textId="77777777">
        <w:trPr>
          <w:jc w:val="center"/>
        </w:trPr>
        <w:tc>
          <w:tcPr>
            <w:tcW w:w="731" w:type="pct"/>
            <w:tcBorders>
              <w:top w:val="single" w:sz="8" w:space="0" w:color="000000"/>
              <w:left w:val="single" w:sz="8" w:space="0" w:color="000000"/>
              <w:bottom w:val="single" w:sz="6" w:space="0" w:color="000000"/>
              <w:right w:val="single" w:sz="8" w:space="0" w:color="000000"/>
            </w:tcBorders>
            <w:vAlign w:val="center"/>
          </w:tcPr>
          <w:p w14:paraId="231DFF5A" w14:textId="77777777" w:rsidR="0069510E" w:rsidRDefault="00000000">
            <w:pPr>
              <w:pStyle w:val="biaogeleft"/>
              <w:wordWrap w:val="0"/>
            </w:pPr>
            <w:r>
              <w:rPr>
                <w:rFonts w:hint="eastAsia"/>
              </w:rPr>
              <w:t>阶段</w:t>
            </w:r>
          </w:p>
        </w:tc>
        <w:tc>
          <w:tcPr>
            <w:tcW w:w="696" w:type="pct"/>
            <w:tcBorders>
              <w:top w:val="single" w:sz="8" w:space="0" w:color="000000"/>
              <w:left w:val="single" w:sz="8" w:space="0" w:color="000000"/>
              <w:bottom w:val="single" w:sz="6" w:space="0" w:color="000000"/>
              <w:right w:val="single" w:sz="8" w:space="0" w:color="000000"/>
            </w:tcBorders>
            <w:vAlign w:val="center"/>
          </w:tcPr>
          <w:p w14:paraId="50D9E6CD" w14:textId="77777777" w:rsidR="0069510E" w:rsidRDefault="00000000">
            <w:pPr>
              <w:pStyle w:val="biaogecenter"/>
              <w:wordWrap w:val="0"/>
            </w:pPr>
            <w:r>
              <w:rPr>
                <w:rFonts w:hint="eastAsia"/>
              </w:rPr>
              <w:t>净值增长率①</w:t>
            </w:r>
          </w:p>
        </w:tc>
        <w:tc>
          <w:tcPr>
            <w:tcW w:w="713" w:type="pct"/>
            <w:tcBorders>
              <w:top w:val="single" w:sz="8" w:space="0" w:color="000000"/>
              <w:left w:val="single" w:sz="8" w:space="0" w:color="000000"/>
              <w:bottom w:val="single" w:sz="6" w:space="0" w:color="000000"/>
              <w:right w:val="single" w:sz="8" w:space="0" w:color="000000"/>
            </w:tcBorders>
            <w:vAlign w:val="center"/>
          </w:tcPr>
          <w:p w14:paraId="52782EC6" w14:textId="77777777" w:rsidR="0069510E" w:rsidRDefault="00000000">
            <w:pPr>
              <w:pStyle w:val="biaogecenter"/>
              <w:wordWrap w:val="0"/>
            </w:pPr>
            <w:r>
              <w:rPr>
                <w:rFonts w:hint="eastAsia"/>
              </w:rPr>
              <w:t>净值增长率标准差②</w:t>
            </w:r>
          </w:p>
        </w:tc>
        <w:tc>
          <w:tcPr>
            <w:tcW w:w="641" w:type="pct"/>
            <w:tcBorders>
              <w:top w:val="single" w:sz="8" w:space="0" w:color="000000"/>
              <w:left w:val="single" w:sz="8" w:space="0" w:color="000000"/>
              <w:bottom w:val="single" w:sz="6" w:space="0" w:color="000000"/>
              <w:right w:val="single" w:sz="8" w:space="0" w:color="000000"/>
            </w:tcBorders>
            <w:vAlign w:val="center"/>
          </w:tcPr>
          <w:p w14:paraId="67A735C6" w14:textId="77777777" w:rsidR="0069510E" w:rsidRDefault="00000000">
            <w:pPr>
              <w:pStyle w:val="biaogecenter"/>
              <w:wordWrap w:val="0"/>
            </w:pPr>
            <w:r>
              <w:rPr>
                <w:rFonts w:hint="eastAsia"/>
              </w:rPr>
              <w:t>业绩比较基准收益率③</w:t>
            </w:r>
          </w:p>
        </w:tc>
        <w:tc>
          <w:tcPr>
            <w:tcW w:w="846" w:type="pct"/>
            <w:tcBorders>
              <w:top w:val="single" w:sz="8" w:space="0" w:color="000000"/>
              <w:left w:val="single" w:sz="8" w:space="0" w:color="000000"/>
              <w:bottom w:val="single" w:sz="6" w:space="0" w:color="000000"/>
              <w:right w:val="single" w:sz="8" w:space="0" w:color="000000"/>
            </w:tcBorders>
            <w:vAlign w:val="center"/>
          </w:tcPr>
          <w:p w14:paraId="14C6D096" w14:textId="77777777" w:rsidR="0069510E" w:rsidRDefault="00000000">
            <w:pPr>
              <w:pStyle w:val="biaogecenter"/>
              <w:wordWrap w:val="0"/>
            </w:pPr>
            <w:r>
              <w:rPr>
                <w:rFonts w:hint="eastAsia"/>
              </w:rPr>
              <w:t>业绩比较基准收益率标准差④</w:t>
            </w:r>
          </w:p>
        </w:tc>
        <w:tc>
          <w:tcPr>
            <w:tcW w:w="688" w:type="pct"/>
            <w:tcBorders>
              <w:top w:val="single" w:sz="8" w:space="0" w:color="000000"/>
              <w:left w:val="single" w:sz="8" w:space="0" w:color="000000"/>
              <w:bottom w:val="single" w:sz="6" w:space="0" w:color="000000"/>
              <w:right w:val="single" w:sz="8" w:space="0" w:color="000000"/>
            </w:tcBorders>
            <w:vAlign w:val="center"/>
          </w:tcPr>
          <w:p w14:paraId="2A3CD44C" w14:textId="77777777" w:rsidR="0069510E" w:rsidRDefault="00000000">
            <w:pPr>
              <w:pStyle w:val="biaogecenter"/>
              <w:wordWrap w:val="0"/>
            </w:pPr>
            <w:r>
              <w:rPr>
                <w:rFonts w:hint="eastAsia"/>
              </w:rPr>
              <w:t>①-③</w:t>
            </w:r>
          </w:p>
        </w:tc>
        <w:tc>
          <w:tcPr>
            <w:tcW w:w="685" w:type="pct"/>
            <w:tcBorders>
              <w:top w:val="single" w:sz="8" w:space="0" w:color="000000"/>
              <w:left w:val="single" w:sz="8" w:space="0" w:color="000000"/>
              <w:bottom w:val="single" w:sz="6" w:space="0" w:color="000000"/>
              <w:right w:val="single" w:sz="8" w:space="0" w:color="000000"/>
            </w:tcBorders>
            <w:vAlign w:val="center"/>
          </w:tcPr>
          <w:p w14:paraId="7AA93E39" w14:textId="77777777" w:rsidR="0069510E" w:rsidRDefault="00000000">
            <w:pPr>
              <w:pStyle w:val="biaogecenter"/>
              <w:wordWrap w:val="0"/>
            </w:pPr>
            <w:r>
              <w:rPr>
                <w:rFonts w:hint="eastAsia"/>
              </w:rPr>
              <w:t>②-④</w:t>
            </w:r>
          </w:p>
        </w:tc>
      </w:tr>
      <w:tr w:rsidR="0069510E" w14:paraId="57F4E662" w14:textId="77777777">
        <w:trPr>
          <w:jc w:val="center"/>
        </w:trPr>
        <w:tc>
          <w:tcPr>
            <w:tcW w:w="731" w:type="pct"/>
            <w:tcBorders>
              <w:top w:val="single" w:sz="8" w:space="0" w:color="000000"/>
              <w:left w:val="single" w:sz="8" w:space="0" w:color="000000"/>
              <w:bottom w:val="single" w:sz="6" w:space="0" w:color="000000"/>
              <w:right w:val="single" w:sz="8" w:space="0" w:color="000000"/>
            </w:tcBorders>
            <w:vAlign w:val="center"/>
          </w:tcPr>
          <w:p w14:paraId="28040DF2" w14:textId="77777777" w:rsidR="0069510E" w:rsidRDefault="00000000">
            <w:pPr>
              <w:pStyle w:val="biaogeleft"/>
              <w:wordWrap w:val="0"/>
            </w:pPr>
            <w:r>
              <w:rPr>
                <w:rFonts w:hint="eastAsia"/>
                <w:color w:val="000000"/>
                <w:sz w:val="21"/>
                <w:szCs w:val="21"/>
              </w:rPr>
              <w:t>2021.06.18~2021.12.31</w:t>
            </w:r>
          </w:p>
        </w:tc>
        <w:tc>
          <w:tcPr>
            <w:tcW w:w="696" w:type="pct"/>
            <w:tcBorders>
              <w:top w:val="single" w:sz="8" w:space="0" w:color="000000"/>
              <w:left w:val="single" w:sz="8" w:space="0" w:color="000000"/>
              <w:bottom w:val="single" w:sz="6" w:space="0" w:color="000000"/>
              <w:right w:val="single" w:sz="8" w:space="0" w:color="000000"/>
            </w:tcBorders>
            <w:vAlign w:val="center"/>
          </w:tcPr>
          <w:p w14:paraId="3E97C200" w14:textId="77777777" w:rsidR="0069510E" w:rsidRDefault="00000000">
            <w:pPr>
              <w:pStyle w:val="biaogecenter"/>
              <w:wordWrap w:val="0"/>
            </w:pPr>
            <w:r>
              <w:rPr>
                <w:rFonts w:hint="eastAsia"/>
              </w:rPr>
              <w:t>-2.11%</w:t>
            </w:r>
          </w:p>
        </w:tc>
        <w:tc>
          <w:tcPr>
            <w:tcW w:w="713" w:type="pct"/>
            <w:tcBorders>
              <w:top w:val="single" w:sz="8" w:space="0" w:color="000000"/>
              <w:left w:val="single" w:sz="8" w:space="0" w:color="000000"/>
              <w:bottom w:val="single" w:sz="6" w:space="0" w:color="000000"/>
              <w:right w:val="single" w:sz="8" w:space="0" w:color="000000"/>
            </w:tcBorders>
            <w:vAlign w:val="center"/>
          </w:tcPr>
          <w:p w14:paraId="5EFA3F9B" w14:textId="77777777" w:rsidR="0069510E" w:rsidRDefault="00000000">
            <w:pPr>
              <w:pStyle w:val="biaogecenter"/>
              <w:wordWrap w:val="0"/>
            </w:pPr>
            <w:r>
              <w:rPr>
                <w:rFonts w:hint="eastAsia"/>
              </w:rPr>
              <w:t>1.13%</w:t>
            </w:r>
          </w:p>
        </w:tc>
        <w:tc>
          <w:tcPr>
            <w:tcW w:w="641" w:type="pct"/>
            <w:tcBorders>
              <w:top w:val="single" w:sz="8" w:space="0" w:color="000000"/>
              <w:left w:val="single" w:sz="8" w:space="0" w:color="000000"/>
              <w:bottom w:val="single" w:sz="6" w:space="0" w:color="000000"/>
              <w:right w:val="single" w:sz="8" w:space="0" w:color="000000"/>
            </w:tcBorders>
            <w:vAlign w:val="center"/>
          </w:tcPr>
          <w:p w14:paraId="416713B2" w14:textId="77777777" w:rsidR="0069510E" w:rsidRDefault="00000000">
            <w:pPr>
              <w:pStyle w:val="biaogecenter"/>
              <w:wordWrap w:val="0"/>
            </w:pPr>
            <w:r>
              <w:rPr>
                <w:rFonts w:hint="eastAsia"/>
              </w:rPr>
              <w:t>-1.61%</w:t>
            </w:r>
          </w:p>
        </w:tc>
        <w:tc>
          <w:tcPr>
            <w:tcW w:w="846" w:type="pct"/>
            <w:tcBorders>
              <w:top w:val="single" w:sz="8" w:space="0" w:color="000000"/>
              <w:left w:val="single" w:sz="8" w:space="0" w:color="000000"/>
              <w:bottom w:val="single" w:sz="6" w:space="0" w:color="000000"/>
              <w:right w:val="single" w:sz="8" w:space="0" w:color="000000"/>
            </w:tcBorders>
            <w:vAlign w:val="center"/>
          </w:tcPr>
          <w:p w14:paraId="2A6B6D34" w14:textId="77777777" w:rsidR="0069510E" w:rsidRDefault="00000000">
            <w:pPr>
              <w:pStyle w:val="biaogecenter"/>
              <w:wordWrap w:val="0"/>
            </w:pPr>
            <w:r>
              <w:rPr>
                <w:rFonts w:hint="eastAsia"/>
              </w:rPr>
              <w:t>0.70%</w:t>
            </w:r>
          </w:p>
        </w:tc>
        <w:tc>
          <w:tcPr>
            <w:tcW w:w="688" w:type="pct"/>
            <w:tcBorders>
              <w:top w:val="single" w:sz="8" w:space="0" w:color="000000"/>
              <w:left w:val="single" w:sz="8" w:space="0" w:color="000000"/>
              <w:bottom w:val="single" w:sz="6" w:space="0" w:color="000000"/>
              <w:right w:val="single" w:sz="8" w:space="0" w:color="000000"/>
            </w:tcBorders>
            <w:vAlign w:val="center"/>
          </w:tcPr>
          <w:p w14:paraId="7649400D" w14:textId="77777777" w:rsidR="0069510E" w:rsidRDefault="00000000">
            <w:pPr>
              <w:pStyle w:val="biaogecenter"/>
              <w:wordWrap w:val="0"/>
            </w:pPr>
            <w:r>
              <w:rPr>
                <w:rFonts w:hint="eastAsia"/>
              </w:rPr>
              <w:t>-0.50%</w:t>
            </w:r>
          </w:p>
        </w:tc>
        <w:tc>
          <w:tcPr>
            <w:tcW w:w="685" w:type="pct"/>
            <w:tcBorders>
              <w:top w:val="single" w:sz="8" w:space="0" w:color="000000"/>
              <w:left w:val="single" w:sz="8" w:space="0" w:color="000000"/>
              <w:bottom w:val="single" w:sz="6" w:space="0" w:color="000000"/>
              <w:right w:val="single" w:sz="8" w:space="0" w:color="000000"/>
            </w:tcBorders>
            <w:vAlign w:val="center"/>
          </w:tcPr>
          <w:p w14:paraId="732B1C98" w14:textId="77777777" w:rsidR="0069510E" w:rsidRDefault="00000000">
            <w:pPr>
              <w:pStyle w:val="biaogecenter"/>
              <w:wordWrap w:val="0"/>
            </w:pPr>
            <w:r>
              <w:rPr>
                <w:rFonts w:hint="eastAsia"/>
              </w:rPr>
              <w:t>0.43%</w:t>
            </w:r>
          </w:p>
        </w:tc>
      </w:tr>
      <w:tr w:rsidR="0069510E" w14:paraId="5176A5D8" w14:textId="77777777">
        <w:trPr>
          <w:jc w:val="center"/>
        </w:trPr>
        <w:tc>
          <w:tcPr>
            <w:tcW w:w="731" w:type="pct"/>
            <w:tcBorders>
              <w:top w:val="single" w:sz="8" w:space="0" w:color="000000"/>
              <w:left w:val="single" w:sz="8" w:space="0" w:color="000000"/>
              <w:bottom w:val="single" w:sz="6" w:space="0" w:color="000000"/>
              <w:right w:val="single" w:sz="8" w:space="0" w:color="000000"/>
            </w:tcBorders>
            <w:vAlign w:val="center"/>
          </w:tcPr>
          <w:p w14:paraId="69371E7B" w14:textId="77777777" w:rsidR="0069510E" w:rsidRDefault="00000000">
            <w:pPr>
              <w:pStyle w:val="biaogeleft"/>
              <w:wordWrap w:val="0"/>
            </w:pPr>
            <w:r>
              <w:rPr>
                <w:rFonts w:hint="eastAsia"/>
                <w:color w:val="000000"/>
                <w:sz w:val="21"/>
                <w:szCs w:val="21"/>
              </w:rPr>
              <w:t>2022.01.01~2022.12.31</w:t>
            </w:r>
          </w:p>
        </w:tc>
        <w:tc>
          <w:tcPr>
            <w:tcW w:w="696" w:type="pct"/>
            <w:tcBorders>
              <w:top w:val="single" w:sz="8" w:space="0" w:color="000000"/>
              <w:left w:val="single" w:sz="8" w:space="0" w:color="000000"/>
              <w:bottom w:val="single" w:sz="6" w:space="0" w:color="000000"/>
              <w:right w:val="single" w:sz="8" w:space="0" w:color="000000"/>
            </w:tcBorders>
            <w:vAlign w:val="center"/>
          </w:tcPr>
          <w:p w14:paraId="02994F92" w14:textId="77777777" w:rsidR="0069510E" w:rsidRDefault="00000000">
            <w:pPr>
              <w:pStyle w:val="biaogecenter"/>
              <w:wordWrap w:val="0"/>
            </w:pPr>
            <w:r>
              <w:rPr>
                <w:rFonts w:hAnsi="等线"/>
                <w:color w:val="000000"/>
              </w:rPr>
              <w:t>-11.33%</w:t>
            </w:r>
          </w:p>
        </w:tc>
        <w:tc>
          <w:tcPr>
            <w:tcW w:w="713" w:type="pct"/>
            <w:tcBorders>
              <w:top w:val="single" w:sz="8" w:space="0" w:color="000000"/>
              <w:left w:val="single" w:sz="8" w:space="0" w:color="000000"/>
              <w:bottom w:val="single" w:sz="6" w:space="0" w:color="000000"/>
              <w:right w:val="single" w:sz="8" w:space="0" w:color="000000"/>
            </w:tcBorders>
            <w:vAlign w:val="center"/>
          </w:tcPr>
          <w:p w14:paraId="4E8E4351" w14:textId="77777777" w:rsidR="0069510E" w:rsidRDefault="00000000">
            <w:pPr>
              <w:pStyle w:val="biaogecenter"/>
              <w:wordWrap w:val="0"/>
            </w:pPr>
            <w:r>
              <w:rPr>
                <w:rFonts w:hAnsi="等线"/>
                <w:color w:val="000000"/>
              </w:rPr>
              <w:t>1.28%</w:t>
            </w:r>
          </w:p>
        </w:tc>
        <w:tc>
          <w:tcPr>
            <w:tcW w:w="641" w:type="pct"/>
            <w:tcBorders>
              <w:top w:val="single" w:sz="8" w:space="0" w:color="000000"/>
              <w:left w:val="single" w:sz="8" w:space="0" w:color="000000"/>
              <w:bottom w:val="single" w:sz="6" w:space="0" w:color="000000"/>
              <w:right w:val="single" w:sz="8" w:space="0" w:color="000000"/>
            </w:tcBorders>
            <w:vAlign w:val="center"/>
          </w:tcPr>
          <w:p w14:paraId="42B96BDF" w14:textId="77777777" w:rsidR="0069510E" w:rsidRDefault="00000000">
            <w:pPr>
              <w:pStyle w:val="biaogecenter"/>
              <w:wordWrap w:val="0"/>
            </w:pPr>
            <w:r>
              <w:rPr>
                <w:rFonts w:hAnsi="等线"/>
                <w:color w:val="000000"/>
              </w:rPr>
              <w:t>-15.20%</w:t>
            </w:r>
          </w:p>
        </w:tc>
        <w:tc>
          <w:tcPr>
            <w:tcW w:w="846" w:type="pct"/>
            <w:tcBorders>
              <w:top w:val="single" w:sz="8" w:space="0" w:color="000000"/>
              <w:left w:val="single" w:sz="8" w:space="0" w:color="000000"/>
              <w:bottom w:val="single" w:sz="6" w:space="0" w:color="000000"/>
              <w:right w:val="single" w:sz="8" w:space="0" w:color="000000"/>
            </w:tcBorders>
            <w:vAlign w:val="center"/>
          </w:tcPr>
          <w:p w14:paraId="5E6C14A4" w14:textId="77777777" w:rsidR="0069510E" w:rsidRDefault="00000000">
            <w:pPr>
              <w:pStyle w:val="biaogecenter"/>
              <w:wordWrap w:val="0"/>
            </w:pPr>
            <w:r>
              <w:rPr>
                <w:rFonts w:hAnsi="等线"/>
                <w:color w:val="000000"/>
              </w:rPr>
              <w:t>0.90%</w:t>
            </w:r>
          </w:p>
        </w:tc>
        <w:tc>
          <w:tcPr>
            <w:tcW w:w="688" w:type="pct"/>
            <w:tcBorders>
              <w:top w:val="single" w:sz="8" w:space="0" w:color="000000"/>
              <w:left w:val="single" w:sz="8" w:space="0" w:color="000000"/>
              <w:bottom w:val="single" w:sz="6" w:space="0" w:color="000000"/>
              <w:right w:val="single" w:sz="8" w:space="0" w:color="000000"/>
            </w:tcBorders>
            <w:vAlign w:val="center"/>
          </w:tcPr>
          <w:p w14:paraId="7360AE1E" w14:textId="77777777" w:rsidR="0069510E" w:rsidRDefault="00000000">
            <w:pPr>
              <w:pStyle w:val="biaogecenter"/>
              <w:wordWrap w:val="0"/>
            </w:pPr>
            <w:r>
              <w:rPr>
                <w:rFonts w:hAnsi="等线"/>
                <w:color w:val="000000"/>
              </w:rPr>
              <w:t>3.87%</w:t>
            </w:r>
          </w:p>
        </w:tc>
        <w:tc>
          <w:tcPr>
            <w:tcW w:w="685" w:type="pct"/>
            <w:tcBorders>
              <w:top w:val="single" w:sz="8" w:space="0" w:color="000000"/>
              <w:left w:val="single" w:sz="8" w:space="0" w:color="000000"/>
              <w:bottom w:val="single" w:sz="6" w:space="0" w:color="000000"/>
              <w:right w:val="single" w:sz="8" w:space="0" w:color="000000"/>
            </w:tcBorders>
            <w:vAlign w:val="center"/>
          </w:tcPr>
          <w:p w14:paraId="5F04AD3B" w14:textId="77777777" w:rsidR="0069510E" w:rsidRDefault="00000000">
            <w:pPr>
              <w:pStyle w:val="biaogecenter"/>
              <w:wordWrap w:val="0"/>
            </w:pPr>
            <w:r>
              <w:rPr>
                <w:rFonts w:hAnsi="等线"/>
                <w:color w:val="000000"/>
              </w:rPr>
              <w:t>0.38%</w:t>
            </w:r>
          </w:p>
        </w:tc>
      </w:tr>
      <w:tr w:rsidR="0069510E" w14:paraId="4023200D" w14:textId="77777777">
        <w:trPr>
          <w:jc w:val="center"/>
        </w:trPr>
        <w:tc>
          <w:tcPr>
            <w:tcW w:w="731" w:type="pct"/>
            <w:tcBorders>
              <w:top w:val="single" w:sz="8" w:space="0" w:color="000000"/>
              <w:left w:val="single" w:sz="8" w:space="0" w:color="000000"/>
              <w:bottom w:val="single" w:sz="6" w:space="0" w:color="000000"/>
              <w:right w:val="single" w:sz="8" w:space="0" w:color="000000"/>
            </w:tcBorders>
            <w:vAlign w:val="center"/>
          </w:tcPr>
          <w:p w14:paraId="4FC54182" w14:textId="77777777" w:rsidR="0069510E" w:rsidRDefault="00000000">
            <w:pPr>
              <w:pStyle w:val="biaogeleft"/>
              <w:wordWrap w:val="0"/>
              <w:rPr>
                <w:color w:val="000000"/>
                <w:sz w:val="21"/>
                <w:szCs w:val="21"/>
              </w:rPr>
            </w:pPr>
            <w:r>
              <w:rPr>
                <w:rFonts w:hint="eastAsia"/>
                <w:color w:val="000000"/>
                <w:sz w:val="21"/>
                <w:szCs w:val="21"/>
              </w:rPr>
              <w:t>2023.01.01~2023.12.31</w:t>
            </w:r>
          </w:p>
        </w:tc>
        <w:tc>
          <w:tcPr>
            <w:tcW w:w="696" w:type="pct"/>
            <w:tcBorders>
              <w:top w:val="single" w:sz="8" w:space="0" w:color="000000"/>
              <w:left w:val="single" w:sz="8" w:space="0" w:color="000000"/>
              <w:bottom w:val="single" w:sz="6" w:space="0" w:color="000000"/>
              <w:right w:val="single" w:sz="8" w:space="0" w:color="000000"/>
            </w:tcBorders>
            <w:vAlign w:val="center"/>
          </w:tcPr>
          <w:p w14:paraId="5D6F0399" w14:textId="77777777" w:rsidR="0069510E" w:rsidRDefault="00000000">
            <w:pPr>
              <w:pStyle w:val="biaogecenter"/>
              <w:wordWrap w:val="0"/>
              <w:rPr>
                <w:rFonts w:hAnsi="等线"/>
                <w:color w:val="000000"/>
              </w:rPr>
            </w:pPr>
            <w:r>
              <w:rPr>
                <w:rFonts w:hAnsi="等线"/>
                <w:color w:val="000000"/>
              </w:rPr>
              <w:t>-14.05%</w:t>
            </w:r>
          </w:p>
        </w:tc>
        <w:tc>
          <w:tcPr>
            <w:tcW w:w="713" w:type="pct"/>
            <w:tcBorders>
              <w:top w:val="single" w:sz="8" w:space="0" w:color="000000"/>
              <w:left w:val="single" w:sz="8" w:space="0" w:color="000000"/>
              <w:bottom w:val="single" w:sz="6" w:space="0" w:color="000000"/>
              <w:right w:val="single" w:sz="8" w:space="0" w:color="000000"/>
            </w:tcBorders>
            <w:vAlign w:val="center"/>
          </w:tcPr>
          <w:p w14:paraId="06E9E997" w14:textId="77777777" w:rsidR="0069510E" w:rsidRDefault="00000000">
            <w:pPr>
              <w:pStyle w:val="biaogecenter"/>
              <w:wordWrap w:val="0"/>
              <w:rPr>
                <w:rFonts w:hAnsi="等线"/>
                <w:color w:val="000000"/>
              </w:rPr>
            </w:pPr>
            <w:r>
              <w:rPr>
                <w:rFonts w:hAnsi="等线"/>
                <w:color w:val="000000"/>
              </w:rPr>
              <w:t>0.93%</w:t>
            </w:r>
          </w:p>
        </w:tc>
        <w:tc>
          <w:tcPr>
            <w:tcW w:w="641" w:type="pct"/>
            <w:tcBorders>
              <w:top w:val="single" w:sz="8" w:space="0" w:color="000000"/>
              <w:left w:val="single" w:sz="8" w:space="0" w:color="000000"/>
              <w:bottom w:val="single" w:sz="6" w:space="0" w:color="000000"/>
              <w:right w:val="single" w:sz="8" w:space="0" w:color="000000"/>
            </w:tcBorders>
            <w:vAlign w:val="center"/>
          </w:tcPr>
          <w:p w14:paraId="56B2F3A3" w14:textId="77777777" w:rsidR="0069510E" w:rsidRDefault="00000000">
            <w:pPr>
              <w:pStyle w:val="biaogecenter"/>
              <w:wordWrap w:val="0"/>
              <w:rPr>
                <w:rFonts w:hAnsi="等线"/>
                <w:color w:val="000000"/>
              </w:rPr>
            </w:pPr>
            <w:r>
              <w:rPr>
                <w:rFonts w:hAnsi="等线"/>
                <w:color w:val="000000"/>
              </w:rPr>
              <w:t>-8.01%</w:t>
            </w:r>
          </w:p>
        </w:tc>
        <w:tc>
          <w:tcPr>
            <w:tcW w:w="846" w:type="pct"/>
            <w:tcBorders>
              <w:top w:val="single" w:sz="8" w:space="0" w:color="000000"/>
              <w:left w:val="single" w:sz="8" w:space="0" w:color="000000"/>
              <w:bottom w:val="single" w:sz="6" w:space="0" w:color="000000"/>
              <w:right w:val="single" w:sz="8" w:space="0" w:color="000000"/>
            </w:tcBorders>
            <w:vAlign w:val="center"/>
          </w:tcPr>
          <w:p w14:paraId="2A398D62" w14:textId="77777777" w:rsidR="0069510E" w:rsidRDefault="00000000">
            <w:pPr>
              <w:pStyle w:val="biaogecenter"/>
              <w:wordWrap w:val="0"/>
              <w:rPr>
                <w:rFonts w:hAnsi="等线"/>
                <w:color w:val="000000"/>
              </w:rPr>
            </w:pPr>
            <w:r>
              <w:rPr>
                <w:rFonts w:hAnsi="等线"/>
                <w:color w:val="000000"/>
              </w:rPr>
              <w:t>0.62%</w:t>
            </w:r>
          </w:p>
        </w:tc>
        <w:tc>
          <w:tcPr>
            <w:tcW w:w="688" w:type="pct"/>
            <w:tcBorders>
              <w:top w:val="single" w:sz="8" w:space="0" w:color="000000"/>
              <w:left w:val="single" w:sz="8" w:space="0" w:color="000000"/>
              <w:bottom w:val="single" w:sz="6" w:space="0" w:color="000000"/>
              <w:right w:val="single" w:sz="8" w:space="0" w:color="000000"/>
            </w:tcBorders>
            <w:vAlign w:val="center"/>
          </w:tcPr>
          <w:p w14:paraId="7CF1A1EB" w14:textId="77777777" w:rsidR="0069510E" w:rsidRDefault="00000000">
            <w:pPr>
              <w:pStyle w:val="biaogecenter"/>
              <w:wordWrap w:val="0"/>
              <w:rPr>
                <w:rFonts w:hAnsi="等线"/>
                <w:color w:val="000000"/>
              </w:rPr>
            </w:pPr>
            <w:r>
              <w:rPr>
                <w:rFonts w:hAnsi="等线"/>
                <w:color w:val="000000"/>
              </w:rPr>
              <w:t>-6.04%</w:t>
            </w:r>
          </w:p>
        </w:tc>
        <w:tc>
          <w:tcPr>
            <w:tcW w:w="685" w:type="pct"/>
            <w:tcBorders>
              <w:top w:val="single" w:sz="8" w:space="0" w:color="000000"/>
              <w:left w:val="single" w:sz="8" w:space="0" w:color="000000"/>
              <w:bottom w:val="single" w:sz="6" w:space="0" w:color="000000"/>
              <w:right w:val="single" w:sz="8" w:space="0" w:color="000000"/>
            </w:tcBorders>
            <w:vAlign w:val="center"/>
          </w:tcPr>
          <w:p w14:paraId="5CDDB2D9" w14:textId="77777777" w:rsidR="0069510E" w:rsidRDefault="00000000">
            <w:pPr>
              <w:pStyle w:val="biaogecenter"/>
              <w:wordWrap w:val="0"/>
              <w:rPr>
                <w:rFonts w:hAnsi="等线"/>
                <w:color w:val="000000"/>
              </w:rPr>
            </w:pPr>
            <w:r>
              <w:rPr>
                <w:rFonts w:hAnsi="等线"/>
                <w:color w:val="000000"/>
              </w:rPr>
              <w:t>0.31%</w:t>
            </w:r>
          </w:p>
        </w:tc>
      </w:tr>
      <w:tr w:rsidR="0069510E" w14:paraId="5C686984" w14:textId="77777777">
        <w:trPr>
          <w:jc w:val="center"/>
        </w:trPr>
        <w:tc>
          <w:tcPr>
            <w:tcW w:w="731" w:type="pct"/>
            <w:tcBorders>
              <w:top w:val="single" w:sz="8" w:space="0" w:color="000000"/>
              <w:left w:val="single" w:sz="8" w:space="0" w:color="000000"/>
              <w:bottom w:val="single" w:sz="6" w:space="0" w:color="000000"/>
              <w:right w:val="single" w:sz="8" w:space="0" w:color="000000"/>
            </w:tcBorders>
            <w:vAlign w:val="center"/>
          </w:tcPr>
          <w:p w14:paraId="1E9157CF" w14:textId="77777777" w:rsidR="0069510E" w:rsidRDefault="00000000">
            <w:pPr>
              <w:pStyle w:val="biaogeleft"/>
              <w:wordWrap w:val="0"/>
              <w:rPr>
                <w:color w:val="000000"/>
                <w:sz w:val="21"/>
                <w:szCs w:val="21"/>
              </w:rPr>
            </w:pPr>
            <w:r>
              <w:rPr>
                <w:rFonts w:hint="eastAsia"/>
                <w:color w:val="000000"/>
                <w:sz w:val="21"/>
                <w:szCs w:val="21"/>
              </w:rPr>
              <w:t>2024.01.01~2024.03.31</w:t>
            </w:r>
          </w:p>
        </w:tc>
        <w:tc>
          <w:tcPr>
            <w:tcW w:w="696" w:type="pct"/>
            <w:tcBorders>
              <w:top w:val="single" w:sz="8" w:space="0" w:color="000000"/>
              <w:left w:val="single" w:sz="8" w:space="0" w:color="000000"/>
              <w:bottom w:val="single" w:sz="6" w:space="0" w:color="000000"/>
              <w:right w:val="single" w:sz="8" w:space="0" w:color="000000"/>
            </w:tcBorders>
            <w:vAlign w:val="center"/>
          </w:tcPr>
          <w:p w14:paraId="48E265CF" w14:textId="77777777" w:rsidR="0069510E" w:rsidRDefault="00000000">
            <w:pPr>
              <w:pStyle w:val="biaogecenter"/>
              <w:wordWrap w:val="0"/>
              <w:rPr>
                <w:rFonts w:hAnsi="等线"/>
                <w:color w:val="000000"/>
              </w:rPr>
            </w:pPr>
            <w:r>
              <w:rPr>
                <w:rFonts w:hAnsi="等线"/>
                <w:color w:val="000000"/>
              </w:rPr>
              <w:t>1.62%</w:t>
            </w:r>
          </w:p>
        </w:tc>
        <w:tc>
          <w:tcPr>
            <w:tcW w:w="713" w:type="pct"/>
            <w:tcBorders>
              <w:top w:val="single" w:sz="8" w:space="0" w:color="000000"/>
              <w:left w:val="single" w:sz="8" w:space="0" w:color="000000"/>
              <w:bottom w:val="single" w:sz="6" w:space="0" w:color="000000"/>
              <w:right w:val="single" w:sz="8" w:space="0" w:color="000000"/>
            </w:tcBorders>
            <w:vAlign w:val="center"/>
          </w:tcPr>
          <w:p w14:paraId="30688639" w14:textId="77777777" w:rsidR="0069510E" w:rsidRDefault="00000000">
            <w:pPr>
              <w:pStyle w:val="biaogecenter"/>
              <w:wordWrap w:val="0"/>
              <w:rPr>
                <w:rFonts w:hAnsi="等线"/>
                <w:color w:val="000000"/>
              </w:rPr>
            </w:pPr>
            <w:r>
              <w:rPr>
                <w:rFonts w:hAnsi="等线"/>
                <w:color w:val="000000"/>
              </w:rPr>
              <w:t>1.03%</w:t>
            </w:r>
          </w:p>
        </w:tc>
        <w:tc>
          <w:tcPr>
            <w:tcW w:w="641" w:type="pct"/>
            <w:tcBorders>
              <w:top w:val="single" w:sz="8" w:space="0" w:color="000000"/>
              <w:left w:val="single" w:sz="8" w:space="0" w:color="000000"/>
              <w:bottom w:val="single" w:sz="6" w:space="0" w:color="000000"/>
              <w:right w:val="single" w:sz="8" w:space="0" w:color="000000"/>
            </w:tcBorders>
            <w:vAlign w:val="center"/>
          </w:tcPr>
          <w:p w14:paraId="34F2123F" w14:textId="77777777" w:rsidR="0069510E" w:rsidRDefault="00000000">
            <w:pPr>
              <w:pStyle w:val="biaogecenter"/>
              <w:wordWrap w:val="0"/>
              <w:rPr>
                <w:rFonts w:hAnsi="等线"/>
                <w:color w:val="000000"/>
              </w:rPr>
            </w:pPr>
            <w:r>
              <w:rPr>
                <w:rFonts w:hAnsi="等线"/>
                <w:color w:val="000000"/>
              </w:rPr>
              <w:t>2.64%</w:t>
            </w:r>
          </w:p>
        </w:tc>
        <w:tc>
          <w:tcPr>
            <w:tcW w:w="846" w:type="pct"/>
            <w:tcBorders>
              <w:top w:val="single" w:sz="8" w:space="0" w:color="000000"/>
              <w:left w:val="single" w:sz="8" w:space="0" w:color="000000"/>
              <w:bottom w:val="single" w:sz="6" w:space="0" w:color="000000"/>
              <w:right w:val="single" w:sz="8" w:space="0" w:color="000000"/>
            </w:tcBorders>
            <w:vAlign w:val="center"/>
          </w:tcPr>
          <w:p w14:paraId="45B2D70C" w14:textId="77777777" w:rsidR="0069510E" w:rsidRDefault="00000000">
            <w:pPr>
              <w:pStyle w:val="biaogecenter"/>
              <w:wordWrap w:val="0"/>
              <w:rPr>
                <w:rFonts w:hAnsi="等线"/>
                <w:color w:val="000000"/>
              </w:rPr>
            </w:pPr>
            <w:r>
              <w:rPr>
                <w:rFonts w:hAnsi="等线"/>
                <w:color w:val="000000"/>
              </w:rPr>
              <w:t>0.72%</w:t>
            </w:r>
          </w:p>
        </w:tc>
        <w:tc>
          <w:tcPr>
            <w:tcW w:w="688" w:type="pct"/>
            <w:tcBorders>
              <w:top w:val="single" w:sz="8" w:space="0" w:color="000000"/>
              <w:left w:val="single" w:sz="8" w:space="0" w:color="000000"/>
              <w:bottom w:val="single" w:sz="6" w:space="0" w:color="000000"/>
              <w:right w:val="single" w:sz="8" w:space="0" w:color="000000"/>
            </w:tcBorders>
            <w:vAlign w:val="center"/>
          </w:tcPr>
          <w:p w14:paraId="78F0D13B" w14:textId="77777777" w:rsidR="0069510E" w:rsidRDefault="00000000">
            <w:pPr>
              <w:pStyle w:val="biaogecenter"/>
              <w:wordWrap w:val="0"/>
              <w:rPr>
                <w:rFonts w:hAnsi="等线"/>
                <w:color w:val="000000"/>
              </w:rPr>
            </w:pPr>
            <w:r>
              <w:rPr>
                <w:rFonts w:hAnsi="等线"/>
                <w:color w:val="000000"/>
              </w:rPr>
              <w:t>-1.02%</w:t>
            </w:r>
          </w:p>
        </w:tc>
        <w:tc>
          <w:tcPr>
            <w:tcW w:w="685" w:type="pct"/>
            <w:tcBorders>
              <w:top w:val="single" w:sz="8" w:space="0" w:color="000000"/>
              <w:left w:val="single" w:sz="8" w:space="0" w:color="000000"/>
              <w:bottom w:val="single" w:sz="6" w:space="0" w:color="000000"/>
              <w:right w:val="single" w:sz="8" w:space="0" w:color="000000"/>
            </w:tcBorders>
            <w:vAlign w:val="center"/>
          </w:tcPr>
          <w:p w14:paraId="4997B786" w14:textId="77777777" w:rsidR="0069510E" w:rsidRDefault="00000000">
            <w:pPr>
              <w:pStyle w:val="biaogecenter"/>
              <w:wordWrap w:val="0"/>
              <w:rPr>
                <w:rFonts w:hAnsi="等线"/>
                <w:color w:val="000000"/>
              </w:rPr>
            </w:pPr>
            <w:r>
              <w:rPr>
                <w:rFonts w:hAnsi="等线"/>
                <w:color w:val="000000"/>
              </w:rPr>
              <w:t>0.31%</w:t>
            </w:r>
          </w:p>
        </w:tc>
      </w:tr>
      <w:tr w:rsidR="0069510E" w14:paraId="608D1329" w14:textId="77777777" w:rsidTr="004A5EC5">
        <w:trPr>
          <w:jc w:val="center"/>
        </w:trPr>
        <w:tc>
          <w:tcPr>
            <w:tcW w:w="731" w:type="pct"/>
            <w:tcBorders>
              <w:top w:val="single" w:sz="8" w:space="0" w:color="000000"/>
              <w:left w:val="single" w:sz="8" w:space="0" w:color="000000"/>
              <w:bottom w:val="single" w:sz="6" w:space="0" w:color="000000"/>
              <w:right w:val="single" w:sz="8" w:space="0" w:color="000000"/>
            </w:tcBorders>
            <w:vAlign w:val="center"/>
          </w:tcPr>
          <w:p w14:paraId="2CA4E4FD" w14:textId="02BA1E1B" w:rsidR="0069510E" w:rsidRDefault="00000000">
            <w:pPr>
              <w:pStyle w:val="biaogeleft"/>
              <w:wordWrap w:val="0"/>
            </w:pPr>
            <w:r>
              <w:rPr>
                <w:rFonts w:hint="eastAsia"/>
              </w:rPr>
              <w:t>自基金合同生效起至今</w:t>
            </w:r>
          </w:p>
        </w:tc>
        <w:tc>
          <w:tcPr>
            <w:tcW w:w="696" w:type="pct"/>
            <w:tcBorders>
              <w:top w:val="single" w:sz="8" w:space="0" w:color="000000"/>
              <w:left w:val="single" w:sz="8" w:space="0" w:color="000000"/>
              <w:bottom w:val="single" w:sz="6" w:space="0" w:color="000000"/>
              <w:right w:val="single" w:sz="8" w:space="0" w:color="000000"/>
            </w:tcBorders>
            <w:vAlign w:val="center"/>
          </w:tcPr>
          <w:p w14:paraId="4CF1974D" w14:textId="3921A01E" w:rsidR="0069510E" w:rsidRDefault="00000000">
            <w:pPr>
              <w:pStyle w:val="biaogecenter"/>
              <w:wordWrap w:val="0"/>
            </w:pPr>
            <w:r>
              <w:t>-25.82%</w:t>
            </w:r>
          </w:p>
        </w:tc>
        <w:tc>
          <w:tcPr>
            <w:tcW w:w="713" w:type="pct"/>
            <w:tcBorders>
              <w:top w:val="single" w:sz="8" w:space="0" w:color="000000"/>
              <w:left w:val="single" w:sz="8" w:space="0" w:color="000000"/>
              <w:bottom w:val="single" w:sz="6" w:space="0" w:color="000000"/>
              <w:right w:val="single" w:sz="8" w:space="0" w:color="000000"/>
            </w:tcBorders>
            <w:vAlign w:val="center"/>
          </w:tcPr>
          <w:p w14:paraId="6B463332" w14:textId="5A08731D" w:rsidR="0069510E" w:rsidRDefault="00000000">
            <w:pPr>
              <w:pStyle w:val="biaogecenter"/>
              <w:wordWrap w:val="0"/>
            </w:pPr>
            <w:r>
              <w:t>1.11%</w:t>
            </w:r>
          </w:p>
        </w:tc>
        <w:tc>
          <w:tcPr>
            <w:tcW w:w="641" w:type="pct"/>
            <w:tcBorders>
              <w:top w:val="single" w:sz="8" w:space="0" w:color="000000"/>
              <w:left w:val="single" w:sz="8" w:space="0" w:color="000000"/>
              <w:bottom w:val="single" w:sz="6" w:space="0" w:color="000000"/>
              <w:right w:val="single" w:sz="8" w:space="0" w:color="000000"/>
            </w:tcBorders>
            <w:vAlign w:val="center"/>
          </w:tcPr>
          <w:p w14:paraId="7F26F747" w14:textId="1134F807" w:rsidR="0069510E" w:rsidRDefault="00000000">
            <w:pPr>
              <w:pStyle w:val="biaogecenter"/>
              <w:wordWrap w:val="0"/>
            </w:pPr>
            <w:r>
              <w:t>-20.67%</w:t>
            </w:r>
          </w:p>
        </w:tc>
        <w:tc>
          <w:tcPr>
            <w:tcW w:w="846" w:type="pct"/>
            <w:tcBorders>
              <w:top w:val="single" w:sz="8" w:space="0" w:color="000000"/>
              <w:left w:val="single" w:sz="8" w:space="0" w:color="000000"/>
              <w:bottom w:val="single" w:sz="6" w:space="0" w:color="000000"/>
              <w:right w:val="single" w:sz="8" w:space="0" w:color="000000"/>
            </w:tcBorders>
            <w:vAlign w:val="center"/>
          </w:tcPr>
          <w:p w14:paraId="14E95136" w14:textId="381BEBE0" w:rsidR="0069510E" w:rsidRDefault="00000000">
            <w:pPr>
              <w:pStyle w:val="biaogecenter"/>
              <w:wordWrap w:val="0"/>
            </w:pPr>
            <w:r>
              <w:t>0.74%</w:t>
            </w:r>
          </w:p>
        </w:tc>
        <w:tc>
          <w:tcPr>
            <w:tcW w:w="688" w:type="pct"/>
            <w:tcBorders>
              <w:top w:val="single" w:sz="8" w:space="0" w:color="000000"/>
              <w:left w:val="single" w:sz="8" w:space="0" w:color="000000"/>
              <w:bottom w:val="single" w:sz="6" w:space="0" w:color="000000"/>
              <w:right w:val="single" w:sz="8" w:space="0" w:color="000000"/>
            </w:tcBorders>
            <w:vAlign w:val="center"/>
          </w:tcPr>
          <w:p w14:paraId="55DD462E" w14:textId="2234C738" w:rsidR="0069510E" w:rsidRDefault="00000000">
            <w:pPr>
              <w:pStyle w:val="biaogecenter"/>
              <w:wordWrap w:val="0"/>
            </w:pPr>
            <w:r>
              <w:t>-5.15%</w:t>
            </w:r>
          </w:p>
        </w:tc>
        <w:tc>
          <w:tcPr>
            <w:tcW w:w="685" w:type="pct"/>
            <w:tcBorders>
              <w:top w:val="single" w:sz="8" w:space="0" w:color="000000"/>
              <w:left w:val="single" w:sz="8" w:space="0" w:color="000000"/>
              <w:bottom w:val="single" w:sz="6" w:space="0" w:color="000000"/>
              <w:right w:val="single" w:sz="8" w:space="0" w:color="000000"/>
            </w:tcBorders>
            <w:vAlign w:val="center"/>
          </w:tcPr>
          <w:p w14:paraId="24DA2A14" w14:textId="5DCB76D3" w:rsidR="0069510E" w:rsidRDefault="00000000">
            <w:pPr>
              <w:pStyle w:val="biaogecenter"/>
              <w:wordWrap w:val="0"/>
            </w:pPr>
            <w:r>
              <w:t>0.37%</w:t>
            </w:r>
          </w:p>
        </w:tc>
      </w:tr>
    </w:tbl>
    <w:p w14:paraId="1F24FA31" w14:textId="77777777" w:rsidR="0069510E" w:rsidRDefault="0069510E">
      <w:pPr>
        <w:spacing w:line="360" w:lineRule="auto"/>
        <w:rPr>
          <w:rFonts w:ascii="宋体" w:hAnsi="宋体"/>
          <w:bCs/>
          <w:szCs w:val="21"/>
        </w:rPr>
      </w:pPr>
    </w:p>
    <w:p w14:paraId="689EEBA9" w14:textId="77777777" w:rsidR="0069510E" w:rsidRDefault="00000000">
      <w:pPr>
        <w:spacing w:line="360" w:lineRule="auto"/>
        <w:rPr>
          <w:rFonts w:ascii="宋体" w:hAnsi="宋体"/>
          <w:bCs/>
          <w:szCs w:val="21"/>
        </w:rPr>
      </w:pPr>
      <w:r>
        <w:rPr>
          <w:rFonts w:ascii="宋体" w:hAnsi="宋体" w:hint="eastAsia"/>
          <w:bCs/>
          <w:szCs w:val="21"/>
        </w:rPr>
        <w:t>（2）</w:t>
      </w:r>
      <w:proofErr w:type="gramStart"/>
      <w:r>
        <w:rPr>
          <w:rFonts w:hint="eastAsia"/>
        </w:rPr>
        <w:t>富荣福银混合</w:t>
      </w:r>
      <w:proofErr w:type="gramEnd"/>
      <w:r>
        <w:rPr>
          <w:rFonts w:hint="eastAsia"/>
        </w:rPr>
        <w:t>C</w:t>
      </w:r>
      <w:r>
        <w:rPr>
          <w:rFonts w:ascii="宋体" w:hAnsi="宋体" w:hint="eastAsia"/>
          <w:bCs/>
          <w:szCs w:val="21"/>
        </w:rPr>
        <w:t>（</w:t>
      </w:r>
      <w:r>
        <w:rPr>
          <w:rFonts w:ascii="宋体" w:hAnsi="宋体" w:hint="eastAsia"/>
          <w:color w:val="000000"/>
          <w:kern w:val="0"/>
          <w:szCs w:val="21"/>
        </w:rPr>
        <w:t>基金代码：</w:t>
      </w:r>
      <w:r>
        <w:rPr>
          <w:rFonts w:ascii="宋体" w:hAnsi="宋体"/>
          <w:color w:val="000000"/>
          <w:kern w:val="0"/>
          <w:szCs w:val="21"/>
        </w:rPr>
        <w:t>012546</w:t>
      </w:r>
      <w:r>
        <w:rPr>
          <w:rFonts w:ascii="宋体" w:hAnsi="宋体" w:hint="eastAsia"/>
          <w:bCs/>
          <w:szCs w:val="21"/>
        </w:rPr>
        <w:t>）</w:t>
      </w:r>
    </w:p>
    <w:tbl>
      <w:tblPr>
        <w:tblW w:w="9948" w:type="dxa"/>
        <w:jc w:val="center"/>
        <w:tblLook w:val="04A0" w:firstRow="1" w:lastRow="0" w:firstColumn="1" w:lastColumn="0" w:noHBand="0" w:noVBand="1"/>
      </w:tblPr>
      <w:tblGrid>
        <w:gridCol w:w="1408"/>
        <w:gridCol w:w="1431"/>
        <w:gridCol w:w="1419"/>
        <w:gridCol w:w="1275"/>
        <w:gridCol w:w="1683"/>
        <w:gridCol w:w="1369"/>
        <w:gridCol w:w="1363"/>
      </w:tblGrid>
      <w:tr w:rsidR="0069510E" w14:paraId="11032F43" w14:textId="77777777">
        <w:trPr>
          <w:jc w:val="center"/>
        </w:trPr>
        <w:tc>
          <w:tcPr>
            <w:tcW w:w="708" w:type="pct"/>
            <w:tcBorders>
              <w:top w:val="single" w:sz="8" w:space="0" w:color="000000"/>
              <w:left w:val="single" w:sz="8" w:space="0" w:color="000000"/>
              <w:bottom w:val="single" w:sz="6" w:space="0" w:color="000000"/>
              <w:right w:val="single" w:sz="8" w:space="0" w:color="000000"/>
            </w:tcBorders>
            <w:vAlign w:val="center"/>
          </w:tcPr>
          <w:p w14:paraId="33C3A5A3" w14:textId="77777777" w:rsidR="0069510E" w:rsidRDefault="00000000">
            <w:pPr>
              <w:pStyle w:val="biaogeleft"/>
              <w:wordWrap w:val="0"/>
            </w:pPr>
            <w:r>
              <w:rPr>
                <w:rFonts w:hint="eastAsia"/>
              </w:rPr>
              <w:t>阶段</w:t>
            </w:r>
          </w:p>
        </w:tc>
        <w:tc>
          <w:tcPr>
            <w:tcW w:w="719" w:type="pct"/>
            <w:tcBorders>
              <w:top w:val="single" w:sz="8" w:space="0" w:color="000000"/>
              <w:left w:val="single" w:sz="8" w:space="0" w:color="000000"/>
              <w:bottom w:val="single" w:sz="6" w:space="0" w:color="000000"/>
              <w:right w:val="single" w:sz="8" w:space="0" w:color="000000"/>
            </w:tcBorders>
            <w:vAlign w:val="center"/>
          </w:tcPr>
          <w:p w14:paraId="73B61FA0" w14:textId="77777777" w:rsidR="0069510E" w:rsidRDefault="00000000">
            <w:pPr>
              <w:pStyle w:val="biaogecenter"/>
              <w:wordWrap w:val="0"/>
            </w:pPr>
            <w:r>
              <w:rPr>
                <w:rFonts w:hint="eastAsia"/>
              </w:rPr>
              <w:t>净值增长率①</w:t>
            </w:r>
          </w:p>
        </w:tc>
        <w:tc>
          <w:tcPr>
            <w:tcW w:w="713" w:type="pct"/>
            <w:tcBorders>
              <w:top w:val="single" w:sz="8" w:space="0" w:color="000000"/>
              <w:left w:val="single" w:sz="8" w:space="0" w:color="000000"/>
              <w:bottom w:val="single" w:sz="6" w:space="0" w:color="000000"/>
              <w:right w:val="single" w:sz="8" w:space="0" w:color="000000"/>
            </w:tcBorders>
            <w:vAlign w:val="center"/>
          </w:tcPr>
          <w:p w14:paraId="2CE82CEB" w14:textId="77777777" w:rsidR="0069510E" w:rsidRDefault="00000000">
            <w:pPr>
              <w:pStyle w:val="biaogecenter"/>
              <w:wordWrap w:val="0"/>
            </w:pPr>
            <w:r>
              <w:rPr>
                <w:rFonts w:hint="eastAsia"/>
              </w:rPr>
              <w:t>净值增长率标准差②</w:t>
            </w:r>
          </w:p>
        </w:tc>
        <w:tc>
          <w:tcPr>
            <w:tcW w:w="641" w:type="pct"/>
            <w:tcBorders>
              <w:top w:val="single" w:sz="8" w:space="0" w:color="000000"/>
              <w:left w:val="single" w:sz="8" w:space="0" w:color="000000"/>
              <w:bottom w:val="single" w:sz="6" w:space="0" w:color="000000"/>
              <w:right w:val="single" w:sz="8" w:space="0" w:color="000000"/>
            </w:tcBorders>
            <w:vAlign w:val="center"/>
          </w:tcPr>
          <w:p w14:paraId="62100D82" w14:textId="77777777" w:rsidR="0069510E" w:rsidRDefault="00000000">
            <w:pPr>
              <w:pStyle w:val="biaogecenter"/>
              <w:wordWrap w:val="0"/>
            </w:pPr>
            <w:r>
              <w:rPr>
                <w:rFonts w:hint="eastAsia"/>
              </w:rPr>
              <w:t>业绩比较基准收益率③</w:t>
            </w:r>
          </w:p>
        </w:tc>
        <w:tc>
          <w:tcPr>
            <w:tcW w:w="846" w:type="pct"/>
            <w:tcBorders>
              <w:top w:val="single" w:sz="8" w:space="0" w:color="000000"/>
              <w:left w:val="single" w:sz="8" w:space="0" w:color="000000"/>
              <w:bottom w:val="single" w:sz="6" w:space="0" w:color="000000"/>
              <w:right w:val="single" w:sz="8" w:space="0" w:color="000000"/>
            </w:tcBorders>
            <w:vAlign w:val="center"/>
          </w:tcPr>
          <w:p w14:paraId="1CE321C6" w14:textId="77777777" w:rsidR="0069510E" w:rsidRDefault="00000000">
            <w:pPr>
              <w:pStyle w:val="biaogecenter"/>
              <w:wordWrap w:val="0"/>
            </w:pPr>
            <w:r>
              <w:rPr>
                <w:rFonts w:hint="eastAsia"/>
              </w:rPr>
              <w:t>业绩比较基准收益率标准差④</w:t>
            </w:r>
          </w:p>
        </w:tc>
        <w:tc>
          <w:tcPr>
            <w:tcW w:w="688" w:type="pct"/>
            <w:tcBorders>
              <w:top w:val="single" w:sz="8" w:space="0" w:color="000000"/>
              <w:left w:val="single" w:sz="8" w:space="0" w:color="000000"/>
              <w:bottom w:val="single" w:sz="6" w:space="0" w:color="000000"/>
              <w:right w:val="single" w:sz="8" w:space="0" w:color="000000"/>
            </w:tcBorders>
            <w:vAlign w:val="center"/>
          </w:tcPr>
          <w:p w14:paraId="509371D6" w14:textId="77777777" w:rsidR="0069510E" w:rsidRDefault="00000000">
            <w:pPr>
              <w:pStyle w:val="biaogecenter"/>
              <w:wordWrap w:val="0"/>
            </w:pPr>
            <w:r>
              <w:rPr>
                <w:rFonts w:hint="eastAsia"/>
              </w:rPr>
              <w:t>①-③</w:t>
            </w:r>
          </w:p>
        </w:tc>
        <w:tc>
          <w:tcPr>
            <w:tcW w:w="685" w:type="pct"/>
            <w:tcBorders>
              <w:top w:val="single" w:sz="8" w:space="0" w:color="000000"/>
              <w:left w:val="single" w:sz="8" w:space="0" w:color="000000"/>
              <w:bottom w:val="single" w:sz="6" w:space="0" w:color="000000"/>
              <w:right w:val="single" w:sz="8" w:space="0" w:color="000000"/>
            </w:tcBorders>
            <w:vAlign w:val="center"/>
          </w:tcPr>
          <w:p w14:paraId="4382EE77" w14:textId="77777777" w:rsidR="0069510E" w:rsidRDefault="00000000">
            <w:pPr>
              <w:pStyle w:val="biaogecenter"/>
              <w:wordWrap w:val="0"/>
            </w:pPr>
            <w:r>
              <w:rPr>
                <w:rFonts w:hint="eastAsia"/>
              </w:rPr>
              <w:t>②-④</w:t>
            </w:r>
          </w:p>
        </w:tc>
      </w:tr>
      <w:tr w:rsidR="0069510E" w14:paraId="4AE85940" w14:textId="77777777">
        <w:trPr>
          <w:jc w:val="center"/>
        </w:trPr>
        <w:tc>
          <w:tcPr>
            <w:tcW w:w="708" w:type="pct"/>
            <w:tcBorders>
              <w:top w:val="single" w:sz="8" w:space="0" w:color="000000"/>
              <w:left w:val="single" w:sz="8" w:space="0" w:color="000000"/>
              <w:bottom w:val="single" w:sz="6" w:space="0" w:color="000000"/>
              <w:right w:val="single" w:sz="8" w:space="0" w:color="000000"/>
            </w:tcBorders>
            <w:vAlign w:val="center"/>
          </w:tcPr>
          <w:p w14:paraId="4238E39F" w14:textId="77777777" w:rsidR="0069510E" w:rsidRDefault="00000000">
            <w:pPr>
              <w:pStyle w:val="biaogeleft"/>
              <w:wordWrap w:val="0"/>
            </w:pPr>
            <w:r>
              <w:rPr>
                <w:rFonts w:hint="eastAsia"/>
                <w:color w:val="000000"/>
                <w:sz w:val="21"/>
                <w:szCs w:val="21"/>
              </w:rPr>
              <w:t>2021.06.18~2021.12.31</w:t>
            </w:r>
          </w:p>
        </w:tc>
        <w:tc>
          <w:tcPr>
            <w:tcW w:w="719" w:type="pct"/>
            <w:tcBorders>
              <w:top w:val="single" w:sz="8" w:space="0" w:color="000000"/>
              <w:left w:val="single" w:sz="8" w:space="0" w:color="000000"/>
              <w:bottom w:val="single" w:sz="6" w:space="0" w:color="000000"/>
              <w:right w:val="single" w:sz="8" w:space="0" w:color="000000"/>
            </w:tcBorders>
            <w:vAlign w:val="center"/>
          </w:tcPr>
          <w:p w14:paraId="1B813324" w14:textId="77777777" w:rsidR="0069510E" w:rsidRDefault="00000000">
            <w:pPr>
              <w:pStyle w:val="biaogecenter"/>
              <w:wordWrap w:val="0"/>
            </w:pPr>
            <w:r>
              <w:rPr>
                <w:rFonts w:hint="eastAsia"/>
              </w:rPr>
              <w:t>-2.32%</w:t>
            </w:r>
          </w:p>
        </w:tc>
        <w:tc>
          <w:tcPr>
            <w:tcW w:w="713" w:type="pct"/>
            <w:tcBorders>
              <w:top w:val="single" w:sz="8" w:space="0" w:color="000000"/>
              <w:left w:val="single" w:sz="8" w:space="0" w:color="000000"/>
              <w:bottom w:val="single" w:sz="6" w:space="0" w:color="000000"/>
              <w:right w:val="single" w:sz="8" w:space="0" w:color="000000"/>
            </w:tcBorders>
            <w:vAlign w:val="center"/>
          </w:tcPr>
          <w:p w14:paraId="4693A087" w14:textId="77777777" w:rsidR="0069510E" w:rsidRDefault="00000000">
            <w:pPr>
              <w:pStyle w:val="biaogecenter"/>
              <w:wordWrap w:val="0"/>
            </w:pPr>
            <w:r>
              <w:rPr>
                <w:rFonts w:hint="eastAsia"/>
              </w:rPr>
              <w:t>1.13%</w:t>
            </w:r>
          </w:p>
        </w:tc>
        <w:tc>
          <w:tcPr>
            <w:tcW w:w="641" w:type="pct"/>
            <w:tcBorders>
              <w:top w:val="single" w:sz="8" w:space="0" w:color="000000"/>
              <w:left w:val="single" w:sz="8" w:space="0" w:color="000000"/>
              <w:bottom w:val="single" w:sz="6" w:space="0" w:color="000000"/>
              <w:right w:val="single" w:sz="8" w:space="0" w:color="000000"/>
            </w:tcBorders>
            <w:vAlign w:val="center"/>
          </w:tcPr>
          <w:p w14:paraId="28823A94" w14:textId="77777777" w:rsidR="0069510E" w:rsidRDefault="00000000">
            <w:pPr>
              <w:pStyle w:val="biaogecenter"/>
              <w:wordWrap w:val="0"/>
            </w:pPr>
            <w:r>
              <w:rPr>
                <w:rFonts w:hint="eastAsia"/>
              </w:rPr>
              <w:t>-1.61%</w:t>
            </w:r>
          </w:p>
        </w:tc>
        <w:tc>
          <w:tcPr>
            <w:tcW w:w="846" w:type="pct"/>
            <w:tcBorders>
              <w:top w:val="single" w:sz="8" w:space="0" w:color="000000"/>
              <w:left w:val="single" w:sz="8" w:space="0" w:color="000000"/>
              <w:bottom w:val="single" w:sz="6" w:space="0" w:color="000000"/>
              <w:right w:val="single" w:sz="8" w:space="0" w:color="000000"/>
            </w:tcBorders>
            <w:vAlign w:val="center"/>
          </w:tcPr>
          <w:p w14:paraId="270E09F2" w14:textId="77777777" w:rsidR="0069510E" w:rsidRDefault="00000000">
            <w:pPr>
              <w:pStyle w:val="biaogecenter"/>
              <w:wordWrap w:val="0"/>
            </w:pPr>
            <w:r>
              <w:rPr>
                <w:rFonts w:hint="eastAsia"/>
              </w:rPr>
              <w:t>0.70%</w:t>
            </w:r>
          </w:p>
        </w:tc>
        <w:tc>
          <w:tcPr>
            <w:tcW w:w="688" w:type="pct"/>
            <w:tcBorders>
              <w:top w:val="single" w:sz="8" w:space="0" w:color="000000"/>
              <w:left w:val="single" w:sz="8" w:space="0" w:color="000000"/>
              <w:bottom w:val="single" w:sz="6" w:space="0" w:color="000000"/>
              <w:right w:val="single" w:sz="8" w:space="0" w:color="000000"/>
            </w:tcBorders>
            <w:vAlign w:val="center"/>
          </w:tcPr>
          <w:p w14:paraId="60A05C02" w14:textId="77777777" w:rsidR="0069510E" w:rsidRDefault="00000000">
            <w:pPr>
              <w:pStyle w:val="biaogecenter"/>
              <w:wordWrap w:val="0"/>
            </w:pPr>
            <w:r>
              <w:rPr>
                <w:rFonts w:hint="eastAsia"/>
              </w:rPr>
              <w:t>-0.71%</w:t>
            </w:r>
          </w:p>
        </w:tc>
        <w:tc>
          <w:tcPr>
            <w:tcW w:w="685" w:type="pct"/>
            <w:tcBorders>
              <w:top w:val="single" w:sz="8" w:space="0" w:color="000000"/>
              <w:left w:val="single" w:sz="8" w:space="0" w:color="000000"/>
              <w:bottom w:val="single" w:sz="6" w:space="0" w:color="000000"/>
              <w:right w:val="single" w:sz="8" w:space="0" w:color="000000"/>
            </w:tcBorders>
            <w:vAlign w:val="center"/>
          </w:tcPr>
          <w:p w14:paraId="02F6A36E" w14:textId="77777777" w:rsidR="0069510E" w:rsidRDefault="00000000">
            <w:pPr>
              <w:pStyle w:val="biaogecenter"/>
              <w:wordWrap w:val="0"/>
            </w:pPr>
            <w:r>
              <w:rPr>
                <w:rFonts w:hint="eastAsia"/>
              </w:rPr>
              <w:t>0.43%</w:t>
            </w:r>
          </w:p>
        </w:tc>
      </w:tr>
      <w:tr w:rsidR="0069510E" w14:paraId="15DC8DC1" w14:textId="77777777">
        <w:trPr>
          <w:jc w:val="center"/>
        </w:trPr>
        <w:tc>
          <w:tcPr>
            <w:tcW w:w="708" w:type="pct"/>
            <w:tcBorders>
              <w:top w:val="single" w:sz="8" w:space="0" w:color="000000"/>
              <w:left w:val="single" w:sz="8" w:space="0" w:color="000000"/>
              <w:bottom w:val="single" w:sz="6" w:space="0" w:color="000000"/>
              <w:right w:val="single" w:sz="8" w:space="0" w:color="000000"/>
            </w:tcBorders>
            <w:vAlign w:val="center"/>
          </w:tcPr>
          <w:p w14:paraId="4EB4BF1F" w14:textId="77777777" w:rsidR="0069510E" w:rsidRDefault="00000000">
            <w:pPr>
              <w:pStyle w:val="biaogeleft"/>
              <w:wordWrap w:val="0"/>
            </w:pPr>
            <w:r>
              <w:rPr>
                <w:rFonts w:hint="eastAsia"/>
                <w:color w:val="000000"/>
                <w:sz w:val="21"/>
                <w:szCs w:val="21"/>
              </w:rPr>
              <w:t>2022.01.01~2022.12.31</w:t>
            </w:r>
          </w:p>
        </w:tc>
        <w:tc>
          <w:tcPr>
            <w:tcW w:w="719" w:type="pct"/>
            <w:tcBorders>
              <w:top w:val="single" w:sz="8" w:space="0" w:color="000000"/>
              <w:left w:val="single" w:sz="8" w:space="0" w:color="000000"/>
              <w:bottom w:val="single" w:sz="6" w:space="0" w:color="000000"/>
              <w:right w:val="single" w:sz="8" w:space="0" w:color="000000"/>
            </w:tcBorders>
            <w:vAlign w:val="center"/>
          </w:tcPr>
          <w:p w14:paraId="0714F510" w14:textId="77777777" w:rsidR="0069510E" w:rsidRDefault="00000000">
            <w:pPr>
              <w:pStyle w:val="biaogecenter"/>
              <w:wordWrap w:val="0"/>
            </w:pPr>
            <w:r>
              <w:rPr>
                <w:rFonts w:hAnsi="等线"/>
                <w:color w:val="000000"/>
              </w:rPr>
              <w:t>-11.68%</w:t>
            </w:r>
          </w:p>
        </w:tc>
        <w:tc>
          <w:tcPr>
            <w:tcW w:w="713" w:type="pct"/>
            <w:tcBorders>
              <w:top w:val="single" w:sz="8" w:space="0" w:color="000000"/>
              <w:left w:val="single" w:sz="8" w:space="0" w:color="000000"/>
              <w:bottom w:val="single" w:sz="6" w:space="0" w:color="000000"/>
              <w:right w:val="single" w:sz="8" w:space="0" w:color="000000"/>
            </w:tcBorders>
            <w:vAlign w:val="center"/>
          </w:tcPr>
          <w:p w14:paraId="4A0A1066" w14:textId="77777777" w:rsidR="0069510E" w:rsidRDefault="00000000">
            <w:pPr>
              <w:pStyle w:val="biaogecenter"/>
              <w:wordWrap w:val="0"/>
            </w:pPr>
            <w:r>
              <w:rPr>
                <w:rFonts w:hAnsi="等线"/>
                <w:color w:val="000000"/>
              </w:rPr>
              <w:t>1.28%</w:t>
            </w:r>
          </w:p>
        </w:tc>
        <w:tc>
          <w:tcPr>
            <w:tcW w:w="641" w:type="pct"/>
            <w:tcBorders>
              <w:top w:val="single" w:sz="8" w:space="0" w:color="000000"/>
              <w:left w:val="single" w:sz="8" w:space="0" w:color="000000"/>
              <w:bottom w:val="single" w:sz="6" w:space="0" w:color="000000"/>
              <w:right w:val="single" w:sz="8" w:space="0" w:color="000000"/>
            </w:tcBorders>
            <w:vAlign w:val="center"/>
          </w:tcPr>
          <w:p w14:paraId="7F23EB9F" w14:textId="77777777" w:rsidR="0069510E" w:rsidRDefault="00000000">
            <w:pPr>
              <w:pStyle w:val="biaogecenter"/>
              <w:wordWrap w:val="0"/>
            </w:pPr>
            <w:r>
              <w:rPr>
                <w:rFonts w:hAnsi="等线"/>
                <w:color w:val="000000"/>
              </w:rPr>
              <w:t>-15.20%</w:t>
            </w:r>
          </w:p>
        </w:tc>
        <w:tc>
          <w:tcPr>
            <w:tcW w:w="846" w:type="pct"/>
            <w:tcBorders>
              <w:top w:val="single" w:sz="8" w:space="0" w:color="000000"/>
              <w:left w:val="single" w:sz="8" w:space="0" w:color="000000"/>
              <w:bottom w:val="single" w:sz="6" w:space="0" w:color="000000"/>
              <w:right w:val="single" w:sz="8" w:space="0" w:color="000000"/>
            </w:tcBorders>
            <w:vAlign w:val="center"/>
          </w:tcPr>
          <w:p w14:paraId="20133969" w14:textId="77777777" w:rsidR="0069510E" w:rsidRDefault="00000000">
            <w:pPr>
              <w:pStyle w:val="biaogecenter"/>
              <w:wordWrap w:val="0"/>
            </w:pPr>
            <w:r>
              <w:rPr>
                <w:rFonts w:hAnsi="等线"/>
                <w:color w:val="000000"/>
              </w:rPr>
              <w:t>0.90%</w:t>
            </w:r>
          </w:p>
        </w:tc>
        <w:tc>
          <w:tcPr>
            <w:tcW w:w="688" w:type="pct"/>
            <w:tcBorders>
              <w:top w:val="single" w:sz="8" w:space="0" w:color="000000"/>
              <w:left w:val="single" w:sz="8" w:space="0" w:color="000000"/>
              <w:bottom w:val="single" w:sz="6" w:space="0" w:color="000000"/>
              <w:right w:val="single" w:sz="8" w:space="0" w:color="000000"/>
            </w:tcBorders>
            <w:vAlign w:val="center"/>
          </w:tcPr>
          <w:p w14:paraId="1C8E345C" w14:textId="77777777" w:rsidR="0069510E" w:rsidRDefault="00000000">
            <w:pPr>
              <w:pStyle w:val="biaogecenter"/>
              <w:wordWrap w:val="0"/>
            </w:pPr>
            <w:r>
              <w:rPr>
                <w:rFonts w:hAnsi="等线"/>
                <w:color w:val="000000"/>
              </w:rPr>
              <w:t>3.52%</w:t>
            </w:r>
          </w:p>
        </w:tc>
        <w:tc>
          <w:tcPr>
            <w:tcW w:w="685" w:type="pct"/>
            <w:tcBorders>
              <w:top w:val="single" w:sz="8" w:space="0" w:color="000000"/>
              <w:left w:val="single" w:sz="8" w:space="0" w:color="000000"/>
              <w:bottom w:val="single" w:sz="6" w:space="0" w:color="000000"/>
              <w:right w:val="single" w:sz="8" w:space="0" w:color="000000"/>
            </w:tcBorders>
            <w:vAlign w:val="center"/>
          </w:tcPr>
          <w:p w14:paraId="167B5E47" w14:textId="77777777" w:rsidR="0069510E" w:rsidRDefault="00000000">
            <w:pPr>
              <w:pStyle w:val="biaogecenter"/>
              <w:wordWrap w:val="0"/>
            </w:pPr>
            <w:r>
              <w:rPr>
                <w:rFonts w:hAnsi="等线"/>
                <w:color w:val="000000"/>
              </w:rPr>
              <w:t>0.38%</w:t>
            </w:r>
          </w:p>
        </w:tc>
      </w:tr>
      <w:tr w:rsidR="0069510E" w14:paraId="0F3A4058" w14:textId="77777777">
        <w:trPr>
          <w:jc w:val="center"/>
        </w:trPr>
        <w:tc>
          <w:tcPr>
            <w:tcW w:w="708" w:type="pct"/>
            <w:tcBorders>
              <w:top w:val="single" w:sz="8" w:space="0" w:color="000000"/>
              <w:left w:val="single" w:sz="8" w:space="0" w:color="000000"/>
              <w:bottom w:val="single" w:sz="6" w:space="0" w:color="000000"/>
              <w:right w:val="single" w:sz="8" w:space="0" w:color="000000"/>
            </w:tcBorders>
            <w:vAlign w:val="center"/>
          </w:tcPr>
          <w:p w14:paraId="4936F549" w14:textId="77777777" w:rsidR="0069510E" w:rsidRDefault="00000000">
            <w:pPr>
              <w:pStyle w:val="biaogeleft"/>
              <w:wordWrap w:val="0"/>
              <w:rPr>
                <w:color w:val="000000"/>
                <w:sz w:val="21"/>
                <w:szCs w:val="21"/>
              </w:rPr>
            </w:pPr>
            <w:r>
              <w:rPr>
                <w:rFonts w:hint="eastAsia"/>
                <w:color w:val="000000"/>
                <w:sz w:val="21"/>
                <w:szCs w:val="21"/>
              </w:rPr>
              <w:t>2023.01.01~2023.12.31</w:t>
            </w:r>
          </w:p>
        </w:tc>
        <w:tc>
          <w:tcPr>
            <w:tcW w:w="719" w:type="pct"/>
            <w:tcBorders>
              <w:top w:val="single" w:sz="8" w:space="0" w:color="000000"/>
              <w:left w:val="single" w:sz="8" w:space="0" w:color="000000"/>
              <w:bottom w:val="single" w:sz="6" w:space="0" w:color="000000"/>
              <w:right w:val="single" w:sz="8" w:space="0" w:color="000000"/>
            </w:tcBorders>
            <w:vAlign w:val="center"/>
          </w:tcPr>
          <w:p w14:paraId="5C6CD8FE" w14:textId="77777777" w:rsidR="0069510E" w:rsidRDefault="00000000">
            <w:pPr>
              <w:pStyle w:val="biaogecenter"/>
              <w:wordWrap w:val="0"/>
              <w:rPr>
                <w:rFonts w:hAnsi="等线"/>
                <w:color w:val="000000"/>
              </w:rPr>
            </w:pPr>
            <w:r>
              <w:rPr>
                <w:rFonts w:hAnsi="等线"/>
                <w:color w:val="000000"/>
              </w:rPr>
              <w:t>-14.40%</w:t>
            </w:r>
          </w:p>
        </w:tc>
        <w:tc>
          <w:tcPr>
            <w:tcW w:w="713" w:type="pct"/>
            <w:tcBorders>
              <w:top w:val="single" w:sz="8" w:space="0" w:color="000000"/>
              <w:left w:val="single" w:sz="8" w:space="0" w:color="000000"/>
              <w:bottom w:val="single" w:sz="6" w:space="0" w:color="000000"/>
              <w:right w:val="single" w:sz="8" w:space="0" w:color="000000"/>
            </w:tcBorders>
            <w:vAlign w:val="center"/>
          </w:tcPr>
          <w:p w14:paraId="56CD828E" w14:textId="77777777" w:rsidR="0069510E" w:rsidRDefault="00000000">
            <w:pPr>
              <w:pStyle w:val="biaogecenter"/>
              <w:wordWrap w:val="0"/>
              <w:rPr>
                <w:rFonts w:hAnsi="等线"/>
                <w:color w:val="000000"/>
              </w:rPr>
            </w:pPr>
            <w:r>
              <w:rPr>
                <w:rFonts w:hAnsi="等线"/>
                <w:color w:val="000000"/>
              </w:rPr>
              <w:t>0.93%</w:t>
            </w:r>
          </w:p>
        </w:tc>
        <w:tc>
          <w:tcPr>
            <w:tcW w:w="641" w:type="pct"/>
            <w:tcBorders>
              <w:top w:val="single" w:sz="8" w:space="0" w:color="000000"/>
              <w:left w:val="single" w:sz="8" w:space="0" w:color="000000"/>
              <w:bottom w:val="single" w:sz="6" w:space="0" w:color="000000"/>
              <w:right w:val="single" w:sz="8" w:space="0" w:color="000000"/>
            </w:tcBorders>
            <w:vAlign w:val="center"/>
          </w:tcPr>
          <w:p w14:paraId="25166C36" w14:textId="77777777" w:rsidR="0069510E" w:rsidRDefault="00000000">
            <w:pPr>
              <w:pStyle w:val="biaogecenter"/>
              <w:wordWrap w:val="0"/>
              <w:rPr>
                <w:rFonts w:hAnsi="等线"/>
                <w:color w:val="000000"/>
              </w:rPr>
            </w:pPr>
            <w:r>
              <w:rPr>
                <w:rFonts w:hAnsi="等线"/>
                <w:color w:val="000000"/>
              </w:rPr>
              <w:t>-8.01%</w:t>
            </w:r>
          </w:p>
        </w:tc>
        <w:tc>
          <w:tcPr>
            <w:tcW w:w="846" w:type="pct"/>
            <w:tcBorders>
              <w:top w:val="single" w:sz="8" w:space="0" w:color="000000"/>
              <w:left w:val="single" w:sz="8" w:space="0" w:color="000000"/>
              <w:bottom w:val="single" w:sz="6" w:space="0" w:color="000000"/>
              <w:right w:val="single" w:sz="8" w:space="0" w:color="000000"/>
            </w:tcBorders>
            <w:vAlign w:val="center"/>
          </w:tcPr>
          <w:p w14:paraId="6842194C" w14:textId="77777777" w:rsidR="0069510E" w:rsidRDefault="00000000">
            <w:pPr>
              <w:pStyle w:val="biaogecenter"/>
              <w:wordWrap w:val="0"/>
              <w:rPr>
                <w:rFonts w:hAnsi="等线"/>
                <w:color w:val="000000"/>
              </w:rPr>
            </w:pPr>
            <w:r>
              <w:rPr>
                <w:rFonts w:hAnsi="等线"/>
                <w:color w:val="000000"/>
              </w:rPr>
              <w:t>0.62%</w:t>
            </w:r>
          </w:p>
        </w:tc>
        <w:tc>
          <w:tcPr>
            <w:tcW w:w="688" w:type="pct"/>
            <w:tcBorders>
              <w:top w:val="single" w:sz="8" w:space="0" w:color="000000"/>
              <w:left w:val="single" w:sz="8" w:space="0" w:color="000000"/>
              <w:bottom w:val="single" w:sz="6" w:space="0" w:color="000000"/>
              <w:right w:val="single" w:sz="8" w:space="0" w:color="000000"/>
            </w:tcBorders>
            <w:vAlign w:val="center"/>
          </w:tcPr>
          <w:p w14:paraId="4AD175F7" w14:textId="77777777" w:rsidR="0069510E" w:rsidRDefault="00000000">
            <w:pPr>
              <w:pStyle w:val="biaogecenter"/>
              <w:wordWrap w:val="0"/>
              <w:rPr>
                <w:rFonts w:hAnsi="等线"/>
                <w:color w:val="000000"/>
              </w:rPr>
            </w:pPr>
            <w:r>
              <w:rPr>
                <w:rFonts w:hAnsi="等线"/>
                <w:color w:val="000000"/>
              </w:rPr>
              <w:t>-6.39%</w:t>
            </w:r>
          </w:p>
        </w:tc>
        <w:tc>
          <w:tcPr>
            <w:tcW w:w="685" w:type="pct"/>
            <w:tcBorders>
              <w:top w:val="single" w:sz="8" w:space="0" w:color="000000"/>
              <w:left w:val="single" w:sz="8" w:space="0" w:color="000000"/>
              <w:bottom w:val="single" w:sz="6" w:space="0" w:color="000000"/>
              <w:right w:val="single" w:sz="8" w:space="0" w:color="000000"/>
            </w:tcBorders>
            <w:vAlign w:val="center"/>
          </w:tcPr>
          <w:p w14:paraId="60A75A26" w14:textId="77777777" w:rsidR="0069510E" w:rsidRDefault="00000000">
            <w:pPr>
              <w:pStyle w:val="biaogecenter"/>
              <w:wordWrap w:val="0"/>
              <w:rPr>
                <w:rFonts w:hAnsi="等线"/>
                <w:color w:val="000000"/>
              </w:rPr>
            </w:pPr>
            <w:r>
              <w:rPr>
                <w:rFonts w:hAnsi="等线"/>
                <w:color w:val="000000"/>
              </w:rPr>
              <w:t>0.31%</w:t>
            </w:r>
          </w:p>
        </w:tc>
      </w:tr>
      <w:tr w:rsidR="0069510E" w14:paraId="5EE6AA0E" w14:textId="77777777">
        <w:trPr>
          <w:jc w:val="center"/>
        </w:trPr>
        <w:tc>
          <w:tcPr>
            <w:tcW w:w="708" w:type="pct"/>
            <w:tcBorders>
              <w:top w:val="single" w:sz="8" w:space="0" w:color="000000"/>
              <w:left w:val="single" w:sz="8" w:space="0" w:color="000000"/>
              <w:bottom w:val="single" w:sz="6" w:space="0" w:color="000000"/>
              <w:right w:val="single" w:sz="8" w:space="0" w:color="000000"/>
            </w:tcBorders>
            <w:vAlign w:val="center"/>
          </w:tcPr>
          <w:p w14:paraId="48C32FF5" w14:textId="77777777" w:rsidR="0069510E" w:rsidRDefault="00000000">
            <w:pPr>
              <w:pStyle w:val="biaogeleft"/>
              <w:wordWrap w:val="0"/>
              <w:rPr>
                <w:color w:val="000000"/>
                <w:sz w:val="21"/>
                <w:szCs w:val="21"/>
              </w:rPr>
            </w:pPr>
            <w:r>
              <w:rPr>
                <w:rFonts w:hint="eastAsia"/>
                <w:color w:val="000000"/>
                <w:sz w:val="21"/>
                <w:szCs w:val="21"/>
              </w:rPr>
              <w:t>2024.01.01~</w:t>
            </w:r>
            <w:r>
              <w:rPr>
                <w:rFonts w:hint="eastAsia"/>
                <w:color w:val="000000"/>
                <w:sz w:val="21"/>
                <w:szCs w:val="21"/>
              </w:rPr>
              <w:lastRenderedPageBreak/>
              <w:t>2024.03.31</w:t>
            </w:r>
          </w:p>
        </w:tc>
        <w:tc>
          <w:tcPr>
            <w:tcW w:w="719" w:type="pct"/>
            <w:tcBorders>
              <w:top w:val="single" w:sz="8" w:space="0" w:color="000000"/>
              <w:left w:val="single" w:sz="8" w:space="0" w:color="000000"/>
              <w:bottom w:val="single" w:sz="6" w:space="0" w:color="000000"/>
              <w:right w:val="single" w:sz="8" w:space="0" w:color="000000"/>
            </w:tcBorders>
            <w:vAlign w:val="center"/>
          </w:tcPr>
          <w:p w14:paraId="0313A87E" w14:textId="77777777" w:rsidR="0069510E" w:rsidRDefault="00000000">
            <w:pPr>
              <w:pStyle w:val="biaogecenter"/>
              <w:wordWrap w:val="0"/>
              <w:rPr>
                <w:rFonts w:hAnsi="等线"/>
                <w:color w:val="000000"/>
              </w:rPr>
            </w:pPr>
            <w:r>
              <w:rPr>
                <w:rFonts w:hAnsi="等线"/>
                <w:color w:val="000000"/>
              </w:rPr>
              <w:lastRenderedPageBreak/>
              <w:t>1.52%</w:t>
            </w:r>
          </w:p>
        </w:tc>
        <w:tc>
          <w:tcPr>
            <w:tcW w:w="713" w:type="pct"/>
            <w:tcBorders>
              <w:top w:val="single" w:sz="8" w:space="0" w:color="000000"/>
              <w:left w:val="single" w:sz="8" w:space="0" w:color="000000"/>
              <w:bottom w:val="single" w:sz="6" w:space="0" w:color="000000"/>
              <w:right w:val="single" w:sz="8" w:space="0" w:color="000000"/>
            </w:tcBorders>
            <w:vAlign w:val="center"/>
          </w:tcPr>
          <w:p w14:paraId="24339F20" w14:textId="77777777" w:rsidR="0069510E" w:rsidRDefault="00000000">
            <w:pPr>
              <w:pStyle w:val="biaogecenter"/>
              <w:wordWrap w:val="0"/>
              <w:rPr>
                <w:rFonts w:hAnsi="等线"/>
                <w:color w:val="000000"/>
              </w:rPr>
            </w:pPr>
            <w:r>
              <w:rPr>
                <w:rFonts w:hAnsi="等线"/>
                <w:color w:val="000000"/>
              </w:rPr>
              <w:t>1.03%</w:t>
            </w:r>
          </w:p>
        </w:tc>
        <w:tc>
          <w:tcPr>
            <w:tcW w:w="641" w:type="pct"/>
            <w:tcBorders>
              <w:top w:val="single" w:sz="8" w:space="0" w:color="000000"/>
              <w:left w:val="single" w:sz="8" w:space="0" w:color="000000"/>
              <w:bottom w:val="single" w:sz="6" w:space="0" w:color="000000"/>
              <w:right w:val="single" w:sz="8" w:space="0" w:color="000000"/>
            </w:tcBorders>
            <w:vAlign w:val="center"/>
          </w:tcPr>
          <w:p w14:paraId="6B6C4EB0" w14:textId="77777777" w:rsidR="0069510E" w:rsidRDefault="00000000">
            <w:pPr>
              <w:pStyle w:val="biaogecenter"/>
              <w:wordWrap w:val="0"/>
              <w:rPr>
                <w:rFonts w:hAnsi="等线"/>
                <w:color w:val="000000"/>
              </w:rPr>
            </w:pPr>
            <w:r>
              <w:rPr>
                <w:rFonts w:hAnsi="等线"/>
                <w:color w:val="000000"/>
              </w:rPr>
              <w:t>2.64%</w:t>
            </w:r>
          </w:p>
        </w:tc>
        <w:tc>
          <w:tcPr>
            <w:tcW w:w="846" w:type="pct"/>
            <w:tcBorders>
              <w:top w:val="single" w:sz="8" w:space="0" w:color="000000"/>
              <w:left w:val="single" w:sz="8" w:space="0" w:color="000000"/>
              <w:bottom w:val="single" w:sz="6" w:space="0" w:color="000000"/>
              <w:right w:val="single" w:sz="8" w:space="0" w:color="000000"/>
            </w:tcBorders>
            <w:vAlign w:val="center"/>
          </w:tcPr>
          <w:p w14:paraId="3513B265" w14:textId="77777777" w:rsidR="0069510E" w:rsidRDefault="00000000">
            <w:pPr>
              <w:pStyle w:val="biaogecenter"/>
              <w:wordWrap w:val="0"/>
              <w:rPr>
                <w:rFonts w:hAnsi="等线"/>
                <w:color w:val="000000"/>
              </w:rPr>
            </w:pPr>
            <w:r>
              <w:rPr>
                <w:rFonts w:hAnsi="等线"/>
                <w:color w:val="000000"/>
              </w:rPr>
              <w:t>0.72%</w:t>
            </w:r>
          </w:p>
        </w:tc>
        <w:tc>
          <w:tcPr>
            <w:tcW w:w="688" w:type="pct"/>
            <w:tcBorders>
              <w:top w:val="single" w:sz="8" w:space="0" w:color="000000"/>
              <w:left w:val="single" w:sz="8" w:space="0" w:color="000000"/>
              <w:bottom w:val="single" w:sz="6" w:space="0" w:color="000000"/>
              <w:right w:val="single" w:sz="8" w:space="0" w:color="000000"/>
            </w:tcBorders>
            <w:vAlign w:val="center"/>
          </w:tcPr>
          <w:p w14:paraId="4FAF9B4A" w14:textId="77777777" w:rsidR="0069510E" w:rsidRDefault="00000000">
            <w:pPr>
              <w:pStyle w:val="biaogecenter"/>
              <w:wordWrap w:val="0"/>
              <w:rPr>
                <w:rFonts w:hAnsi="等线"/>
                <w:color w:val="000000"/>
              </w:rPr>
            </w:pPr>
            <w:r>
              <w:rPr>
                <w:rFonts w:hAnsi="等线"/>
                <w:color w:val="000000"/>
              </w:rPr>
              <w:t>-1.12%</w:t>
            </w:r>
          </w:p>
        </w:tc>
        <w:tc>
          <w:tcPr>
            <w:tcW w:w="685" w:type="pct"/>
            <w:tcBorders>
              <w:top w:val="single" w:sz="8" w:space="0" w:color="000000"/>
              <w:left w:val="single" w:sz="8" w:space="0" w:color="000000"/>
              <w:bottom w:val="single" w:sz="6" w:space="0" w:color="000000"/>
              <w:right w:val="single" w:sz="8" w:space="0" w:color="000000"/>
            </w:tcBorders>
            <w:vAlign w:val="center"/>
          </w:tcPr>
          <w:p w14:paraId="1EE5547B" w14:textId="77777777" w:rsidR="0069510E" w:rsidRDefault="00000000">
            <w:pPr>
              <w:pStyle w:val="biaogecenter"/>
              <w:wordWrap w:val="0"/>
              <w:rPr>
                <w:rFonts w:hAnsi="等线"/>
                <w:color w:val="000000"/>
              </w:rPr>
            </w:pPr>
            <w:r>
              <w:rPr>
                <w:rFonts w:hAnsi="等线"/>
                <w:color w:val="000000"/>
              </w:rPr>
              <w:t>0.31%</w:t>
            </w:r>
          </w:p>
        </w:tc>
      </w:tr>
      <w:tr w:rsidR="0069510E" w14:paraId="58FE43CA" w14:textId="77777777" w:rsidTr="004A5EC5">
        <w:trPr>
          <w:jc w:val="center"/>
        </w:trPr>
        <w:tc>
          <w:tcPr>
            <w:tcW w:w="708" w:type="pct"/>
            <w:tcBorders>
              <w:top w:val="single" w:sz="8" w:space="0" w:color="000000"/>
              <w:left w:val="single" w:sz="8" w:space="0" w:color="000000"/>
              <w:bottom w:val="single" w:sz="6" w:space="0" w:color="000000"/>
              <w:right w:val="single" w:sz="8" w:space="0" w:color="000000"/>
            </w:tcBorders>
            <w:vAlign w:val="center"/>
          </w:tcPr>
          <w:p w14:paraId="5216BDD7" w14:textId="619A616E" w:rsidR="0069510E" w:rsidRDefault="00000000">
            <w:pPr>
              <w:pStyle w:val="biaogeleft"/>
              <w:wordWrap w:val="0"/>
            </w:pPr>
            <w:r>
              <w:rPr>
                <w:rFonts w:hint="eastAsia"/>
              </w:rPr>
              <w:t>自基金合同生效起至今</w:t>
            </w:r>
          </w:p>
        </w:tc>
        <w:tc>
          <w:tcPr>
            <w:tcW w:w="719" w:type="pct"/>
            <w:tcBorders>
              <w:top w:val="single" w:sz="8" w:space="0" w:color="000000"/>
              <w:left w:val="single" w:sz="8" w:space="0" w:color="000000"/>
              <w:bottom w:val="single" w:sz="6" w:space="0" w:color="000000"/>
              <w:right w:val="single" w:sz="8" w:space="0" w:color="000000"/>
            </w:tcBorders>
            <w:vAlign w:val="center"/>
          </w:tcPr>
          <w:p w14:paraId="4D7DCA61" w14:textId="7A989E8F" w:rsidR="0069510E" w:rsidRDefault="00000000">
            <w:pPr>
              <w:pStyle w:val="biaogecenter"/>
              <w:wordWrap w:val="0"/>
            </w:pPr>
            <w:r>
              <w:t>-26.64%</w:t>
            </w:r>
          </w:p>
        </w:tc>
        <w:tc>
          <w:tcPr>
            <w:tcW w:w="713" w:type="pct"/>
            <w:tcBorders>
              <w:top w:val="single" w:sz="8" w:space="0" w:color="000000"/>
              <w:left w:val="single" w:sz="8" w:space="0" w:color="000000"/>
              <w:bottom w:val="single" w:sz="6" w:space="0" w:color="000000"/>
              <w:right w:val="single" w:sz="8" w:space="0" w:color="000000"/>
            </w:tcBorders>
            <w:vAlign w:val="center"/>
          </w:tcPr>
          <w:p w14:paraId="6DC9CCF1" w14:textId="4C07DFD7" w:rsidR="0069510E" w:rsidRDefault="00000000">
            <w:pPr>
              <w:pStyle w:val="biaogecenter"/>
              <w:wordWrap w:val="0"/>
            </w:pPr>
            <w:r>
              <w:t>1.11%</w:t>
            </w:r>
          </w:p>
        </w:tc>
        <w:tc>
          <w:tcPr>
            <w:tcW w:w="641" w:type="pct"/>
            <w:tcBorders>
              <w:top w:val="single" w:sz="8" w:space="0" w:color="000000"/>
              <w:left w:val="single" w:sz="8" w:space="0" w:color="000000"/>
              <w:bottom w:val="single" w:sz="6" w:space="0" w:color="000000"/>
              <w:right w:val="single" w:sz="8" w:space="0" w:color="000000"/>
            </w:tcBorders>
            <w:vAlign w:val="center"/>
          </w:tcPr>
          <w:p w14:paraId="71C8345B" w14:textId="652319BD" w:rsidR="0069510E" w:rsidRDefault="00000000">
            <w:pPr>
              <w:pStyle w:val="biaogecenter"/>
              <w:wordWrap w:val="0"/>
            </w:pPr>
            <w:r>
              <w:t>-20.67%</w:t>
            </w:r>
          </w:p>
        </w:tc>
        <w:tc>
          <w:tcPr>
            <w:tcW w:w="846" w:type="pct"/>
            <w:tcBorders>
              <w:top w:val="single" w:sz="8" w:space="0" w:color="000000"/>
              <w:left w:val="single" w:sz="8" w:space="0" w:color="000000"/>
              <w:bottom w:val="single" w:sz="6" w:space="0" w:color="000000"/>
              <w:right w:val="single" w:sz="8" w:space="0" w:color="000000"/>
            </w:tcBorders>
            <w:vAlign w:val="center"/>
          </w:tcPr>
          <w:p w14:paraId="288D7C2C" w14:textId="0E9F5150" w:rsidR="0069510E" w:rsidRDefault="00000000">
            <w:pPr>
              <w:pStyle w:val="biaogecenter"/>
              <w:wordWrap w:val="0"/>
            </w:pPr>
            <w:r>
              <w:t>0.74%</w:t>
            </w:r>
          </w:p>
        </w:tc>
        <w:tc>
          <w:tcPr>
            <w:tcW w:w="688" w:type="pct"/>
            <w:tcBorders>
              <w:top w:val="single" w:sz="8" w:space="0" w:color="000000"/>
              <w:left w:val="single" w:sz="8" w:space="0" w:color="000000"/>
              <w:bottom w:val="single" w:sz="6" w:space="0" w:color="000000"/>
              <w:right w:val="single" w:sz="8" w:space="0" w:color="000000"/>
            </w:tcBorders>
            <w:vAlign w:val="center"/>
          </w:tcPr>
          <w:p w14:paraId="56E17A3A" w14:textId="10FF21E3" w:rsidR="0069510E" w:rsidRDefault="00000000">
            <w:pPr>
              <w:pStyle w:val="biaogecenter"/>
              <w:wordWrap w:val="0"/>
            </w:pPr>
            <w:r>
              <w:t>-5.97%</w:t>
            </w:r>
          </w:p>
        </w:tc>
        <w:tc>
          <w:tcPr>
            <w:tcW w:w="685" w:type="pct"/>
            <w:tcBorders>
              <w:top w:val="single" w:sz="8" w:space="0" w:color="000000"/>
              <w:left w:val="single" w:sz="8" w:space="0" w:color="000000"/>
              <w:bottom w:val="single" w:sz="6" w:space="0" w:color="000000"/>
              <w:right w:val="single" w:sz="8" w:space="0" w:color="000000"/>
            </w:tcBorders>
            <w:vAlign w:val="center"/>
          </w:tcPr>
          <w:p w14:paraId="231ADF89" w14:textId="26C3C14E" w:rsidR="0069510E" w:rsidRDefault="00000000">
            <w:pPr>
              <w:pStyle w:val="biaogecenter"/>
              <w:wordWrap w:val="0"/>
            </w:pPr>
            <w:r>
              <w:t>0.37%</w:t>
            </w:r>
          </w:p>
        </w:tc>
      </w:tr>
    </w:tbl>
    <w:p w14:paraId="2D7B7EFD" w14:textId="77777777" w:rsidR="0069510E" w:rsidRDefault="00000000">
      <w:pPr>
        <w:widowControl/>
        <w:jc w:val="left"/>
        <w:rPr>
          <w:rFonts w:ascii="宋体" w:eastAsia="宋体" w:hAnsi="宋体" w:cs="宋体"/>
          <w:kern w:val="0"/>
          <w:sz w:val="24"/>
          <w:szCs w:val="24"/>
        </w:rPr>
      </w:pPr>
      <w:r>
        <w:rPr>
          <w:rFonts w:ascii="宋体" w:eastAsia="宋体" w:hAnsi="宋体" w:cs="宋体" w:hint="eastAsia"/>
          <w:kern w:val="0"/>
          <w:sz w:val="24"/>
          <w:szCs w:val="24"/>
        </w:rPr>
        <w:t>注：本基金的业绩比较基准为：沪深300指数收益率×70%+中</w:t>
      </w:r>
      <w:proofErr w:type="gramStart"/>
      <w:r>
        <w:rPr>
          <w:rFonts w:ascii="宋体" w:eastAsia="宋体" w:hAnsi="宋体" w:cs="宋体" w:hint="eastAsia"/>
          <w:kern w:val="0"/>
          <w:sz w:val="24"/>
          <w:szCs w:val="24"/>
        </w:rPr>
        <w:t>债综合</w:t>
      </w:r>
      <w:proofErr w:type="gramEnd"/>
      <w:r>
        <w:rPr>
          <w:rFonts w:ascii="宋体" w:eastAsia="宋体" w:hAnsi="宋体" w:cs="宋体" w:hint="eastAsia"/>
          <w:kern w:val="0"/>
          <w:sz w:val="24"/>
          <w:szCs w:val="24"/>
        </w:rPr>
        <w:t xml:space="preserve">指数收益率×30% </w:t>
      </w:r>
    </w:p>
    <w:p w14:paraId="69C1D9D5" w14:textId="0A44CB0F" w:rsidR="0069510E" w:rsidRDefault="00000000" w:rsidP="004A5EC5">
      <w:pPr>
        <w:pStyle w:val="zhangjiep2"/>
      </w:pPr>
      <w:r>
        <w:rPr>
          <w:rFonts w:asciiTheme="minorEastAsia" w:eastAsiaTheme="minorEastAsia" w:hAnsiTheme="minorEastAsia" w:cs="Times New Roman"/>
          <w:bCs/>
          <w:kern w:val="2"/>
        </w:rPr>
        <w:t>2、</w:t>
      </w:r>
      <w:r>
        <w:rPr>
          <w:rFonts w:asciiTheme="minorEastAsia" w:eastAsiaTheme="minorEastAsia" w:hAnsiTheme="minorEastAsia" w:cs="Times New Roman" w:hint="eastAsia"/>
          <w:bCs/>
          <w:kern w:val="2"/>
        </w:rPr>
        <w:t>自基金合同生效以来基金累计净值增长率变动及其与同期业绩比较基准收益率变动的比较</w:t>
      </w:r>
      <w:r>
        <w:rPr>
          <w:rFonts w:hAnsi="等线"/>
          <w:noProof/>
          <w:color w:val="000000"/>
        </w:rPr>
        <w:lastRenderedPageBreak/>
        <w:drawing>
          <wp:inline distT="0" distB="0" distL="0" distR="0" wp14:anchorId="1E3B3AFC" wp14:editId="61529EAD">
            <wp:extent cx="5429885" cy="35306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326986" name="图片 1"/>
                    <pic:cNvPicPr>
                      <a:picLocks noChangeAspect="1" noChangeArrowheads="1"/>
                    </pic:cNvPicPr>
                  </pic:nvPicPr>
                  <pic:blipFill>
                    <a:blip r:embed="rId49">
                      <a:extLst>
                        <a:ext uri="{28A0092B-C50C-407E-A947-70E740481C1C}">
                          <a14:useLocalDpi xmlns:a14="http://schemas.microsoft.com/office/drawing/2010/main" val="0"/>
                        </a:ext>
                      </a:extLst>
                    </a:blip>
                    <a:stretch>
                      <a:fillRect/>
                    </a:stretch>
                  </pic:blipFill>
                  <pic:spPr>
                    <a:xfrm>
                      <a:off x="0" y="0"/>
                      <a:ext cx="5429885" cy="3530600"/>
                    </a:xfrm>
                    <a:prstGeom prst="rect">
                      <a:avLst/>
                    </a:prstGeom>
                    <a:noFill/>
                    <a:ln>
                      <a:noFill/>
                    </a:ln>
                  </pic:spPr>
                </pic:pic>
              </a:graphicData>
            </a:graphic>
          </wp:inline>
        </w:drawing>
      </w:r>
      <w:r>
        <w:rPr>
          <w:rFonts w:hAnsi="等线"/>
          <w:noProof/>
          <w:color w:val="000000"/>
        </w:rPr>
        <w:drawing>
          <wp:inline distT="0" distB="0" distL="0" distR="0" wp14:anchorId="399E377A" wp14:editId="05C31AFE">
            <wp:extent cx="5429885" cy="352742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382647" name="图片 2"/>
                    <pic:cNvPicPr>
                      <a:picLocks noChangeAspect="1" noChangeArrowheads="1"/>
                    </pic:cNvPicPr>
                  </pic:nvPicPr>
                  <pic:blipFill>
                    <a:blip r:embed="rId50">
                      <a:extLst>
                        <a:ext uri="{28A0092B-C50C-407E-A947-70E740481C1C}">
                          <a14:useLocalDpi xmlns:a14="http://schemas.microsoft.com/office/drawing/2010/main" val="0"/>
                        </a:ext>
                      </a:extLst>
                    </a:blip>
                    <a:stretch>
                      <a:fillRect/>
                    </a:stretch>
                  </pic:blipFill>
                  <pic:spPr>
                    <a:xfrm>
                      <a:off x="0" y="0"/>
                      <a:ext cx="5429885" cy="3527425"/>
                    </a:xfrm>
                    <a:prstGeom prst="rect">
                      <a:avLst/>
                    </a:prstGeom>
                    <a:noFill/>
                    <a:ln>
                      <a:noFill/>
                    </a:ln>
                  </pic:spPr>
                </pic:pic>
              </a:graphicData>
            </a:graphic>
          </wp:inline>
        </w:drawing>
      </w:r>
    </w:p>
    <w:p w14:paraId="31D8F026" w14:textId="59885D57" w:rsidR="0069510E" w:rsidRDefault="00000000" w:rsidP="004A5EC5">
      <w:pPr>
        <w:pStyle w:val="biaogeleft"/>
        <w:rPr>
          <w:sz w:val="30"/>
          <w:szCs w:val="30"/>
        </w:rPr>
      </w:pPr>
      <w:r>
        <w:rPr>
          <w:sz w:val="30"/>
          <w:szCs w:val="30"/>
        </w:rPr>
        <w:br w:type="page"/>
      </w:r>
    </w:p>
    <w:p w14:paraId="6A81AB9B" w14:textId="77777777" w:rsidR="0069510E" w:rsidRDefault="00000000">
      <w:pPr>
        <w:pStyle w:val="1"/>
        <w:jc w:val="center"/>
        <w:rPr>
          <w:sz w:val="30"/>
          <w:szCs w:val="30"/>
        </w:rPr>
      </w:pPr>
      <w:bookmarkStart w:id="248" w:name="_Toc136963810"/>
      <w:r>
        <w:rPr>
          <w:rFonts w:hint="eastAsia"/>
          <w:sz w:val="30"/>
          <w:szCs w:val="30"/>
        </w:rPr>
        <w:lastRenderedPageBreak/>
        <w:t>第十部分</w:t>
      </w:r>
      <w:r>
        <w:rPr>
          <w:sz w:val="30"/>
          <w:szCs w:val="30"/>
        </w:rPr>
        <w:t xml:space="preserve">  </w:t>
      </w:r>
      <w:r>
        <w:rPr>
          <w:rFonts w:hint="eastAsia"/>
          <w:sz w:val="30"/>
          <w:szCs w:val="30"/>
        </w:rPr>
        <w:t>基金的财产</w:t>
      </w:r>
      <w:bookmarkEnd w:id="226"/>
      <w:bookmarkEnd w:id="227"/>
      <w:bookmarkEnd w:id="248"/>
    </w:p>
    <w:p w14:paraId="0BA1564B" w14:textId="77777777" w:rsidR="0069510E" w:rsidRDefault="00000000">
      <w:pPr>
        <w:autoSpaceDE w:val="0"/>
        <w:autoSpaceDN w:val="0"/>
        <w:spacing w:line="360" w:lineRule="auto"/>
        <w:ind w:firstLineChars="200" w:firstLine="480"/>
        <w:textAlignment w:val="bottom"/>
        <w:rPr>
          <w:bCs/>
          <w:sz w:val="24"/>
        </w:rPr>
      </w:pPr>
      <w:bookmarkStart w:id="249" w:name="_Toc416264547"/>
      <w:bookmarkStart w:id="250" w:name="_Toc263092319"/>
      <w:bookmarkStart w:id="251" w:name="_Toc214873600"/>
      <w:bookmarkStart w:id="252" w:name="_Toc2981"/>
      <w:bookmarkStart w:id="253" w:name="_Toc801"/>
      <w:bookmarkStart w:id="254" w:name="_Toc21917"/>
      <w:bookmarkStart w:id="255" w:name="_Toc11395"/>
      <w:bookmarkStart w:id="256" w:name="_Toc13343"/>
      <w:bookmarkStart w:id="257" w:name="_Toc11351"/>
      <w:bookmarkStart w:id="258" w:name="_Toc22538"/>
      <w:bookmarkStart w:id="259" w:name="_Toc3872"/>
      <w:bookmarkStart w:id="260" w:name="_Toc578"/>
      <w:bookmarkStart w:id="261" w:name="_Toc16437"/>
      <w:bookmarkStart w:id="262" w:name="_Toc5477"/>
      <w:bookmarkStart w:id="263" w:name="_Toc352229758"/>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r>
        <w:rPr>
          <w:rFonts w:hint="eastAsia"/>
          <w:bCs/>
          <w:sz w:val="24"/>
        </w:rPr>
        <w:t>一、基金资产总值</w:t>
      </w:r>
    </w:p>
    <w:p w14:paraId="47782DD3"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基金资产总值是指基金拥有的各类有价证券、银行存款本息、基金应收款项及其他资产的价值总和。</w:t>
      </w:r>
    </w:p>
    <w:p w14:paraId="6882C26E" w14:textId="77777777" w:rsidR="0069510E" w:rsidRDefault="00000000">
      <w:pPr>
        <w:autoSpaceDE w:val="0"/>
        <w:autoSpaceDN w:val="0"/>
        <w:spacing w:line="360" w:lineRule="auto"/>
        <w:ind w:firstLineChars="200" w:firstLine="480"/>
        <w:textAlignment w:val="bottom"/>
        <w:rPr>
          <w:bCs/>
          <w:sz w:val="24"/>
        </w:rPr>
      </w:pPr>
      <w:r>
        <w:rPr>
          <w:rFonts w:hint="eastAsia"/>
          <w:bCs/>
          <w:sz w:val="24"/>
        </w:rPr>
        <w:t>二、基金资产净值</w:t>
      </w:r>
    </w:p>
    <w:p w14:paraId="7B69DA70"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基金资产净值是指基金资产总值减去基金负债后的价值。</w:t>
      </w:r>
    </w:p>
    <w:p w14:paraId="26EDEAC8" w14:textId="77777777" w:rsidR="0069510E" w:rsidRDefault="00000000">
      <w:pPr>
        <w:autoSpaceDE w:val="0"/>
        <w:autoSpaceDN w:val="0"/>
        <w:spacing w:line="360" w:lineRule="auto"/>
        <w:ind w:firstLineChars="200" w:firstLine="480"/>
        <w:textAlignment w:val="bottom"/>
        <w:rPr>
          <w:bCs/>
          <w:sz w:val="24"/>
        </w:rPr>
      </w:pPr>
      <w:r>
        <w:rPr>
          <w:rFonts w:hint="eastAsia"/>
          <w:bCs/>
          <w:sz w:val="24"/>
        </w:rPr>
        <w:t>三、基金财产的账户</w:t>
      </w:r>
    </w:p>
    <w:p w14:paraId="1054CA4F"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1FE1EF66"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四、基金财产的保管和处分</w:t>
      </w:r>
    </w:p>
    <w:p w14:paraId="39A9E676" w14:textId="77777777" w:rsidR="0069510E" w:rsidRDefault="00000000">
      <w:pPr>
        <w:autoSpaceDE w:val="0"/>
        <w:autoSpaceDN w:val="0"/>
        <w:spacing w:line="360" w:lineRule="auto"/>
        <w:ind w:firstLineChars="200" w:firstLine="480"/>
        <w:textAlignment w:val="bottom"/>
        <w:rPr>
          <w:bCs/>
          <w:sz w:val="24"/>
        </w:rPr>
      </w:pPr>
      <w:r>
        <w:rPr>
          <w:rFonts w:hint="eastAsia"/>
          <w:bCs/>
          <w:sz w:val="24"/>
        </w:rPr>
        <w:t>本基金财产独立于基金管理人、基金托管人和基金销售机构的财产，并由基金托管人保管。基金管理人、基金托管人、基金份额登记机构和基金销售机构以其自有的财产承担其自身的法律责任，其债权人不得对本基金财产行使请求冻结、扣押或其他权利。除依法</w:t>
      </w:r>
      <w:proofErr w:type="gramStart"/>
      <w:r>
        <w:rPr>
          <w:rFonts w:hint="eastAsia"/>
          <w:bCs/>
          <w:sz w:val="24"/>
        </w:rPr>
        <w:t>律法规</w:t>
      </w:r>
      <w:proofErr w:type="gramEnd"/>
      <w:r>
        <w:rPr>
          <w:rFonts w:hint="eastAsia"/>
          <w:bCs/>
          <w:sz w:val="24"/>
        </w:rPr>
        <w:t>和《基金合同》的规定处分外，基金财产不得被处分。</w:t>
      </w:r>
    </w:p>
    <w:p w14:paraId="45FAFE81"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hint="eastAsia"/>
          <w:bCs/>
          <w:sz w:val="24"/>
        </w:rPr>
        <w:t>抵销</w:t>
      </w:r>
      <w:proofErr w:type="gramEnd"/>
      <w:r>
        <w:rPr>
          <w:rFonts w:hint="eastAsia"/>
          <w:bCs/>
          <w:sz w:val="24"/>
        </w:rPr>
        <w:t>；基金管理人管理运作不同基金的基金财产所产生的债权债务不得相互</w:t>
      </w:r>
      <w:proofErr w:type="gramStart"/>
      <w:r>
        <w:rPr>
          <w:rFonts w:hint="eastAsia"/>
          <w:bCs/>
          <w:sz w:val="24"/>
        </w:rPr>
        <w:t>抵销</w:t>
      </w:r>
      <w:proofErr w:type="gramEnd"/>
      <w:r>
        <w:rPr>
          <w:rFonts w:hint="eastAsia"/>
          <w:bCs/>
          <w:sz w:val="24"/>
        </w:rPr>
        <w:t>。非因基金财产本身承担的债务，不得对基金财产强制执行。</w:t>
      </w:r>
    </w:p>
    <w:p w14:paraId="49027933" w14:textId="77777777" w:rsidR="0069510E" w:rsidRDefault="00000000">
      <w:pPr>
        <w:widowControl/>
        <w:jc w:val="left"/>
        <w:rPr>
          <w:bCs/>
          <w:sz w:val="24"/>
        </w:rPr>
      </w:pPr>
      <w:r>
        <w:rPr>
          <w:bCs/>
          <w:sz w:val="24"/>
        </w:rPr>
        <w:br w:type="page"/>
      </w:r>
    </w:p>
    <w:p w14:paraId="7EF0674D" w14:textId="77777777" w:rsidR="0069510E" w:rsidRDefault="00000000">
      <w:pPr>
        <w:pStyle w:val="1"/>
        <w:jc w:val="center"/>
        <w:rPr>
          <w:sz w:val="30"/>
          <w:szCs w:val="30"/>
        </w:rPr>
      </w:pPr>
      <w:bookmarkStart w:id="264" w:name="_Toc68266298"/>
      <w:bookmarkStart w:id="265" w:name="_Toc136963811"/>
      <w:r>
        <w:rPr>
          <w:rFonts w:hint="eastAsia"/>
          <w:sz w:val="30"/>
          <w:szCs w:val="30"/>
        </w:rPr>
        <w:lastRenderedPageBreak/>
        <w:t>第十一部分</w:t>
      </w:r>
      <w:r>
        <w:rPr>
          <w:sz w:val="30"/>
          <w:szCs w:val="30"/>
        </w:rPr>
        <w:t xml:space="preserve">  </w:t>
      </w:r>
      <w:r>
        <w:rPr>
          <w:rFonts w:hint="eastAsia"/>
          <w:sz w:val="30"/>
          <w:szCs w:val="30"/>
        </w:rPr>
        <w:t>基金资产的估值</w:t>
      </w:r>
      <w:bookmarkEnd w:id="249"/>
      <w:bookmarkEnd w:id="250"/>
      <w:bookmarkEnd w:id="251"/>
      <w:bookmarkEnd w:id="264"/>
      <w:bookmarkEnd w:id="265"/>
    </w:p>
    <w:p w14:paraId="67B7E3A4" w14:textId="77777777" w:rsidR="0069510E" w:rsidRDefault="00000000">
      <w:pPr>
        <w:autoSpaceDE w:val="0"/>
        <w:autoSpaceDN w:val="0"/>
        <w:spacing w:line="360" w:lineRule="auto"/>
        <w:ind w:firstLineChars="200" w:firstLine="482"/>
        <w:textAlignment w:val="bottom"/>
        <w:rPr>
          <w:b/>
          <w:bCs/>
          <w:sz w:val="24"/>
        </w:rPr>
      </w:pPr>
      <w:r>
        <w:rPr>
          <w:rFonts w:hint="eastAsia"/>
          <w:b/>
          <w:bCs/>
          <w:sz w:val="24"/>
        </w:rPr>
        <w:t>一、估值日</w:t>
      </w:r>
    </w:p>
    <w:p w14:paraId="14A4EF5C" w14:textId="77777777" w:rsidR="0069510E" w:rsidRDefault="00000000">
      <w:pPr>
        <w:autoSpaceDE w:val="0"/>
        <w:autoSpaceDN w:val="0"/>
        <w:spacing w:line="360" w:lineRule="auto"/>
        <w:ind w:firstLineChars="200" w:firstLine="480"/>
        <w:textAlignment w:val="bottom"/>
        <w:rPr>
          <w:bCs/>
          <w:sz w:val="24"/>
        </w:rPr>
      </w:pPr>
      <w:r>
        <w:rPr>
          <w:rFonts w:hint="eastAsia"/>
          <w:bCs/>
          <w:sz w:val="24"/>
        </w:rPr>
        <w:t>本基金的估值日为本基金相关的证券、期货交易场所的交易日以及国家法律法规规定需要对外披露基金净值的</w:t>
      </w:r>
      <w:proofErr w:type="gramStart"/>
      <w:r>
        <w:rPr>
          <w:rFonts w:hint="eastAsia"/>
          <w:bCs/>
          <w:sz w:val="24"/>
        </w:rPr>
        <w:t>非交易</w:t>
      </w:r>
      <w:proofErr w:type="gramEnd"/>
      <w:r>
        <w:rPr>
          <w:rFonts w:hint="eastAsia"/>
          <w:bCs/>
          <w:sz w:val="24"/>
        </w:rPr>
        <w:t>日。</w:t>
      </w:r>
    </w:p>
    <w:p w14:paraId="167F5BAA" w14:textId="77777777" w:rsidR="0069510E" w:rsidRDefault="00000000">
      <w:pPr>
        <w:autoSpaceDE w:val="0"/>
        <w:autoSpaceDN w:val="0"/>
        <w:spacing w:line="360" w:lineRule="auto"/>
        <w:ind w:firstLineChars="200" w:firstLine="482"/>
        <w:textAlignment w:val="bottom"/>
        <w:rPr>
          <w:b/>
          <w:bCs/>
          <w:sz w:val="24"/>
        </w:rPr>
      </w:pPr>
      <w:r>
        <w:rPr>
          <w:rFonts w:hint="eastAsia"/>
          <w:b/>
          <w:bCs/>
          <w:sz w:val="24"/>
        </w:rPr>
        <w:t>二、估值对象</w:t>
      </w:r>
    </w:p>
    <w:p w14:paraId="2EEC47EC"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基金所拥有的股票、存托凭证、股指期货合约、国债期货合约、债券和银行存款本息、资产支持证券、应收款项、其它投资、股票期权合约等资产及负债。</w:t>
      </w:r>
    </w:p>
    <w:p w14:paraId="3990074B" w14:textId="77777777" w:rsidR="0069510E" w:rsidRDefault="00000000">
      <w:pPr>
        <w:autoSpaceDE w:val="0"/>
        <w:autoSpaceDN w:val="0"/>
        <w:spacing w:line="360" w:lineRule="auto"/>
        <w:ind w:firstLineChars="200" w:firstLine="482"/>
        <w:textAlignment w:val="bottom"/>
        <w:rPr>
          <w:b/>
          <w:bCs/>
          <w:sz w:val="24"/>
        </w:rPr>
      </w:pPr>
      <w:r>
        <w:rPr>
          <w:rFonts w:hint="eastAsia"/>
          <w:b/>
          <w:bCs/>
          <w:sz w:val="24"/>
        </w:rPr>
        <w:t>三、估值原则</w:t>
      </w:r>
    </w:p>
    <w:p w14:paraId="6574AAED"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基金管理人在确定相关金融资产和金融负债的公允价值时，应符合《企业会计准则》、监管部门有关规定。</w:t>
      </w:r>
    </w:p>
    <w:p w14:paraId="47CE2867" w14:textId="77777777" w:rsidR="0069510E" w:rsidRDefault="00000000">
      <w:pPr>
        <w:autoSpaceDE w:val="0"/>
        <w:autoSpaceDN w:val="0"/>
        <w:spacing w:line="360" w:lineRule="auto"/>
        <w:ind w:firstLineChars="200" w:firstLine="480"/>
        <w:textAlignment w:val="bottom"/>
        <w:rPr>
          <w:bCs/>
          <w:sz w:val="24"/>
        </w:rPr>
      </w:pPr>
      <w:r>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4AF0DD3F" w14:textId="77777777" w:rsidR="0069510E" w:rsidRDefault="00000000">
      <w:pPr>
        <w:autoSpaceDE w:val="0"/>
        <w:autoSpaceDN w:val="0"/>
        <w:spacing w:line="360" w:lineRule="auto"/>
        <w:ind w:firstLineChars="200" w:firstLine="480"/>
        <w:textAlignment w:val="bottom"/>
        <w:rPr>
          <w:bCs/>
          <w:sz w:val="24"/>
        </w:rPr>
      </w:pPr>
      <w:r>
        <w:rPr>
          <w:rFonts w:hint="eastAsia"/>
          <w:bCs/>
          <w:sz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15648DF6" w14:textId="77777777" w:rsidR="0069510E" w:rsidRDefault="00000000">
      <w:pPr>
        <w:autoSpaceDE w:val="0"/>
        <w:autoSpaceDN w:val="0"/>
        <w:spacing w:line="360" w:lineRule="auto"/>
        <w:ind w:firstLineChars="200" w:firstLine="480"/>
        <w:textAlignment w:val="bottom"/>
        <w:rPr>
          <w:bCs/>
          <w:sz w:val="24"/>
        </w:rPr>
      </w:pPr>
      <w:r>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4DA6C233" w14:textId="77777777" w:rsidR="0069510E" w:rsidRDefault="00000000">
      <w:pPr>
        <w:autoSpaceDE w:val="0"/>
        <w:autoSpaceDN w:val="0"/>
        <w:spacing w:line="360" w:lineRule="auto"/>
        <w:ind w:firstLineChars="200" w:firstLine="480"/>
        <w:textAlignment w:val="bottom"/>
        <w:rPr>
          <w:bCs/>
          <w:sz w:val="24"/>
        </w:rPr>
      </w:pPr>
      <w:r>
        <w:rPr>
          <w:rFonts w:hint="eastAsia"/>
          <w:bCs/>
          <w:sz w:val="24"/>
        </w:rPr>
        <w:t>（三）如经济环境发生重大变化或证券发行人发生影响证券价格的重大事件，使潜在估值调整对前一估值日的基金资产净值的影响在</w:t>
      </w:r>
      <w:r>
        <w:rPr>
          <w:bCs/>
          <w:sz w:val="24"/>
        </w:rPr>
        <w:t>0.25%</w:t>
      </w:r>
      <w:r>
        <w:rPr>
          <w:rFonts w:hint="eastAsia"/>
          <w:bCs/>
          <w:sz w:val="24"/>
        </w:rPr>
        <w:t>以上的，应对估值进行调整并确定公允价值。</w:t>
      </w:r>
    </w:p>
    <w:p w14:paraId="11750256" w14:textId="77777777" w:rsidR="0069510E" w:rsidRDefault="00000000">
      <w:pPr>
        <w:autoSpaceDE w:val="0"/>
        <w:autoSpaceDN w:val="0"/>
        <w:spacing w:line="360" w:lineRule="auto"/>
        <w:ind w:firstLineChars="200" w:firstLine="482"/>
        <w:textAlignment w:val="bottom"/>
        <w:rPr>
          <w:b/>
          <w:bCs/>
          <w:sz w:val="24"/>
        </w:rPr>
      </w:pPr>
      <w:r>
        <w:rPr>
          <w:rFonts w:hint="eastAsia"/>
          <w:b/>
          <w:bCs/>
          <w:sz w:val="24"/>
        </w:rPr>
        <w:t>四、估值方法</w:t>
      </w:r>
    </w:p>
    <w:p w14:paraId="50E74E9F" w14:textId="77777777" w:rsidR="0069510E" w:rsidRDefault="00000000">
      <w:pPr>
        <w:autoSpaceDE w:val="0"/>
        <w:autoSpaceDN w:val="0"/>
        <w:spacing w:line="360" w:lineRule="auto"/>
        <w:ind w:firstLineChars="200" w:firstLine="480"/>
        <w:textAlignment w:val="bottom"/>
        <w:rPr>
          <w:bCs/>
          <w:sz w:val="24"/>
        </w:rPr>
      </w:pPr>
      <w:r>
        <w:rPr>
          <w:bCs/>
          <w:sz w:val="24"/>
        </w:rPr>
        <w:t>1</w:t>
      </w:r>
      <w:r>
        <w:rPr>
          <w:rFonts w:hint="eastAsia"/>
          <w:bCs/>
          <w:sz w:val="24"/>
        </w:rPr>
        <w:t>、证券交易所上市的有价证券的估值</w:t>
      </w:r>
    </w:p>
    <w:p w14:paraId="54BFF823" w14:textId="77777777" w:rsidR="0069510E" w:rsidRDefault="00000000">
      <w:pPr>
        <w:autoSpaceDE w:val="0"/>
        <w:autoSpaceDN w:val="0"/>
        <w:spacing w:line="360" w:lineRule="auto"/>
        <w:ind w:firstLineChars="200" w:firstLine="480"/>
        <w:textAlignment w:val="bottom"/>
        <w:rPr>
          <w:bCs/>
          <w:sz w:val="24"/>
        </w:rPr>
      </w:pPr>
      <w:r>
        <w:rPr>
          <w:rFonts w:hint="eastAsia"/>
          <w:bCs/>
          <w:sz w:val="24"/>
        </w:rPr>
        <w:lastRenderedPageBreak/>
        <w:t>（</w:t>
      </w:r>
      <w:r>
        <w:rPr>
          <w:bCs/>
          <w:sz w:val="24"/>
        </w:rPr>
        <w:t>1</w:t>
      </w:r>
      <w:r>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639F3067" w14:textId="77777777" w:rsidR="0069510E"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6D10C984" w14:textId="77777777" w:rsidR="0069510E"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380FAE96" w14:textId="77777777" w:rsidR="0069510E"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）交易所上市交易的可转换债券以每日收盘价作为估值全价；</w:t>
      </w:r>
    </w:p>
    <w:p w14:paraId="4CA97E0B" w14:textId="77777777" w:rsidR="0069510E"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5</w:t>
      </w:r>
      <w:r>
        <w:rPr>
          <w:rFonts w:hint="eastAsia"/>
          <w:bCs/>
          <w:sz w:val="24"/>
        </w:rPr>
        <w:t>）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1D5545C3" w14:textId="77777777" w:rsidR="0069510E"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6</w:t>
      </w:r>
      <w:r>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6B62148B" w14:textId="77777777" w:rsidR="0069510E" w:rsidRDefault="00000000">
      <w:pPr>
        <w:autoSpaceDE w:val="0"/>
        <w:autoSpaceDN w:val="0"/>
        <w:spacing w:line="360" w:lineRule="auto"/>
        <w:ind w:firstLineChars="200" w:firstLine="480"/>
        <w:textAlignment w:val="bottom"/>
        <w:rPr>
          <w:bCs/>
          <w:sz w:val="24"/>
        </w:rPr>
      </w:pPr>
      <w:r>
        <w:rPr>
          <w:bCs/>
          <w:sz w:val="24"/>
        </w:rPr>
        <w:t>2</w:t>
      </w:r>
      <w:r>
        <w:rPr>
          <w:rFonts w:hint="eastAsia"/>
          <w:bCs/>
          <w:sz w:val="24"/>
        </w:rPr>
        <w:t>、处于未上市期间的有价证券应区分如下情况处理：</w:t>
      </w:r>
    </w:p>
    <w:p w14:paraId="2CBAF602" w14:textId="77777777" w:rsidR="0069510E"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）送股、转增股、配股和公开增发的新股，按估值日在证券交易所挂牌的同一股票的估值方法估值；该日无交易的，以最近一日的市价（收盘价）估值；</w:t>
      </w:r>
    </w:p>
    <w:p w14:paraId="1B7C7894" w14:textId="77777777" w:rsidR="0069510E"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）首次公开发行未上市的股票、债券，采用估值技术确定公允价值，在估值技术难以可靠计量公允价值的情况下，按成本估值；</w:t>
      </w:r>
    </w:p>
    <w:p w14:paraId="112A950B" w14:textId="77777777" w:rsidR="0069510E" w:rsidRDefault="00000000">
      <w:pPr>
        <w:autoSpaceDE w:val="0"/>
        <w:autoSpaceDN w:val="0"/>
        <w:spacing w:line="360" w:lineRule="auto"/>
        <w:ind w:firstLineChars="200" w:firstLine="480"/>
        <w:textAlignment w:val="bottom"/>
        <w:rPr>
          <w:bCs/>
          <w:sz w:val="24"/>
        </w:rPr>
      </w:pPr>
      <w:r>
        <w:rPr>
          <w:rFonts w:hint="eastAsia"/>
          <w:bCs/>
          <w:sz w:val="24"/>
        </w:rPr>
        <w:lastRenderedPageBreak/>
        <w:t>（</w:t>
      </w:r>
      <w:r>
        <w:rPr>
          <w:bCs/>
          <w:sz w:val="24"/>
        </w:rPr>
        <w:t>3</w:t>
      </w:r>
      <w:r>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Pr>
          <w:rFonts w:hint="eastAsia"/>
          <w:bCs/>
          <w:sz w:val="24"/>
        </w:rPr>
        <w:t>券</w:t>
      </w:r>
      <w:proofErr w:type="gramEnd"/>
      <w:r>
        <w:rPr>
          <w:rFonts w:hint="eastAsia"/>
          <w:bCs/>
          <w:sz w:val="24"/>
        </w:rPr>
        <w:t>等流通受限股票），按监管机构或行业协会有关规定确定公允价值。</w:t>
      </w:r>
    </w:p>
    <w:p w14:paraId="29A48138" w14:textId="77777777" w:rsidR="0069510E" w:rsidRDefault="00000000">
      <w:pPr>
        <w:autoSpaceDE w:val="0"/>
        <w:autoSpaceDN w:val="0"/>
        <w:spacing w:line="360" w:lineRule="auto"/>
        <w:ind w:firstLineChars="200" w:firstLine="480"/>
        <w:textAlignment w:val="bottom"/>
        <w:rPr>
          <w:bCs/>
          <w:sz w:val="24"/>
        </w:rPr>
      </w:pPr>
      <w:r>
        <w:rPr>
          <w:bCs/>
          <w:sz w:val="24"/>
        </w:rPr>
        <w:t>3</w:t>
      </w:r>
      <w:r>
        <w:rPr>
          <w:rFonts w:hint="eastAsia"/>
          <w:bCs/>
          <w:sz w:val="24"/>
        </w:rPr>
        <w:t>、全国银行间债券市场交易的债券、资产支持证券等固定收益品种，以第三方估值机构提供的价格数据估值。</w:t>
      </w:r>
    </w:p>
    <w:p w14:paraId="26FDF9FE" w14:textId="77777777" w:rsidR="0069510E" w:rsidRDefault="00000000">
      <w:pPr>
        <w:autoSpaceDE w:val="0"/>
        <w:autoSpaceDN w:val="0"/>
        <w:spacing w:line="360" w:lineRule="auto"/>
        <w:ind w:firstLineChars="200" w:firstLine="480"/>
        <w:textAlignment w:val="bottom"/>
        <w:rPr>
          <w:bCs/>
          <w:sz w:val="24"/>
        </w:rPr>
      </w:pPr>
      <w:r>
        <w:rPr>
          <w:bCs/>
          <w:sz w:val="24"/>
        </w:rPr>
        <w:t>4</w:t>
      </w:r>
      <w:r>
        <w:rPr>
          <w:rFonts w:hint="eastAsia"/>
          <w:bCs/>
          <w:sz w:val="24"/>
        </w:rPr>
        <w:t>、同一证券同时在两个或两个以上市场交易的，按证券所处的市场分别估值。</w:t>
      </w:r>
    </w:p>
    <w:p w14:paraId="786C4509" w14:textId="77777777" w:rsidR="0069510E" w:rsidRDefault="00000000">
      <w:pPr>
        <w:autoSpaceDE w:val="0"/>
        <w:autoSpaceDN w:val="0"/>
        <w:spacing w:line="360" w:lineRule="auto"/>
        <w:ind w:firstLineChars="200" w:firstLine="480"/>
        <w:textAlignment w:val="bottom"/>
        <w:rPr>
          <w:bCs/>
          <w:sz w:val="24"/>
        </w:rPr>
      </w:pPr>
      <w:r>
        <w:rPr>
          <w:bCs/>
          <w:sz w:val="24"/>
        </w:rPr>
        <w:t>5</w:t>
      </w:r>
      <w:r>
        <w:rPr>
          <w:rFonts w:hint="eastAsia"/>
          <w:bCs/>
          <w:sz w:val="24"/>
        </w:rPr>
        <w:t>、本基金投资国债期货合约、股指期货合约、股票期权合约，一般以估值当日结算价进行估值，估值当日无结算价的，且最近交易日后经济环境未发生重大变化的，采用最近交易日结算价估值。</w:t>
      </w:r>
    </w:p>
    <w:p w14:paraId="6CA15A36" w14:textId="77777777" w:rsidR="0069510E" w:rsidRDefault="00000000">
      <w:pPr>
        <w:autoSpaceDE w:val="0"/>
        <w:autoSpaceDN w:val="0"/>
        <w:spacing w:line="360" w:lineRule="auto"/>
        <w:ind w:firstLineChars="200" w:firstLine="480"/>
        <w:textAlignment w:val="bottom"/>
        <w:rPr>
          <w:bCs/>
          <w:sz w:val="24"/>
        </w:rPr>
      </w:pPr>
      <w:r>
        <w:rPr>
          <w:bCs/>
          <w:sz w:val="24"/>
        </w:rPr>
        <w:t>6</w:t>
      </w:r>
      <w:r>
        <w:rPr>
          <w:rFonts w:hint="eastAsia"/>
          <w:bCs/>
          <w:sz w:val="24"/>
        </w:rPr>
        <w:t>、本基金投资存托凭证的估值核算，依照境内上市交易的股票执行。</w:t>
      </w:r>
    </w:p>
    <w:p w14:paraId="050EB1D9" w14:textId="77777777" w:rsidR="0069510E" w:rsidRDefault="00000000">
      <w:pPr>
        <w:autoSpaceDE w:val="0"/>
        <w:autoSpaceDN w:val="0"/>
        <w:spacing w:line="360" w:lineRule="auto"/>
        <w:ind w:firstLineChars="200" w:firstLine="480"/>
        <w:textAlignment w:val="bottom"/>
        <w:rPr>
          <w:bCs/>
          <w:sz w:val="24"/>
        </w:rPr>
      </w:pPr>
      <w:r>
        <w:rPr>
          <w:bCs/>
          <w:sz w:val="24"/>
        </w:rPr>
        <w:t>7</w:t>
      </w:r>
      <w:r>
        <w:rPr>
          <w:rFonts w:hint="eastAsia"/>
          <w:bCs/>
          <w:sz w:val="24"/>
        </w:rPr>
        <w:t>、其他资产按法律法规或监管机构有关规定进行估值。</w:t>
      </w:r>
    </w:p>
    <w:p w14:paraId="1FC9786C" w14:textId="77777777" w:rsidR="0069510E" w:rsidRDefault="00000000">
      <w:pPr>
        <w:autoSpaceDE w:val="0"/>
        <w:autoSpaceDN w:val="0"/>
        <w:spacing w:line="360" w:lineRule="auto"/>
        <w:ind w:firstLineChars="200" w:firstLine="480"/>
        <w:textAlignment w:val="bottom"/>
        <w:rPr>
          <w:bCs/>
          <w:sz w:val="24"/>
        </w:rPr>
      </w:pPr>
      <w:r>
        <w:rPr>
          <w:bCs/>
          <w:sz w:val="24"/>
        </w:rPr>
        <w:t>8</w:t>
      </w:r>
      <w:r>
        <w:rPr>
          <w:rFonts w:hint="eastAsia"/>
          <w:bCs/>
          <w:sz w:val="24"/>
        </w:rPr>
        <w:t>、如有确凿证据表明按上述方法进行估值不能客观反映其公允价值的，基金管理人可根据具体情况与基金托管人商定后，按最能反映公允价值的方法估值。</w:t>
      </w:r>
    </w:p>
    <w:p w14:paraId="0F1D8F9E" w14:textId="77777777" w:rsidR="0069510E" w:rsidRDefault="00000000">
      <w:pPr>
        <w:autoSpaceDE w:val="0"/>
        <w:autoSpaceDN w:val="0"/>
        <w:spacing w:line="360" w:lineRule="auto"/>
        <w:ind w:firstLineChars="200" w:firstLine="480"/>
        <w:textAlignment w:val="bottom"/>
        <w:rPr>
          <w:bCs/>
          <w:sz w:val="24"/>
        </w:rPr>
      </w:pPr>
      <w:r>
        <w:rPr>
          <w:bCs/>
          <w:sz w:val="24"/>
        </w:rPr>
        <w:t>9</w:t>
      </w:r>
      <w:r>
        <w:rPr>
          <w:rFonts w:hint="eastAsia"/>
          <w:bCs/>
          <w:sz w:val="24"/>
        </w:rPr>
        <w:t>、当本基金发生大额申购或赎回情形时，基金管理人可以对本基金采用摆动定价机制，以确保基金估值的公平性。</w:t>
      </w:r>
    </w:p>
    <w:p w14:paraId="7C1B65B4" w14:textId="77777777" w:rsidR="0069510E" w:rsidRDefault="00000000">
      <w:pPr>
        <w:autoSpaceDE w:val="0"/>
        <w:autoSpaceDN w:val="0"/>
        <w:spacing w:line="360" w:lineRule="auto"/>
        <w:ind w:firstLineChars="200" w:firstLine="480"/>
        <w:textAlignment w:val="bottom"/>
        <w:rPr>
          <w:bCs/>
          <w:sz w:val="24"/>
        </w:rPr>
      </w:pPr>
      <w:r>
        <w:rPr>
          <w:bCs/>
          <w:sz w:val="24"/>
        </w:rPr>
        <w:t>10</w:t>
      </w:r>
      <w:r>
        <w:rPr>
          <w:rFonts w:hint="eastAsia"/>
          <w:bCs/>
          <w:sz w:val="24"/>
        </w:rPr>
        <w:t>、相关法律法规以及监管部门有强制规定的，从其规定。如有新增事项，按国家最新规定估值。</w:t>
      </w:r>
    </w:p>
    <w:p w14:paraId="4219AB44"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6DCC39B9" w14:textId="77777777" w:rsidR="0069510E" w:rsidRDefault="00000000">
      <w:pPr>
        <w:autoSpaceDE w:val="0"/>
        <w:autoSpaceDN w:val="0"/>
        <w:spacing w:line="360" w:lineRule="auto"/>
        <w:ind w:firstLineChars="200" w:firstLine="480"/>
        <w:textAlignment w:val="bottom"/>
        <w:rPr>
          <w:bCs/>
          <w:sz w:val="24"/>
        </w:rPr>
      </w:pPr>
      <w:r>
        <w:rPr>
          <w:rFonts w:hint="eastAsia"/>
          <w:bCs/>
          <w:sz w:val="24"/>
        </w:rPr>
        <w:t>根据有关法律法规，基金资产净值计算和基金会计核算的义务由基金管理人承担，基金托管人承担复核责任。本基金的基金会计</w:t>
      </w:r>
      <w:proofErr w:type="gramStart"/>
      <w:r>
        <w:rPr>
          <w:rFonts w:hint="eastAsia"/>
          <w:bCs/>
          <w:sz w:val="24"/>
        </w:rPr>
        <w:t>主责任</w:t>
      </w:r>
      <w:proofErr w:type="gramEnd"/>
      <w:r>
        <w:rPr>
          <w:rFonts w:hint="eastAsia"/>
          <w:bCs/>
          <w:sz w:val="24"/>
        </w:rPr>
        <w:t>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14:paraId="4ECF6F3C" w14:textId="77777777" w:rsidR="0069510E" w:rsidRDefault="00000000">
      <w:pPr>
        <w:autoSpaceDE w:val="0"/>
        <w:autoSpaceDN w:val="0"/>
        <w:spacing w:line="360" w:lineRule="auto"/>
        <w:ind w:firstLineChars="200" w:firstLine="482"/>
        <w:textAlignment w:val="bottom"/>
        <w:rPr>
          <w:b/>
          <w:bCs/>
          <w:sz w:val="24"/>
        </w:rPr>
      </w:pPr>
      <w:r>
        <w:rPr>
          <w:rFonts w:hint="eastAsia"/>
          <w:b/>
          <w:bCs/>
          <w:sz w:val="24"/>
        </w:rPr>
        <w:t>五、估值程序</w:t>
      </w:r>
    </w:p>
    <w:p w14:paraId="06EB228C" w14:textId="77777777" w:rsidR="0069510E" w:rsidRDefault="00000000">
      <w:pPr>
        <w:autoSpaceDE w:val="0"/>
        <w:autoSpaceDN w:val="0"/>
        <w:spacing w:line="360" w:lineRule="auto"/>
        <w:ind w:firstLineChars="200" w:firstLine="480"/>
        <w:textAlignment w:val="bottom"/>
        <w:rPr>
          <w:bCs/>
          <w:sz w:val="24"/>
        </w:rPr>
      </w:pPr>
      <w:r>
        <w:rPr>
          <w:bCs/>
          <w:sz w:val="24"/>
        </w:rPr>
        <w:t>1</w:t>
      </w:r>
      <w:r>
        <w:rPr>
          <w:rFonts w:hint="eastAsia"/>
          <w:bCs/>
          <w:sz w:val="24"/>
        </w:rPr>
        <w:t>、各类基金份额净值是按照每个工作日闭市后，该类基金资产净值除以当日</w:t>
      </w:r>
      <w:r>
        <w:rPr>
          <w:rFonts w:hint="eastAsia"/>
          <w:bCs/>
          <w:sz w:val="24"/>
        </w:rPr>
        <w:lastRenderedPageBreak/>
        <w:t>该类基金份额的余额数量计算，精确到</w:t>
      </w:r>
      <w:r>
        <w:rPr>
          <w:bCs/>
          <w:sz w:val="24"/>
        </w:rPr>
        <w:t>0.0001</w:t>
      </w:r>
      <w:r>
        <w:rPr>
          <w:rFonts w:hint="eastAsia"/>
          <w:bCs/>
          <w:sz w:val="24"/>
        </w:rPr>
        <w:t>元，小数点后第</w:t>
      </w:r>
      <w:r>
        <w:rPr>
          <w:bCs/>
          <w:sz w:val="24"/>
        </w:rPr>
        <w:t>5</w:t>
      </w:r>
      <w:r>
        <w:rPr>
          <w:rFonts w:hint="eastAsia"/>
          <w:bCs/>
          <w:sz w:val="24"/>
        </w:rPr>
        <w:t>位四舍五入，由此产生的收益或损失由基金财产承担。基金管理人可以设立大额赎回情形下的净值精度应急调整机制。国家另有规定的，从其规定。</w:t>
      </w:r>
    </w:p>
    <w:p w14:paraId="05990EDC"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基金管理人每个工作日计算基金资产净值及各类基金份额净值，经基金托管人复核，并按规定公告。</w:t>
      </w:r>
    </w:p>
    <w:p w14:paraId="5BDBB1A9" w14:textId="77777777" w:rsidR="0069510E" w:rsidRDefault="00000000">
      <w:pPr>
        <w:autoSpaceDE w:val="0"/>
        <w:autoSpaceDN w:val="0"/>
        <w:spacing w:line="360" w:lineRule="auto"/>
        <w:ind w:firstLineChars="200" w:firstLine="480"/>
        <w:textAlignment w:val="bottom"/>
        <w:rPr>
          <w:bCs/>
          <w:sz w:val="24"/>
        </w:rPr>
      </w:pPr>
      <w:r>
        <w:rPr>
          <w:bCs/>
          <w:sz w:val="24"/>
        </w:rPr>
        <w:t>2</w:t>
      </w:r>
      <w:r>
        <w:rPr>
          <w:rFonts w:hint="eastAsia"/>
          <w:bCs/>
          <w:sz w:val="24"/>
        </w:rPr>
        <w:t>、基金管理人</w:t>
      </w:r>
      <w:proofErr w:type="gramStart"/>
      <w:r>
        <w:rPr>
          <w:rFonts w:hint="eastAsia"/>
          <w:bCs/>
          <w:sz w:val="24"/>
        </w:rPr>
        <w:t>应每个</w:t>
      </w:r>
      <w:proofErr w:type="gramEnd"/>
      <w:r>
        <w:rPr>
          <w:rFonts w:hint="eastAsia"/>
          <w:bCs/>
          <w:sz w:val="24"/>
        </w:rPr>
        <w:t>工作日对基金资产估值。但基金管理人根据法律法规或基金合同的规定暂停估值时除外。基金管理人每个工作日对基金资产估值后，将各类基金份额净值结果发送基金托管人，经基金托管人复核无误后，由基金管理人按规定对外公布。</w:t>
      </w:r>
    </w:p>
    <w:p w14:paraId="163B92E3" w14:textId="77777777" w:rsidR="0069510E" w:rsidRDefault="00000000">
      <w:pPr>
        <w:autoSpaceDE w:val="0"/>
        <w:autoSpaceDN w:val="0"/>
        <w:spacing w:line="360" w:lineRule="auto"/>
        <w:ind w:firstLineChars="200" w:firstLine="482"/>
        <w:textAlignment w:val="bottom"/>
        <w:rPr>
          <w:b/>
          <w:bCs/>
          <w:sz w:val="24"/>
        </w:rPr>
      </w:pPr>
      <w:r>
        <w:rPr>
          <w:rFonts w:hint="eastAsia"/>
          <w:b/>
          <w:bCs/>
          <w:sz w:val="24"/>
        </w:rPr>
        <w:t>六、估值错误的处理</w:t>
      </w:r>
    </w:p>
    <w:p w14:paraId="067ED6ED"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基金管理人和基金托管人将采取必要、适当、合理的措施确保基金资产估值的准确性、及时性。当任一类基金份额净值小数点后</w:t>
      </w:r>
      <w:r>
        <w:rPr>
          <w:bCs/>
          <w:sz w:val="24"/>
        </w:rPr>
        <w:t>4</w:t>
      </w:r>
      <w:r>
        <w:rPr>
          <w:rFonts w:hint="eastAsia"/>
          <w:bCs/>
          <w:sz w:val="24"/>
        </w:rPr>
        <w:t>位以内</w:t>
      </w:r>
      <w:r>
        <w:rPr>
          <w:bCs/>
          <w:sz w:val="24"/>
        </w:rPr>
        <w:t>(</w:t>
      </w:r>
      <w:r>
        <w:rPr>
          <w:rFonts w:hint="eastAsia"/>
          <w:bCs/>
          <w:sz w:val="24"/>
        </w:rPr>
        <w:t>含第</w:t>
      </w:r>
      <w:r>
        <w:rPr>
          <w:bCs/>
          <w:sz w:val="24"/>
        </w:rPr>
        <w:t>4</w:t>
      </w:r>
      <w:r>
        <w:rPr>
          <w:rFonts w:hint="eastAsia"/>
          <w:bCs/>
          <w:sz w:val="24"/>
        </w:rPr>
        <w:t>位</w:t>
      </w:r>
      <w:r>
        <w:rPr>
          <w:bCs/>
          <w:sz w:val="24"/>
        </w:rPr>
        <w:t>)</w:t>
      </w:r>
      <w:r>
        <w:rPr>
          <w:rFonts w:hint="eastAsia"/>
          <w:bCs/>
          <w:sz w:val="24"/>
        </w:rPr>
        <w:t>发生估值错误时，视为该类基金份额净值错误。</w:t>
      </w:r>
    </w:p>
    <w:p w14:paraId="4B07E803"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基金合同的当事人应按照以下约定处理：</w:t>
      </w:r>
    </w:p>
    <w:p w14:paraId="095C917C" w14:textId="77777777" w:rsidR="0069510E" w:rsidRDefault="00000000">
      <w:pPr>
        <w:autoSpaceDE w:val="0"/>
        <w:autoSpaceDN w:val="0"/>
        <w:spacing w:line="360" w:lineRule="auto"/>
        <w:ind w:firstLineChars="200" w:firstLine="480"/>
        <w:textAlignment w:val="bottom"/>
        <w:rPr>
          <w:bCs/>
          <w:sz w:val="24"/>
        </w:rPr>
      </w:pPr>
      <w:r>
        <w:rPr>
          <w:bCs/>
          <w:sz w:val="24"/>
        </w:rPr>
        <w:t>1</w:t>
      </w:r>
      <w:r>
        <w:rPr>
          <w:rFonts w:hint="eastAsia"/>
          <w:bCs/>
          <w:sz w:val="24"/>
        </w:rPr>
        <w:t>、估值错误类型</w:t>
      </w:r>
    </w:p>
    <w:p w14:paraId="3F460615" w14:textId="77777777" w:rsidR="0069510E" w:rsidRDefault="00000000">
      <w:pPr>
        <w:autoSpaceDE w:val="0"/>
        <w:autoSpaceDN w:val="0"/>
        <w:spacing w:line="360" w:lineRule="auto"/>
        <w:ind w:firstLineChars="200" w:firstLine="480"/>
        <w:textAlignment w:val="bottom"/>
        <w:rPr>
          <w:bCs/>
          <w:sz w:val="24"/>
        </w:rPr>
      </w:pPr>
      <w:r>
        <w:rPr>
          <w:rFonts w:hint="eastAsia"/>
          <w:bCs/>
          <w:sz w:val="24"/>
        </w:rPr>
        <w:t>本基金运作过程中，如果由于基金管理人或基金托管人、或登记机构、或证券经纪机构、或销售机构、或投资人自身的过错造成估值错误，导致其他当事人遭受损失的，过错的责任人应当对由于该估值错误遭受损失当事人</w:t>
      </w:r>
      <w:r>
        <w:rPr>
          <w:bCs/>
          <w:sz w:val="24"/>
        </w:rPr>
        <w:t>(</w:t>
      </w:r>
      <w:r>
        <w:rPr>
          <w:rFonts w:hint="eastAsia"/>
          <w:bCs/>
          <w:sz w:val="24"/>
        </w:rPr>
        <w:t>“受损方”</w:t>
      </w:r>
      <w:r>
        <w:rPr>
          <w:bCs/>
          <w:sz w:val="24"/>
        </w:rPr>
        <w:t>)</w:t>
      </w:r>
      <w:r>
        <w:rPr>
          <w:rFonts w:hint="eastAsia"/>
          <w:bCs/>
          <w:sz w:val="24"/>
        </w:rPr>
        <w:t>的直接损失按下述“估值错误处理原则”给予赔偿，承担赔偿责任。</w:t>
      </w:r>
    </w:p>
    <w:p w14:paraId="7C642AC4" w14:textId="77777777" w:rsidR="0069510E" w:rsidRDefault="00000000">
      <w:pPr>
        <w:autoSpaceDE w:val="0"/>
        <w:autoSpaceDN w:val="0"/>
        <w:spacing w:line="360" w:lineRule="auto"/>
        <w:ind w:firstLineChars="200" w:firstLine="480"/>
        <w:textAlignment w:val="bottom"/>
        <w:rPr>
          <w:bCs/>
          <w:sz w:val="24"/>
        </w:rPr>
      </w:pPr>
      <w:r>
        <w:rPr>
          <w:rFonts w:hint="eastAsia"/>
          <w:bCs/>
          <w:sz w:val="24"/>
        </w:rPr>
        <w:t>上述估值错误的主要类型包括但不限于：资料申报差错、数据传输差错、数据计算差错、系统故障差错、下达指令差错等。</w:t>
      </w:r>
    </w:p>
    <w:p w14:paraId="29C9AAEC" w14:textId="77777777" w:rsidR="0069510E" w:rsidRDefault="00000000">
      <w:pPr>
        <w:autoSpaceDE w:val="0"/>
        <w:autoSpaceDN w:val="0"/>
        <w:spacing w:line="360" w:lineRule="auto"/>
        <w:ind w:firstLineChars="200" w:firstLine="480"/>
        <w:textAlignment w:val="bottom"/>
        <w:rPr>
          <w:bCs/>
          <w:sz w:val="24"/>
        </w:rPr>
      </w:pPr>
      <w:r>
        <w:rPr>
          <w:bCs/>
          <w:sz w:val="24"/>
        </w:rPr>
        <w:t>2</w:t>
      </w:r>
      <w:r>
        <w:rPr>
          <w:rFonts w:hint="eastAsia"/>
          <w:bCs/>
          <w:sz w:val="24"/>
        </w:rPr>
        <w:t>、估值错误处理原则</w:t>
      </w:r>
    </w:p>
    <w:p w14:paraId="38AEF42E" w14:textId="77777777" w:rsidR="0069510E"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2ADA5763" w14:textId="77777777" w:rsidR="0069510E"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）估值错误的责任方对有关当事人的直接损失负责，不对间接损失负责，</w:t>
      </w:r>
      <w:r>
        <w:rPr>
          <w:rFonts w:hint="eastAsia"/>
          <w:bCs/>
          <w:sz w:val="24"/>
        </w:rPr>
        <w:lastRenderedPageBreak/>
        <w:t>并且仅对估值错误的有关直接当事人负责，不对第三方负责。</w:t>
      </w:r>
    </w:p>
    <w:p w14:paraId="1557402B" w14:textId="77777777" w:rsidR="0069510E"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）因估值错误而获得不当得利的当事人负有及时返还不当得利的义务。但估值错误责任方仍应对估值错误负责。如果由于获得不当得利的当事人</w:t>
      </w:r>
      <w:proofErr w:type="gramStart"/>
      <w:r>
        <w:rPr>
          <w:rFonts w:hint="eastAsia"/>
          <w:bCs/>
          <w:sz w:val="24"/>
        </w:rPr>
        <w:t>不</w:t>
      </w:r>
      <w:proofErr w:type="gramEnd"/>
      <w:r>
        <w:rPr>
          <w:rFonts w:hint="eastAsia"/>
          <w:bCs/>
          <w:sz w:val="24"/>
        </w:rPr>
        <w:t>返还或不全部返还不当得利造成其他当事人的利益损失</w:t>
      </w:r>
      <w:r>
        <w:rPr>
          <w:bCs/>
          <w:sz w:val="24"/>
        </w:rPr>
        <w:t>(</w:t>
      </w:r>
      <w:r>
        <w:rPr>
          <w:rFonts w:hint="eastAsia"/>
          <w:bCs/>
          <w:sz w:val="24"/>
        </w:rPr>
        <w:t>“受损方”</w:t>
      </w:r>
      <w:r>
        <w:rPr>
          <w:bCs/>
          <w:sz w:val="24"/>
        </w:rPr>
        <w:t>)</w:t>
      </w:r>
      <w:r>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4F4564DF" w14:textId="77777777" w:rsidR="0069510E"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）估值错误调整采用尽量恢复至假设未发生估值错误的正确情形的方式。</w:t>
      </w:r>
    </w:p>
    <w:p w14:paraId="343BA225" w14:textId="77777777" w:rsidR="0069510E" w:rsidRDefault="00000000">
      <w:pPr>
        <w:autoSpaceDE w:val="0"/>
        <w:autoSpaceDN w:val="0"/>
        <w:spacing w:line="360" w:lineRule="auto"/>
        <w:ind w:firstLineChars="200" w:firstLine="480"/>
        <w:textAlignment w:val="bottom"/>
        <w:rPr>
          <w:bCs/>
          <w:sz w:val="24"/>
        </w:rPr>
      </w:pPr>
      <w:r>
        <w:rPr>
          <w:bCs/>
          <w:sz w:val="24"/>
        </w:rPr>
        <w:t>3</w:t>
      </w:r>
      <w:r>
        <w:rPr>
          <w:rFonts w:hint="eastAsia"/>
          <w:bCs/>
          <w:sz w:val="24"/>
        </w:rPr>
        <w:t>、估值错误处理程序</w:t>
      </w:r>
    </w:p>
    <w:p w14:paraId="6EC824D4" w14:textId="77777777" w:rsidR="0069510E" w:rsidRDefault="00000000">
      <w:pPr>
        <w:autoSpaceDE w:val="0"/>
        <w:autoSpaceDN w:val="0"/>
        <w:spacing w:line="360" w:lineRule="auto"/>
        <w:ind w:firstLineChars="200" w:firstLine="480"/>
        <w:textAlignment w:val="bottom"/>
        <w:rPr>
          <w:bCs/>
          <w:sz w:val="24"/>
        </w:rPr>
      </w:pPr>
      <w:r>
        <w:rPr>
          <w:rFonts w:hint="eastAsia"/>
          <w:bCs/>
          <w:sz w:val="24"/>
        </w:rPr>
        <w:t>估值错误被发现后，有关的当事人应当及时进行处理，处理的程序如下：</w:t>
      </w:r>
    </w:p>
    <w:p w14:paraId="0F39CC7C" w14:textId="77777777" w:rsidR="0069510E"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）查明估值错误发生的原因，列明所有的当事人，并根据估值错误发生的原因确定估值错误的责任方；</w:t>
      </w:r>
    </w:p>
    <w:p w14:paraId="37666114" w14:textId="77777777" w:rsidR="0069510E"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）根据估值错误处理原则或当事人协商的方法对因估值错误造成的损失进行评估；</w:t>
      </w:r>
    </w:p>
    <w:p w14:paraId="6DA7004C" w14:textId="77777777" w:rsidR="0069510E"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）根据估值错误处理原则或当事人协商的方法由估值错误的责任方进行更正和赔偿损失；</w:t>
      </w:r>
    </w:p>
    <w:p w14:paraId="3AC3611D" w14:textId="77777777" w:rsidR="0069510E"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）根据估值错误处理的方法，需要修改基金份额登记机构交易数据的，由基金份额登记机构进行更正，并就估值错误的更正向有关当事人进行确认。</w:t>
      </w:r>
    </w:p>
    <w:p w14:paraId="747178F6" w14:textId="77777777" w:rsidR="0069510E" w:rsidRDefault="00000000">
      <w:pPr>
        <w:autoSpaceDE w:val="0"/>
        <w:autoSpaceDN w:val="0"/>
        <w:spacing w:line="360" w:lineRule="auto"/>
        <w:ind w:firstLineChars="200" w:firstLine="480"/>
        <w:textAlignment w:val="bottom"/>
        <w:rPr>
          <w:bCs/>
          <w:sz w:val="24"/>
        </w:rPr>
      </w:pPr>
      <w:r>
        <w:rPr>
          <w:bCs/>
          <w:sz w:val="24"/>
        </w:rPr>
        <w:t>4</w:t>
      </w:r>
      <w:r>
        <w:rPr>
          <w:rFonts w:hint="eastAsia"/>
          <w:bCs/>
          <w:sz w:val="24"/>
        </w:rPr>
        <w:t>、基金份额净值估值错误处理的方法如下：</w:t>
      </w:r>
    </w:p>
    <w:p w14:paraId="403A76FE" w14:textId="77777777" w:rsidR="0069510E"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）基金份额净值计算出现错误时，基金管理人应当立即予以纠正，通报基金托管人，并采取合理的措施防止损失进一步扩大。</w:t>
      </w:r>
    </w:p>
    <w:p w14:paraId="1DF3D168" w14:textId="77777777" w:rsidR="0069510E"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）错误偏差达到某类基金份额净值的</w:t>
      </w:r>
      <w:r>
        <w:rPr>
          <w:bCs/>
          <w:sz w:val="24"/>
        </w:rPr>
        <w:t>0.25%</w:t>
      </w:r>
      <w:r>
        <w:rPr>
          <w:rFonts w:hint="eastAsia"/>
          <w:bCs/>
          <w:sz w:val="24"/>
        </w:rPr>
        <w:t>时，基金管理人应当通报基金托管人并报中国证监会备案；错误偏差达到某类基金份额净值的</w:t>
      </w:r>
      <w:r>
        <w:rPr>
          <w:bCs/>
          <w:sz w:val="24"/>
        </w:rPr>
        <w:t>0.5%</w:t>
      </w:r>
      <w:r>
        <w:rPr>
          <w:rFonts w:hint="eastAsia"/>
          <w:bCs/>
          <w:sz w:val="24"/>
        </w:rPr>
        <w:t>时，基金管理人应当公告，并报中国证监会备案。</w:t>
      </w:r>
    </w:p>
    <w:p w14:paraId="2DB5422C" w14:textId="77777777" w:rsidR="0069510E"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）前述内容如法律法规或监管机关另有规定的，从其规定处理。</w:t>
      </w:r>
    </w:p>
    <w:p w14:paraId="1DB85F17" w14:textId="77777777" w:rsidR="0069510E" w:rsidRDefault="00000000">
      <w:pPr>
        <w:autoSpaceDE w:val="0"/>
        <w:autoSpaceDN w:val="0"/>
        <w:spacing w:line="360" w:lineRule="auto"/>
        <w:ind w:firstLineChars="200" w:firstLine="482"/>
        <w:textAlignment w:val="bottom"/>
        <w:rPr>
          <w:b/>
          <w:bCs/>
          <w:sz w:val="24"/>
        </w:rPr>
      </w:pPr>
      <w:r>
        <w:rPr>
          <w:rFonts w:hint="eastAsia"/>
          <w:b/>
          <w:bCs/>
          <w:sz w:val="24"/>
        </w:rPr>
        <w:t>七、暂停估值的情形</w:t>
      </w:r>
    </w:p>
    <w:p w14:paraId="4524A54F" w14:textId="77777777" w:rsidR="0069510E" w:rsidRDefault="00000000">
      <w:pPr>
        <w:autoSpaceDE w:val="0"/>
        <w:autoSpaceDN w:val="0"/>
        <w:spacing w:line="360" w:lineRule="auto"/>
        <w:ind w:firstLineChars="200" w:firstLine="480"/>
        <w:textAlignment w:val="bottom"/>
        <w:rPr>
          <w:bCs/>
          <w:sz w:val="24"/>
        </w:rPr>
      </w:pPr>
      <w:r>
        <w:rPr>
          <w:bCs/>
          <w:sz w:val="24"/>
        </w:rPr>
        <w:t>1</w:t>
      </w:r>
      <w:r>
        <w:rPr>
          <w:rFonts w:hint="eastAsia"/>
          <w:bCs/>
          <w:sz w:val="24"/>
        </w:rPr>
        <w:t>、基金投资所涉及的证券、期货交易市场遇法定节假日或因其他原因暂停营业时；</w:t>
      </w:r>
    </w:p>
    <w:p w14:paraId="29E6AB21" w14:textId="77777777" w:rsidR="0069510E" w:rsidRDefault="00000000">
      <w:pPr>
        <w:autoSpaceDE w:val="0"/>
        <w:autoSpaceDN w:val="0"/>
        <w:spacing w:line="360" w:lineRule="auto"/>
        <w:ind w:firstLineChars="200" w:firstLine="480"/>
        <w:textAlignment w:val="bottom"/>
        <w:rPr>
          <w:bCs/>
          <w:sz w:val="24"/>
        </w:rPr>
      </w:pPr>
      <w:r>
        <w:rPr>
          <w:bCs/>
          <w:sz w:val="24"/>
        </w:rPr>
        <w:lastRenderedPageBreak/>
        <w:t>2</w:t>
      </w:r>
      <w:r>
        <w:rPr>
          <w:rFonts w:hint="eastAsia"/>
          <w:bCs/>
          <w:sz w:val="24"/>
        </w:rPr>
        <w:t>、因不可抗力或其他情形致使基金管理人、基金托管人无法准确评估基金资产价值时；</w:t>
      </w:r>
    </w:p>
    <w:p w14:paraId="113FEC41" w14:textId="77777777" w:rsidR="0069510E" w:rsidRDefault="00000000">
      <w:pPr>
        <w:autoSpaceDE w:val="0"/>
        <w:autoSpaceDN w:val="0"/>
        <w:spacing w:line="360" w:lineRule="auto"/>
        <w:ind w:firstLineChars="200" w:firstLine="480"/>
        <w:textAlignment w:val="bottom"/>
        <w:rPr>
          <w:bCs/>
          <w:sz w:val="24"/>
        </w:rPr>
      </w:pPr>
      <w:r>
        <w:rPr>
          <w:bCs/>
          <w:sz w:val="24"/>
        </w:rPr>
        <w:t>3</w:t>
      </w:r>
      <w:r>
        <w:rPr>
          <w:rFonts w:hint="eastAsia"/>
          <w:bCs/>
          <w:sz w:val="24"/>
        </w:rPr>
        <w:t>、当特定资产占前一估值日基金资产净值</w:t>
      </w:r>
      <w:r>
        <w:rPr>
          <w:bCs/>
          <w:sz w:val="24"/>
        </w:rPr>
        <w:t>50%</w:t>
      </w:r>
      <w:r>
        <w:rPr>
          <w:rFonts w:hint="eastAsia"/>
          <w:bCs/>
          <w:sz w:val="24"/>
        </w:rPr>
        <w:t>以上的，经与基金托管人协商确认后，基金管理人应当暂停基金估值；</w:t>
      </w:r>
    </w:p>
    <w:p w14:paraId="5C57363B" w14:textId="77777777" w:rsidR="0069510E" w:rsidRDefault="00000000">
      <w:pPr>
        <w:autoSpaceDE w:val="0"/>
        <w:autoSpaceDN w:val="0"/>
        <w:spacing w:line="360" w:lineRule="auto"/>
        <w:ind w:firstLineChars="200" w:firstLine="480"/>
        <w:textAlignment w:val="bottom"/>
        <w:rPr>
          <w:bCs/>
          <w:sz w:val="24"/>
        </w:rPr>
      </w:pPr>
      <w:r>
        <w:rPr>
          <w:bCs/>
          <w:sz w:val="24"/>
        </w:rPr>
        <w:t>4</w:t>
      </w:r>
      <w:r>
        <w:rPr>
          <w:rFonts w:hint="eastAsia"/>
          <w:bCs/>
          <w:sz w:val="24"/>
        </w:rPr>
        <w:t>、法律法规、中国证监会和基金合同认定的其它情形。</w:t>
      </w:r>
    </w:p>
    <w:p w14:paraId="18C84D41" w14:textId="77777777" w:rsidR="0069510E" w:rsidRDefault="00000000">
      <w:pPr>
        <w:autoSpaceDE w:val="0"/>
        <w:autoSpaceDN w:val="0"/>
        <w:spacing w:line="360" w:lineRule="auto"/>
        <w:ind w:firstLineChars="200" w:firstLine="482"/>
        <w:textAlignment w:val="bottom"/>
        <w:rPr>
          <w:b/>
          <w:bCs/>
          <w:sz w:val="24"/>
        </w:rPr>
      </w:pPr>
      <w:r>
        <w:rPr>
          <w:rFonts w:hint="eastAsia"/>
          <w:b/>
          <w:bCs/>
          <w:sz w:val="24"/>
        </w:rPr>
        <w:t>八、基金净值的确认</w:t>
      </w:r>
    </w:p>
    <w:p w14:paraId="57486598"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基金资产净值和各类基金份额净值由基金管理人负责计算，基金托管人负责进行复核。基金管理人应于每个工作日交易结束后计算当日的基金资产净值和各类基金份额净值并发送给基金托管人。基金托管人对净值计算结果复核确认后发送给基金管理人，由基金管理人按规定对基金净值予以公布。</w:t>
      </w:r>
    </w:p>
    <w:p w14:paraId="0F6E4DCA" w14:textId="77777777" w:rsidR="0069510E" w:rsidRDefault="00000000">
      <w:pPr>
        <w:autoSpaceDE w:val="0"/>
        <w:autoSpaceDN w:val="0"/>
        <w:spacing w:line="360" w:lineRule="auto"/>
        <w:ind w:firstLineChars="200" w:firstLine="482"/>
        <w:textAlignment w:val="bottom"/>
        <w:rPr>
          <w:b/>
          <w:bCs/>
          <w:sz w:val="24"/>
        </w:rPr>
      </w:pPr>
      <w:r>
        <w:rPr>
          <w:rFonts w:hint="eastAsia"/>
          <w:b/>
          <w:bCs/>
          <w:sz w:val="24"/>
        </w:rPr>
        <w:t>九、特殊情形的处理</w:t>
      </w:r>
    </w:p>
    <w:p w14:paraId="15AB027F" w14:textId="77777777" w:rsidR="0069510E" w:rsidRDefault="00000000">
      <w:pPr>
        <w:autoSpaceDE w:val="0"/>
        <w:autoSpaceDN w:val="0"/>
        <w:spacing w:line="360" w:lineRule="auto"/>
        <w:ind w:firstLineChars="200" w:firstLine="480"/>
        <w:textAlignment w:val="bottom"/>
        <w:rPr>
          <w:bCs/>
          <w:sz w:val="24"/>
        </w:rPr>
      </w:pPr>
      <w:r>
        <w:rPr>
          <w:bCs/>
          <w:sz w:val="24"/>
        </w:rPr>
        <w:t>1</w:t>
      </w:r>
      <w:r>
        <w:rPr>
          <w:rFonts w:hint="eastAsia"/>
          <w:bCs/>
          <w:sz w:val="24"/>
        </w:rPr>
        <w:t>、基金管理人、基金托管人按估值方法的第</w:t>
      </w:r>
      <w:r>
        <w:rPr>
          <w:bCs/>
          <w:sz w:val="24"/>
        </w:rPr>
        <w:t>8</w:t>
      </w:r>
      <w:r>
        <w:rPr>
          <w:rFonts w:hint="eastAsia"/>
          <w:bCs/>
          <w:sz w:val="24"/>
        </w:rPr>
        <w:t>项进行估值时，所造成的误差不作为基金资产估值错误处理。</w:t>
      </w:r>
    </w:p>
    <w:p w14:paraId="5C8B79E2" w14:textId="77777777" w:rsidR="0069510E" w:rsidRDefault="00000000">
      <w:pPr>
        <w:autoSpaceDE w:val="0"/>
        <w:autoSpaceDN w:val="0"/>
        <w:spacing w:line="360" w:lineRule="auto"/>
        <w:ind w:firstLineChars="200" w:firstLine="480"/>
        <w:textAlignment w:val="bottom"/>
        <w:rPr>
          <w:bCs/>
          <w:sz w:val="24"/>
        </w:rPr>
      </w:pPr>
      <w:r>
        <w:rPr>
          <w:bCs/>
          <w:sz w:val="24"/>
        </w:rPr>
        <w:t>2</w:t>
      </w:r>
      <w:r>
        <w:rPr>
          <w:rFonts w:hint="eastAsia"/>
          <w:bCs/>
          <w:sz w:val="24"/>
        </w:rPr>
        <w:t>、由于不可抗力原因，或由于证券、期货交易所、证券经纪机构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6DCFB255" w14:textId="77777777" w:rsidR="0069510E" w:rsidRDefault="00000000">
      <w:pPr>
        <w:autoSpaceDE w:val="0"/>
        <w:autoSpaceDN w:val="0"/>
        <w:spacing w:line="360" w:lineRule="auto"/>
        <w:ind w:firstLineChars="200" w:firstLine="482"/>
        <w:textAlignment w:val="bottom"/>
        <w:rPr>
          <w:b/>
          <w:bCs/>
          <w:sz w:val="24"/>
        </w:rPr>
      </w:pPr>
      <w:r>
        <w:rPr>
          <w:rFonts w:hint="eastAsia"/>
          <w:b/>
          <w:bCs/>
          <w:sz w:val="24"/>
        </w:rPr>
        <w:t>十、实施</w:t>
      </w:r>
      <w:proofErr w:type="gramStart"/>
      <w:r>
        <w:rPr>
          <w:rFonts w:hint="eastAsia"/>
          <w:b/>
          <w:bCs/>
          <w:sz w:val="24"/>
        </w:rPr>
        <w:t>侧袋机制</w:t>
      </w:r>
      <w:proofErr w:type="gramEnd"/>
      <w:r>
        <w:rPr>
          <w:rFonts w:hint="eastAsia"/>
          <w:b/>
          <w:bCs/>
          <w:sz w:val="24"/>
        </w:rPr>
        <w:t>期间的基金资产估值</w:t>
      </w:r>
    </w:p>
    <w:p w14:paraId="53F961E9" w14:textId="77777777" w:rsidR="0069510E" w:rsidRDefault="00000000">
      <w:pPr>
        <w:autoSpaceDE w:val="0"/>
        <w:autoSpaceDN w:val="0"/>
        <w:spacing w:line="360" w:lineRule="auto"/>
        <w:ind w:firstLineChars="200" w:firstLine="480"/>
        <w:textAlignment w:val="bottom"/>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的，应根据本部分的约定</w:t>
      </w:r>
      <w:proofErr w:type="gramStart"/>
      <w:r>
        <w:rPr>
          <w:rFonts w:hint="eastAsia"/>
          <w:bCs/>
          <w:sz w:val="24"/>
        </w:rPr>
        <w:t>对主袋账户</w:t>
      </w:r>
      <w:proofErr w:type="gramEnd"/>
      <w:r>
        <w:rPr>
          <w:rFonts w:hint="eastAsia"/>
          <w:bCs/>
          <w:sz w:val="24"/>
        </w:rPr>
        <w:t>资产进行估值并</w:t>
      </w:r>
      <w:proofErr w:type="gramStart"/>
      <w:r>
        <w:rPr>
          <w:rFonts w:hint="eastAsia"/>
          <w:bCs/>
          <w:sz w:val="24"/>
        </w:rPr>
        <w:t>披露主袋账户</w:t>
      </w:r>
      <w:proofErr w:type="gramEnd"/>
      <w:r>
        <w:rPr>
          <w:rFonts w:hint="eastAsia"/>
          <w:bCs/>
          <w:sz w:val="24"/>
        </w:rPr>
        <w:t>的基金净值信息，暂停</w:t>
      </w:r>
      <w:proofErr w:type="gramStart"/>
      <w:r>
        <w:rPr>
          <w:rFonts w:hint="eastAsia"/>
          <w:bCs/>
          <w:sz w:val="24"/>
        </w:rPr>
        <w:t>披露侧袋账户</w:t>
      </w:r>
      <w:proofErr w:type="gramEnd"/>
      <w:r>
        <w:rPr>
          <w:rFonts w:hint="eastAsia"/>
          <w:bCs/>
          <w:sz w:val="24"/>
        </w:rPr>
        <w:t>的基金净值信息。</w:t>
      </w:r>
    </w:p>
    <w:p w14:paraId="212E0B60" w14:textId="77777777" w:rsidR="0069510E" w:rsidRDefault="00000000">
      <w:pPr>
        <w:widowControl/>
        <w:jc w:val="left"/>
        <w:rPr>
          <w:bCs/>
          <w:sz w:val="24"/>
        </w:rPr>
      </w:pPr>
      <w:r>
        <w:rPr>
          <w:bCs/>
          <w:sz w:val="24"/>
        </w:rPr>
        <w:br w:type="page"/>
      </w:r>
    </w:p>
    <w:p w14:paraId="7E7732A5" w14:textId="77777777" w:rsidR="0069510E" w:rsidRDefault="00000000">
      <w:pPr>
        <w:pStyle w:val="1"/>
        <w:jc w:val="center"/>
        <w:rPr>
          <w:sz w:val="30"/>
          <w:szCs w:val="30"/>
        </w:rPr>
      </w:pPr>
      <w:bookmarkStart w:id="266" w:name="_Toc416264548"/>
      <w:bookmarkStart w:id="267" w:name="_Toc263092320"/>
      <w:bookmarkStart w:id="268" w:name="_Toc68266299"/>
      <w:bookmarkStart w:id="269" w:name="_Toc136963812"/>
      <w:bookmarkEnd w:id="252"/>
      <w:bookmarkEnd w:id="253"/>
      <w:bookmarkEnd w:id="254"/>
      <w:bookmarkEnd w:id="255"/>
      <w:bookmarkEnd w:id="256"/>
      <w:bookmarkEnd w:id="257"/>
      <w:bookmarkEnd w:id="258"/>
      <w:bookmarkEnd w:id="259"/>
      <w:bookmarkEnd w:id="260"/>
      <w:bookmarkEnd w:id="261"/>
      <w:bookmarkEnd w:id="262"/>
      <w:bookmarkEnd w:id="263"/>
      <w:r>
        <w:rPr>
          <w:rFonts w:hint="eastAsia"/>
          <w:sz w:val="30"/>
          <w:szCs w:val="30"/>
        </w:rPr>
        <w:lastRenderedPageBreak/>
        <w:t>第十二部分</w:t>
      </w:r>
      <w:r>
        <w:rPr>
          <w:sz w:val="30"/>
          <w:szCs w:val="30"/>
        </w:rPr>
        <w:t xml:space="preserve">  </w:t>
      </w:r>
      <w:r>
        <w:rPr>
          <w:rFonts w:hint="eastAsia"/>
          <w:sz w:val="30"/>
          <w:szCs w:val="30"/>
        </w:rPr>
        <w:t>基金的收益分配</w:t>
      </w:r>
      <w:bookmarkEnd w:id="266"/>
      <w:bookmarkEnd w:id="267"/>
      <w:bookmarkEnd w:id="268"/>
      <w:bookmarkEnd w:id="269"/>
    </w:p>
    <w:p w14:paraId="3DDEDCCD" w14:textId="77777777" w:rsidR="0069510E" w:rsidRDefault="00000000">
      <w:pPr>
        <w:autoSpaceDE w:val="0"/>
        <w:autoSpaceDN w:val="0"/>
        <w:spacing w:line="360" w:lineRule="auto"/>
        <w:ind w:firstLineChars="200" w:firstLine="480"/>
        <w:textAlignment w:val="bottom"/>
        <w:rPr>
          <w:bCs/>
          <w:sz w:val="24"/>
        </w:rPr>
      </w:pPr>
      <w:bookmarkStart w:id="270" w:name="_Toc147463128"/>
      <w:bookmarkStart w:id="271" w:name="_Toc21073401"/>
      <w:bookmarkStart w:id="272" w:name="_Toc214873602"/>
      <w:bookmarkStart w:id="273" w:name="_Toc416264549"/>
      <w:bookmarkStart w:id="274" w:name="_Toc12357181"/>
      <w:bookmarkStart w:id="275" w:name="_Toc263092321"/>
      <w:bookmarkStart w:id="276" w:name="_Toc7802"/>
      <w:bookmarkStart w:id="277" w:name="_Toc17782"/>
      <w:bookmarkStart w:id="278" w:name="_Toc139991744"/>
      <w:bookmarkStart w:id="279" w:name="_Toc141703894"/>
      <w:bookmarkStart w:id="280" w:name="_Toc352229760"/>
      <w:bookmarkStart w:id="281" w:name="_Toc27832"/>
      <w:bookmarkStart w:id="282" w:name="_Toc19714"/>
      <w:bookmarkStart w:id="283" w:name="_Toc2623"/>
      <w:bookmarkStart w:id="284" w:name="_Toc31917"/>
      <w:bookmarkStart w:id="285" w:name="_Toc871"/>
      <w:r>
        <w:rPr>
          <w:rFonts w:hint="eastAsia"/>
          <w:bCs/>
          <w:sz w:val="24"/>
        </w:rPr>
        <w:t>一、基金利润的构成</w:t>
      </w:r>
    </w:p>
    <w:p w14:paraId="29C97DDD"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基金利润指基金利息收入、投资收益、公允价值变动收益和其他收入扣除相关费用后的余额，基金已实现收益指基金利润减去公允价值变动收益后的余额。</w:t>
      </w:r>
    </w:p>
    <w:p w14:paraId="31EE5583" w14:textId="77777777" w:rsidR="0069510E" w:rsidRDefault="00000000">
      <w:pPr>
        <w:autoSpaceDE w:val="0"/>
        <w:autoSpaceDN w:val="0"/>
        <w:spacing w:line="360" w:lineRule="auto"/>
        <w:ind w:firstLineChars="200" w:firstLine="480"/>
        <w:textAlignment w:val="bottom"/>
        <w:rPr>
          <w:bCs/>
          <w:sz w:val="24"/>
        </w:rPr>
      </w:pPr>
      <w:r>
        <w:rPr>
          <w:rFonts w:hint="eastAsia"/>
          <w:bCs/>
          <w:sz w:val="24"/>
        </w:rPr>
        <w:t>二、基金可供分配利润</w:t>
      </w:r>
    </w:p>
    <w:p w14:paraId="1F534E58"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基金可供分配利润指截至收益分配基准日基金未分配利润与未分配利润中已实现收益的孰低数。</w:t>
      </w:r>
    </w:p>
    <w:p w14:paraId="59F151F2" w14:textId="77777777" w:rsidR="0069510E" w:rsidRDefault="00000000">
      <w:pPr>
        <w:autoSpaceDE w:val="0"/>
        <w:autoSpaceDN w:val="0"/>
        <w:spacing w:line="360" w:lineRule="auto"/>
        <w:ind w:firstLineChars="200" w:firstLine="480"/>
        <w:textAlignment w:val="bottom"/>
        <w:rPr>
          <w:bCs/>
          <w:sz w:val="24"/>
        </w:rPr>
      </w:pPr>
      <w:r>
        <w:rPr>
          <w:rFonts w:hint="eastAsia"/>
          <w:bCs/>
          <w:sz w:val="24"/>
        </w:rPr>
        <w:t>三、基金收益分配原则</w:t>
      </w:r>
    </w:p>
    <w:p w14:paraId="19E191CD" w14:textId="77777777" w:rsidR="0069510E" w:rsidRDefault="00000000">
      <w:pPr>
        <w:autoSpaceDE w:val="0"/>
        <w:autoSpaceDN w:val="0"/>
        <w:spacing w:line="360" w:lineRule="auto"/>
        <w:ind w:firstLineChars="200" w:firstLine="480"/>
        <w:textAlignment w:val="bottom"/>
        <w:rPr>
          <w:bCs/>
          <w:sz w:val="24"/>
        </w:rPr>
      </w:pPr>
      <w:r>
        <w:rPr>
          <w:bCs/>
          <w:sz w:val="24"/>
        </w:rPr>
        <w:t>1</w:t>
      </w:r>
      <w:r>
        <w:rPr>
          <w:rFonts w:hint="eastAsia"/>
          <w:bCs/>
          <w:sz w:val="24"/>
        </w:rPr>
        <w:t>、在符合有关基金分红条件的前提下，本基金管理人可以根据实际情况进行收益分配，具体分配方案以公告为准，若《基金合同》生效不满</w:t>
      </w:r>
      <w:r>
        <w:rPr>
          <w:bCs/>
          <w:sz w:val="24"/>
        </w:rPr>
        <w:t>3</w:t>
      </w:r>
      <w:r>
        <w:rPr>
          <w:rFonts w:hint="eastAsia"/>
          <w:bCs/>
          <w:sz w:val="24"/>
        </w:rPr>
        <w:t>个月可不进行收益分配；</w:t>
      </w:r>
    </w:p>
    <w:p w14:paraId="7DA313A0" w14:textId="77777777" w:rsidR="0069510E" w:rsidRDefault="00000000">
      <w:pPr>
        <w:autoSpaceDE w:val="0"/>
        <w:autoSpaceDN w:val="0"/>
        <w:spacing w:line="360" w:lineRule="auto"/>
        <w:ind w:firstLineChars="200" w:firstLine="480"/>
        <w:textAlignment w:val="bottom"/>
        <w:rPr>
          <w:bCs/>
          <w:sz w:val="24"/>
        </w:rPr>
      </w:pPr>
      <w:r>
        <w:rPr>
          <w:bCs/>
          <w:sz w:val="24"/>
        </w:rPr>
        <w:t>2</w:t>
      </w:r>
      <w:r>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Pr>
          <w:bCs/>
          <w:sz w:val="24"/>
        </w:rPr>
        <w:t xml:space="preserve">A </w:t>
      </w:r>
      <w:r>
        <w:rPr>
          <w:rFonts w:hint="eastAsia"/>
          <w:bCs/>
          <w:sz w:val="24"/>
        </w:rPr>
        <w:t>类和</w:t>
      </w:r>
      <w:r>
        <w:rPr>
          <w:bCs/>
          <w:sz w:val="24"/>
        </w:rPr>
        <w:t>C</w:t>
      </w:r>
      <w:r>
        <w:rPr>
          <w:rFonts w:hint="eastAsia"/>
          <w:bCs/>
          <w:sz w:val="24"/>
        </w:rPr>
        <w:t>类基金份额分别选择不同的分红方式；同一投资人持有的同一类别的基金份额只能选择一种分红方式，如投资人在不同销售机构选择的分红方式不同，</w:t>
      </w:r>
      <w:proofErr w:type="gramStart"/>
      <w:r>
        <w:rPr>
          <w:rFonts w:hint="eastAsia"/>
          <w:bCs/>
          <w:sz w:val="24"/>
        </w:rPr>
        <w:t>则基金</w:t>
      </w:r>
      <w:proofErr w:type="gramEnd"/>
      <w:r>
        <w:rPr>
          <w:rFonts w:hint="eastAsia"/>
          <w:bCs/>
          <w:sz w:val="24"/>
        </w:rPr>
        <w:t>份额登记机构将以投资人最后一次选择的分红方式为准；</w:t>
      </w:r>
    </w:p>
    <w:p w14:paraId="7434DD21" w14:textId="77777777" w:rsidR="0069510E" w:rsidRDefault="00000000">
      <w:pPr>
        <w:autoSpaceDE w:val="0"/>
        <w:autoSpaceDN w:val="0"/>
        <w:spacing w:line="360" w:lineRule="auto"/>
        <w:ind w:firstLineChars="200" w:firstLine="480"/>
        <w:textAlignment w:val="bottom"/>
        <w:rPr>
          <w:bCs/>
          <w:sz w:val="24"/>
        </w:rPr>
      </w:pPr>
      <w:r>
        <w:rPr>
          <w:bCs/>
          <w:sz w:val="24"/>
        </w:rPr>
        <w:t>3</w:t>
      </w:r>
      <w:r>
        <w:rPr>
          <w:rFonts w:hint="eastAsia"/>
          <w:bCs/>
          <w:sz w:val="24"/>
        </w:rPr>
        <w:t>、基金收益分配后各类基金份额净值不能低于面值，即基金收益分配基准日的各类基金份额净值减去每单位该类别基金份额收益分配金额后不能低于面值；</w:t>
      </w:r>
    </w:p>
    <w:p w14:paraId="2B142C82" w14:textId="77777777" w:rsidR="0069510E" w:rsidRDefault="00000000">
      <w:pPr>
        <w:autoSpaceDE w:val="0"/>
        <w:autoSpaceDN w:val="0"/>
        <w:spacing w:line="360" w:lineRule="auto"/>
        <w:ind w:firstLineChars="200" w:firstLine="480"/>
        <w:textAlignment w:val="bottom"/>
        <w:rPr>
          <w:bCs/>
          <w:sz w:val="24"/>
        </w:rPr>
      </w:pPr>
      <w:r>
        <w:rPr>
          <w:bCs/>
          <w:sz w:val="24"/>
        </w:rPr>
        <w:t>4</w:t>
      </w:r>
      <w:r>
        <w:rPr>
          <w:rFonts w:hint="eastAsia"/>
          <w:bCs/>
          <w:sz w:val="24"/>
        </w:rPr>
        <w:t>、由于本基金</w:t>
      </w:r>
      <w:r>
        <w:rPr>
          <w:bCs/>
          <w:sz w:val="24"/>
        </w:rPr>
        <w:t xml:space="preserve">A </w:t>
      </w:r>
      <w:r>
        <w:rPr>
          <w:rFonts w:hint="eastAsia"/>
          <w:bCs/>
          <w:sz w:val="24"/>
        </w:rPr>
        <w:t>类基金份额不收取销售服务费，</w:t>
      </w:r>
      <w:r>
        <w:rPr>
          <w:bCs/>
          <w:sz w:val="24"/>
        </w:rPr>
        <w:t xml:space="preserve">C </w:t>
      </w:r>
      <w:r>
        <w:rPr>
          <w:rFonts w:hint="eastAsia"/>
          <w:bCs/>
          <w:sz w:val="24"/>
        </w:rPr>
        <w:t>类基金份额收取销售服务费，各基金份额类别对应的可分配收益将有所不同，本基金同一基金份额类别内的每一基金份额享有同等分配权；</w:t>
      </w:r>
    </w:p>
    <w:p w14:paraId="3FFC31E5" w14:textId="77777777" w:rsidR="0069510E" w:rsidRDefault="00000000">
      <w:pPr>
        <w:autoSpaceDE w:val="0"/>
        <w:autoSpaceDN w:val="0"/>
        <w:spacing w:line="360" w:lineRule="auto"/>
        <w:ind w:firstLineChars="200" w:firstLine="480"/>
        <w:textAlignment w:val="bottom"/>
        <w:rPr>
          <w:bCs/>
          <w:sz w:val="24"/>
        </w:rPr>
      </w:pPr>
      <w:r>
        <w:rPr>
          <w:bCs/>
          <w:sz w:val="24"/>
        </w:rPr>
        <w:t>5</w:t>
      </w:r>
      <w:r>
        <w:rPr>
          <w:rFonts w:hint="eastAsia"/>
          <w:bCs/>
          <w:sz w:val="24"/>
        </w:rPr>
        <w:t>、法律法规或监管机关另有规定的，从其规定。</w:t>
      </w:r>
    </w:p>
    <w:p w14:paraId="491300A6" w14:textId="77777777" w:rsidR="0069510E" w:rsidRDefault="00000000">
      <w:pPr>
        <w:spacing w:line="360" w:lineRule="auto"/>
        <w:ind w:firstLineChars="225" w:firstLine="540"/>
        <w:rPr>
          <w:bCs/>
          <w:sz w:val="24"/>
        </w:rPr>
      </w:pPr>
      <w:r>
        <w:rPr>
          <w:rFonts w:hint="eastAsia"/>
          <w:bCs/>
          <w:sz w:val="24"/>
        </w:rPr>
        <w:t>在法律法规、基金合同的约定的范围内以及对基金份额持有人利益无实质不利影响的前提下，基金管理人可对基金收益分配原则进行调整，不需召开基金份额持有人大会。</w:t>
      </w:r>
    </w:p>
    <w:p w14:paraId="790CADB4"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四、收益分配方案</w:t>
      </w:r>
    </w:p>
    <w:p w14:paraId="7670C494"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基金收益分配方案中应载明截止收益分配基准日的可供分配利润、基金收益分配对象、分配时间、分配数额及比例、分配方式等内容。</w:t>
      </w:r>
    </w:p>
    <w:p w14:paraId="5F325B13" w14:textId="77777777" w:rsidR="0069510E" w:rsidRDefault="00000000">
      <w:pPr>
        <w:autoSpaceDE w:val="0"/>
        <w:autoSpaceDN w:val="0"/>
        <w:spacing w:line="360" w:lineRule="auto"/>
        <w:ind w:firstLineChars="200" w:firstLine="480"/>
        <w:textAlignment w:val="bottom"/>
        <w:rPr>
          <w:bCs/>
          <w:sz w:val="24"/>
        </w:rPr>
      </w:pPr>
      <w:r>
        <w:rPr>
          <w:rFonts w:hint="eastAsia"/>
          <w:bCs/>
          <w:sz w:val="24"/>
        </w:rPr>
        <w:lastRenderedPageBreak/>
        <w:t>五、收益分配方案的确定、公告与实施</w:t>
      </w:r>
    </w:p>
    <w:p w14:paraId="29DCC4BD" w14:textId="77777777" w:rsidR="0069510E" w:rsidRDefault="00000000">
      <w:pPr>
        <w:autoSpaceDE w:val="0"/>
        <w:autoSpaceDN w:val="0"/>
        <w:spacing w:line="360" w:lineRule="auto"/>
        <w:ind w:firstLineChars="200" w:firstLine="480"/>
        <w:textAlignment w:val="bottom"/>
        <w:rPr>
          <w:bCs/>
          <w:sz w:val="24"/>
        </w:rPr>
      </w:pPr>
      <w:r>
        <w:rPr>
          <w:rFonts w:hint="eastAsia"/>
          <w:bCs/>
          <w:sz w:val="24"/>
        </w:rPr>
        <w:t>本基金收益分配方案由基金管理人拟定，并由基金托管人复核，依照《信息披露办法》的有关规定在规定媒介公告。</w:t>
      </w:r>
    </w:p>
    <w:p w14:paraId="15746286"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六、基金收益分配中发生的费用</w:t>
      </w:r>
    </w:p>
    <w:p w14:paraId="2CF47CAE"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该类别基金份额。红利再投资的计算方法，依照《业务规则》执行。</w:t>
      </w:r>
    </w:p>
    <w:p w14:paraId="3A5FFC6C" w14:textId="77777777" w:rsidR="0069510E"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七、实施</w:t>
      </w:r>
      <w:proofErr w:type="gramStart"/>
      <w:r>
        <w:rPr>
          <w:rFonts w:cs="Arial" w:hint="eastAsia"/>
          <w:color w:val="000000"/>
          <w:sz w:val="24"/>
        </w:rPr>
        <w:t>侧袋机制</w:t>
      </w:r>
      <w:proofErr w:type="gramEnd"/>
      <w:r>
        <w:rPr>
          <w:rFonts w:cs="Arial" w:hint="eastAsia"/>
          <w:color w:val="000000"/>
          <w:sz w:val="24"/>
        </w:rPr>
        <w:t>期间的收益分配</w:t>
      </w:r>
    </w:p>
    <w:p w14:paraId="0F639394" w14:textId="77777777" w:rsidR="0069510E"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本基金实施</w:t>
      </w:r>
      <w:proofErr w:type="gramStart"/>
      <w:r>
        <w:rPr>
          <w:rFonts w:cs="Arial" w:hint="eastAsia"/>
          <w:color w:val="000000"/>
          <w:sz w:val="24"/>
        </w:rPr>
        <w:t>侧袋机制</w:t>
      </w:r>
      <w:proofErr w:type="gramEnd"/>
      <w:r>
        <w:rPr>
          <w:rFonts w:cs="Arial" w:hint="eastAsia"/>
          <w:color w:val="000000"/>
          <w:sz w:val="24"/>
        </w:rPr>
        <w:t>的，</w:t>
      </w:r>
      <w:proofErr w:type="gramStart"/>
      <w:r>
        <w:rPr>
          <w:rFonts w:cs="Arial" w:hint="eastAsia"/>
          <w:color w:val="000000"/>
          <w:sz w:val="24"/>
        </w:rPr>
        <w:t>侧袋账户</w:t>
      </w:r>
      <w:proofErr w:type="gramEnd"/>
      <w:r>
        <w:rPr>
          <w:rFonts w:cs="Arial" w:hint="eastAsia"/>
          <w:color w:val="000000"/>
          <w:sz w:val="24"/>
        </w:rPr>
        <w:t>不进行收益分配。</w:t>
      </w:r>
    </w:p>
    <w:p w14:paraId="7A214E28" w14:textId="77777777" w:rsidR="0069510E" w:rsidRDefault="0069510E">
      <w:pPr>
        <w:autoSpaceDE w:val="0"/>
        <w:autoSpaceDN w:val="0"/>
        <w:spacing w:line="360" w:lineRule="auto"/>
        <w:ind w:firstLineChars="200" w:firstLine="480"/>
        <w:textAlignment w:val="bottom"/>
        <w:rPr>
          <w:bCs/>
          <w:sz w:val="24"/>
        </w:rPr>
      </w:pPr>
    </w:p>
    <w:p w14:paraId="6AC059FA" w14:textId="77777777" w:rsidR="0069510E" w:rsidRDefault="00000000">
      <w:pPr>
        <w:widowControl/>
        <w:jc w:val="left"/>
        <w:rPr>
          <w:bCs/>
          <w:sz w:val="24"/>
        </w:rPr>
      </w:pPr>
      <w:r>
        <w:rPr>
          <w:bCs/>
          <w:sz w:val="24"/>
        </w:rPr>
        <w:br w:type="page"/>
      </w:r>
    </w:p>
    <w:p w14:paraId="7048B8FD" w14:textId="77777777" w:rsidR="0069510E" w:rsidRDefault="00000000">
      <w:pPr>
        <w:pStyle w:val="1"/>
        <w:jc w:val="center"/>
        <w:rPr>
          <w:sz w:val="30"/>
          <w:szCs w:val="30"/>
        </w:rPr>
      </w:pPr>
      <w:bookmarkStart w:id="286" w:name="_Toc68266300"/>
      <w:bookmarkStart w:id="287" w:name="_Toc136963813"/>
      <w:r>
        <w:rPr>
          <w:rFonts w:hint="eastAsia"/>
          <w:sz w:val="30"/>
          <w:szCs w:val="30"/>
        </w:rPr>
        <w:lastRenderedPageBreak/>
        <w:t>第十三部分</w:t>
      </w:r>
      <w:r>
        <w:rPr>
          <w:sz w:val="30"/>
          <w:szCs w:val="30"/>
        </w:rPr>
        <w:t xml:space="preserve">  </w:t>
      </w:r>
      <w:r>
        <w:rPr>
          <w:rFonts w:hint="eastAsia"/>
          <w:sz w:val="30"/>
          <w:szCs w:val="30"/>
        </w:rPr>
        <w:t>基金费用与税收</w:t>
      </w:r>
      <w:bookmarkEnd w:id="270"/>
      <w:bookmarkEnd w:id="271"/>
      <w:bookmarkEnd w:id="272"/>
      <w:bookmarkEnd w:id="273"/>
      <w:bookmarkEnd w:id="274"/>
      <w:bookmarkEnd w:id="275"/>
      <w:bookmarkEnd w:id="286"/>
      <w:bookmarkEnd w:id="287"/>
    </w:p>
    <w:p w14:paraId="30EDB4B4" w14:textId="77777777" w:rsidR="0069510E" w:rsidRDefault="00000000">
      <w:pPr>
        <w:autoSpaceDE w:val="0"/>
        <w:autoSpaceDN w:val="0"/>
        <w:spacing w:line="360" w:lineRule="auto"/>
        <w:ind w:firstLineChars="200" w:firstLine="480"/>
        <w:textAlignment w:val="bottom"/>
        <w:rPr>
          <w:bCs/>
          <w:sz w:val="24"/>
        </w:rPr>
      </w:pPr>
      <w:bookmarkStart w:id="288" w:name="_Toc214873603"/>
      <w:bookmarkStart w:id="289" w:name="_Toc263092322"/>
      <w:bookmarkStart w:id="290" w:name="_Toc416264550"/>
      <w:bookmarkStart w:id="291" w:name="_Toc6493"/>
      <w:bookmarkStart w:id="292" w:name="_Toc352229761"/>
      <w:bookmarkStart w:id="293" w:name="_Toc141703895"/>
      <w:bookmarkStart w:id="294" w:name="_Toc15779"/>
      <w:bookmarkStart w:id="295" w:name="_Toc24601"/>
      <w:bookmarkStart w:id="296" w:name="_Toc32046"/>
      <w:bookmarkStart w:id="297" w:name="_Toc19706"/>
      <w:bookmarkStart w:id="298" w:name="_Toc19752"/>
      <w:bookmarkStart w:id="299" w:name="_Toc32227"/>
      <w:bookmarkStart w:id="300" w:name="_Toc32041"/>
      <w:bookmarkStart w:id="301" w:name="_Toc13987"/>
      <w:bookmarkStart w:id="302" w:name="_Toc139991745"/>
      <w:bookmarkStart w:id="303" w:name="_Toc12105"/>
      <w:bookmarkStart w:id="304" w:name="_Toc3365"/>
      <w:bookmarkEnd w:id="276"/>
      <w:bookmarkEnd w:id="277"/>
      <w:bookmarkEnd w:id="278"/>
      <w:bookmarkEnd w:id="279"/>
      <w:bookmarkEnd w:id="280"/>
      <w:bookmarkEnd w:id="281"/>
      <w:bookmarkEnd w:id="282"/>
      <w:bookmarkEnd w:id="283"/>
      <w:bookmarkEnd w:id="284"/>
      <w:bookmarkEnd w:id="285"/>
      <w:r>
        <w:rPr>
          <w:rFonts w:hint="eastAsia"/>
          <w:bCs/>
          <w:sz w:val="24"/>
        </w:rPr>
        <w:t>一、基金费用的种类</w:t>
      </w:r>
    </w:p>
    <w:p w14:paraId="2A3A1B5C" w14:textId="77777777" w:rsidR="0069510E" w:rsidRDefault="00000000">
      <w:pPr>
        <w:autoSpaceDE w:val="0"/>
        <w:autoSpaceDN w:val="0"/>
        <w:spacing w:line="360" w:lineRule="auto"/>
        <w:ind w:firstLineChars="200" w:firstLine="480"/>
        <w:textAlignment w:val="bottom"/>
        <w:rPr>
          <w:bCs/>
          <w:sz w:val="24"/>
        </w:rPr>
      </w:pPr>
      <w:r>
        <w:rPr>
          <w:bCs/>
          <w:sz w:val="24"/>
        </w:rPr>
        <w:t>1</w:t>
      </w:r>
      <w:r>
        <w:rPr>
          <w:rFonts w:hint="eastAsia"/>
          <w:bCs/>
          <w:sz w:val="24"/>
        </w:rPr>
        <w:t>、基金管理人的管理费；</w:t>
      </w:r>
    </w:p>
    <w:p w14:paraId="12385438" w14:textId="77777777" w:rsidR="0069510E" w:rsidRDefault="00000000">
      <w:pPr>
        <w:autoSpaceDE w:val="0"/>
        <w:autoSpaceDN w:val="0"/>
        <w:spacing w:line="360" w:lineRule="auto"/>
        <w:ind w:firstLineChars="200" w:firstLine="480"/>
        <w:textAlignment w:val="bottom"/>
        <w:rPr>
          <w:bCs/>
          <w:sz w:val="24"/>
        </w:rPr>
      </w:pPr>
      <w:r>
        <w:rPr>
          <w:bCs/>
          <w:sz w:val="24"/>
        </w:rPr>
        <w:t>2</w:t>
      </w:r>
      <w:r>
        <w:rPr>
          <w:rFonts w:hint="eastAsia"/>
          <w:bCs/>
          <w:sz w:val="24"/>
        </w:rPr>
        <w:t>、基金托管人的托管费；</w:t>
      </w:r>
    </w:p>
    <w:p w14:paraId="160399E0" w14:textId="77777777" w:rsidR="0069510E" w:rsidRDefault="00000000">
      <w:pPr>
        <w:autoSpaceDE w:val="0"/>
        <w:autoSpaceDN w:val="0"/>
        <w:spacing w:line="360" w:lineRule="auto"/>
        <w:ind w:firstLineChars="200" w:firstLine="480"/>
        <w:textAlignment w:val="bottom"/>
        <w:rPr>
          <w:bCs/>
          <w:sz w:val="24"/>
        </w:rPr>
      </w:pPr>
      <w:r>
        <w:rPr>
          <w:bCs/>
          <w:sz w:val="24"/>
        </w:rPr>
        <w:t>3</w:t>
      </w:r>
      <w:r>
        <w:rPr>
          <w:rFonts w:hint="eastAsia"/>
          <w:bCs/>
          <w:sz w:val="24"/>
        </w:rPr>
        <w:t>、</w:t>
      </w:r>
      <w:r>
        <w:rPr>
          <w:bCs/>
          <w:sz w:val="24"/>
        </w:rPr>
        <w:t>C</w:t>
      </w:r>
      <w:r>
        <w:rPr>
          <w:rFonts w:hint="eastAsia"/>
          <w:bCs/>
          <w:sz w:val="24"/>
        </w:rPr>
        <w:t>类基金份额的销售服务费；</w:t>
      </w:r>
    </w:p>
    <w:p w14:paraId="2332DC53" w14:textId="77777777" w:rsidR="0069510E" w:rsidRDefault="00000000">
      <w:pPr>
        <w:autoSpaceDE w:val="0"/>
        <w:autoSpaceDN w:val="0"/>
        <w:spacing w:line="360" w:lineRule="auto"/>
        <w:ind w:firstLineChars="200" w:firstLine="480"/>
        <w:textAlignment w:val="bottom"/>
        <w:rPr>
          <w:bCs/>
          <w:sz w:val="24"/>
        </w:rPr>
      </w:pPr>
      <w:r>
        <w:rPr>
          <w:bCs/>
          <w:sz w:val="24"/>
        </w:rPr>
        <w:t>4</w:t>
      </w:r>
      <w:r>
        <w:rPr>
          <w:rFonts w:hint="eastAsia"/>
          <w:bCs/>
          <w:sz w:val="24"/>
        </w:rPr>
        <w:t>、除法律法规、中国证监会另有规定外，《基金合同》生效后与基金相关的信息披露费用；</w:t>
      </w:r>
    </w:p>
    <w:p w14:paraId="713B2D99" w14:textId="77777777" w:rsidR="0069510E" w:rsidRDefault="00000000">
      <w:pPr>
        <w:autoSpaceDE w:val="0"/>
        <w:autoSpaceDN w:val="0"/>
        <w:spacing w:line="360" w:lineRule="auto"/>
        <w:ind w:firstLineChars="200" w:firstLine="480"/>
        <w:textAlignment w:val="bottom"/>
        <w:rPr>
          <w:bCs/>
          <w:sz w:val="24"/>
        </w:rPr>
      </w:pPr>
      <w:r>
        <w:rPr>
          <w:bCs/>
          <w:sz w:val="24"/>
        </w:rPr>
        <w:t>5</w:t>
      </w:r>
      <w:r>
        <w:rPr>
          <w:rFonts w:hint="eastAsia"/>
          <w:bCs/>
          <w:sz w:val="24"/>
        </w:rPr>
        <w:t>、《基金合同》生效后与基金相关的会计师费、律师费、诉讼费和仲裁费；</w:t>
      </w:r>
    </w:p>
    <w:p w14:paraId="0651316F" w14:textId="77777777" w:rsidR="0069510E" w:rsidRDefault="00000000">
      <w:pPr>
        <w:autoSpaceDE w:val="0"/>
        <w:autoSpaceDN w:val="0"/>
        <w:spacing w:line="360" w:lineRule="auto"/>
        <w:ind w:firstLineChars="200" w:firstLine="480"/>
        <w:textAlignment w:val="bottom"/>
        <w:rPr>
          <w:bCs/>
          <w:sz w:val="24"/>
        </w:rPr>
      </w:pPr>
      <w:r>
        <w:rPr>
          <w:bCs/>
          <w:sz w:val="24"/>
        </w:rPr>
        <w:t>6</w:t>
      </w:r>
      <w:r>
        <w:rPr>
          <w:rFonts w:hint="eastAsia"/>
          <w:bCs/>
          <w:sz w:val="24"/>
        </w:rPr>
        <w:t>、基金份额持有人大会费用；</w:t>
      </w:r>
    </w:p>
    <w:p w14:paraId="73E223B2" w14:textId="77777777" w:rsidR="0069510E" w:rsidRDefault="00000000">
      <w:pPr>
        <w:autoSpaceDE w:val="0"/>
        <w:autoSpaceDN w:val="0"/>
        <w:spacing w:line="360" w:lineRule="auto"/>
        <w:ind w:firstLineChars="200" w:firstLine="480"/>
        <w:textAlignment w:val="bottom"/>
        <w:rPr>
          <w:bCs/>
          <w:sz w:val="24"/>
        </w:rPr>
      </w:pPr>
      <w:r>
        <w:rPr>
          <w:bCs/>
          <w:sz w:val="24"/>
        </w:rPr>
        <w:t>7</w:t>
      </w:r>
      <w:r>
        <w:rPr>
          <w:rFonts w:hint="eastAsia"/>
          <w:bCs/>
          <w:sz w:val="24"/>
        </w:rPr>
        <w:t>、基金的证券、期货、期权交易费用；</w:t>
      </w:r>
    </w:p>
    <w:p w14:paraId="45806298" w14:textId="77777777" w:rsidR="0069510E" w:rsidRDefault="00000000">
      <w:pPr>
        <w:autoSpaceDE w:val="0"/>
        <w:autoSpaceDN w:val="0"/>
        <w:spacing w:line="360" w:lineRule="auto"/>
        <w:ind w:firstLineChars="200" w:firstLine="480"/>
        <w:textAlignment w:val="bottom"/>
        <w:rPr>
          <w:bCs/>
          <w:sz w:val="24"/>
        </w:rPr>
      </w:pPr>
      <w:r>
        <w:rPr>
          <w:bCs/>
          <w:sz w:val="24"/>
        </w:rPr>
        <w:t>8</w:t>
      </w:r>
      <w:r>
        <w:rPr>
          <w:rFonts w:hint="eastAsia"/>
          <w:bCs/>
          <w:sz w:val="24"/>
        </w:rPr>
        <w:t>、基金的银行汇划费用；</w:t>
      </w:r>
    </w:p>
    <w:p w14:paraId="69532FAB" w14:textId="77777777" w:rsidR="0069510E" w:rsidRDefault="00000000">
      <w:pPr>
        <w:autoSpaceDE w:val="0"/>
        <w:autoSpaceDN w:val="0"/>
        <w:spacing w:line="360" w:lineRule="auto"/>
        <w:ind w:firstLineChars="200" w:firstLine="480"/>
        <w:textAlignment w:val="bottom"/>
        <w:rPr>
          <w:bCs/>
          <w:sz w:val="24"/>
        </w:rPr>
      </w:pPr>
      <w:r>
        <w:rPr>
          <w:bCs/>
          <w:sz w:val="24"/>
        </w:rPr>
        <w:t>9</w:t>
      </w:r>
      <w:r>
        <w:rPr>
          <w:rFonts w:hint="eastAsia"/>
          <w:bCs/>
          <w:sz w:val="24"/>
        </w:rPr>
        <w:t>、基金的相关账户的开户及维护费用；</w:t>
      </w:r>
    </w:p>
    <w:p w14:paraId="375893C8" w14:textId="77777777" w:rsidR="0069510E" w:rsidRDefault="00000000">
      <w:pPr>
        <w:autoSpaceDE w:val="0"/>
        <w:autoSpaceDN w:val="0"/>
        <w:spacing w:line="360" w:lineRule="auto"/>
        <w:ind w:firstLineChars="200" w:firstLine="480"/>
        <w:textAlignment w:val="bottom"/>
        <w:rPr>
          <w:bCs/>
          <w:sz w:val="24"/>
        </w:rPr>
      </w:pPr>
      <w:r>
        <w:rPr>
          <w:bCs/>
          <w:sz w:val="24"/>
        </w:rPr>
        <w:t>10</w:t>
      </w:r>
      <w:r>
        <w:rPr>
          <w:rFonts w:hint="eastAsia"/>
          <w:bCs/>
          <w:sz w:val="24"/>
        </w:rPr>
        <w:t>、按照国家有关规定和《基金合同》约定，可以在基金财产中列支的其他费用。</w:t>
      </w:r>
    </w:p>
    <w:p w14:paraId="5C2A1F45" w14:textId="77777777" w:rsidR="0069510E" w:rsidRDefault="00000000">
      <w:pPr>
        <w:autoSpaceDE w:val="0"/>
        <w:autoSpaceDN w:val="0"/>
        <w:spacing w:line="360" w:lineRule="auto"/>
        <w:ind w:firstLineChars="200" w:firstLine="480"/>
        <w:textAlignment w:val="bottom"/>
        <w:rPr>
          <w:bCs/>
          <w:sz w:val="24"/>
        </w:rPr>
      </w:pPr>
      <w:r>
        <w:rPr>
          <w:rFonts w:hint="eastAsia"/>
          <w:bCs/>
          <w:sz w:val="24"/>
        </w:rPr>
        <w:t>二、基金费用计提方法、计提标准和支付方式</w:t>
      </w:r>
    </w:p>
    <w:p w14:paraId="56FE7C12" w14:textId="77777777" w:rsidR="0069510E" w:rsidRDefault="00000000">
      <w:pPr>
        <w:autoSpaceDE w:val="0"/>
        <w:autoSpaceDN w:val="0"/>
        <w:spacing w:line="360" w:lineRule="auto"/>
        <w:ind w:firstLineChars="200" w:firstLine="480"/>
        <w:textAlignment w:val="bottom"/>
        <w:rPr>
          <w:bCs/>
          <w:sz w:val="24"/>
        </w:rPr>
      </w:pPr>
      <w:r>
        <w:rPr>
          <w:bCs/>
          <w:sz w:val="24"/>
        </w:rPr>
        <w:t>1</w:t>
      </w:r>
      <w:r>
        <w:rPr>
          <w:rFonts w:hint="eastAsia"/>
          <w:bCs/>
          <w:sz w:val="24"/>
        </w:rPr>
        <w:t>、基金管理人的管理费</w:t>
      </w:r>
      <w:r>
        <w:rPr>
          <w:bCs/>
          <w:sz w:val="24"/>
        </w:rPr>
        <w:t xml:space="preserve"> </w:t>
      </w:r>
    </w:p>
    <w:p w14:paraId="7BEAAEDA" w14:textId="77777777" w:rsidR="0069510E" w:rsidRDefault="00000000">
      <w:pPr>
        <w:autoSpaceDE w:val="0"/>
        <w:autoSpaceDN w:val="0"/>
        <w:spacing w:line="360" w:lineRule="auto"/>
        <w:ind w:firstLineChars="200" w:firstLine="480"/>
        <w:textAlignment w:val="bottom"/>
        <w:rPr>
          <w:bCs/>
          <w:sz w:val="24"/>
        </w:rPr>
      </w:pPr>
      <w:r>
        <w:rPr>
          <w:rFonts w:hint="eastAsia"/>
          <w:bCs/>
          <w:sz w:val="24"/>
        </w:rPr>
        <w:t>本基金的管理费按前一日基金资产净值的</w:t>
      </w:r>
      <w:r>
        <w:rPr>
          <w:bCs/>
          <w:sz w:val="24"/>
        </w:rPr>
        <w:t>0.6%</w:t>
      </w:r>
      <w:r>
        <w:rPr>
          <w:rFonts w:hint="eastAsia"/>
          <w:bCs/>
          <w:sz w:val="24"/>
        </w:rPr>
        <w:t>的年费率计提。管理费的计算方法如下：</w:t>
      </w:r>
    </w:p>
    <w:p w14:paraId="7542EC1C" w14:textId="77777777" w:rsidR="0069510E" w:rsidRDefault="00000000">
      <w:pPr>
        <w:autoSpaceDE w:val="0"/>
        <w:autoSpaceDN w:val="0"/>
        <w:spacing w:line="360" w:lineRule="auto"/>
        <w:ind w:firstLineChars="200" w:firstLine="480"/>
        <w:textAlignment w:val="bottom"/>
        <w:rPr>
          <w:bCs/>
          <w:sz w:val="24"/>
        </w:rPr>
      </w:pPr>
      <w:r>
        <w:rPr>
          <w:bCs/>
          <w:sz w:val="24"/>
        </w:rPr>
        <w:t>H</w:t>
      </w:r>
      <w:r>
        <w:rPr>
          <w:rFonts w:hint="eastAsia"/>
          <w:bCs/>
          <w:sz w:val="24"/>
        </w:rPr>
        <w:t>＝</w:t>
      </w:r>
      <w:r>
        <w:rPr>
          <w:bCs/>
          <w:sz w:val="24"/>
        </w:rPr>
        <w:t>E</w:t>
      </w:r>
      <w:r>
        <w:rPr>
          <w:rFonts w:hint="eastAsia"/>
          <w:bCs/>
          <w:sz w:val="24"/>
        </w:rPr>
        <w:t>×</w:t>
      </w:r>
      <w:r>
        <w:rPr>
          <w:bCs/>
          <w:sz w:val="24"/>
        </w:rPr>
        <w:t>0.6%</w:t>
      </w:r>
      <w:r>
        <w:rPr>
          <w:rFonts w:hint="eastAsia"/>
          <w:bCs/>
          <w:sz w:val="24"/>
        </w:rPr>
        <w:t>÷当年天数</w:t>
      </w:r>
    </w:p>
    <w:p w14:paraId="2368E563" w14:textId="77777777" w:rsidR="0069510E" w:rsidRDefault="00000000">
      <w:pPr>
        <w:autoSpaceDE w:val="0"/>
        <w:autoSpaceDN w:val="0"/>
        <w:spacing w:line="360" w:lineRule="auto"/>
        <w:ind w:firstLineChars="200" w:firstLine="480"/>
        <w:textAlignment w:val="bottom"/>
        <w:rPr>
          <w:bCs/>
          <w:sz w:val="24"/>
        </w:rPr>
      </w:pPr>
      <w:r>
        <w:rPr>
          <w:bCs/>
          <w:sz w:val="24"/>
        </w:rPr>
        <w:t>H</w:t>
      </w:r>
      <w:r>
        <w:rPr>
          <w:rFonts w:hint="eastAsia"/>
          <w:bCs/>
          <w:sz w:val="24"/>
        </w:rPr>
        <w:t>为每日应计提的基金管理费</w:t>
      </w:r>
    </w:p>
    <w:p w14:paraId="0A34BA25" w14:textId="77777777" w:rsidR="0069510E" w:rsidRDefault="00000000">
      <w:pPr>
        <w:autoSpaceDE w:val="0"/>
        <w:autoSpaceDN w:val="0"/>
        <w:spacing w:line="360" w:lineRule="auto"/>
        <w:ind w:firstLineChars="200" w:firstLine="480"/>
        <w:textAlignment w:val="bottom"/>
        <w:rPr>
          <w:bCs/>
          <w:sz w:val="24"/>
        </w:rPr>
      </w:pPr>
      <w:r>
        <w:rPr>
          <w:bCs/>
          <w:sz w:val="24"/>
        </w:rPr>
        <w:t>E</w:t>
      </w:r>
      <w:r>
        <w:rPr>
          <w:rFonts w:hint="eastAsia"/>
          <w:bCs/>
          <w:sz w:val="24"/>
        </w:rPr>
        <w:t>为前一日的基金资产净值</w:t>
      </w:r>
    </w:p>
    <w:p w14:paraId="23D5D33E"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基金管理费每日计提，逐日累计至每月月末，按月支付。由基金管理人授权基金托管人于次月第</w:t>
      </w:r>
      <w:r>
        <w:rPr>
          <w:bCs/>
          <w:sz w:val="24"/>
        </w:rPr>
        <w:t>5</w:t>
      </w:r>
      <w:r>
        <w:rPr>
          <w:rFonts w:hint="eastAsia"/>
          <w:bCs/>
          <w:sz w:val="24"/>
        </w:rPr>
        <w:t>个工作日自动从基金资产中一次性支付给基金管理人。若遇法定节假日、休息日或不可抗力致使无法按时支付的，</w:t>
      </w:r>
      <w:r>
        <w:rPr>
          <w:rFonts w:ascii="宋体" w:hAnsi="宋体" w:hint="eastAsia"/>
          <w:color w:val="000000"/>
          <w:kern w:val="0"/>
          <w:sz w:val="24"/>
        </w:rPr>
        <w:t>顺延至最近可支付日支付</w:t>
      </w:r>
      <w:r>
        <w:rPr>
          <w:rFonts w:ascii="宋体" w:hAnsi="宋体" w:hint="eastAsia"/>
          <w:kern w:val="0"/>
          <w:sz w:val="24"/>
        </w:rPr>
        <w:t>。</w:t>
      </w:r>
    </w:p>
    <w:p w14:paraId="5D15B508" w14:textId="77777777" w:rsidR="0069510E" w:rsidRDefault="00000000">
      <w:pPr>
        <w:autoSpaceDE w:val="0"/>
        <w:autoSpaceDN w:val="0"/>
        <w:spacing w:line="360" w:lineRule="auto"/>
        <w:ind w:firstLineChars="200" w:firstLine="480"/>
        <w:textAlignment w:val="bottom"/>
        <w:rPr>
          <w:bCs/>
          <w:sz w:val="24"/>
        </w:rPr>
      </w:pPr>
      <w:r>
        <w:rPr>
          <w:bCs/>
          <w:sz w:val="24"/>
        </w:rPr>
        <w:t>2</w:t>
      </w:r>
      <w:r>
        <w:rPr>
          <w:rFonts w:hint="eastAsia"/>
          <w:bCs/>
          <w:sz w:val="24"/>
        </w:rPr>
        <w:t>、基金托管人的托管费</w:t>
      </w:r>
    </w:p>
    <w:p w14:paraId="24CEE700" w14:textId="77777777" w:rsidR="0069510E" w:rsidRDefault="00000000">
      <w:pPr>
        <w:autoSpaceDE w:val="0"/>
        <w:autoSpaceDN w:val="0"/>
        <w:spacing w:line="360" w:lineRule="auto"/>
        <w:ind w:firstLineChars="200" w:firstLine="480"/>
        <w:textAlignment w:val="bottom"/>
        <w:rPr>
          <w:bCs/>
          <w:sz w:val="24"/>
        </w:rPr>
      </w:pPr>
      <w:r>
        <w:rPr>
          <w:rFonts w:hint="eastAsia"/>
          <w:bCs/>
          <w:sz w:val="24"/>
        </w:rPr>
        <w:t>本基金的托管费按前一日基金资产净值的</w:t>
      </w:r>
      <w:r>
        <w:rPr>
          <w:bCs/>
          <w:sz w:val="24"/>
        </w:rPr>
        <w:t>0.20%</w:t>
      </w:r>
      <w:r>
        <w:rPr>
          <w:rFonts w:hint="eastAsia"/>
          <w:bCs/>
          <w:sz w:val="24"/>
        </w:rPr>
        <w:t>的年费率计提。托管费的计算方法如下：</w:t>
      </w:r>
    </w:p>
    <w:p w14:paraId="30809E7A" w14:textId="77777777" w:rsidR="0069510E" w:rsidRDefault="00000000">
      <w:pPr>
        <w:autoSpaceDE w:val="0"/>
        <w:autoSpaceDN w:val="0"/>
        <w:spacing w:line="360" w:lineRule="auto"/>
        <w:ind w:firstLineChars="200" w:firstLine="480"/>
        <w:textAlignment w:val="bottom"/>
        <w:rPr>
          <w:bCs/>
          <w:sz w:val="24"/>
        </w:rPr>
      </w:pPr>
      <w:r>
        <w:rPr>
          <w:bCs/>
          <w:sz w:val="24"/>
        </w:rPr>
        <w:t>H</w:t>
      </w:r>
      <w:r>
        <w:rPr>
          <w:rFonts w:hint="eastAsia"/>
          <w:bCs/>
          <w:sz w:val="24"/>
        </w:rPr>
        <w:t>＝</w:t>
      </w:r>
      <w:r>
        <w:rPr>
          <w:bCs/>
          <w:sz w:val="24"/>
        </w:rPr>
        <w:t>E</w:t>
      </w:r>
      <w:r>
        <w:rPr>
          <w:rFonts w:hint="eastAsia"/>
          <w:bCs/>
          <w:sz w:val="24"/>
        </w:rPr>
        <w:t>×</w:t>
      </w:r>
      <w:r>
        <w:rPr>
          <w:bCs/>
          <w:sz w:val="24"/>
        </w:rPr>
        <w:t>0.20%</w:t>
      </w:r>
      <w:r>
        <w:rPr>
          <w:rFonts w:hint="eastAsia"/>
          <w:bCs/>
          <w:sz w:val="24"/>
        </w:rPr>
        <w:t>÷当年天数</w:t>
      </w:r>
    </w:p>
    <w:p w14:paraId="514C7FFE" w14:textId="77777777" w:rsidR="0069510E" w:rsidRDefault="00000000">
      <w:pPr>
        <w:autoSpaceDE w:val="0"/>
        <w:autoSpaceDN w:val="0"/>
        <w:spacing w:line="360" w:lineRule="auto"/>
        <w:ind w:firstLineChars="200" w:firstLine="480"/>
        <w:textAlignment w:val="bottom"/>
        <w:rPr>
          <w:bCs/>
          <w:sz w:val="24"/>
        </w:rPr>
      </w:pPr>
      <w:r>
        <w:rPr>
          <w:bCs/>
          <w:sz w:val="24"/>
        </w:rPr>
        <w:t>H</w:t>
      </w:r>
      <w:r>
        <w:rPr>
          <w:rFonts w:hint="eastAsia"/>
          <w:bCs/>
          <w:sz w:val="24"/>
        </w:rPr>
        <w:t>为每日应计提的基金托管费</w:t>
      </w:r>
    </w:p>
    <w:p w14:paraId="7ED70CA9" w14:textId="77777777" w:rsidR="0069510E" w:rsidRDefault="00000000">
      <w:pPr>
        <w:autoSpaceDE w:val="0"/>
        <w:autoSpaceDN w:val="0"/>
        <w:spacing w:line="360" w:lineRule="auto"/>
        <w:ind w:firstLineChars="200" w:firstLine="480"/>
        <w:textAlignment w:val="bottom"/>
        <w:rPr>
          <w:bCs/>
          <w:sz w:val="24"/>
        </w:rPr>
      </w:pPr>
      <w:r>
        <w:rPr>
          <w:bCs/>
          <w:sz w:val="24"/>
        </w:rPr>
        <w:lastRenderedPageBreak/>
        <w:t>E</w:t>
      </w:r>
      <w:r>
        <w:rPr>
          <w:rFonts w:hint="eastAsia"/>
          <w:bCs/>
          <w:sz w:val="24"/>
        </w:rPr>
        <w:t>为前一日的基金资产净值</w:t>
      </w:r>
    </w:p>
    <w:p w14:paraId="1B0DA3FC"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基金托管费每日计提，逐日累计至每月月末，按月支付。由基金管理人授权基金托管人于次月第</w:t>
      </w:r>
      <w:r>
        <w:rPr>
          <w:bCs/>
          <w:sz w:val="24"/>
        </w:rPr>
        <w:t>5</w:t>
      </w:r>
      <w:r>
        <w:rPr>
          <w:rFonts w:hint="eastAsia"/>
          <w:bCs/>
          <w:sz w:val="24"/>
        </w:rPr>
        <w:t>个工作日自动从基金资产中一次性支付给基金托管人。若遇法定节假日、休息日或不可抗力致使无法按时支付的，</w:t>
      </w:r>
      <w:r>
        <w:rPr>
          <w:rFonts w:ascii="宋体" w:hAnsi="宋体" w:hint="eastAsia"/>
          <w:color w:val="000000"/>
          <w:kern w:val="0"/>
          <w:sz w:val="24"/>
        </w:rPr>
        <w:t>顺延至最近可支付日支付</w:t>
      </w:r>
      <w:r>
        <w:rPr>
          <w:rFonts w:ascii="宋体" w:hAnsi="宋体" w:hint="eastAsia"/>
          <w:kern w:val="0"/>
          <w:sz w:val="24"/>
        </w:rPr>
        <w:t>。</w:t>
      </w:r>
    </w:p>
    <w:p w14:paraId="7558C64C" w14:textId="77777777" w:rsidR="0069510E" w:rsidRDefault="00000000">
      <w:pPr>
        <w:autoSpaceDE w:val="0"/>
        <w:autoSpaceDN w:val="0"/>
        <w:spacing w:line="360" w:lineRule="auto"/>
        <w:ind w:firstLineChars="200" w:firstLine="480"/>
        <w:textAlignment w:val="bottom"/>
        <w:rPr>
          <w:bCs/>
          <w:sz w:val="24"/>
        </w:rPr>
      </w:pPr>
      <w:r>
        <w:rPr>
          <w:bCs/>
          <w:sz w:val="24"/>
        </w:rPr>
        <w:t>3</w:t>
      </w:r>
      <w:r>
        <w:rPr>
          <w:rFonts w:hint="eastAsia"/>
          <w:bCs/>
          <w:sz w:val="24"/>
        </w:rPr>
        <w:t>、</w:t>
      </w:r>
      <w:r>
        <w:rPr>
          <w:bCs/>
          <w:sz w:val="24"/>
        </w:rPr>
        <w:t>C</w:t>
      </w:r>
      <w:r>
        <w:rPr>
          <w:rFonts w:hint="eastAsia"/>
          <w:bCs/>
          <w:sz w:val="24"/>
        </w:rPr>
        <w:t>类基金份额的销售服务费</w:t>
      </w:r>
    </w:p>
    <w:p w14:paraId="69BC43F3" w14:textId="77777777" w:rsidR="0069510E" w:rsidRDefault="00000000">
      <w:pPr>
        <w:autoSpaceDE w:val="0"/>
        <w:autoSpaceDN w:val="0"/>
        <w:spacing w:line="360" w:lineRule="auto"/>
        <w:ind w:firstLineChars="200" w:firstLine="480"/>
        <w:textAlignment w:val="bottom"/>
        <w:rPr>
          <w:bCs/>
          <w:sz w:val="24"/>
        </w:rPr>
      </w:pPr>
      <w:r>
        <w:rPr>
          <w:rFonts w:hint="eastAsia"/>
          <w:bCs/>
          <w:sz w:val="24"/>
        </w:rPr>
        <w:t>本基金</w:t>
      </w:r>
      <w:r>
        <w:rPr>
          <w:bCs/>
          <w:sz w:val="24"/>
        </w:rPr>
        <w:t>A</w:t>
      </w:r>
      <w:r>
        <w:rPr>
          <w:rFonts w:hint="eastAsia"/>
          <w:bCs/>
          <w:sz w:val="24"/>
        </w:rPr>
        <w:t>类基金份额不收取销售服务费，</w:t>
      </w:r>
      <w:r>
        <w:rPr>
          <w:bCs/>
          <w:sz w:val="24"/>
        </w:rPr>
        <w:t>C</w:t>
      </w:r>
      <w:r>
        <w:rPr>
          <w:rFonts w:hint="eastAsia"/>
          <w:bCs/>
          <w:sz w:val="24"/>
        </w:rPr>
        <w:t>类基金份额的销售服务费年费率为</w:t>
      </w:r>
      <w:r>
        <w:rPr>
          <w:bCs/>
          <w:sz w:val="24"/>
        </w:rPr>
        <w:t xml:space="preserve">0.40% </w:t>
      </w:r>
      <w:r>
        <w:rPr>
          <w:rFonts w:hint="eastAsia"/>
          <w:bCs/>
          <w:sz w:val="24"/>
        </w:rPr>
        <w:t>。销售服务费的计算方法如下：</w:t>
      </w:r>
    </w:p>
    <w:p w14:paraId="7687A24E" w14:textId="77777777" w:rsidR="0069510E" w:rsidRDefault="00000000">
      <w:pPr>
        <w:autoSpaceDE w:val="0"/>
        <w:autoSpaceDN w:val="0"/>
        <w:spacing w:line="360" w:lineRule="auto"/>
        <w:ind w:firstLineChars="200" w:firstLine="480"/>
        <w:textAlignment w:val="bottom"/>
        <w:rPr>
          <w:bCs/>
          <w:sz w:val="24"/>
        </w:rPr>
      </w:pPr>
      <w:r>
        <w:rPr>
          <w:bCs/>
          <w:sz w:val="24"/>
        </w:rPr>
        <w:t>H</w:t>
      </w:r>
      <w:r>
        <w:rPr>
          <w:rFonts w:hint="eastAsia"/>
          <w:bCs/>
          <w:sz w:val="24"/>
        </w:rPr>
        <w:t>＝</w:t>
      </w:r>
      <w:r>
        <w:rPr>
          <w:bCs/>
          <w:sz w:val="24"/>
        </w:rPr>
        <w:t>E</w:t>
      </w:r>
      <w:r>
        <w:rPr>
          <w:rFonts w:hint="eastAsia"/>
          <w:bCs/>
          <w:sz w:val="24"/>
        </w:rPr>
        <w:t>×</w:t>
      </w:r>
      <w:r>
        <w:rPr>
          <w:bCs/>
          <w:sz w:val="24"/>
        </w:rPr>
        <w:t xml:space="preserve">0.40% </w:t>
      </w:r>
      <w:r>
        <w:rPr>
          <w:rFonts w:hint="eastAsia"/>
          <w:bCs/>
          <w:sz w:val="24"/>
        </w:rPr>
        <w:t>÷当年天数</w:t>
      </w:r>
    </w:p>
    <w:p w14:paraId="4C6A9328" w14:textId="77777777" w:rsidR="0069510E" w:rsidRDefault="00000000">
      <w:pPr>
        <w:autoSpaceDE w:val="0"/>
        <w:autoSpaceDN w:val="0"/>
        <w:spacing w:line="360" w:lineRule="auto"/>
        <w:ind w:firstLineChars="200" w:firstLine="480"/>
        <w:textAlignment w:val="bottom"/>
        <w:rPr>
          <w:bCs/>
          <w:sz w:val="24"/>
        </w:rPr>
      </w:pPr>
      <w:r>
        <w:rPr>
          <w:bCs/>
          <w:sz w:val="24"/>
        </w:rPr>
        <w:t>H</w:t>
      </w:r>
      <w:r>
        <w:rPr>
          <w:rFonts w:hint="eastAsia"/>
          <w:bCs/>
          <w:sz w:val="24"/>
        </w:rPr>
        <w:t>为</w:t>
      </w:r>
      <w:r>
        <w:rPr>
          <w:bCs/>
          <w:sz w:val="24"/>
        </w:rPr>
        <w:t>C</w:t>
      </w:r>
      <w:r>
        <w:rPr>
          <w:rFonts w:hint="eastAsia"/>
          <w:bCs/>
          <w:sz w:val="24"/>
        </w:rPr>
        <w:t>类基金份额每日应计提的销售服务费</w:t>
      </w:r>
    </w:p>
    <w:p w14:paraId="2F9C3315" w14:textId="77777777" w:rsidR="0069510E" w:rsidRDefault="00000000">
      <w:pPr>
        <w:autoSpaceDE w:val="0"/>
        <w:autoSpaceDN w:val="0"/>
        <w:spacing w:line="360" w:lineRule="auto"/>
        <w:ind w:firstLineChars="200" w:firstLine="480"/>
        <w:textAlignment w:val="bottom"/>
        <w:rPr>
          <w:bCs/>
          <w:sz w:val="24"/>
        </w:rPr>
      </w:pPr>
      <w:r>
        <w:rPr>
          <w:bCs/>
          <w:sz w:val="24"/>
        </w:rPr>
        <w:t>E</w:t>
      </w:r>
      <w:r>
        <w:rPr>
          <w:rFonts w:hint="eastAsia"/>
          <w:bCs/>
          <w:sz w:val="24"/>
        </w:rPr>
        <w:t>为前一日</w:t>
      </w:r>
      <w:r>
        <w:rPr>
          <w:bCs/>
          <w:sz w:val="24"/>
        </w:rPr>
        <w:t>C</w:t>
      </w:r>
      <w:r>
        <w:rPr>
          <w:rFonts w:hint="eastAsia"/>
          <w:bCs/>
          <w:sz w:val="24"/>
        </w:rPr>
        <w:t>类基金份额的基金资产净值</w:t>
      </w:r>
    </w:p>
    <w:p w14:paraId="16608665" w14:textId="77777777" w:rsidR="0069510E" w:rsidRDefault="00000000">
      <w:pPr>
        <w:autoSpaceDE w:val="0"/>
        <w:autoSpaceDN w:val="0"/>
        <w:spacing w:line="360" w:lineRule="auto"/>
        <w:ind w:firstLineChars="200" w:firstLine="480"/>
        <w:textAlignment w:val="bottom"/>
        <w:rPr>
          <w:bCs/>
          <w:sz w:val="24"/>
        </w:rPr>
      </w:pPr>
      <w:r>
        <w:rPr>
          <w:bCs/>
          <w:sz w:val="24"/>
        </w:rPr>
        <w:t>C</w:t>
      </w:r>
      <w:r>
        <w:rPr>
          <w:rFonts w:hint="eastAsia"/>
          <w:bCs/>
          <w:sz w:val="24"/>
        </w:rPr>
        <w:t>类基金份额的销售服务费每日计提，逐日累计至每月月末，按月支付。由基金管理人授权基金托管人于次月第</w:t>
      </w:r>
      <w:r>
        <w:rPr>
          <w:bCs/>
          <w:sz w:val="24"/>
        </w:rPr>
        <w:t>5</w:t>
      </w:r>
      <w:r>
        <w:rPr>
          <w:rFonts w:hint="eastAsia"/>
          <w:bCs/>
          <w:sz w:val="24"/>
        </w:rPr>
        <w:t>个工作日自动从基金资产中一次性支付给登记机构，由登记机构分别支付给销售机构。若遇法定节假日、休息日或不可抗力致使无法按时支付的，支付日期顺延。</w:t>
      </w:r>
    </w:p>
    <w:p w14:paraId="10109B66" w14:textId="77777777" w:rsidR="0069510E" w:rsidRDefault="00000000">
      <w:pPr>
        <w:autoSpaceDE w:val="0"/>
        <w:autoSpaceDN w:val="0"/>
        <w:spacing w:line="360" w:lineRule="auto"/>
        <w:ind w:firstLineChars="200" w:firstLine="480"/>
        <w:textAlignment w:val="bottom"/>
        <w:rPr>
          <w:bCs/>
          <w:sz w:val="24"/>
        </w:rPr>
      </w:pPr>
      <w:r>
        <w:rPr>
          <w:rFonts w:hint="eastAsia"/>
          <w:bCs/>
          <w:sz w:val="24"/>
        </w:rPr>
        <w:t>上述“一、基金费用的种类”中第</w:t>
      </w:r>
      <w:r>
        <w:rPr>
          <w:bCs/>
          <w:sz w:val="24"/>
        </w:rPr>
        <w:t>4</w:t>
      </w:r>
      <w:r>
        <w:rPr>
          <w:rFonts w:hint="eastAsia"/>
          <w:bCs/>
          <w:sz w:val="24"/>
        </w:rPr>
        <w:t>－</w:t>
      </w:r>
      <w:r>
        <w:rPr>
          <w:bCs/>
          <w:sz w:val="24"/>
        </w:rPr>
        <w:t>10</w:t>
      </w:r>
      <w:r>
        <w:rPr>
          <w:rFonts w:hint="eastAsia"/>
          <w:bCs/>
          <w:sz w:val="24"/>
        </w:rPr>
        <w:t>项费用，根据有关法规及相应协议规定，按费用实际支出金额列入当期费用，由基金托管人根据基金管理人指令并参照行业惯例从基金财产中支付。</w:t>
      </w:r>
    </w:p>
    <w:p w14:paraId="68264F33" w14:textId="77777777" w:rsidR="0069510E" w:rsidRDefault="00000000">
      <w:pPr>
        <w:autoSpaceDE w:val="0"/>
        <w:autoSpaceDN w:val="0"/>
        <w:spacing w:line="360" w:lineRule="auto"/>
        <w:ind w:firstLineChars="200" w:firstLine="480"/>
        <w:textAlignment w:val="bottom"/>
        <w:rPr>
          <w:bCs/>
          <w:sz w:val="24"/>
        </w:rPr>
      </w:pPr>
      <w:r>
        <w:rPr>
          <w:rFonts w:hint="eastAsia"/>
          <w:bCs/>
          <w:sz w:val="24"/>
        </w:rPr>
        <w:t>三、不列入基金费用的项目</w:t>
      </w:r>
    </w:p>
    <w:p w14:paraId="20B94BBE" w14:textId="77777777" w:rsidR="0069510E" w:rsidRDefault="00000000">
      <w:pPr>
        <w:autoSpaceDE w:val="0"/>
        <w:autoSpaceDN w:val="0"/>
        <w:spacing w:line="360" w:lineRule="auto"/>
        <w:ind w:firstLineChars="200" w:firstLine="480"/>
        <w:textAlignment w:val="bottom"/>
        <w:rPr>
          <w:bCs/>
          <w:sz w:val="24"/>
        </w:rPr>
      </w:pPr>
      <w:r>
        <w:rPr>
          <w:rFonts w:hint="eastAsia"/>
          <w:bCs/>
          <w:sz w:val="24"/>
        </w:rPr>
        <w:t>下列费用不列入基金费用：</w:t>
      </w:r>
    </w:p>
    <w:p w14:paraId="7F9B874B" w14:textId="77777777" w:rsidR="0069510E" w:rsidRDefault="00000000">
      <w:pPr>
        <w:autoSpaceDE w:val="0"/>
        <w:autoSpaceDN w:val="0"/>
        <w:spacing w:line="360" w:lineRule="auto"/>
        <w:ind w:firstLineChars="200" w:firstLine="480"/>
        <w:textAlignment w:val="bottom"/>
        <w:rPr>
          <w:bCs/>
          <w:sz w:val="24"/>
        </w:rPr>
      </w:pPr>
      <w:r>
        <w:rPr>
          <w:bCs/>
          <w:sz w:val="24"/>
        </w:rPr>
        <w:t>1</w:t>
      </w:r>
      <w:r>
        <w:rPr>
          <w:rFonts w:hint="eastAsia"/>
          <w:bCs/>
          <w:sz w:val="24"/>
        </w:rPr>
        <w:t>、基金管理人和基金托管人因未履行或未完全履行义务导致的费用支出或基金财产的损失；</w:t>
      </w:r>
    </w:p>
    <w:p w14:paraId="0CA24F32" w14:textId="77777777" w:rsidR="0069510E" w:rsidRDefault="00000000">
      <w:pPr>
        <w:autoSpaceDE w:val="0"/>
        <w:autoSpaceDN w:val="0"/>
        <w:spacing w:line="360" w:lineRule="auto"/>
        <w:ind w:firstLineChars="200" w:firstLine="480"/>
        <w:textAlignment w:val="bottom"/>
        <w:rPr>
          <w:bCs/>
          <w:sz w:val="24"/>
        </w:rPr>
      </w:pPr>
      <w:r>
        <w:rPr>
          <w:bCs/>
          <w:sz w:val="24"/>
        </w:rPr>
        <w:t>2</w:t>
      </w:r>
      <w:r>
        <w:rPr>
          <w:rFonts w:hint="eastAsia"/>
          <w:bCs/>
          <w:sz w:val="24"/>
        </w:rPr>
        <w:t>、基金管理人和基金托管人处理与基金运作无关的事项发生的费用；</w:t>
      </w:r>
    </w:p>
    <w:p w14:paraId="49C4E9E2" w14:textId="77777777" w:rsidR="0069510E" w:rsidRDefault="00000000">
      <w:pPr>
        <w:autoSpaceDE w:val="0"/>
        <w:autoSpaceDN w:val="0"/>
        <w:spacing w:line="360" w:lineRule="auto"/>
        <w:ind w:firstLineChars="200" w:firstLine="480"/>
        <w:textAlignment w:val="bottom"/>
        <w:rPr>
          <w:bCs/>
          <w:sz w:val="24"/>
        </w:rPr>
      </w:pPr>
      <w:r>
        <w:rPr>
          <w:bCs/>
          <w:sz w:val="24"/>
        </w:rPr>
        <w:t>3</w:t>
      </w:r>
      <w:r>
        <w:rPr>
          <w:rFonts w:hint="eastAsia"/>
          <w:bCs/>
          <w:sz w:val="24"/>
        </w:rPr>
        <w:t>、《基金合同》生效前的相关费用；</w:t>
      </w:r>
    </w:p>
    <w:p w14:paraId="224D7033" w14:textId="77777777" w:rsidR="0069510E" w:rsidRDefault="00000000">
      <w:pPr>
        <w:autoSpaceDE w:val="0"/>
        <w:autoSpaceDN w:val="0"/>
        <w:spacing w:line="360" w:lineRule="auto"/>
        <w:ind w:firstLineChars="200" w:firstLine="480"/>
        <w:textAlignment w:val="bottom"/>
        <w:rPr>
          <w:bCs/>
          <w:sz w:val="24"/>
        </w:rPr>
      </w:pPr>
      <w:r>
        <w:rPr>
          <w:bCs/>
          <w:sz w:val="24"/>
        </w:rPr>
        <w:t>4</w:t>
      </w:r>
      <w:r>
        <w:rPr>
          <w:rFonts w:hint="eastAsia"/>
          <w:bCs/>
          <w:sz w:val="24"/>
        </w:rPr>
        <w:t>、其他根据相关法律法规及中国证监会的有关规定不得列入基金费用的项目。</w:t>
      </w:r>
    </w:p>
    <w:p w14:paraId="0FD619FD" w14:textId="77777777" w:rsidR="0069510E" w:rsidRDefault="00000000">
      <w:pPr>
        <w:spacing w:line="360" w:lineRule="auto"/>
        <w:ind w:firstLineChars="200" w:firstLine="480"/>
        <w:rPr>
          <w:bCs/>
          <w:sz w:val="24"/>
        </w:rPr>
      </w:pPr>
      <w:r>
        <w:rPr>
          <w:rFonts w:hint="eastAsia"/>
          <w:bCs/>
          <w:sz w:val="24"/>
        </w:rPr>
        <w:t>四、实施</w:t>
      </w:r>
      <w:proofErr w:type="gramStart"/>
      <w:r>
        <w:rPr>
          <w:rFonts w:hint="eastAsia"/>
          <w:bCs/>
          <w:sz w:val="24"/>
        </w:rPr>
        <w:t>侧袋机制</w:t>
      </w:r>
      <w:proofErr w:type="gramEnd"/>
      <w:r>
        <w:rPr>
          <w:rFonts w:hint="eastAsia"/>
          <w:bCs/>
          <w:sz w:val="24"/>
        </w:rPr>
        <w:t>期间的基金费用</w:t>
      </w:r>
    </w:p>
    <w:p w14:paraId="23AFC100" w14:textId="77777777" w:rsidR="0069510E" w:rsidRDefault="00000000">
      <w:pPr>
        <w:spacing w:line="360" w:lineRule="auto"/>
        <w:ind w:firstLineChars="200" w:firstLine="480"/>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w:t>
      </w:r>
      <w:proofErr w:type="gramStart"/>
      <w:r>
        <w:rPr>
          <w:rFonts w:hint="eastAsia"/>
          <w:bCs/>
          <w:sz w:val="24"/>
        </w:rPr>
        <w:t>与侧袋账户</w:t>
      </w:r>
      <w:proofErr w:type="gramEnd"/>
      <w:r>
        <w:rPr>
          <w:rFonts w:hint="eastAsia"/>
          <w:bCs/>
          <w:sz w:val="24"/>
        </w:rPr>
        <w:t>有关的费用可以</w:t>
      </w:r>
      <w:proofErr w:type="gramStart"/>
      <w:r>
        <w:rPr>
          <w:rFonts w:hint="eastAsia"/>
          <w:bCs/>
          <w:sz w:val="24"/>
        </w:rPr>
        <w:t>从侧袋账户</w:t>
      </w:r>
      <w:proofErr w:type="gramEnd"/>
      <w:r>
        <w:rPr>
          <w:rFonts w:hint="eastAsia"/>
          <w:bCs/>
          <w:sz w:val="24"/>
        </w:rPr>
        <w:t>中列支，但应</w:t>
      </w:r>
      <w:proofErr w:type="gramStart"/>
      <w:r>
        <w:rPr>
          <w:rFonts w:hint="eastAsia"/>
          <w:bCs/>
          <w:sz w:val="24"/>
        </w:rPr>
        <w:t>待侧袋</w:t>
      </w:r>
      <w:proofErr w:type="gramEnd"/>
      <w:r>
        <w:rPr>
          <w:rFonts w:hint="eastAsia"/>
          <w:bCs/>
          <w:sz w:val="24"/>
        </w:rPr>
        <w:t>账户资产变现后方可列支，有关费用可酌情收取或减免，但不得收取管理费，其他费用详见招募说明书“侧袋机制”部分或相关公告的规定。</w:t>
      </w:r>
    </w:p>
    <w:p w14:paraId="288BD86B" w14:textId="77777777" w:rsidR="0069510E" w:rsidRDefault="00000000">
      <w:pPr>
        <w:autoSpaceDE w:val="0"/>
        <w:autoSpaceDN w:val="0"/>
        <w:spacing w:line="360" w:lineRule="auto"/>
        <w:ind w:firstLineChars="200" w:firstLine="480"/>
        <w:textAlignment w:val="bottom"/>
        <w:rPr>
          <w:bCs/>
          <w:sz w:val="24"/>
        </w:rPr>
      </w:pPr>
      <w:r>
        <w:rPr>
          <w:rFonts w:hint="eastAsia"/>
          <w:bCs/>
          <w:sz w:val="24"/>
        </w:rPr>
        <w:t>五、基金税收</w:t>
      </w:r>
    </w:p>
    <w:p w14:paraId="17FA5C49" w14:textId="77777777" w:rsidR="0069510E" w:rsidRDefault="00000000">
      <w:pPr>
        <w:autoSpaceDE w:val="0"/>
        <w:autoSpaceDN w:val="0"/>
        <w:spacing w:line="360" w:lineRule="auto"/>
        <w:ind w:firstLineChars="200" w:firstLine="480"/>
        <w:textAlignment w:val="bottom"/>
        <w:rPr>
          <w:bCs/>
          <w:sz w:val="24"/>
        </w:rPr>
      </w:pPr>
      <w:r>
        <w:rPr>
          <w:rFonts w:hint="eastAsia"/>
          <w:bCs/>
          <w:sz w:val="24"/>
        </w:rPr>
        <w:lastRenderedPageBreak/>
        <w:t>本基金运作过程中涉及的各纳税主体，其纳税义务按国家税收法律、法规执行。</w:t>
      </w:r>
    </w:p>
    <w:p w14:paraId="7AB32712"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基金财产投资的相关税收，由基金份额持有人承担，基金管理人或者其他扣缴义务人按照国家有关税收征收的规定代扣代缴。</w:t>
      </w:r>
    </w:p>
    <w:p w14:paraId="45EED37A" w14:textId="77777777" w:rsidR="0069510E" w:rsidRDefault="0069510E">
      <w:pPr>
        <w:autoSpaceDE w:val="0"/>
        <w:autoSpaceDN w:val="0"/>
        <w:spacing w:line="360" w:lineRule="auto"/>
        <w:ind w:firstLineChars="200" w:firstLine="480"/>
        <w:textAlignment w:val="bottom"/>
        <w:rPr>
          <w:bCs/>
          <w:sz w:val="24"/>
        </w:rPr>
      </w:pPr>
    </w:p>
    <w:p w14:paraId="7633C58F" w14:textId="77777777" w:rsidR="0069510E" w:rsidRDefault="00000000">
      <w:pPr>
        <w:widowControl/>
        <w:jc w:val="left"/>
        <w:rPr>
          <w:bCs/>
          <w:sz w:val="24"/>
        </w:rPr>
      </w:pPr>
      <w:r>
        <w:rPr>
          <w:bCs/>
          <w:sz w:val="24"/>
        </w:rPr>
        <w:br w:type="page"/>
      </w:r>
    </w:p>
    <w:p w14:paraId="3B2F01C6" w14:textId="77777777" w:rsidR="0069510E" w:rsidRDefault="00000000">
      <w:pPr>
        <w:pStyle w:val="1"/>
        <w:jc w:val="center"/>
        <w:rPr>
          <w:sz w:val="30"/>
          <w:szCs w:val="30"/>
        </w:rPr>
      </w:pPr>
      <w:bookmarkStart w:id="305" w:name="_Toc68266301"/>
      <w:bookmarkStart w:id="306" w:name="_Toc136963814"/>
      <w:r>
        <w:rPr>
          <w:rFonts w:hint="eastAsia"/>
          <w:sz w:val="30"/>
          <w:szCs w:val="30"/>
        </w:rPr>
        <w:lastRenderedPageBreak/>
        <w:t>第十四部分</w:t>
      </w:r>
      <w:r>
        <w:rPr>
          <w:sz w:val="30"/>
          <w:szCs w:val="30"/>
        </w:rPr>
        <w:t xml:space="preserve">  </w:t>
      </w:r>
      <w:r>
        <w:rPr>
          <w:rFonts w:hint="eastAsia"/>
          <w:sz w:val="30"/>
          <w:szCs w:val="30"/>
        </w:rPr>
        <w:t>基金的会计与审计</w:t>
      </w:r>
      <w:bookmarkEnd w:id="288"/>
      <w:bookmarkEnd w:id="289"/>
      <w:bookmarkEnd w:id="290"/>
      <w:bookmarkEnd w:id="305"/>
      <w:bookmarkEnd w:id="306"/>
    </w:p>
    <w:p w14:paraId="1563E877" w14:textId="77777777" w:rsidR="0069510E" w:rsidRDefault="00000000">
      <w:pPr>
        <w:autoSpaceDE w:val="0"/>
        <w:autoSpaceDN w:val="0"/>
        <w:spacing w:line="360" w:lineRule="auto"/>
        <w:ind w:firstLineChars="200" w:firstLine="480"/>
        <w:textAlignment w:val="bottom"/>
        <w:rPr>
          <w:bCs/>
          <w:sz w:val="24"/>
        </w:rPr>
      </w:pPr>
      <w:r>
        <w:rPr>
          <w:rFonts w:hint="eastAsia"/>
          <w:bCs/>
          <w:sz w:val="24"/>
        </w:rPr>
        <w:t>一、基金会计政策</w:t>
      </w:r>
    </w:p>
    <w:p w14:paraId="34D9E769" w14:textId="77777777" w:rsidR="0069510E" w:rsidRDefault="00000000">
      <w:pPr>
        <w:autoSpaceDE w:val="0"/>
        <w:autoSpaceDN w:val="0"/>
        <w:spacing w:line="360" w:lineRule="auto"/>
        <w:ind w:firstLineChars="200" w:firstLine="480"/>
        <w:textAlignment w:val="bottom"/>
        <w:rPr>
          <w:bCs/>
          <w:sz w:val="24"/>
        </w:rPr>
      </w:pPr>
      <w:r>
        <w:rPr>
          <w:bCs/>
          <w:sz w:val="24"/>
        </w:rPr>
        <w:t>1</w:t>
      </w:r>
      <w:r>
        <w:rPr>
          <w:rFonts w:hint="eastAsia"/>
          <w:bCs/>
          <w:sz w:val="24"/>
        </w:rPr>
        <w:t>、基金管理人为本基金的基金会计责任方；</w:t>
      </w:r>
    </w:p>
    <w:p w14:paraId="268F7A3E" w14:textId="77777777" w:rsidR="0069510E" w:rsidRDefault="00000000">
      <w:pPr>
        <w:autoSpaceDE w:val="0"/>
        <w:autoSpaceDN w:val="0"/>
        <w:spacing w:line="360" w:lineRule="auto"/>
        <w:ind w:firstLineChars="200" w:firstLine="480"/>
        <w:textAlignment w:val="bottom"/>
        <w:rPr>
          <w:bCs/>
          <w:sz w:val="24"/>
        </w:rPr>
      </w:pPr>
      <w:r>
        <w:rPr>
          <w:bCs/>
          <w:sz w:val="24"/>
        </w:rPr>
        <w:t>2</w:t>
      </w:r>
      <w:r>
        <w:rPr>
          <w:rFonts w:hint="eastAsia"/>
          <w:bCs/>
          <w:sz w:val="24"/>
        </w:rPr>
        <w:t>、基金的会计年度为公历年度的</w:t>
      </w:r>
      <w:r>
        <w:rPr>
          <w:bCs/>
          <w:sz w:val="24"/>
        </w:rPr>
        <w:t>1</w:t>
      </w:r>
      <w:r>
        <w:rPr>
          <w:rFonts w:hint="eastAsia"/>
          <w:bCs/>
          <w:sz w:val="24"/>
        </w:rPr>
        <w:t>月</w:t>
      </w:r>
      <w:r>
        <w:rPr>
          <w:bCs/>
          <w:sz w:val="24"/>
        </w:rPr>
        <w:t>1</w:t>
      </w:r>
      <w:r>
        <w:rPr>
          <w:rFonts w:hint="eastAsia"/>
          <w:bCs/>
          <w:sz w:val="24"/>
        </w:rPr>
        <w:t>日至</w:t>
      </w:r>
      <w:r>
        <w:rPr>
          <w:bCs/>
          <w:sz w:val="24"/>
        </w:rPr>
        <w:t>12</w:t>
      </w:r>
      <w:r>
        <w:rPr>
          <w:rFonts w:hint="eastAsia"/>
          <w:bCs/>
          <w:sz w:val="24"/>
        </w:rPr>
        <w:t>月</w:t>
      </w:r>
      <w:r>
        <w:rPr>
          <w:bCs/>
          <w:sz w:val="24"/>
        </w:rPr>
        <w:t>31</w:t>
      </w:r>
      <w:r>
        <w:rPr>
          <w:rFonts w:hint="eastAsia"/>
          <w:bCs/>
          <w:sz w:val="24"/>
        </w:rPr>
        <w:t>日；基金首次募集的会计年度按如下原则：如果《基金合同》生效少于</w:t>
      </w:r>
      <w:r>
        <w:rPr>
          <w:bCs/>
          <w:sz w:val="24"/>
        </w:rPr>
        <w:t>2</w:t>
      </w:r>
      <w:r>
        <w:rPr>
          <w:rFonts w:hint="eastAsia"/>
          <w:bCs/>
          <w:sz w:val="24"/>
        </w:rPr>
        <w:t>个月，可以并入下一个会计年度披露；</w:t>
      </w:r>
    </w:p>
    <w:p w14:paraId="695160DB" w14:textId="77777777" w:rsidR="0069510E" w:rsidRDefault="00000000">
      <w:pPr>
        <w:autoSpaceDE w:val="0"/>
        <w:autoSpaceDN w:val="0"/>
        <w:spacing w:line="360" w:lineRule="auto"/>
        <w:ind w:firstLineChars="200" w:firstLine="480"/>
        <w:textAlignment w:val="bottom"/>
        <w:rPr>
          <w:bCs/>
          <w:sz w:val="24"/>
        </w:rPr>
      </w:pPr>
      <w:r>
        <w:rPr>
          <w:bCs/>
          <w:sz w:val="24"/>
        </w:rPr>
        <w:t>3</w:t>
      </w:r>
      <w:r>
        <w:rPr>
          <w:rFonts w:hint="eastAsia"/>
          <w:bCs/>
          <w:sz w:val="24"/>
        </w:rPr>
        <w:t>、基金核算以人民币为记账本位币，以人民币元为记账单位；</w:t>
      </w:r>
    </w:p>
    <w:p w14:paraId="71FDA492" w14:textId="77777777" w:rsidR="0069510E" w:rsidRDefault="00000000">
      <w:pPr>
        <w:autoSpaceDE w:val="0"/>
        <w:autoSpaceDN w:val="0"/>
        <w:spacing w:line="360" w:lineRule="auto"/>
        <w:ind w:firstLineChars="200" w:firstLine="480"/>
        <w:textAlignment w:val="bottom"/>
        <w:rPr>
          <w:bCs/>
          <w:sz w:val="24"/>
        </w:rPr>
      </w:pPr>
      <w:r>
        <w:rPr>
          <w:bCs/>
          <w:sz w:val="24"/>
        </w:rPr>
        <w:t>4</w:t>
      </w:r>
      <w:r>
        <w:rPr>
          <w:rFonts w:hint="eastAsia"/>
          <w:bCs/>
          <w:sz w:val="24"/>
        </w:rPr>
        <w:t>、会计制度执行国家有关会计制度；</w:t>
      </w:r>
    </w:p>
    <w:p w14:paraId="2A9F6E46" w14:textId="77777777" w:rsidR="0069510E" w:rsidRDefault="00000000">
      <w:pPr>
        <w:autoSpaceDE w:val="0"/>
        <w:autoSpaceDN w:val="0"/>
        <w:spacing w:line="360" w:lineRule="auto"/>
        <w:ind w:firstLineChars="200" w:firstLine="480"/>
        <w:textAlignment w:val="bottom"/>
        <w:rPr>
          <w:bCs/>
          <w:sz w:val="24"/>
        </w:rPr>
      </w:pPr>
      <w:r>
        <w:rPr>
          <w:bCs/>
          <w:sz w:val="24"/>
        </w:rPr>
        <w:t>5</w:t>
      </w:r>
      <w:r>
        <w:rPr>
          <w:rFonts w:hint="eastAsia"/>
          <w:bCs/>
          <w:sz w:val="24"/>
        </w:rPr>
        <w:t>、本基金独立建账、独立核算；</w:t>
      </w:r>
    </w:p>
    <w:p w14:paraId="4156495F" w14:textId="77777777" w:rsidR="0069510E" w:rsidRDefault="00000000">
      <w:pPr>
        <w:autoSpaceDE w:val="0"/>
        <w:autoSpaceDN w:val="0"/>
        <w:spacing w:line="360" w:lineRule="auto"/>
        <w:ind w:firstLineChars="200" w:firstLine="480"/>
        <w:textAlignment w:val="bottom"/>
        <w:rPr>
          <w:bCs/>
          <w:sz w:val="24"/>
        </w:rPr>
      </w:pPr>
      <w:r>
        <w:rPr>
          <w:bCs/>
          <w:sz w:val="24"/>
        </w:rPr>
        <w:t>6</w:t>
      </w:r>
      <w:r>
        <w:rPr>
          <w:rFonts w:hint="eastAsia"/>
          <w:bCs/>
          <w:sz w:val="24"/>
        </w:rPr>
        <w:t>、基金管理人及基金托管人各自保留完整的会计账目、凭证并进行日常的会计核算，按照有关规定编制基金会计报表；</w:t>
      </w:r>
    </w:p>
    <w:p w14:paraId="2649A877" w14:textId="77777777" w:rsidR="0069510E" w:rsidRDefault="00000000">
      <w:pPr>
        <w:autoSpaceDE w:val="0"/>
        <w:autoSpaceDN w:val="0"/>
        <w:spacing w:line="360" w:lineRule="auto"/>
        <w:ind w:firstLineChars="200" w:firstLine="480"/>
        <w:textAlignment w:val="bottom"/>
        <w:rPr>
          <w:bCs/>
          <w:sz w:val="24"/>
        </w:rPr>
      </w:pPr>
      <w:r>
        <w:rPr>
          <w:bCs/>
          <w:sz w:val="24"/>
        </w:rPr>
        <w:t>7</w:t>
      </w:r>
      <w:r>
        <w:rPr>
          <w:rFonts w:hint="eastAsia"/>
          <w:bCs/>
          <w:sz w:val="24"/>
        </w:rPr>
        <w:t>、基金托管人每月与基金管理人就基金的会计核算、报表编制等进行核对并以书面方式确认。</w:t>
      </w:r>
    </w:p>
    <w:p w14:paraId="72D0A6BB" w14:textId="77777777" w:rsidR="0069510E" w:rsidRDefault="00000000">
      <w:pPr>
        <w:autoSpaceDE w:val="0"/>
        <w:autoSpaceDN w:val="0"/>
        <w:spacing w:line="360" w:lineRule="auto"/>
        <w:ind w:firstLineChars="200" w:firstLine="480"/>
        <w:textAlignment w:val="bottom"/>
        <w:rPr>
          <w:bCs/>
          <w:sz w:val="24"/>
        </w:rPr>
      </w:pPr>
      <w:r>
        <w:rPr>
          <w:rFonts w:hint="eastAsia"/>
          <w:bCs/>
          <w:sz w:val="24"/>
        </w:rPr>
        <w:t>二、基金的年度审计</w:t>
      </w:r>
    </w:p>
    <w:p w14:paraId="49995B67" w14:textId="77777777" w:rsidR="0069510E" w:rsidRDefault="00000000">
      <w:pPr>
        <w:autoSpaceDE w:val="0"/>
        <w:autoSpaceDN w:val="0"/>
        <w:spacing w:line="360" w:lineRule="auto"/>
        <w:ind w:firstLineChars="200" w:firstLine="480"/>
        <w:textAlignment w:val="bottom"/>
        <w:rPr>
          <w:bCs/>
          <w:sz w:val="24"/>
        </w:rPr>
      </w:pPr>
      <w:r>
        <w:rPr>
          <w:bCs/>
          <w:sz w:val="24"/>
        </w:rPr>
        <w:t>1</w:t>
      </w:r>
      <w:r>
        <w:rPr>
          <w:rFonts w:hint="eastAsia"/>
          <w:bCs/>
          <w:sz w:val="24"/>
        </w:rPr>
        <w:t>、基金管理人聘请与基金管理人、基金托管人相互独立的符合《中华人民共和国证券法》规定的会计师事务所及其注册会计师对本基金的年度财务报表进行审计。</w:t>
      </w:r>
    </w:p>
    <w:p w14:paraId="1B5467D8" w14:textId="77777777" w:rsidR="0069510E" w:rsidRDefault="00000000">
      <w:pPr>
        <w:autoSpaceDE w:val="0"/>
        <w:autoSpaceDN w:val="0"/>
        <w:spacing w:line="360" w:lineRule="auto"/>
        <w:ind w:firstLineChars="200" w:firstLine="480"/>
        <w:textAlignment w:val="bottom"/>
        <w:rPr>
          <w:bCs/>
          <w:sz w:val="24"/>
        </w:rPr>
      </w:pPr>
      <w:r>
        <w:rPr>
          <w:bCs/>
          <w:sz w:val="24"/>
        </w:rPr>
        <w:t>2</w:t>
      </w:r>
      <w:r>
        <w:rPr>
          <w:rFonts w:hint="eastAsia"/>
          <w:bCs/>
          <w:sz w:val="24"/>
        </w:rPr>
        <w:t>、会计师事务所更换经办注册会计师，应事先征得基金管理人同意。</w:t>
      </w:r>
    </w:p>
    <w:p w14:paraId="102092C0" w14:textId="77777777" w:rsidR="0069510E" w:rsidRDefault="00000000">
      <w:pPr>
        <w:autoSpaceDE w:val="0"/>
        <w:autoSpaceDN w:val="0"/>
        <w:spacing w:line="360" w:lineRule="auto"/>
        <w:ind w:firstLineChars="200" w:firstLine="480"/>
        <w:textAlignment w:val="bottom"/>
        <w:rPr>
          <w:bCs/>
          <w:sz w:val="24"/>
        </w:rPr>
      </w:pPr>
      <w:r>
        <w:rPr>
          <w:bCs/>
          <w:sz w:val="24"/>
        </w:rPr>
        <w:t>3</w:t>
      </w:r>
      <w:r>
        <w:rPr>
          <w:rFonts w:hint="eastAsia"/>
          <w:bCs/>
          <w:sz w:val="24"/>
        </w:rPr>
        <w:t>、基金管理人认为有充足理由更换会计师事务所，须通报基金托管人。更换会计师事务所需依照《信息披露办法》的有关规定在规定媒介公告。</w:t>
      </w:r>
    </w:p>
    <w:p w14:paraId="4CAA9BF4" w14:textId="77777777" w:rsidR="0069510E" w:rsidRDefault="00000000">
      <w:pPr>
        <w:widowControl/>
        <w:jc w:val="left"/>
        <w:rPr>
          <w:bCs/>
          <w:sz w:val="24"/>
        </w:rPr>
      </w:pPr>
      <w:r>
        <w:rPr>
          <w:bCs/>
          <w:sz w:val="24"/>
        </w:rPr>
        <w:br w:type="page"/>
      </w:r>
    </w:p>
    <w:p w14:paraId="482DAF10" w14:textId="77777777" w:rsidR="0069510E" w:rsidRDefault="00000000">
      <w:pPr>
        <w:pStyle w:val="1"/>
        <w:jc w:val="center"/>
        <w:rPr>
          <w:sz w:val="30"/>
          <w:szCs w:val="30"/>
        </w:rPr>
      </w:pPr>
      <w:bookmarkStart w:id="307" w:name="_Toc79978642"/>
      <w:bookmarkStart w:id="308" w:name="_Toc416264551"/>
      <w:bookmarkStart w:id="309" w:name="_Toc263092323"/>
      <w:bookmarkStart w:id="310" w:name="_Toc68266302"/>
      <w:bookmarkStart w:id="311" w:name="_Toc136963815"/>
      <w:bookmarkStart w:id="312" w:name="_Toc214873604"/>
      <w:bookmarkStart w:id="313" w:name="_Toc139991746"/>
      <w:bookmarkStart w:id="314" w:name="_Toc141703896"/>
      <w:bookmarkStart w:id="315" w:name="_Toc178"/>
      <w:bookmarkStart w:id="316" w:name="_Toc128310499"/>
      <w:bookmarkStart w:id="317" w:name="_Toc22552"/>
      <w:bookmarkStart w:id="318" w:name="_Toc15525"/>
      <w:bookmarkStart w:id="319" w:name="_Toc15351"/>
      <w:bookmarkStart w:id="320" w:name="_Toc19558"/>
      <w:bookmarkStart w:id="321" w:name="_Toc352229762"/>
      <w:bookmarkStart w:id="322" w:name="_Toc93226149"/>
      <w:bookmarkStart w:id="323" w:name="_Toc25883"/>
      <w:bookmarkStart w:id="324" w:name="_Toc92662707"/>
      <w:bookmarkStart w:id="325" w:name="_Toc12761"/>
      <w:bookmarkStart w:id="326" w:name="_Toc3656"/>
      <w:bookmarkStart w:id="327" w:name="_Toc1617"/>
      <w:bookmarkStart w:id="328" w:name="_Toc21829"/>
      <w:bookmarkStart w:id="329" w:name="_Toc20052"/>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r>
        <w:rPr>
          <w:rFonts w:hint="eastAsia"/>
          <w:sz w:val="30"/>
          <w:szCs w:val="30"/>
        </w:rPr>
        <w:lastRenderedPageBreak/>
        <w:t>第十五部分</w:t>
      </w:r>
      <w:r>
        <w:rPr>
          <w:sz w:val="30"/>
          <w:szCs w:val="30"/>
        </w:rPr>
        <w:t xml:space="preserve">  </w:t>
      </w:r>
      <w:r>
        <w:rPr>
          <w:rFonts w:hint="eastAsia"/>
          <w:sz w:val="30"/>
          <w:szCs w:val="30"/>
        </w:rPr>
        <w:t>基金的信息披露</w:t>
      </w:r>
      <w:bookmarkEnd w:id="307"/>
      <w:bookmarkEnd w:id="308"/>
      <w:bookmarkEnd w:id="309"/>
      <w:bookmarkEnd w:id="310"/>
      <w:bookmarkEnd w:id="311"/>
      <w:bookmarkEnd w:id="312"/>
    </w:p>
    <w:p w14:paraId="1BA1E756" w14:textId="77777777" w:rsidR="0069510E" w:rsidRDefault="00000000">
      <w:pPr>
        <w:autoSpaceDE w:val="0"/>
        <w:autoSpaceDN w:val="0"/>
        <w:spacing w:line="360" w:lineRule="auto"/>
        <w:ind w:firstLineChars="200" w:firstLine="480"/>
        <w:textAlignment w:val="bottom"/>
        <w:rPr>
          <w:bCs/>
          <w:sz w:val="24"/>
        </w:rPr>
      </w:pPr>
      <w:r>
        <w:rPr>
          <w:rFonts w:hint="eastAsia"/>
          <w:bCs/>
          <w:sz w:val="24"/>
        </w:rPr>
        <w:t>一、本基金的信息披露应符合《基金法》、《运作办法》、《流动性风险管理规定》、《信息披露办法》、《基金合同》及其他有关规定。相关法律法规关于信息披露的规定发生变化时，本基金从其最新规定。</w:t>
      </w:r>
    </w:p>
    <w:p w14:paraId="2D347EA6" w14:textId="77777777" w:rsidR="0069510E" w:rsidRDefault="00000000">
      <w:pPr>
        <w:autoSpaceDE w:val="0"/>
        <w:autoSpaceDN w:val="0"/>
        <w:spacing w:line="360" w:lineRule="auto"/>
        <w:ind w:firstLineChars="200" w:firstLine="480"/>
        <w:textAlignment w:val="bottom"/>
        <w:rPr>
          <w:bCs/>
          <w:sz w:val="24"/>
        </w:rPr>
      </w:pPr>
      <w:r>
        <w:rPr>
          <w:rFonts w:hint="eastAsia"/>
          <w:bCs/>
          <w:sz w:val="24"/>
        </w:rPr>
        <w:t>二、信息披露义务人</w:t>
      </w:r>
    </w:p>
    <w:p w14:paraId="51EB66D1" w14:textId="77777777" w:rsidR="0069510E" w:rsidRDefault="00000000">
      <w:pPr>
        <w:autoSpaceDE w:val="0"/>
        <w:autoSpaceDN w:val="0"/>
        <w:spacing w:line="360" w:lineRule="auto"/>
        <w:ind w:firstLineChars="200" w:firstLine="480"/>
        <w:textAlignment w:val="bottom"/>
        <w:rPr>
          <w:bCs/>
          <w:sz w:val="24"/>
        </w:rPr>
      </w:pPr>
      <w:r>
        <w:rPr>
          <w:rFonts w:hint="eastAsia"/>
          <w:bCs/>
          <w:sz w:val="24"/>
        </w:rPr>
        <w:t>本基金信息披露义务人包括基金管理人、基金托管人、召集基金份额持有人大会的基金份额持有人等法律、行政法规和中国证监会规定的自然人、法人和非法人组织。</w:t>
      </w:r>
    </w:p>
    <w:p w14:paraId="4ED448D3" w14:textId="77777777" w:rsidR="0069510E" w:rsidRDefault="00000000">
      <w:pPr>
        <w:autoSpaceDE w:val="0"/>
        <w:autoSpaceDN w:val="0"/>
        <w:spacing w:line="360" w:lineRule="auto"/>
        <w:ind w:firstLineChars="200" w:firstLine="480"/>
        <w:textAlignment w:val="bottom"/>
        <w:rPr>
          <w:bCs/>
          <w:sz w:val="24"/>
        </w:rPr>
      </w:pPr>
      <w:r>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40FAABE1" w14:textId="77777777" w:rsidR="0069510E" w:rsidRDefault="00000000">
      <w:pPr>
        <w:autoSpaceDE w:val="0"/>
        <w:autoSpaceDN w:val="0"/>
        <w:spacing w:line="360" w:lineRule="auto"/>
        <w:ind w:firstLineChars="200" w:firstLine="480"/>
        <w:textAlignment w:val="bottom"/>
        <w:rPr>
          <w:bCs/>
          <w:sz w:val="24"/>
        </w:rPr>
      </w:pPr>
      <w:r>
        <w:rPr>
          <w:rFonts w:hint="eastAsia"/>
          <w:bCs/>
          <w:sz w:val="24"/>
        </w:rPr>
        <w:t>本基金信息披露义务人应当在中国证监会规定时间内，将应予披露的基金信息通过中国证监会规定媒介披露，并保证基金投资者能够按照《基金合同》约定的时间和方式查阅或者复制公开披露的信息资料。</w:t>
      </w:r>
    </w:p>
    <w:p w14:paraId="6BA0BFC9" w14:textId="77777777" w:rsidR="0069510E" w:rsidRDefault="00000000">
      <w:pPr>
        <w:autoSpaceDE w:val="0"/>
        <w:autoSpaceDN w:val="0"/>
        <w:spacing w:line="360" w:lineRule="auto"/>
        <w:ind w:firstLineChars="200" w:firstLine="480"/>
        <w:textAlignment w:val="bottom"/>
        <w:rPr>
          <w:bCs/>
          <w:sz w:val="24"/>
        </w:rPr>
      </w:pPr>
      <w:r>
        <w:rPr>
          <w:rFonts w:hint="eastAsia"/>
          <w:bCs/>
          <w:sz w:val="24"/>
        </w:rPr>
        <w:t>三、本基金信息披露义务人承诺公开披露的基金信息，不得有下列行为：</w:t>
      </w:r>
    </w:p>
    <w:p w14:paraId="10EA7530" w14:textId="77777777" w:rsidR="0069510E" w:rsidRDefault="00000000">
      <w:pPr>
        <w:autoSpaceDE w:val="0"/>
        <w:autoSpaceDN w:val="0"/>
        <w:spacing w:line="360" w:lineRule="auto"/>
        <w:ind w:firstLineChars="200" w:firstLine="480"/>
        <w:textAlignment w:val="bottom"/>
        <w:rPr>
          <w:bCs/>
          <w:sz w:val="24"/>
        </w:rPr>
      </w:pPr>
      <w:r>
        <w:rPr>
          <w:bCs/>
          <w:sz w:val="24"/>
        </w:rPr>
        <w:t>1</w:t>
      </w:r>
      <w:r>
        <w:rPr>
          <w:rFonts w:hint="eastAsia"/>
          <w:bCs/>
          <w:sz w:val="24"/>
        </w:rPr>
        <w:t>、虚假记载、误导性陈述或者重大遗漏；</w:t>
      </w:r>
    </w:p>
    <w:p w14:paraId="0D9E6CF6" w14:textId="77777777" w:rsidR="0069510E" w:rsidRDefault="00000000">
      <w:pPr>
        <w:autoSpaceDE w:val="0"/>
        <w:autoSpaceDN w:val="0"/>
        <w:spacing w:line="360" w:lineRule="auto"/>
        <w:ind w:firstLineChars="200" w:firstLine="480"/>
        <w:textAlignment w:val="bottom"/>
        <w:rPr>
          <w:bCs/>
          <w:sz w:val="24"/>
        </w:rPr>
      </w:pPr>
      <w:r>
        <w:rPr>
          <w:bCs/>
          <w:sz w:val="24"/>
        </w:rPr>
        <w:t>2</w:t>
      </w:r>
      <w:r>
        <w:rPr>
          <w:rFonts w:hint="eastAsia"/>
          <w:bCs/>
          <w:sz w:val="24"/>
        </w:rPr>
        <w:t>、对证券投资业绩进行预测；</w:t>
      </w:r>
    </w:p>
    <w:p w14:paraId="11C6C787" w14:textId="77777777" w:rsidR="0069510E" w:rsidRDefault="00000000">
      <w:pPr>
        <w:autoSpaceDE w:val="0"/>
        <w:autoSpaceDN w:val="0"/>
        <w:spacing w:line="360" w:lineRule="auto"/>
        <w:ind w:firstLineChars="200" w:firstLine="480"/>
        <w:textAlignment w:val="bottom"/>
        <w:rPr>
          <w:bCs/>
          <w:sz w:val="24"/>
        </w:rPr>
      </w:pPr>
      <w:r>
        <w:rPr>
          <w:bCs/>
          <w:sz w:val="24"/>
        </w:rPr>
        <w:t>3</w:t>
      </w:r>
      <w:r>
        <w:rPr>
          <w:rFonts w:hint="eastAsia"/>
          <w:bCs/>
          <w:sz w:val="24"/>
        </w:rPr>
        <w:t>、违规承诺收益或者承担损失；</w:t>
      </w:r>
    </w:p>
    <w:p w14:paraId="11E13553" w14:textId="77777777" w:rsidR="0069510E" w:rsidRDefault="00000000">
      <w:pPr>
        <w:autoSpaceDE w:val="0"/>
        <w:autoSpaceDN w:val="0"/>
        <w:spacing w:line="360" w:lineRule="auto"/>
        <w:ind w:firstLineChars="200" w:firstLine="480"/>
        <w:textAlignment w:val="bottom"/>
        <w:rPr>
          <w:bCs/>
          <w:sz w:val="24"/>
        </w:rPr>
      </w:pPr>
      <w:r>
        <w:rPr>
          <w:bCs/>
          <w:sz w:val="24"/>
        </w:rPr>
        <w:t>4</w:t>
      </w:r>
      <w:r>
        <w:rPr>
          <w:rFonts w:hint="eastAsia"/>
          <w:bCs/>
          <w:sz w:val="24"/>
        </w:rPr>
        <w:t>、诋毁其他基金管理人、基金托管人或者基金销售机构；</w:t>
      </w:r>
    </w:p>
    <w:p w14:paraId="07C77C3C" w14:textId="77777777" w:rsidR="0069510E" w:rsidRDefault="00000000">
      <w:pPr>
        <w:autoSpaceDE w:val="0"/>
        <w:autoSpaceDN w:val="0"/>
        <w:spacing w:line="360" w:lineRule="auto"/>
        <w:ind w:firstLineChars="200" w:firstLine="480"/>
        <w:textAlignment w:val="bottom"/>
        <w:rPr>
          <w:bCs/>
          <w:sz w:val="24"/>
        </w:rPr>
      </w:pPr>
      <w:r>
        <w:rPr>
          <w:bCs/>
          <w:sz w:val="24"/>
        </w:rPr>
        <w:t>5</w:t>
      </w:r>
      <w:r>
        <w:rPr>
          <w:rFonts w:hint="eastAsia"/>
          <w:bCs/>
          <w:sz w:val="24"/>
        </w:rPr>
        <w:t>、登载任何自然人、法人和非法人组织的祝贺性、恭维性或推荐性的文字；</w:t>
      </w:r>
    </w:p>
    <w:p w14:paraId="0AF5BD6D" w14:textId="77777777" w:rsidR="0069510E" w:rsidRDefault="00000000">
      <w:pPr>
        <w:autoSpaceDE w:val="0"/>
        <w:autoSpaceDN w:val="0"/>
        <w:spacing w:line="360" w:lineRule="auto"/>
        <w:ind w:firstLineChars="200" w:firstLine="480"/>
        <w:textAlignment w:val="bottom"/>
        <w:rPr>
          <w:bCs/>
          <w:sz w:val="24"/>
        </w:rPr>
      </w:pPr>
      <w:r>
        <w:rPr>
          <w:bCs/>
          <w:sz w:val="24"/>
        </w:rPr>
        <w:t>6</w:t>
      </w:r>
      <w:r>
        <w:rPr>
          <w:rFonts w:hint="eastAsia"/>
          <w:bCs/>
          <w:sz w:val="24"/>
        </w:rPr>
        <w:t>、中国证监会禁止的其他行为。</w:t>
      </w:r>
    </w:p>
    <w:p w14:paraId="1070B7D9"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四、本基金公开披露的信息应采用中文文本。同时采用外文文本的，基金信息披露义务人应保证不同文本的内容一致。不同文本之间发生歧义的，以中文文本为准。</w:t>
      </w:r>
    </w:p>
    <w:p w14:paraId="4F49AA9E" w14:textId="77777777" w:rsidR="0069510E" w:rsidRDefault="00000000">
      <w:pPr>
        <w:autoSpaceDE w:val="0"/>
        <w:autoSpaceDN w:val="0"/>
        <w:spacing w:line="360" w:lineRule="auto"/>
        <w:ind w:firstLineChars="200" w:firstLine="480"/>
        <w:textAlignment w:val="bottom"/>
        <w:rPr>
          <w:bCs/>
          <w:sz w:val="24"/>
        </w:rPr>
      </w:pPr>
      <w:r>
        <w:rPr>
          <w:rFonts w:hint="eastAsia"/>
          <w:bCs/>
          <w:sz w:val="24"/>
        </w:rPr>
        <w:t>本基金公开披露的信息采用阿拉伯数字；除特别说明外，货币单位为人民币元。</w:t>
      </w:r>
    </w:p>
    <w:p w14:paraId="58233E5F" w14:textId="77777777" w:rsidR="0069510E" w:rsidRDefault="00000000">
      <w:pPr>
        <w:autoSpaceDE w:val="0"/>
        <w:autoSpaceDN w:val="0"/>
        <w:spacing w:line="360" w:lineRule="auto"/>
        <w:ind w:firstLineChars="200" w:firstLine="480"/>
        <w:textAlignment w:val="bottom"/>
        <w:rPr>
          <w:bCs/>
          <w:sz w:val="24"/>
        </w:rPr>
      </w:pPr>
      <w:r>
        <w:rPr>
          <w:rFonts w:hint="eastAsia"/>
          <w:bCs/>
          <w:sz w:val="24"/>
        </w:rPr>
        <w:t>五、公开披露的基金信息</w:t>
      </w:r>
    </w:p>
    <w:p w14:paraId="5B1CAD95"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公开披露的基金信息包括：</w:t>
      </w:r>
    </w:p>
    <w:p w14:paraId="763C1C9F" w14:textId="77777777" w:rsidR="0069510E" w:rsidRDefault="00000000">
      <w:pPr>
        <w:autoSpaceDE w:val="0"/>
        <w:autoSpaceDN w:val="0"/>
        <w:spacing w:line="360" w:lineRule="auto"/>
        <w:ind w:firstLineChars="200" w:firstLine="480"/>
        <w:textAlignment w:val="bottom"/>
        <w:rPr>
          <w:bCs/>
          <w:sz w:val="24"/>
        </w:rPr>
      </w:pPr>
      <w:r>
        <w:rPr>
          <w:rFonts w:hint="eastAsia"/>
          <w:bCs/>
          <w:sz w:val="24"/>
        </w:rPr>
        <w:t>（一）基金招募说明书、《基金合同》、基金托管协议、基金产品资料概要</w:t>
      </w:r>
    </w:p>
    <w:p w14:paraId="7B22E463" w14:textId="77777777" w:rsidR="0069510E" w:rsidRDefault="00000000">
      <w:pPr>
        <w:autoSpaceDE w:val="0"/>
        <w:autoSpaceDN w:val="0"/>
        <w:spacing w:line="360" w:lineRule="auto"/>
        <w:ind w:firstLineChars="200" w:firstLine="480"/>
        <w:textAlignment w:val="bottom"/>
        <w:rPr>
          <w:bCs/>
          <w:sz w:val="24"/>
        </w:rPr>
      </w:pPr>
      <w:r>
        <w:rPr>
          <w:bCs/>
          <w:sz w:val="24"/>
        </w:rPr>
        <w:t>1</w:t>
      </w:r>
      <w:r>
        <w:rPr>
          <w:rFonts w:hint="eastAsia"/>
          <w:bCs/>
          <w:sz w:val="24"/>
        </w:rPr>
        <w:t>、《基金合同》是界定《基金合同》当事人的各项权利、义务关系，明确基金</w:t>
      </w:r>
      <w:r>
        <w:rPr>
          <w:rFonts w:hint="eastAsia"/>
          <w:bCs/>
          <w:sz w:val="24"/>
        </w:rPr>
        <w:lastRenderedPageBreak/>
        <w:t>份额持有人大会召开的规则及具体程序，说明基金产品的特性等涉及基金投资者重大利益的事项的法律文件。</w:t>
      </w:r>
    </w:p>
    <w:p w14:paraId="04A0A813" w14:textId="77777777" w:rsidR="0069510E" w:rsidRDefault="00000000">
      <w:pPr>
        <w:autoSpaceDE w:val="0"/>
        <w:autoSpaceDN w:val="0"/>
        <w:spacing w:line="360" w:lineRule="auto"/>
        <w:ind w:firstLineChars="200" w:firstLine="480"/>
        <w:textAlignment w:val="bottom"/>
        <w:rPr>
          <w:bCs/>
          <w:sz w:val="24"/>
        </w:rPr>
      </w:pPr>
      <w:r>
        <w:rPr>
          <w:bCs/>
          <w:sz w:val="24"/>
        </w:rPr>
        <w:t>2</w:t>
      </w:r>
      <w:r>
        <w:rPr>
          <w:rFonts w:hint="eastAsia"/>
          <w:bCs/>
          <w:sz w:val="24"/>
        </w:rPr>
        <w:t>、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w:t>
      </w:r>
    </w:p>
    <w:p w14:paraId="225C88FE" w14:textId="77777777" w:rsidR="0069510E" w:rsidRDefault="00000000">
      <w:pPr>
        <w:autoSpaceDE w:val="0"/>
        <w:autoSpaceDN w:val="0"/>
        <w:spacing w:line="360" w:lineRule="auto"/>
        <w:ind w:firstLineChars="200" w:firstLine="480"/>
        <w:textAlignment w:val="bottom"/>
        <w:rPr>
          <w:bCs/>
          <w:sz w:val="24"/>
        </w:rPr>
      </w:pPr>
      <w:r>
        <w:rPr>
          <w:bCs/>
          <w:sz w:val="24"/>
        </w:rPr>
        <w:t>3</w:t>
      </w:r>
      <w:r>
        <w:rPr>
          <w:rFonts w:hint="eastAsia"/>
          <w:bCs/>
          <w:sz w:val="24"/>
        </w:rPr>
        <w:t>、基金托管协议是界定基金托管人和基金管理人在基金财产保管及基金运作监督等活动中的权利、义务关系的法律文件。</w:t>
      </w:r>
    </w:p>
    <w:p w14:paraId="53003291" w14:textId="77777777" w:rsidR="0069510E" w:rsidRDefault="00000000">
      <w:pPr>
        <w:autoSpaceDE w:val="0"/>
        <w:autoSpaceDN w:val="0"/>
        <w:spacing w:line="360" w:lineRule="auto"/>
        <w:ind w:firstLineChars="200" w:firstLine="480"/>
        <w:textAlignment w:val="bottom"/>
        <w:rPr>
          <w:bCs/>
          <w:sz w:val="24"/>
        </w:rPr>
      </w:pPr>
      <w:r>
        <w:rPr>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规定网站及基金销售机构网站或营业网点；基金产品资料概要其他信息发生变更的，基金管理人至少每年更新一次。基金终止运作的，基金管理人不再更新基金产品资料概要。</w:t>
      </w:r>
    </w:p>
    <w:p w14:paraId="49A0CAA7"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基金募集申请经中国证监会注册后，基金管理人在基金份额发售的三日前，将基金份额发售公告、基金招募说明书提示性公告、《基金合同》提示性公告登载在规定报刊上，将基金份额发售公告、基金招募说明书、基金产品资料概要、基金合同和基金托管协议登载在规定网站上，并将基金产品资料概要登载在基金销售机构网站或营业网点；基金托管人应当同时将《基金合同》、基金托管协议登载在规定网站上。</w:t>
      </w:r>
    </w:p>
    <w:p w14:paraId="388B4AAD" w14:textId="77777777" w:rsidR="0069510E" w:rsidRDefault="00000000">
      <w:pPr>
        <w:autoSpaceDE w:val="0"/>
        <w:autoSpaceDN w:val="0"/>
        <w:spacing w:line="360" w:lineRule="auto"/>
        <w:ind w:firstLineChars="200" w:firstLine="480"/>
        <w:textAlignment w:val="bottom"/>
        <w:rPr>
          <w:bCs/>
          <w:sz w:val="24"/>
        </w:rPr>
      </w:pPr>
      <w:r>
        <w:rPr>
          <w:rFonts w:hint="eastAsia"/>
          <w:bCs/>
          <w:sz w:val="24"/>
        </w:rPr>
        <w:t>（二）基金份额发售公告</w:t>
      </w:r>
    </w:p>
    <w:p w14:paraId="52BC98CD"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基金管理人应当就基金份额发售的具体事宜编制基金份额发售公告，并在披露招募说明书的当日登载于规定媒介上。</w:t>
      </w:r>
    </w:p>
    <w:p w14:paraId="283ED507" w14:textId="77777777" w:rsidR="0069510E" w:rsidRDefault="00000000">
      <w:pPr>
        <w:autoSpaceDE w:val="0"/>
        <w:autoSpaceDN w:val="0"/>
        <w:spacing w:line="360" w:lineRule="auto"/>
        <w:ind w:firstLineChars="200" w:firstLine="480"/>
        <w:textAlignment w:val="bottom"/>
        <w:rPr>
          <w:bCs/>
          <w:sz w:val="24"/>
        </w:rPr>
      </w:pPr>
      <w:r>
        <w:rPr>
          <w:rFonts w:hint="eastAsia"/>
          <w:bCs/>
          <w:sz w:val="24"/>
        </w:rPr>
        <w:t>（三）《基金合同》生效公告</w:t>
      </w:r>
    </w:p>
    <w:p w14:paraId="0D7F3E3F"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基金管理人应当在收到中国证监会确认文件的次日在规定媒介上登载《基金合同》生效公告。</w:t>
      </w:r>
    </w:p>
    <w:p w14:paraId="65839C0D"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（四）基金净值信息</w:t>
      </w:r>
    </w:p>
    <w:p w14:paraId="05067C2A"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《基金合同》生效后，在开始办理基金份额申购或者赎回前，基金管理人应当</w:t>
      </w:r>
      <w:r>
        <w:rPr>
          <w:rFonts w:hint="eastAsia"/>
          <w:bCs/>
          <w:sz w:val="24"/>
        </w:rPr>
        <w:lastRenderedPageBreak/>
        <w:t>至少每周在规定网站披露一次各类基金份额净值和各类基金份额累计净值。</w:t>
      </w:r>
    </w:p>
    <w:p w14:paraId="64D5F7C6"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在开始办理基金份额申购或者赎回后，基金管理人应当在不晚于每个开放日的次日，通过规定网站、基金销售机构网站或营业网点披露开放日的各类基金份额净值和各类基金份额累计净值。</w:t>
      </w:r>
    </w:p>
    <w:p w14:paraId="7F8F60AF"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基金管理人应在不晚于半年度和年度最后一日的次日，在规定网站披露半年度和年度最后一日的各类基金份额净值和各类基金份额累计净值。</w:t>
      </w:r>
    </w:p>
    <w:p w14:paraId="3A7D2025" w14:textId="77777777" w:rsidR="0069510E" w:rsidRDefault="00000000">
      <w:pPr>
        <w:autoSpaceDE w:val="0"/>
        <w:autoSpaceDN w:val="0"/>
        <w:spacing w:line="360" w:lineRule="auto"/>
        <w:ind w:firstLineChars="200" w:firstLine="480"/>
        <w:textAlignment w:val="bottom"/>
        <w:rPr>
          <w:bCs/>
          <w:sz w:val="24"/>
        </w:rPr>
      </w:pPr>
      <w:r>
        <w:rPr>
          <w:rFonts w:hint="eastAsia"/>
          <w:bCs/>
          <w:sz w:val="24"/>
        </w:rPr>
        <w:t>（五）基金份额申购、赎回价格</w:t>
      </w:r>
    </w:p>
    <w:p w14:paraId="6D470DF8"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基金管理人应当在《基金合同》、招募说明书等信息披露文件上载</w:t>
      </w:r>
      <w:proofErr w:type="gramStart"/>
      <w:r>
        <w:rPr>
          <w:rFonts w:hint="eastAsia"/>
          <w:bCs/>
          <w:sz w:val="24"/>
        </w:rPr>
        <w:t>明基金</w:t>
      </w:r>
      <w:proofErr w:type="gramEnd"/>
      <w:r>
        <w:rPr>
          <w:rFonts w:hint="eastAsia"/>
          <w:bCs/>
          <w:sz w:val="24"/>
        </w:rPr>
        <w:t>份额申购、赎回价格的计算方式及有关申购、赎回费率，并保证投资者能够在基金销售机构网站或营业网点查阅或者复制前述信息资料。</w:t>
      </w:r>
    </w:p>
    <w:p w14:paraId="59EFDDD3"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（六）基金定期报告，包括基金年度报告、基金中期报告和基金季度报告</w:t>
      </w:r>
    </w:p>
    <w:p w14:paraId="621DD5DF"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基金管理人应当在每年结束之日起三个月内，编制完成基金年度报告，将年度报告登载在规定网站上，并将年度报告提示性公告登载在规定报刊上。基金年度报告中的财务会计报告应当经过符合《中华人民共和国证券法》规定的会计师事务所审计。</w:t>
      </w:r>
    </w:p>
    <w:p w14:paraId="2DA2AD45"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基金管理人应当在上半年结束之日起两个月内，编制完成基金中期报告，将中期报告登载在规定网站上，并将中期报告提示性公告登载在规定报刊上。</w:t>
      </w:r>
    </w:p>
    <w:p w14:paraId="54DE0110"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基金管理人应当在每个季度结束之日起</w:t>
      </w:r>
      <w:r>
        <w:rPr>
          <w:bCs/>
          <w:sz w:val="24"/>
        </w:rPr>
        <w:t>15</w:t>
      </w:r>
      <w:r>
        <w:rPr>
          <w:rFonts w:hint="eastAsia"/>
          <w:bCs/>
          <w:sz w:val="24"/>
        </w:rPr>
        <w:t>个工作日内，编制完成基金季度报告，将季度报告登载在规定网站上，并将季度报告提示性公告登载在规定报刊上。</w:t>
      </w:r>
    </w:p>
    <w:p w14:paraId="63DBAA36"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《基金合同》生效不足</w:t>
      </w:r>
      <w:r>
        <w:rPr>
          <w:bCs/>
          <w:sz w:val="24"/>
        </w:rPr>
        <w:t>2</w:t>
      </w:r>
      <w:r>
        <w:rPr>
          <w:rFonts w:hint="eastAsia"/>
          <w:bCs/>
          <w:sz w:val="24"/>
        </w:rPr>
        <w:t>个月的，基金管理人可以不编制当期季度报告、中期报告或者年度报告。</w:t>
      </w:r>
    </w:p>
    <w:p w14:paraId="7D1DCCEE"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bCs/>
          <w:sz w:val="24"/>
        </w:rPr>
        <w:t>20%</w:t>
      </w:r>
      <w:r>
        <w:rPr>
          <w:rFonts w:hint="eastAsia"/>
          <w:bCs/>
          <w:sz w:val="24"/>
        </w:rPr>
        <w:t>的情形，为保障其他投资者的权益，基金管理人至少应当在基金定期报告“影响投资者决策的其他重要信息”项下披露该投资者的类别、报告期末持有份额及占比、报告期内持有份额变化情况及本基金的特有风险，中国证监会认定的特殊情形除外。</w:t>
      </w:r>
    </w:p>
    <w:p w14:paraId="7B4BB534"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基金管理人应当在基金年度报告和中期报告中披露基金组合资产情况及其流动性风险分析等。</w:t>
      </w:r>
    </w:p>
    <w:p w14:paraId="227377B7" w14:textId="77777777" w:rsidR="0069510E" w:rsidRDefault="00000000">
      <w:pPr>
        <w:autoSpaceDE w:val="0"/>
        <w:autoSpaceDN w:val="0"/>
        <w:spacing w:line="360" w:lineRule="auto"/>
        <w:ind w:firstLineChars="200" w:firstLine="480"/>
        <w:textAlignment w:val="bottom"/>
        <w:rPr>
          <w:bCs/>
          <w:sz w:val="24"/>
        </w:rPr>
      </w:pPr>
      <w:r>
        <w:rPr>
          <w:rFonts w:hint="eastAsia"/>
          <w:bCs/>
          <w:sz w:val="24"/>
        </w:rPr>
        <w:t>（七）临时报告</w:t>
      </w:r>
    </w:p>
    <w:p w14:paraId="42C469A4" w14:textId="77777777" w:rsidR="0069510E" w:rsidRDefault="00000000">
      <w:pPr>
        <w:autoSpaceDE w:val="0"/>
        <w:autoSpaceDN w:val="0"/>
        <w:spacing w:line="360" w:lineRule="auto"/>
        <w:ind w:firstLineChars="200" w:firstLine="480"/>
        <w:textAlignment w:val="bottom"/>
        <w:rPr>
          <w:bCs/>
          <w:sz w:val="24"/>
        </w:rPr>
      </w:pPr>
      <w:r>
        <w:rPr>
          <w:rFonts w:hint="eastAsia"/>
          <w:bCs/>
          <w:sz w:val="24"/>
        </w:rPr>
        <w:t>本基金发生重大事件，有关信息披露义务人应当依照《信息披露办法》的有关</w:t>
      </w:r>
      <w:r>
        <w:rPr>
          <w:rFonts w:hint="eastAsia"/>
          <w:bCs/>
          <w:sz w:val="24"/>
        </w:rPr>
        <w:lastRenderedPageBreak/>
        <w:t>规定编制临时报告书，并登载在规定报刊和规定网站上。</w:t>
      </w:r>
    </w:p>
    <w:p w14:paraId="0415A155"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前款所称重大事件，是指可能对基金份额持有人权益或者基金份额的价格产生重大影响的下列事件：</w:t>
      </w:r>
    </w:p>
    <w:p w14:paraId="4CDAEACE" w14:textId="77777777" w:rsidR="0069510E" w:rsidRDefault="00000000">
      <w:pPr>
        <w:autoSpaceDE w:val="0"/>
        <w:autoSpaceDN w:val="0"/>
        <w:spacing w:line="360" w:lineRule="auto"/>
        <w:ind w:firstLineChars="200" w:firstLine="480"/>
        <w:textAlignment w:val="bottom"/>
        <w:rPr>
          <w:bCs/>
          <w:sz w:val="24"/>
        </w:rPr>
      </w:pPr>
      <w:r>
        <w:rPr>
          <w:bCs/>
          <w:sz w:val="24"/>
        </w:rPr>
        <w:t>1</w:t>
      </w:r>
      <w:r>
        <w:rPr>
          <w:rFonts w:hint="eastAsia"/>
          <w:bCs/>
          <w:sz w:val="24"/>
        </w:rPr>
        <w:t>、基金份额持有人大会的召开及决定的事项；</w:t>
      </w:r>
    </w:p>
    <w:p w14:paraId="056ED222" w14:textId="77777777" w:rsidR="0069510E" w:rsidRDefault="00000000">
      <w:pPr>
        <w:autoSpaceDE w:val="0"/>
        <w:autoSpaceDN w:val="0"/>
        <w:spacing w:line="360" w:lineRule="auto"/>
        <w:ind w:firstLineChars="200" w:firstLine="480"/>
        <w:textAlignment w:val="bottom"/>
        <w:rPr>
          <w:bCs/>
          <w:sz w:val="24"/>
        </w:rPr>
      </w:pPr>
      <w:r>
        <w:rPr>
          <w:bCs/>
          <w:sz w:val="24"/>
        </w:rPr>
        <w:t>2</w:t>
      </w:r>
      <w:r>
        <w:rPr>
          <w:rFonts w:hint="eastAsia"/>
          <w:bCs/>
          <w:sz w:val="24"/>
        </w:rPr>
        <w:t>、基金合同终止、基金清算；</w:t>
      </w:r>
    </w:p>
    <w:p w14:paraId="0780080B" w14:textId="77777777" w:rsidR="0069510E" w:rsidRDefault="00000000">
      <w:pPr>
        <w:autoSpaceDE w:val="0"/>
        <w:autoSpaceDN w:val="0"/>
        <w:spacing w:line="360" w:lineRule="auto"/>
        <w:ind w:firstLineChars="200" w:firstLine="480"/>
        <w:textAlignment w:val="bottom"/>
        <w:rPr>
          <w:bCs/>
          <w:sz w:val="24"/>
        </w:rPr>
      </w:pPr>
      <w:r>
        <w:rPr>
          <w:bCs/>
          <w:sz w:val="24"/>
        </w:rPr>
        <w:t>3</w:t>
      </w:r>
      <w:r>
        <w:rPr>
          <w:rFonts w:hint="eastAsia"/>
          <w:bCs/>
          <w:sz w:val="24"/>
        </w:rPr>
        <w:t>、转换基金运作方式、基金合并；</w:t>
      </w:r>
    </w:p>
    <w:p w14:paraId="55C14F7B" w14:textId="77777777" w:rsidR="0069510E" w:rsidRDefault="00000000">
      <w:pPr>
        <w:autoSpaceDE w:val="0"/>
        <w:autoSpaceDN w:val="0"/>
        <w:spacing w:line="360" w:lineRule="auto"/>
        <w:ind w:firstLineChars="200" w:firstLine="480"/>
        <w:textAlignment w:val="bottom"/>
        <w:rPr>
          <w:bCs/>
          <w:sz w:val="24"/>
        </w:rPr>
      </w:pPr>
      <w:r>
        <w:rPr>
          <w:bCs/>
          <w:sz w:val="24"/>
        </w:rPr>
        <w:t>4</w:t>
      </w:r>
      <w:r>
        <w:rPr>
          <w:rFonts w:hint="eastAsia"/>
          <w:bCs/>
          <w:sz w:val="24"/>
        </w:rPr>
        <w:t>、更换基金管理人、基金托管人、基金份额登记机构，基金改聘会计师事务所；</w:t>
      </w:r>
    </w:p>
    <w:p w14:paraId="74131871" w14:textId="77777777" w:rsidR="0069510E" w:rsidRDefault="00000000">
      <w:pPr>
        <w:autoSpaceDE w:val="0"/>
        <w:autoSpaceDN w:val="0"/>
        <w:spacing w:line="360" w:lineRule="auto"/>
        <w:ind w:firstLineChars="200" w:firstLine="480"/>
        <w:textAlignment w:val="bottom"/>
        <w:rPr>
          <w:bCs/>
          <w:sz w:val="24"/>
        </w:rPr>
      </w:pPr>
      <w:r>
        <w:rPr>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1B9DA36F" w14:textId="77777777" w:rsidR="0069510E" w:rsidRDefault="00000000">
      <w:pPr>
        <w:autoSpaceDE w:val="0"/>
        <w:autoSpaceDN w:val="0"/>
        <w:spacing w:line="360" w:lineRule="auto"/>
        <w:ind w:firstLineChars="200" w:firstLine="480"/>
        <w:textAlignment w:val="bottom"/>
        <w:rPr>
          <w:bCs/>
          <w:sz w:val="24"/>
        </w:rPr>
      </w:pPr>
      <w:r>
        <w:rPr>
          <w:bCs/>
          <w:sz w:val="24"/>
        </w:rPr>
        <w:t>6</w:t>
      </w:r>
      <w:r>
        <w:rPr>
          <w:rFonts w:hint="eastAsia"/>
          <w:bCs/>
          <w:sz w:val="24"/>
        </w:rPr>
        <w:t>、基金管理人、基金托管人的法定名称、住所发生变更；</w:t>
      </w:r>
    </w:p>
    <w:p w14:paraId="0993A0E2" w14:textId="77777777" w:rsidR="0069510E" w:rsidRDefault="00000000">
      <w:pPr>
        <w:autoSpaceDE w:val="0"/>
        <w:autoSpaceDN w:val="0"/>
        <w:spacing w:line="360" w:lineRule="auto"/>
        <w:ind w:firstLineChars="200" w:firstLine="480"/>
        <w:textAlignment w:val="bottom"/>
        <w:rPr>
          <w:bCs/>
          <w:sz w:val="24"/>
        </w:rPr>
      </w:pPr>
      <w:r>
        <w:rPr>
          <w:bCs/>
          <w:sz w:val="24"/>
        </w:rPr>
        <w:t>7</w:t>
      </w:r>
      <w:r>
        <w:rPr>
          <w:rFonts w:hint="eastAsia"/>
          <w:bCs/>
          <w:sz w:val="24"/>
        </w:rPr>
        <w:t>、基金管理人变更持有百分之五以上股权的股东、基金管理人的实际控制人变更；</w:t>
      </w:r>
    </w:p>
    <w:p w14:paraId="7F8FC37B" w14:textId="77777777" w:rsidR="0069510E" w:rsidRDefault="00000000">
      <w:pPr>
        <w:autoSpaceDE w:val="0"/>
        <w:autoSpaceDN w:val="0"/>
        <w:spacing w:line="360" w:lineRule="auto"/>
        <w:ind w:firstLineChars="200" w:firstLine="480"/>
        <w:textAlignment w:val="bottom"/>
        <w:rPr>
          <w:bCs/>
          <w:sz w:val="24"/>
        </w:rPr>
      </w:pPr>
      <w:r>
        <w:rPr>
          <w:bCs/>
          <w:sz w:val="24"/>
        </w:rPr>
        <w:t>8</w:t>
      </w:r>
      <w:r>
        <w:rPr>
          <w:rFonts w:hint="eastAsia"/>
          <w:bCs/>
          <w:sz w:val="24"/>
        </w:rPr>
        <w:t>、基金募集期延长或提前结束募集；</w:t>
      </w:r>
    </w:p>
    <w:p w14:paraId="494B4D87" w14:textId="77777777" w:rsidR="0069510E" w:rsidRDefault="00000000">
      <w:pPr>
        <w:autoSpaceDE w:val="0"/>
        <w:autoSpaceDN w:val="0"/>
        <w:spacing w:line="360" w:lineRule="auto"/>
        <w:ind w:firstLineChars="200" w:firstLine="480"/>
        <w:textAlignment w:val="bottom"/>
        <w:rPr>
          <w:bCs/>
          <w:sz w:val="24"/>
        </w:rPr>
      </w:pPr>
      <w:r>
        <w:rPr>
          <w:bCs/>
          <w:sz w:val="24"/>
        </w:rPr>
        <w:t>9</w:t>
      </w:r>
      <w:r>
        <w:rPr>
          <w:rFonts w:hint="eastAsia"/>
          <w:bCs/>
          <w:sz w:val="24"/>
        </w:rPr>
        <w:t>、基金管理人高级管理人员、基金经理和基金托管人专门基金托管部门负责人发生变动；</w:t>
      </w:r>
    </w:p>
    <w:p w14:paraId="68EA1A05" w14:textId="77777777" w:rsidR="0069510E" w:rsidRDefault="00000000">
      <w:pPr>
        <w:autoSpaceDE w:val="0"/>
        <w:autoSpaceDN w:val="0"/>
        <w:spacing w:line="360" w:lineRule="auto"/>
        <w:ind w:firstLineChars="200" w:firstLine="480"/>
        <w:textAlignment w:val="bottom"/>
        <w:rPr>
          <w:bCs/>
          <w:sz w:val="24"/>
        </w:rPr>
      </w:pPr>
      <w:r>
        <w:rPr>
          <w:bCs/>
          <w:sz w:val="24"/>
        </w:rPr>
        <w:t>10</w:t>
      </w:r>
      <w:r>
        <w:rPr>
          <w:rFonts w:hint="eastAsia"/>
          <w:bCs/>
          <w:sz w:val="24"/>
        </w:rPr>
        <w:t>、基金管理人的董事在最近</w:t>
      </w:r>
      <w:r>
        <w:rPr>
          <w:bCs/>
          <w:sz w:val="24"/>
        </w:rPr>
        <w:t>12</w:t>
      </w:r>
      <w:r>
        <w:rPr>
          <w:rFonts w:hint="eastAsia"/>
          <w:bCs/>
          <w:sz w:val="24"/>
        </w:rPr>
        <w:t>个月内变更超过百分之五十，基金管理人、基金托管人专门基金托管部门的主要业务人员在最近</w:t>
      </w:r>
      <w:r>
        <w:rPr>
          <w:bCs/>
          <w:sz w:val="24"/>
        </w:rPr>
        <w:t>12</w:t>
      </w:r>
      <w:r>
        <w:rPr>
          <w:rFonts w:hint="eastAsia"/>
          <w:bCs/>
          <w:sz w:val="24"/>
        </w:rPr>
        <w:t>个月内变动超过百分之三十；</w:t>
      </w:r>
    </w:p>
    <w:p w14:paraId="77F513D2" w14:textId="77777777" w:rsidR="0069510E" w:rsidRDefault="00000000">
      <w:pPr>
        <w:autoSpaceDE w:val="0"/>
        <w:autoSpaceDN w:val="0"/>
        <w:spacing w:line="360" w:lineRule="auto"/>
        <w:ind w:firstLineChars="200" w:firstLine="480"/>
        <w:textAlignment w:val="bottom"/>
        <w:rPr>
          <w:bCs/>
          <w:sz w:val="24"/>
        </w:rPr>
      </w:pPr>
      <w:r>
        <w:rPr>
          <w:bCs/>
          <w:sz w:val="24"/>
        </w:rPr>
        <w:t>11</w:t>
      </w:r>
      <w:r>
        <w:rPr>
          <w:rFonts w:hint="eastAsia"/>
          <w:bCs/>
          <w:sz w:val="24"/>
        </w:rPr>
        <w:t>、涉及基金财产、基金管理业务、基金托管业务的诉讼或仲裁；</w:t>
      </w:r>
    </w:p>
    <w:p w14:paraId="10064F9C" w14:textId="77777777" w:rsidR="0069510E" w:rsidRDefault="00000000">
      <w:pPr>
        <w:autoSpaceDE w:val="0"/>
        <w:autoSpaceDN w:val="0"/>
        <w:spacing w:line="360" w:lineRule="auto"/>
        <w:ind w:firstLineChars="200" w:firstLine="480"/>
        <w:textAlignment w:val="bottom"/>
        <w:rPr>
          <w:bCs/>
          <w:sz w:val="24"/>
        </w:rPr>
      </w:pPr>
      <w:r>
        <w:rPr>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5D28D1F0" w14:textId="77777777" w:rsidR="0069510E" w:rsidRDefault="00000000">
      <w:pPr>
        <w:autoSpaceDE w:val="0"/>
        <w:autoSpaceDN w:val="0"/>
        <w:spacing w:line="360" w:lineRule="auto"/>
        <w:ind w:firstLineChars="200" w:firstLine="480"/>
        <w:textAlignment w:val="bottom"/>
        <w:rPr>
          <w:bCs/>
          <w:sz w:val="24"/>
        </w:rPr>
      </w:pPr>
      <w:r>
        <w:rPr>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p>
    <w:p w14:paraId="020ABBDC" w14:textId="77777777" w:rsidR="0069510E" w:rsidRDefault="00000000">
      <w:pPr>
        <w:autoSpaceDE w:val="0"/>
        <w:autoSpaceDN w:val="0"/>
        <w:spacing w:line="360" w:lineRule="auto"/>
        <w:ind w:firstLineChars="200" w:firstLine="480"/>
        <w:textAlignment w:val="bottom"/>
        <w:rPr>
          <w:bCs/>
          <w:sz w:val="24"/>
        </w:rPr>
      </w:pPr>
      <w:r>
        <w:rPr>
          <w:bCs/>
          <w:sz w:val="24"/>
        </w:rPr>
        <w:t>14</w:t>
      </w:r>
      <w:r>
        <w:rPr>
          <w:rFonts w:hint="eastAsia"/>
          <w:bCs/>
          <w:sz w:val="24"/>
        </w:rPr>
        <w:t>、基金收益分配事项；</w:t>
      </w:r>
    </w:p>
    <w:p w14:paraId="70D587F6" w14:textId="77777777" w:rsidR="0069510E" w:rsidRDefault="00000000">
      <w:pPr>
        <w:autoSpaceDE w:val="0"/>
        <w:autoSpaceDN w:val="0"/>
        <w:spacing w:line="360" w:lineRule="auto"/>
        <w:ind w:firstLineChars="200" w:firstLine="480"/>
        <w:textAlignment w:val="bottom"/>
        <w:rPr>
          <w:bCs/>
          <w:sz w:val="24"/>
        </w:rPr>
      </w:pPr>
      <w:r>
        <w:rPr>
          <w:bCs/>
          <w:sz w:val="24"/>
        </w:rPr>
        <w:t>15</w:t>
      </w:r>
      <w:r>
        <w:rPr>
          <w:rFonts w:hint="eastAsia"/>
          <w:bCs/>
          <w:sz w:val="24"/>
        </w:rPr>
        <w:t>、管理费、托管费、销售服务费、申购费、赎回费等费用计提标准、计提方式和费率发生变更；</w:t>
      </w:r>
    </w:p>
    <w:p w14:paraId="4ACDEC8B" w14:textId="77777777" w:rsidR="0069510E" w:rsidRDefault="00000000">
      <w:pPr>
        <w:autoSpaceDE w:val="0"/>
        <w:autoSpaceDN w:val="0"/>
        <w:spacing w:line="360" w:lineRule="auto"/>
        <w:ind w:firstLineChars="200" w:firstLine="480"/>
        <w:textAlignment w:val="bottom"/>
        <w:rPr>
          <w:bCs/>
          <w:sz w:val="24"/>
        </w:rPr>
      </w:pPr>
      <w:r>
        <w:rPr>
          <w:bCs/>
          <w:sz w:val="24"/>
        </w:rPr>
        <w:t>16</w:t>
      </w:r>
      <w:r>
        <w:rPr>
          <w:rFonts w:hint="eastAsia"/>
          <w:bCs/>
          <w:sz w:val="24"/>
        </w:rPr>
        <w:t>、某一类基金份额净值计价错误达该类基金份额净值百分之零点五；</w:t>
      </w:r>
    </w:p>
    <w:p w14:paraId="58F86AEF" w14:textId="77777777" w:rsidR="0069510E" w:rsidRDefault="00000000">
      <w:pPr>
        <w:autoSpaceDE w:val="0"/>
        <w:autoSpaceDN w:val="0"/>
        <w:spacing w:line="360" w:lineRule="auto"/>
        <w:ind w:firstLineChars="200" w:firstLine="480"/>
        <w:textAlignment w:val="bottom"/>
        <w:rPr>
          <w:bCs/>
          <w:sz w:val="24"/>
        </w:rPr>
      </w:pPr>
      <w:r>
        <w:rPr>
          <w:bCs/>
          <w:sz w:val="24"/>
        </w:rPr>
        <w:lastRenderedPageBreak/>
        <w:t>17</w:t>
      </w:r>
      <w:r>
        <w:rPr>
          <w:rFonts w:hint="eastAsia"/>
          <w:bCs/>
          <w:sz w:val="24"/>
        </w:rPr>
        <w:t>、本基金开始办理申购、赎回；</w:t>
      </w:r>
    </w:p>
    <w:p w14:paraId="4D2B35E1" w14:textId="77777777" w:rsidR="0069510E" w:rsidRDefault="00000000">
      <w:pPr>
        <w:autoSpaceDE w:val="0"/>
        <w:autoSpaceDN w:val="0"/>
        <w:spacing w:line="360" w:lineRule="auto"/>
        <w:ind w:firstLineChars="200" w:firstLine="480"/>
        <w:textAlignment w:val="bottom"/>
        <w:rPr>
          <w:bCs/>
          <w:sz w:val="24"/>
        </w:rPr>
      </w:pPr>
      <w:r>
        <w:rPr>
          <w:bCs/>
          <w:sz w:val="24"/>
        </w:rPr>
        <w:t>18</w:t>
      </w:r>
      <w:r>
        <w:rPr>
          <w:rFonts w:hint="eastAsia"/>
          <w:bCs/>
          <w:sz w:val="24"/>
        </w:rPr>
        <w:t>、本基金发生巨额赎回并延期办理；</w:t>
      </w:r>
    </w:p>
    <w:p w14:paraId="0DBED787" w14:textId="77777777" w:rsidR="0069510E" w:rsidRDefault="00000000">
      <w:pPr>
        <w:autoSpaceDE w:val="0"/>
        <w:autoSpaceDN w:val="0"/>
        <w:spacing w:line="360" w:lineRule="auto"/>
        <w:ind w:firstLineChars="200" w:firstLine="480"/>
        <w:textAlignment w:val="bottom"/>
        <w:rPr>
          <w:bCs/>
          <w:sz w:val="24"/>
        </w:rPr>
      </w:pPr>
      <w:r>
        <w:rPr>
          <w:bCs/>
          <w:sz w:val="24"/>
        </w:rPr>
        <w:t>19</w:t>
      </w:r>
      <w:r>
        <w:rPr>
          <w:rFonts w:hint="eastAsia"/>
          <w:bCs/>
          <w:sz w:val="24"/>
        </w:rPr>
        <w:t>、本基金连续发生巨额赎回并暂停接受赎回申请或延缓支付赎回款项；</w:t>
      </w:r>
    </w:p>
    <w:p w14:paraId="6D5F00E6" w14:textId="77777777" w:rsidR="0069510E" w:rsidRDefault="00000000">
      <w:pPr>
        <w:autoSpaceDE w:val="0"/>
        <w:autoSpaceDN w:val="0"/>
        <w:spacing w:line="360" w:lineRule="auto"/>
        <w:ind w:firstLineChars="200" w:firstLine="480"/>
        <w:textAlignment w:val="bottom"/>
        <w:rPr>
          <w:bCs/>
          <w:sz w:val="24"/>
        </w:rPr>
      </w:pPr>
      <w:r>
        <w:rPr>
          <w:bCs/>
          <w:sz w:val="24"/>
        </w:rPr>
        <w:t>20</w:t>
      </w:r>
      <w:r>
        <w:rPr>
          <w:rFonts w:hint="eastAsia"/>
          <w:bCs/>
          <w:sz w:val="24"/>
        </w:rPr>
        <w:t>、本基金暂停接受申购、赎回申请或重新接受申购、赎回申请；</w:t>
      </w:r>
    </w:p>
    <w:p w14:paraId="70B273DC" w14:textId="77777777" w:rsidR="0069510E" w:rsidRDefault="00000000">
      <w:pPr>
        <w:autoSpaceDE w:val="0"/>
        <w:autoSpaceDN w:val="0"/>
        <w:spacing w:line="360" w:lineRule="auto"/>
        <w:ind w:firstLineChars="200" w:firstLine="480"/>
        <w:textAlignment w:val="bottom"/>
        <w:rPr>
          <w:bCs/>
          <w:sz w:val="24"/>
        </w:rPr>
      </w:pPr>
      <w:r>
        <w:rPr>
          <w:bCs/>
          <w:sz w:val="24"/>
        </w:rPr>
        <w:t>21</w:t>
      </w:r>
      <w:r>
        <w:rPr>
          <w:rFonts w:hint="eastAsia"/>
          <w:bCs/>
          <w:sz w:val="24"/>
        </w:rPr>
        <w:t>、在发生涉及基金申购、赎回事项调整或潜在影响投资者赎回等重大事项时；</w:t>
      </w:r>
    </w:p>
    <w:p w14:paraId="0913A5F4" w14:textId="77777777" w:rsidR="0069510E" w:rsidRDefault="00000000">
      <w:pPr>
        <w:autoSpaceDE w:val="0"/>
        <w:autoSpaceDN w:val="0"/>
        <w:spacing w:line="360" w:lineRule="auto"/>
        <w:ind w:firstLineChars="200" w:firstLine="480"/>
        <w:textAlignment w:val="bottom"/>
        <w:rPr>
          <w:bCs/>
          <w:sz w:val="24"/>
        </w:rPr>
      </w:pPr>
      <w:r>
        <w:rPr>
          <w:bCs/>
          <w:sz w:val="24"/>
        </w:rPr>
        <w:t>22</w:t>
      </w:r>
      <w:r>
        <w:rPr>
          <w:rFonts w:hint="eastAsia"/>
          <w:bCs/>
          <w:sz w:val="24"/>
        </w:rPr>
        <w:t>、基金管理人采用摆动定价机制进行估值；</w:t>
      </w:r>
    </w:p>
    <w:p w14:paraId="51D22BD3" w14:textId="77777777" w:rsidR="0069510E" w:rsidRDefault="00000000">
      <w:pPr>
        <w:autoSpaceDE w:val="0"/>
        <w:autoSpaceDN w:val="0"/>
        <w:spacing w:line="360" w:lineRule="auto"/>
        <w:ind w:firstLineChars="200" w:firstLine="480"/>
        <w:textAlignment w:val="bottom"/>
        <w:rPr>
          <w:bCs/>
          <w:sz w:val="24"/>
        </w:rPr>
      </w:pPr>
      <w:r>
        <w:rPr>
          <w:bCs/>
          <w:sz w:val="24"/>
        </w:rPr>
        <w:t>23</w:t>
      </w:r>
      <w:r>
        <w:rPr>
          <w:rFonts w:hint="eastAsia"/>
          <w:bCs/>
          <w:sz w:val="24"/>
        </w:rPr>
        <w:t>、调整基金份额类别设置；</w:t>
      </w:r>
    </w:p>
    <w:p w14:paraId="06E8219C" w14:textId="77777777" w:rsidR="0069510E" w:rsidRDefault="00000000">
      <w:pPr>
        <w:autoSpaceDE w:val="0"/>
        <w:autoSpaceDN w:val="0"/>
        <w:spacing w:line="360" w:lineRule="auto"/>
        <w:ind w:firstLineChars="200" w:firstLine="480"/>
        <w:textAlignment w:val="bottom"/>
        <w:rPr>
          <w:bCs/>
          <w:sz w:val="24"/>
        </w:rPr>
      </w:pPr>
      <w:r>
        <w:rPr>
          <w:bCs/>
          <w:sz w:val="24"/>
        </w:rPr>
        <w:t>24</w:t>
      </w:r>
      <w:r>
        <w:rPr>
          <w:rFonts w:hint="eastAsia"/>
          <w:bCs/>
          <w:sz w:val="24"/>
        </w:rPr>
        <w:t>、基金信息披露义务人认为可能对基金份额持有人权益或者基金份额的价格产生重大影响的其他事项或中国证监会规定的其他事项。</w:t>
      </w:r>
    </w:p>
    <w:p w14:paraId="125E1CFD"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（八）澄清公告</w:t>
      </w:r>
    </w:p>
    <w:p w14:paraId="3F8ADC0B"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4D286C6F" w14:textId="77777777" w:rsidR="0069510E" w:rsidRDefault="00000000">
      <w:pPr>
        <w:autoSpaceDE w:val="0"/>
        <w:autoSpaceDN w:val="0"/>
        <w:spacing w:line="360" w:lineRule="auto"/>
        <w:ind w:firstLineChars="200" w:firstLine="480"/>
        <w:textAlignment w:val="bottom"/>
        <w:rPr>
          <w:bCs/>
          <w:sz w:val="24"/>
        </w:rPr>
      </w:pPr>
      <w:r>
        <w:rPr>
          <w:rFonts w:hint="eastAsia"/>
          <w:bCs/>
          <w:sz w:val="24"/>
        </w:rPr>
        <w:t>（九）基金份额持有人大会决议</w:t>
      </w:r>
    </w:p>
    <w:p w14:paraId="22D4C162"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基金份额持有人大会决定的事项，应当依法报中国证监会备案，并予以公告。</w:t>
      </w:r>
    </w:p>
    <w:p w14:paraId="570B8506"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（十）清算报告</w:t>
      </w:r>
    </w:p>
    <w:p w14:paraId="6FFB0866"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基金终止运作的，基金管理人应当依法组织基金财产清算小组对基金财产进行清算并</w:t>
      </w:r>
      <w:proofErr w:type="gramStart"/>
      <w:r>
        <w:rPr>
          <w:rFonts w:hint="eastAsia"/>
          <w:bCs/>
          <w:sz w:val="24"/>
        </w:rPr>
        <w:t>作出</w:t>
      </w:r>
      <w:proofErr w:type="gramEnd"/>
      <w:r>
        <w:rPr>
          <w:rFonts w:hint="eastAsia"/>
          <w:bCs/>
          <w:sz w:val="24"/>
        </w:rPr>
        <w:t>清算报告。基金财产清算小组应当将清算报告登载在规定网站上，并将清算报告提示性公告登载在规定报刊上。</w:t>
      </w:r>
    </w:p>
    <w:p w14:paraId="0C7E2D5D"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（十一）实施</w:t>
      </w:r>
      <w:proofErr w:type="gramStart"/>
      <w:r>
        <w:rPr>
          <w:rFonts w:hint="eastAsia"/>
          <w:bCs/>
          <w:sz w:val="24"/>
        </w:rPr>
        <w:t>侧袋机制</w:t>
      </w:r>
      <w:proofErr w:type="gramEnd"/>
      <w:r>
        <w:rPr>
          <w:rFonts w:hint="eastAsia"/>
          <w:bCs/>
          <w:sz w:val="24"/>
        </w:rPr>
        <w:t>期间的信息披露</w:t>
      </w:r>
    </w:p>
    <w:p w14:paraId="5F9F0972" w14:textId="77777777" w:rsidR="0069510E" w:rsidRDefault="00000000">
      <w:pPr>
        <w:autoSpaceDE w:val="0"/>
        <w:autoSpaceDN w:val="0"/>
        <w:spacing w:line="360" w:lineRule="auto"/>
        <w:ind w:firstLineChars="200" w:firstLine="480"/>
        <w:textAlignment w:val="bottom"/>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的，相关信息披露义务人应当根据法律法规、基金合同和招募说明书的规定进行信息披露，详见招募说明书的规定。</w:t>
      </w:r>
    </w:p>
    <w:p w14:paraId="733A513F"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（十二）基金投资股指期货的相关公告</w:t>
      </w:r>
    </w:p>
    <w:p w14:paraId="1F4BE13D"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基金管理人应当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w:t>
      </w:r>
    </w:p>
    <w:p w14:paraId="3D0CA4AC"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（十三）基金投资国债期货的相关公告</w:t>
      </w:r>
    </w:p>
    <w:p w14:paraId="29162736"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基金管理人应当在季度报告、中期报告、年度报告等定期报告和招募说明书（更</w:t>
      </w:r>
      <w:r>
        <w:rPr>
          <w:rFonts w:hint="eastAsia"/>
          <w:bCs/>
          <w:sz w:val="24"/>
        </w:rPr>
        <w:lastRenderedPageBreak/>
        <w:t>新）等文件中披露国债期货交易情况，包括投资政策、持仓情况、损益情况、风险指标等，并充分揭示国债期货交易对本基金总体风险的影响以及是否符合既定的投资政策和投资目标。</w:t>
      </w:r>
    </w:p>
    <w:p w14:paraId="51EB1C75"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（十四）基金投资股票期权的相关公告</w:t>
      </w:r>
    </w:p>
    <w:p w14:paraId="43AF862D" w14:textId="77777777" w:rsidR="0069510E" w:rsidRDefault="00000000">
      <w:pPr>
        <w:spacing w:line="360" w:lineRule="auto"/>
        <w:ind w:firstLineChars="200" w:firstLine="480"/>
        <w:rPr>
          <w:bCs/>
          <w:sz w:val="24"/>
        </w:rPr>
      </w:pPr>
      <w:r>
        <w:rPr>
          <w:rFonts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3FBB45BD" w14:textId="77777777" w:rsidR="0069510E" w:rsidRDefault="00000000">
      <w:pPr>
        <w:spacing w:line="360" w:lineRule="auto"/>
        <w:ind w:firstLineChars="200" w:firstLine="480"/>
        <w:rPr>
          <w:bCs/>
          <w:sz w:val="24"/>
        </w:rPr>
      </w:pPr>
      <w:r>
        <w:rPr>
          <w:rFonts w:hint="eastAsia"/>
          <w:bCs/>
          <w:sz w:val="24"/>
        </w:rPr>
        <w:t>（十五）基金投资资产支持证券的信息披露</w:t>
      </w:r>
    </w:p>
    <w:p w14:paraId="0E6F31E3"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bCs/>
          <w:sz w:val="24"/>
        </w:rPr>
        <w:t>10</w:t>
      </w:r>
      <w:r>
        <w:rPr>
          <w:rFonts w:hint="eastAsia"/>
          <w:bCs/>
          <w:sz w:val="24"/>
        </w:rPr>
        <w:t>名资产支持证券明细。</w:t>
      </w:r>
    </w:p>
    <w:p w14:paraId="5AD99D37"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（十六）基金投资非公开发行股票的信息披露</w:t>
      </w:r>
    </w:p>
    <w:p w14:paraId="69713952"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基金管理人在本基金投资非公开发行股票后两个交易日内，在中国证监会规定媒介披露所投资非公开发行股票的名称、数量、总成本、账面价值，以及总成本和账面价值占基金资产净值的比例、锁定期等信息。</w:t>
      </w:r>
    </w:p>
    <w:p w14:paraId="37B0DFAC"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（十七）中国证监会规定的其他信息。</w:t>
      </w:r>
    </w:p>
    <w:p w14:paraId="17819E02"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六、信息披露事务管理</w:t>
      </w:r>
    </w:p>
    <w:p w14:paraId="62976201"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基金管理人、基金托管人应当建立健全信息披露管理制度，指定专门部门及高级管理人员负责管理信息披露事务。</w:t>
      </w:r>
    </w:p>
    <w:p w14:paraId="6497B1CE"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基金信息披露义务人公开披露基金信息，应当符合中国证监会相关基金信息披露内容与格式准则等法规的规定。</w:t>
      </w:r>
    </w:p>
    <w:p w14:paraId="2A8D05D4"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基金托管人应当按照相关法律法规、行政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7F254F42"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基金管理人、基金托管人应当在规定报刊中选择一家报刊披露本基金信息。基</w:t>
      </w:r>
      <w:r>
        <w:rPr>
          <w:rFonts w:hint="eastAsia"/>
          <w:bCs/>
          <w:sz w:val="24"/>
        </w:rPr>
        <w:lastRenderedPageBreak/>
        <w:t>金管理人、基金托管人应当向中国证监会基金电子披露网站报送拟披露的基金信息，并保证相关报送信息的真实、准确、完整、及时。</w:t>
      </w:r>
    </w:p>
    <w:p w14:paraId="555E8E7C"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基金管理人、基金托管人除依法在规定媒介上披露信息外，还可以根据需要在其他公共媒介披露信息，但是其他公共媒介不得早于规定媒介披露信息，并且在不同媒介上披露同一信息的内容应当一致。</w:t>
      </w:r>
    </w:p>
    <w:p w14:paraId="278D2076"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基金管理人、基金托管人除按法律法规要求披露信息外，也可着眼于为投资者决策提供有用信息的角度，在保证公平对待投资者、</w:t>
      </w:r>
      <w:proofErr w:type="gramStart"/>
      <w:r>
        <w:rPr>
          <w:rFonts w:hint="eastAsia"/>
          <w:bCs/>
          <w:sz w:val="24"/>
        </w:rPr>
        <w:t>不</w:t>
      </w:r>
      <w:proofErr w:type="gramEnd"/>
      <w:r>
        <w:rPr>
          <w:rFonts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6C231A8B" w14:textId="77777777" w:rsidR="0069510E" w:rsidRDefault="00000000">
      <w:pPr>
        <w:autoSpaceDE w:val="0"/>
        <w:autoSpaceDN w:val="0"/>
        <w:spacing w:line="360" w:lineRule="auto"/>
        <w:ind w:firstLineChars="200" w:firstLine="480"/>
        <w:textAlignment w:val="bottom"/>
        <w:rPr>
          <w:bCs/>
          <w:sz w:val="24"/>
        </w:rPr>
      </w:pPr>
      <w:r>
        <w:rPr>
          <w:rFonts w:hint="eastAsia"/>
          <w:bCs/>
          <w:sz w:val="24"/>
        </w:rPr>
        <w:t>为基金信息披露义务人公开披露的基金信息出具审计报告、法律意见书的专业机构，应当制作工作底稿，并将相关档案至少保存到《基金合同》终止后</w:t>
      </w:r>
      <w:r>
        <w:rPr>
          <w:bCs/>
          <w:sz w:val="24"/>
        </w:rPr>
        <w:t>10</w:t>
      </w:r>
      <w:r>
        <w:rPr>
          <w:rFonts w:hint="eastAsia"/>
          <w:bCs/>
          <w:sz w:val="24"/>
        </w:rPr>
        <w:t>年。</w:t>
      </w:r>
    </w:p>
    <w:p w14:paraId="19BE31DF" w14:textId="77777777" w:rsidR="0069510E" w:rsidRDefault="00000000">
      <w:pPr>
        <w:autoSpaceDE w:val="0"/>
        <w:autoSpaceDN w:val="0"/>
        <w:spacing w:line="360" w:lineRule="auto"/>
        <w:ind w:firstLineChars="200" w:firstLine="480"/>
        <w:textAlignment w:val="bottom"/>
        <w:rPr>
          <w:bCs/>
          <w:sz w:val="24"/>
        </w:rPr>
      </w:pPr>
      <w:r>
        <w:rPr>
          <w:rFonts w:hint="eastAsia"/>
          <w:bCs/>
          <w:sz w:val="24"/>
        </w:rPr>
        <w:t>七、信息披露文件的存放与查阅</w:t>
      </w:r>
    </w:p>
    <w:p w14:paraId="308BF6BA" w14:textId="77777777" w:rsidR="0069510E" w:rsidRDefault="00000000">
      <w:pPr>
        <w:autoSpaceDE w:val="0"/>
        <w:autoSpaceDN w:val="0"/>
        <w:spacing w:line="360" w:lineRule="auto"/>
        <w:ind w:firstLineChars="200" w:firstLine="480"/>
        <w:textAlignment w:val="bottom"/>
        <w:rPr>
          <w:bCs/>
          <w:sz w:val="24"/>
        </w:rPr>
      </w:pPr>
      <w:r>
        <w:rPr>
          <w:rFonts w:hint="eastAsia"/>
          <w:bCs/>
          <w:sz w:val="24"/>
        </w:rPr>
        <w:t>依法必须披露的信息发布后，基金管理人、基金托管人应当按照相关法律法规规定将信息置备于公司住所，供社会公众查阅、复制。</w:t>
      </w:r>
    </w:p>
    <w:p w14:paraId="048518B0"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八、暂停或延迟信息披露的情形</w:t>
      </w:r>
    </w:p>
    <w:p w14:paraId="0110C69F" w14:textId="77777777" w:rsidR="0069510E" w:rsidRDefault="00000000">
      <w:pPr>
        <w:autoSpaceDE w:val="0"/>
        <w:autoSpaceDN w:val="0"/>
        <w:spacing w:line="360" w:lineRule="auto"/>
        <w:ind w:firstLineChars="200" w:firstLine="480"/>
        <w:textAlignment w:val="bottom"/>
        <w:rPr>
          <w:bCs/>
          <w:sz w:val="24"/>
        </w:rPr>
      </w:pPr>
      <w:r>
        <w:rPr>
          <w:bCs/>
          <w:sz w:val="24"/>
        </w:rPr>
        <w:t>1</w:t>
      </w:r>
      <w:r>
        <w:rPr>
          <w:rFonts w:hint="eastAsia"/>
          <w:bCs/>
          <w:sz w:val="24"/>
        </w:rPr>
        <w:t>、不可抗力；</w:t>
      </w:r>
    </w:p>
    <w:p w14:paraId="7BA07B74" w14:textId="77777777" w:rsidR="0069510E" w:rsidRDefault="00000000">
      <w:pPr>
        <w:spacing w:line="360" w:lineRule="auto"/>
        <w:ind w:firstLineChars="200" w:firstLine="480"/>
        <w:rPr>
          <w:bCs/>
          <w:sz w:val="24"/>
        </w:rPr>
      </w:pPr>
      <w:r>
        <w:rPr>
          <w:bCs/>
          <w:sz w:val="24"/>
        </w:rPr>
        <w:t>2</w:t>
      </w:r>
      <w:r>
        <w:rPr>
          <w:rFonts w:hint="eastAsia"/>
          <w:bCs/>
          <w:sz w:val="24"/>
        </w:rPr>
        <w:t>、发生暂停估值的情形；</w:t>
      </w:r>
    </w:p>
    <w:p w14:paraId="56AD0C19" w14:textId="77777777" w:rsidR="0069510E" w:rsidRDefault="00000000">
      <w:pPr>
        <w:autoSpaceDE w:val="0"/>
        <w:autoSpaceDN w:val="0"/>
        <w:spacing w:line="360" w:lineRule="auto"/>
        <w:ind w:firstLineChars="200" w:firstLine="480"/>
        <w:textAlignment w:val="bottom"/>
        <w:rPr>
          <w:bCs/>
          <w:sz w:val="24"/>
        </w:rPr>
      </w:pPr>
      <w:r>
        <w:rPr>
          <w:bCs/>
          <w:sz w:val="24"/>
        </w:rPr>
        <w:t>3</w:t>
      </w:r>
      <w:r>
        <w:rPr>
          <w:rFonts w:hint="eastAsia"/>
          <w:bCs/>
          <w:sz w:val="24"/>
        </w:rPr>
        <w:t>、法律法规、中国证监会规定或基金合同认定的其他情形。</w:t>
      </w:r>
    </w:p>
    <w:p w14:paraId="47B6034F" w14:textId="77777777" w:rsidR="0069510E" w:rsidRDefault="00000000">
      <w:pPr>
        <w:autoSpaceDE w:val="0"/>
        <w:autoSpaceDN w:val="0"/>
        <w:spacing w:line="360" w:lineRule="auto"/>
        <w:ind w:firstLineChars="200" w:firstLine="480"/>
        <w:textAlignment w:val="bottom"/>
        <w:rPr>
          <w:bCs/>
          <w:sz w:val="24"/>
        </w:rPr>
      </w:pPr>
      <w:r>
        <w:rPr>
          <w:rFonts w:hint="eastAsia"/>
          <w:bCs/>
          <w:sz w:val="24"/>
        </w:rPr>
        <w:t>九、本基金信息披露事项以法律法规规定及本章节约定的内容为准。</w:t>
      </w:r>
    </w:p>
    <w:p w14:paraId="2CA9BA94" w14:textId="77777777" w:rsidR="0069510E" w:rsidRDefault="0069510E">
      <w:pPr>
        <w:autoSpaceDE w:val="0"/>
        <w:autoSpaceDN w:val="0"/>
        <w:spacing w:line="360" w:lineRule="auto"/>
        <w:ind w:firstLineChars="200" w:firstLine="480"/>
        <w:textAlignment w:val="bottom"/>
        <w:rPr>
          <w:bCs/>
          <w:sz w:val="24"/>
        </w:rPr>
      </w:pPr>
    </w:p>
    <w:p w14:paraId="0667812F" w14:textId="77777777" w:rsidR="0069510E" w:rsidRDefault="00000000">
      <w:pPr>
        <w:pStyle w:val="1"/>
        <w:spacing w:before="240" w:after="240"/>
        <w:jc w:val="center"/>
        <w:rPr>
          <w:rFonts w:cs="Arial"/>
          <w:b w:val="0"/>
          <w:sz w:val="30"/>
          <w:szCs w:val="30"/>
        </w:rPr>
      </w:pPr>
      <w:r>
        <w:rPr>
          <w:bCs/>
        </w:rPr>
        <w:br w:type="page"/>
      </w:r>
      <w:bookmarkStart w:id="330" w:name="_Toc68266303"/>
      <w:bookmarkStart w:id="331" w:name="_Toc16224"/>
      <w:bookmarkStart w:id="332" w:name="_Toc63866832"/>
      <w:bookmarkStart w:id="333" w:name="_Toc49433828"/>
      <w:bookmarkStart w:id="334" w:name="_Toc136963816"/>
      <w:r>
        <w:rPr>
          <w:rFonts w:cs="Arial" w:hint="eastAsia"/>
          <w:sz w:val="30"/>
          <w:szCs w:val="30"/>
        </w:rPr>
        <w:lastRenderedPageBreak/>
        <w:t xml:space="preserve">第十六部分 </w:t>
      </w:r>
      <w:proofErr w:type="gramStart"/>
      <w:r>
        <w:rPr>
          <w:rFonts w:cs="Arial" w:hint="eastAsia"/>
          <w:sz w:val="30"/>
          <w:szCs w:val="30"/>
        </w:rPr>
        <w:t>侧袋机制</w:t>
      </w:r>
      <w:bookmarkEnd w:id="330"/>
      <w:bookmarkEnd w:id="331"/>
      <w:bookmarkEnd w:id="332"/>
      <w:bookmarkEnd w:id="333"/>
      <w:bookmarkEnd w:id="334"/>
      <w:proofErr w:type="gramEnd"/>
    </w:p>
    <w:p w14:paraId="4BD38B24" w14:textId="77777777" w:rsidR="0069510E"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一、</w:t>
      </w:r>
      <w:proofErr w:type="gramStart"/>
      <w:r>
        <w:rPr>
          <w:rFonts w:cs="Arial" w:hint="eastAsia"/>
          <w:color w:val="000000"/>
          <w:sz w:val="24"/>
        </w:rPr>
        <w:t>侧袋机制</w:t>
      </w:r>
      <w:proofErr w:type="gramEnd"/>
      <w:r>
        <w:rPr>
          <w:rFonts w:cs="Arial" w:hint="eastAsia"/>
          <w:color w:val="000000"/>
          <w:sz w:val="24"/>
        </w:rPr>
        <w:t>的实施条件</w:t>
      </w:r>
    </w:p>
    <w:p w14:paraId="0D8DBE38" w14:textId="77777777" w:rsidR="0069510E"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cs="Arial" w:hint="eastAsia"/>
          <w:color w:val="000000"/>
          <w:sz w:val="24"/>
        </w:rPr>
        <w:t>启用侧袋机制</w:t>
      </w:r>
      <w:proofErr w:type="gramEnd"/>
      <w:r>
        <w:rPr>
          <w:rFonts w:cs="Arial" w:hint="eastAsia"/>
          <w:color w:val="000000"/>
          <w:sz w:val="24"/>
        </w:rPr>
        <w:t>，无需召开基金份额持有人大会审议。</w:t>
      </w:r>
    </w:p>
    <w:p w14:paraId="11C73187" w14:textId="77777777" w:rsidR="0069510E"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基金管理人应当在启用</w:t>
      </w:r>
      <w:proofErr w:type="gramStart"/>
      <w:r>
        <w:rPr>
          <w:rFonts w:cs="Arial" w:hint="eastAsia"/>
          <w:color w:val="000000"/>
          <w:sz w:val="24"/>
        </w:rPr>
        <w:t>侧袋机制</w:t>
      </w:r>
      <w:proofErr w:type="gramEnd"/>
      <w:r>
        <w:rPr>
          <w:rFonts w:cs="Arial" w:hint="eastAsia"/>
          <w:color w:val="000000"/>
          <w:sz w:val="24"/>
        </w:rPr>
        <w:t>后及时发布临时公告，并及时聘请</w:t>
      </w:r>
      <w:proofErr w:type="gramStart"/>
      <w:r>
        <w:rPr>
          <w:rFonts w:cs="Arial" w:hint="eastAsia"/>
          <w:color w:val="000000"/>
          <w:sz w:val="24"/>
        </w:rPr>
        <w:t>侧袋机制</w:t>
      </w:r>
      <w:proofErr w:type="gramEnd"/>
      <w:r>
        <w:rPr>
          <w:rFonts w:cs="Arial" w:hint="eastAsia"/>
          <w:color w:val="000000"/>
          <w:sz w:val="24"/>
        </w:rPr>
        <w:t>启用日发表意见且符合《中华人民共和国证券法》规定的会计师事务所进行审计并披露专项审计意见。</w:t>
      </w:r>
    </w:p>
    <w:p w14:paraId="21C3D0F3" w14:textId="77777777" w:rsidR="0069510E"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二、实施</w:t>
      </w:r>
      <w:proofErr w:type="gramStart"/>
      <w:r>
        <w:rPr>
          <w:rFonts w:cs="Arial" w:hint="eastAsia"/>
          <w:color w:val="000000"/>
          <w:sz w:val="24"/>
        </w:rPr>
        <w:t>侧袋机制</w:t>
      </w:r>
      <w:proofErr w:type="gramEnd"/>
      <w:r>
        <w:rPr>
          <w:rFonts w:cs="Arial" w:hint="eastAsia"/>
          <w:color w:val="000000"/>
          <w:sz w:val="24"/>
        </w:rPr>
        <w:t>期间基金份额的申购与赎回</w:t>
      </w:r>
    </w:p>
    <w:p w14:paraId="7033CA00" w14:textId="77777777" w:rsidR="0069510E" w:rsidRDefault="00000000">
      <w:pPr>
        <w:autoSpaceDE w:val="0"/>
        <w:autoSpaceDN w:val="0"/>
        <w:adjustRightInd w:val="0"/>
        <w:spacing w:line="360" w:lineRule="auto"/>
        <w:ind w:firstLineChars="200" w:firstLine="480"/>
        <w:rPr>
          <w:rFonts w:cs="Arial"/>
          <w:color w:val="000000"/>
          <w:sz w:val="24"/>
        </w:rPr>
      </w:pPr>
      <w:r>
        <w:rPr>
          <w:rFonts w:cs="Arial"/>
          <w:color w:val="000000"/>
          <w:sz w:val="24"/>
        </w:rPr>
        <w:t>1</w:t>
      </w:r>
      <w:r>
        <w:rPr>
          <w:rFonts w:cs="Arial" w:hint="eastAsia"/>
          <w:color w:val="000000"/>
          <w:sz w:val="24"/>
        </w:rPr>
        <w:t>、启用</w:t>
      </w:r>
      <w:proofErr w:type="gramStart"/>
      <w:r>
        <w:rPr>
          <w:rFonts w:cs="Arial" w:hint="eastAsia"/>
          <w:color w:val="000000"/>
          <w:sz w:val="24"/>
        </w:rPr>
        <w:t>侧袋机制</w:t>
      </w:r>
      <w:proofErr w:type="gramEnd"/>
      <w:r>
        <w:rPr>
          <w:rFonts w:cs="Arial" w:hint="eastAsia"/>
          <w:color w:val="000000"/>
          <w:sz w:val="24"/>
        </w:rPr>
        <w:t>当日，基金登记机构以基金份额持有人的原有账户份额为基础，确认</w:t>
      </w:r>
      <w:proofErr w:type="gramStart"/>
      <w:r>
        <w:rPr>
          <w:rFonts w:cs="Arial" w:hint="eastAsia"/>
          <w:color w:val="000000"/>
          <w:sz w:val="24"/>
        </w:rPr>
        <w:t>相应侧袋账户</w:t>
      </w:r>
      <w:proofErr w:type="gramEnd"/>
      <w:r>
        <w:rPr>
          <w:rFonts w:cs="Arial" w:hint="eastAsia"/>
          <w:color w:val="000000"/>
          <w:sz w:val="24"/>
        </w:rPr>
        <w:t>基金份额持有人名册和份额；当日收到的申购申请，按照启用</w:t>
      </w:r>
      <w:proofErr w:type="gramStart"/>
      <w:r>
        <w:rPr>
          <w:rFonts w:cs="Arial" w:hint="eastAsia"/>
          <w:color w:val="000000"/>
          <w:sz w:val="24"/>
        </w:rPr>
        <w:t>侧袋机制</w:t>
      </w:r>
      <w:proofErr w:type="gramEnd"/>
      <w:r>
        <w:rPr>
          <w:rFonts w:cs="Arial" w:hint="eastAsia"/>
          <w:color w:val="000000"/>
          <w:sz w:val="24"/>
        </w:rPr>
        <w:t>后</w:t>
      </w:r>
      <w:proofErr w:type="gramStart"/>
      <w:r>
        <w:rPr>
          <w:rFonts w:cs="Arial" w:hint="eastAsia"/>
          <w:color w:val="000000"/>
          <w:sz w:val="24"/>
        </w:rPr>
        <w:t>的主袋账户</w:t>
      </w:r>
      <w:proofErr w:type="gramEnd"/>
      <w:r>
        <w:rPr>
          <w:rFonts w:cs="Arial" w:hint="eastAsia"/>
          <w:color w:val="000000"/>
          <w:sz w:val="24"/>
        </w:rPr>
        <w:t>份额办理；当日收到的赎回申请，仅</w:t>
      </w:r>
      <w:proofErr w:type="gramStart"/>
      <w:r>
        <w:rPr>
          <w:rFonts w:cs="Arial" w:hint="eastAsia"/>
          <w:color w:val="000000"/>
          <w:sz w:val="24"/>
        </w:rPr>
        <w:t>办理主袋账户</w:t>
      </w:r>
      <w:proofErr w:type="gramEnd"/>
      <w:r>
        <w:rPr>
          <w:rFonts w:cs="Arial" w:hint="eastAsia"/>
          <w:color w:val="000000"/>
          <w:sz w:val="24"/>
        </w:rPr>
        <w:t>的赎回申请并支付赎回款项。</w:t>
      </w:r>
    </w:p>
    <w:p w14:paraId="0DD94608" w14:textId="77777777" w:rsidR="0069510E" w:rsidRDefault="00000000">
      <w:pPr>
        <w:autoSpaceDE w:val="0"/>
        <w:autoSpaceDN w:val="0"/>
        <w:adjustRightInd w:val="0"/>
        <w:spacing w:line="360" w:lineRule="auto"/>
        <w:ind w:firstLineChars="200" w:firstLine="480"/>
        <w:rPr>
          <w:rFonts w:cs="Arial"/>
          <w:color w:val="000000"/>
          <w:sz w:val="24"/>
        </w:rPr>
      </w:pPr>
      <w:r>
        <w:rPr>
          <w:rFonts w:cs="Arial"/>
          <w:color w:val="000000"/>
          <w:sz w:val="24"/>
        </w:rPr>
        <w:t>2</w:t>
      </w:r>
      <w:r>
        <w:rPr>
          <w:rFonts w:cs="Arial" w:hint="eastAsia"/>
          <w:color w:val="000000"/>
          <w:sz w:val="24"/>
        </w:rPr>
        <w:t>、实施</w:t>
      </w:r>
      <w:proofErr w:type="gramStart"/>
      <w:r>
        <w:rPr>
          <w:rFonts w:cs="Arial" w:hint="eastAsia"/>
          <w:color w:val="000000"/>
          <w:sz w:val="24"/>
        </w:rPr>
        <w:t>侧袋机制</w:t>
      </w:r>
      <w:proofErr w:type="gramEnd"/>
      <w:r>
        <w:rPr>
          <w:rFonts w:cs="Arial" w:hint="eastAsia"/>
          <w:color w:val="000000"/>
          <w:sz w:val="24"/>
        </w:rPr>
        <w:t>期间，基金管理人</w:t>
      </w:r>
      <w:proofErr w:type="gramStart"/>
      <w:r>
        <w:rPr>
          <w:rFonts w:cs="Arial" w:hint="eastAsia"/>
          <w:color w:val="000000"/>
          <w:sz w:val="24"/>
        </w:rPr>
        <w:t>应对侧袋账户</w:t>
      </w:r>
      <w:proofErr w:type="gramEnd"/>
      <w:r>
        <w:rPr>
          <w:rFonts w:cs="Arial" w:hint="eastAsia"/>
          <w:color w:val="000000"/>
          <w:sz w:val="24"/>
        </w:rPr>
        <w:t>份额实行独立管理，</w:t>
      </w:r>
      <w:proofErr w:type="gramStart"/>
      <w:r>
        <w:rPr>
          <w:rFonts w:cs="Arial" w:hint="eastAsia"/>
          <w:color w:val="000000"/>
          <w:sz w:val="24"/>
        </w:rPr>
        <w:t>主袋账户</w:t>
      </w:r>
      <w:proofErr w:type="gramEnd"/>
      <w:r>
        <w:rPr>
          <w:rFonts w:cs="Arial" w:hint="eastAsia"/>
          <w:color w:val="000000"/>
          <w:sz w:val="24"/>
        </w:rPr>
        <w:t>沿用</w:t>
      </w:r>
      <w:proofErr w:type="gramStart"/>
      <w:r>
        <w:rPr>
          <w:rFonts w:cs="Arial" w:hint="eastAsia"/>
          <w:color w:val="000000"/>
          <w:sz w:val="24"/>
        </w:rPr>
        <w:t>原基金</w:t>
      </w:r>
      <w:proofErr w:type="gramEnd"/>
      <w:r>
        <w:rPr>
          <w:rFonts w:cs="Arial" w:hint="eastAsia"/>
          <w:color w:val="000000"/>
          <w:sz w:val="24"/>
        </w:rPr>
        <w:t>代码，</w:t>
      </w:r>
      <w:proofErr w:type="gramStart"/>
      <w:r>
        <w:rPr>
          <w:rFonts w:cs="Arial" w:hint="eastAsia"/>
          <w:color w:val="000000"/>
          <w:sz w:val="24"/>
        </w:rPr>
        <w:t>侧袋账户</w:t>
      </w:r>
      <w:proofErr w:type="gramEnd"/>
      <w:r>
        <w:rPr>
          <w:rFonts w:cs="Arial" w:hint="eastAsia"/>
          <w:color w:val="000000"/>
          <w:sz w:val="24"/>
        </w:rPr>
        <w:t>使用独立的基金代码。基金管理人不</w:t>
      </w:r>
      <w:proofErr w:type="gramStart"/>
      <w:r>
        <w:rPr>
          <w:rFonts w:cs="Arial" w:hint="eastAsia"/>
          <w:color w:val="000000"/>
          <w:sz w:val="24"/>
        </w:rPr>
        <w:t>办理侧袋账户</w:t>
      </w:r>
      <w:proofErr w:type="gramEnd"/>
      <w:r>
        <w:rPr>
          <w:rFonts w:cs="Arial" w:hint="eastAsia"/>
          <w:color w:val="000000"/>
          <w:sz w:val="24"/>
        </w:rPr>
        <w:t>份额的申购、赎回和转换；同时，基金管理人按照基金合同和招募说明书的约定</w:t>
      </w:r>
      <w:proofErr w:type="gramStart"/>
      <w:r>
        <w:rPr>
          <w:rFonts w:cs="Arial" w:hint="eastAsia"/>
          <w:color w:val="000000"/>
          <w:sz w:val="24"/>
        </w:rPr>
        <w:t>办理主袋账户</w:t>
      </w:r>
      <w:proofErr w:type="gramEnd"/>
      <w:r>
        <w:rPr>
          <w:rFonts w:cs="Arial" w:hint="eastAsia"/>
          <w:color w:val="000000"/>
          <w:sz w:val="24"/>
        </w:rPr>
        <w:t>份额的赎回，并</w:t>
      </w:r>
      <w:proofErr w:type="gramStart"/>
      <w:r>
        <w:rPr>
          <w:rFonts w:cs="Arial" w:hint="eastAsia"/>
          <w:color w:val="000000"/>
          <w:sz w:val="24"/>
        </w:rPr>
        <w:t>根据主袋账户</w:t>
      </w:r>
      <w:proofErr w:type="gramEnd"/>
      <w:r>
        <w:rPr>
          <w:rFonts w:cs="Arial" w:hint="eastAsia"/>
          <w:color w:val="000000"/>
          <w:sz w:val="24"/>
        </w:rPr>
        <w:t>运作情况确定是否暂停申购，具体事项届时将由基金管理人在相关公告中规定。</w:t>
      </w:r>
    </w:p>
    <w:p w14:paraId="63606743" w14:textId="77777777" w:rsidR="0069510E" w:rsidRDefault="00000000">
      <w:pPr>
        <w:autoSpaceDE w:val="0"/>
        <w:autoSpaceDN w:val="0"/>
        <w:adjustRightInd w:val="0"/>
        <w:spacing w:line="360" w:lineRule="auto"/>
        <w:ind w:firstLineChars="200" w:firstLine="480"/>
        <w:rPr>
          <w:rFonts w:cs="Arial"/>
          <w:color w:val="000000"/>
          <w:sz w:val="24"/>
        </w:rPr>
      </w:pPr>
      <w:r>
        <w:rPr>
          <w:rFonts w:cs="Arial"/>
          <w:color w:val="000000"/>
          <w:sz w:val="24"/>
        </w:rPr>
        <w:t>3</w:t>
      </w:r>
      <w:r>
        <w:rPr>
          <w:rFonts w:cs="Arial" w:hint="eastAsia"/>
          <w:color w:val="000000"/>
          <w:sz w:val="24"/>
        </w:rPr>
        <w:t>、基金管理人应</w:t>
      </w:r>
      <w:proofErr w:type="gramStart"/>
      <w:r>
        <w:rPr>
          <w:rFonts w:cs="Arial" w:hint="eastAsia"/>
          <w:color w:val="000000"/>
          <w:sz w:val="24"/>
        </w:rPr>
        <w:t>按照主袋账户</w:t>
      </w:r>
      <w:proofErr w:type="gramEnd"/>
      <w:r>
        <w:rPr>
          <w:rFonts w:cs="Arial" w:hint="eastAsia"/>
          <w:color w:val="000000"/>
          <w:sz w:val="24"/>
        </w:rPr>
        <w:t>的份额净值</w:t>
      </w:r>
      <w:proofErr w:type="gramStart"/>
      <w:r>
        <w:rPr>
          <w:rFonts w:cs="Arial" w:hint="eastAsia"/>
          <w:color w:val="000000"/>
          <w:sz w:val="24"/>
        </w:rPr>
        <w:t>办理主袋账户</w:t>
      </w:r>
      <w:proofErr w:type="gramEnd"/>
      <w:r>
        <w:rPr>
          <w:rFonts w:cs="Arial" w:hint="eastAsia"/>
          <w:color w:val="000000"/>
          <w:sz w:val="24"/>
        </w:rPr>
        <w:t>份额的申购和赎回。本招募说明书“基金份额的申购与赎回”部分的申购、赎回规定</w:t>
      </w:r>
      <w:proofErr w:type="gramStart"/>
      <w:r>
        <w:rPr>
          <w:rFonts w:cs="Arial" w:hint="eastAsia"/>
          <w:color w:val="000000"/>
          <w:sz w:val="24"/>
        </w:rPr>
        <w:t>适用于主袋账户</w:t>
      </w:r>
      <w:proofErr w:type="gramEnd"/>
      <w:r>
        <w:rPr>
          <w:rFonts w:cs="Arial" w:hint="eastAsia"/>
          <w:color w:val="000000"/>
          <w:sz w:val="24"/>
        </w:rPr>
        <w:t>份额。巨额赎回按照单个开放</w:t>
      </w:r>
      <w:proofErr w:type="gramStart"/>
      <w:r>
        <w:rPr>
          <w:rFonts w:cs="Arial" w:hint="eastAsia"/>
          <w:color w:val="000000"/>
          <w:sz w:val="24"/>
        </w:rPr>
        <w:t>日内主袋账户</w:t>
      </w:r>
      <w:proofErr w:type="gramEnd"/>
      <w:r>
        <w:rPr>
          <w:rFonts w:cs="Arial" w:hint="eastAsia"/>
          <w:color w:val="000000"/>
          <w:sz w:val="24"/>
        </w:rPr>
        <w:t>份额净赎回申请超过前一开放日</w:t>
      </w:r>
      <w:proofErr w:type="gramStart"/>
      <w:r>
        <w:rPr>
          <w:rFonts w:cs="Arial" w:hint="eastAsia"/>
          <w:color w:val="000000"/>
          <w:sz w:val="24"/>
        </w:rPr>
        <w:t>的主袋账户</w:t>
      </w:r>
      <w:proofErr w:type="gramEnd"/>
      <w:r>
        <w:rPr>
          <w:rFonts w:cs="Arial" w:hint="eastAsia"/>
          <w:color w:val="000000"/>
          <w:sz w:val="24"/>
        </w:rPr>
        <w:t>总份额的</w:t>
      </w:r>
      <w:r>
        <w:rPr>
          <w:rFonts w:cs="Arial"/>
          <w:color w:val="000000"/>
          <w:sz w:val="24"/>
        </w:rPr>
        <w:t>10%</w:t>
      </w:r>
      <w:r>
        <w:rPr>
          <w:rFonts w:cs="Arial" w:hint="eastAsia"/>
          <w:color w:val="000000"/>
          <w:sz w:val="24"/>
        </w:rPr>
        <w:t>认定。</w:t>
      </w:r>
    </w:p>
    <w:p w14:paraId="046664B0" w14:textId="77777777" w:rsidR="0069510E"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三、实施</w:t>
      </w:r>
      <w:proofErr w:type="gramStart"/>
      <w:r>
        <w:rPr>
          <w:rFonts w:cs="Arial" w:hint="eastAsia"/>
          <w:color w:val="000000"/>
          <w:sz w:val="24"/>
        </w:rPr>
        <w:t>侧袋机制</w:t>
      </w:r>
      <w:proofErr w:type="gramEnd"/>
      <w:r>
        <w:rPr>
          <w:rFonts w:cs="Arial" w:hint="eastAsia"/>
          <w:color w:val="000000"/>
          <w:sz w:val="24"/>
        </w:rPr>
        <w:t>期间的基金投资及业绩</w:t>
      </w:r>
    </w:p>
    <w:p w14:paraId="67316444" w14:textId="77777777" w:rsidR="0069510E" w:rsidRDefault="00000000">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侧袋机制</w:t>
      </w:r>
      <w:proofErr w:type="gramEnd"/>
      <w:r>
        <w:rPr>
          <w:rFonts w:cs="Arial" w:hint="eastAsia"/>
          <w:color w:val="000000"/>
          <w:sz w:val="24"/>
        </w:rPr>
        <w:t>实施期间，招募说明书“基金的投资”部分约定的投资组合比例、投资策略、组合限制、业绩比较基准、风险收益特征等约定仅</w:t>
      </w:r>
      <w:proofErr w:type="gramStart"/>
      <w:r>
        <w:rPr>
          <w:rFonts w:cs="Arial" w:hint="eastAsia"/>
          <w:color w:val="000000"/>
          <w:sz w:val="24"/>
        </w:rPr>
        <w:t>适用于主袋账户</w:t>
      </w:r>
      <w:proofErr w:type="gramEnd"/>
      <w:r>
        <w:rPr>
          <w:rFonts w:cs="Arial" w:hint="eastAsia"/>
          <w:color w:val="000000"/>
          <w:sz w:val="24"/>
        </w:rPr>
        <w:t>。基金管理人计算各项投资运作指标和基金业绩指标时仅需</w:t>
      </w:r>
      <w:proofErr w:type="gramStart"/>
      <w:r>
        <w:rPr>
          <w:rFonts w:cs="Arial" w:hint="eastAsia"/>
          <w:color w:val="000000"/>
          <w:sz w:val="24"/>
        </w:rPr>
        <w:t>考虑主袋账户</w:t>
      </w:r>
      <w:proofErr w:type="gramEnd"/>
      <w:r>
        <w:rPr>
          <w:rFonts w:cs="Arial" w:hint="eastAsia"/>
          <w:color w:val="000000"/>
          <w:sz w:val="24"/>
        </w:rPr>
        <w:t>资产。</w:t>
      </w:r>
    </w:p>
    <w:p w14:paraId="6CE0649C" w14:textId="77777777" w:rsidR="0069510E"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基金管理人原则上应当在</w:t>
      </w:r>
      <w:proofErr w:type="gramStart"/>
      <w:r>
        <w:rPr>
          <w:rFonts w:cs="Arial" w:hint="eastAsia"/>
          <w:color w:val="000000"/>
          <w:sz w:val="24"/>
        </w:rPr>
        <w:t>侧袋机制</w:t>
      </w:r>
      <w:proofErr w:type="gramEnd"/>
      <w:r>
        <w:rPr>
          <w:rFonts w:cs="Arial" w:hint="eastAsia"/>
          <w:color w:val="000000"/>
          <w:sz w:val="24"/>
        </w:rPr>
        <w:t>启用后</w:t>
      </w:r>
      <w:r>
        <w:rPr>
          <w:rFonts w:cs="Arial"/>
          <w:color w:val="000000"/>
          <w:sz w:val="24"/>
        </w:rPr>
        <w:t>20</w:t>
      </w:r>
      <w:r>
        <w:rPr>
          <w:rFonts w:cs="Arial" w:hint="eastAsia"/>
          <w:color w:val="000000"/>
          <w:sz w:val="24"/>
        </w:rPr>
        <w:t>个交易日内完成</w:t>
      </w:r>
      <w:proofErr w:type="gramStart"/>
      <w:r>
        <w:rPr>
          <w:rFonts w:cs="Arial" w:hint="eastAsia"/>
          <w:color w:val="000000"/>
          <w:sz w:val="24"/>
        </w:rPr>
        <w:t>对主袋账户</w:t>
      </w:r>
      <w:proofErr w:type="gramEnd"/>
      <w:r>
        <w:rPr>
          <w:rFonts w:cs="Arial" w:hint="eastAsia"/>
          <w:color w:val="000000"/>
          <w:sz w:val="24"/>
        </w:rPr>
        <w:t>投资</w:t>
      </w:r>
      <w:r>
        <w:rPr>
          <w:rFonts w:cs="Arial" w:hint="eastAsia"/>
          <w:color w:val="000000"/>
          <w:sz w:val="24"/>
        </w:rPr>
        <w:lastRenderedPageBreak/>
        <w:t>组合的调整，因资产流动性受限等中国证监会规定的情形除外。</w:t>
      </w:r>
    </w:p>
    <w:p w14:paraId="7780A1B1" w14:textId="77777777" w:rsidR="0069510E"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基金管理人不得</w:t>
      </w:r>
      <w:proofErr w:type="gramStart"/>
      <w:r>
        <w:rPr>
          <w:rFonts w:cs="Arial" w:hint="eastAsia"/>
          <w:color w:val="000000"/>
          <w:sz w:val="24"/>
        </w:rPr>
        <w:t>在侧袋账户</w:t>
      </w:r>
      <w:proofErr w:type="gramEnd"/>
      <w:r>
        <w:rPr>
          <w:rFonts w:cs="Arial" w:hint="eastAsia"/>
          <w:color w:val="000000"/>
          <w:sz w:val="24"/>
        </w:rPr>
        <w:t>中进行除特定资产处置变现以外的其他投资操作。</w:t>
      </w:r>
    </w:p>
    <w:p w14:paraId="1CC7E83B" w14:textId="77777777" w:rsidR="0069510E" w:rsidRDefault="00000000">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侧袋机制</w:t>
      </w:r>
      <w:proofErr w:type="gramEnd"/>
      <w:r>
        <w:rPr>
          <w:rFonts w:cs="Arial" w:hint="eastAsia"/>
          <w:color w:val="000000"/>
          <w:sz w:val="24"/>
        </w:rPr>
        <w:t>实施期间，基金管理人、基金服务机构在计算基金业绩相关指标时仅</w:t>
      </w:r>
      <w:proofErr w:type="gramStart"/>
      <w:r>
        <w:rPr>
          <w:rFonts w:cs="Arial" w:hint="eastAsia"/>
          <w:color w:val="000000"/>
          <w:sz w:val="24"/>
        </w:rPr>
        <w:t>考虑主袋账户</w:t>
      </w:r>
      <w:proofErr w:type="gramEnd"/>
      <w:r>
        <w:rPr>
          <w:rFonts w:cs="Arial" w:hint="eastAsia"/>
          <w:color w:val="000000"/>
          <w:sz w:val="24"/>
        </w:rPr>
        <w:t>资产，</w:t>
      </w:r>
      <w:proofErr w:type="gramStart"/>
      <w:r>
        <w:rPr>
          <w:rFonts w:cs="Arial" w:hint="eastAsia"/>
          <w:color w:val="000000"/>
          <w:sz w:val="24"/>
        </w:rPr>
        <w:t>分割侧袋账户</w:t>
      </w:r>
      <w:proofErr w:type="gramEnd"/>
      <w:r>
        <w:rPr>
          <w:rFonts w:cs="Arial" w:hint="eastAsia"/>
          <w:color w:val="000000"/>
          <w:sz w:val="24"/>
        </w:rPr>
        <w:t>资产导致的基金净资产减少在计算基金业绩相关指标时按投资损失处理。基金管理人、基金服务机构在展示基金业绩时，应当就前述情况进行充分的解释说明，避免引起投资者误解。</w:t>
      </w:r>
    </w:p>
    <w:p w14:paraId="3C24ECAF" w14:textId="77777777" w:rsidR="0069510E"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四、实施</w:t>
      </w:r>
      <w:proofErr w:type="gramStart"/>
      <w:r>
        <w:rPr>
          <w:rFonts w:cs="Arial" w:hint="eastAsia"/>
          <w:color w:val="000000"/>
          <w:sz w:val="24"/>
        </w:rPr>
        <w:t>侧袋机制</w:t>
      </w:r>
      <w:proofErr w:type="gramEnd"/>
      <w:r>
        <w:rPr>
          <w:rFonts w:cs="Arial" w:hint="eastAsia"/>
          <w:color w:val="000000"/>
          <w:sz w:val="24"/>
        </w:rPr>
        <w:t>期间的基金估值与会计核算</w:t>
      </w:r>
    </w:p>
    <w:p w14:paraId="6F98D9D3" w14:textId="77777777" w:rsidR="0069510E"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本基金实施</w:t>
      </w:r>
      <w:proofErr w:type="gramStart"/>
      <w:r>
        <w:rPr>
          <w:rFonts w:cs="Arial" w:hint="eastAsia"/>
          <w:color w:val="000000"/>
          <w:sz w:val="24"/>
        </w:rPr>
        <w:t>侧袋机制</w:t>
      </w:r>
      <w:proofErr w:type="gramEnd"/>
      <w:r>
        <w:rPr>
          <w:rFonts w:cs="Arial" w:hint="eastAsia"/>
          <w:color w:val="000000"/>
          <w:sz w:val="24"/>
        </w:rPr>
        <w:t>的，基金管理人和基金托管人</w:t>
      </w:r>
      <w:proofErr w:type="gramStart"/>
      <w:r>
        <w:rPr>
          <w:rFonts w:cs="Arial" w:hint="eastAsia"/>
          <w:color w:val="000000"/>
          <w:sz w:val="24"/>
        </w:rPr>
        <w:t>应对主袋账户</w:t>
      </w:r>
      <w:proofErr w:type="gramEnd"/>
      <w:r>
        <w:rPr>
          <w:rFonts w:cs="Arial" w:hint="eastAsia"/>
          <w:color w:val="000000"/>
          <w:sz w:val="24"/>
        </w:rPr>
        <w:t>资产进行估值并</w:t>
      </w:r>
      <w:proofErr w:type="gramStart"/>
      <w:r>
        <w:rPr>
          <w:rFonts w:cs="Arial" w:hint="eastAsia"/>
          <w:color w:val="000000"/>
          <w:sz w:val="24"/>
        </w:rPr>
        <w:t>披露主袋账户</w:t>
      </w:r>
      <w:proofErr w:type="gramEnd"/>
      <w:r>
        <w:rPr>
          <w:rFonts w:cs="Arial" w:hint="eastAsia"/>
          <w:color w:val="000000"/>
          <w:sz w:val="24"/>
        </w:rPr>
        <w:t>的基金净值信息，暂停</w:t>
      </w:r>
      <w:proofErr w:type="gramStart"/>
      <w:r>
        <w:rPr>
          <w:rFonts w:cs="Arial" w:hint="eastAsia"/>
          <w:color w:val="000000"/>
          <w:sz w:val="24"/>
        </w:rPr>
        <w:t>披露侧袋账户</w:t>
      </w:r>
      <w:proofErr w:type="gramEnd"/>
      <w:r>
        <w:rPr>
          <w:rFonts w:cs="Arial" w:hint="eastAsia"/>
          <w:color w:val="000000"/>
          <w:sz w:val="24"/>
        </w:rPr>
        <w:t>的基金净值信息。</w:t>
      </w:r>
      <w:proofErr w:type="gramStart"/>
      <w:r>
        <w:rPr>
          <w:rFonts w:cs="Arial" w:hint="eastAsia"/>
          <w:color w:val="000000"/>
          <w:sz w:val="24"/>
        </w:rPr>
        <w:t>侧袋机制</w:t>
      </w:r>
      <w:proofErr w:type="gramEnd"/>
      <w:r>
        <w:rPr>
          <w:rFonts w:cs="Arial" w:hint="eastAsia"/>
          <w:color w:val="000000"/>
          <w:sz w:val="24"/>
        </w:rPr>
        <w:t>实施期间，基金管理人</w:t>
      </w:r>
      <w:proofErr w:type="gramStart"/>
      <w:r>
        <w:rPr>
          <w:rFonts w:cs="Arial" w:hint="eastAsia"/>
          <w:color w:val="000000"/>
          <w:sz w:val="24"/>
        </w:rPr>
        <w:t>应对侧袋账户</w:t>
      </w:r>
      <w:proofErr w:type="gramEnd"/>
      <w:r>
        <w:rPr>
          <w:rFonts w:cs="Arial" w:hint="eastAsia"/>
          <w:color w:val="000000"/>
          <w:sz w:val="24"/>
        </w:rPr>
        <w:t>单独设置账套，实行独立核算。如果本基金同时存在</w:t>
      </w:r>
      <w:proofErr w:type="gramStart"/>
      <w:r>
        <w:rPr>
          <w:rFonts w:cs="Arial" w:hint="eastAsia"/>
          <w:color w:val="000000"/>
          <w:sz w:val="24"/>
        </w:rPr>
        <w:t>多个侧袋账户</w:t>
      </w:r>
      <w:proofErr w:type="gramEnd"/>
      <w:r>
        <w:rPr>
          <w:rFonts w:cs="Arial" w:hint="eastAsia"/>
          <w:color w:val="000000"/>
          <w:sz w:val="24"/>
        </w:rPr>
        <w:t>，</w:t>
      </w:r>
      <w:proofErr w:type="gramStart"/>
      <w:r>
        <w:rPr>
          <w:rFonts w:cs="Arial" w:hint="eastAsia"/>
          <w:color w:val="000000"/>
          <w:sz w:val="24"/>
        </w:rPr>
        <w:t>不同侧袋账户</w:t>
      </w:r>
      <w:proofErr w:type="gramEnd"/>
      <w:r>
        <w:rPr>
          <w:rFonts w:cs="Arial" w:hint="eastAsia"/>
          <w:color w:val="000000"/>
          <w:sz w:val="24"/>
        </w:rPr>
        <w:t>应分开进行核算。</w:t>
      </w:r>
      <w:proofErr w:type="gramStart"/>
      <w:r>
        <w:rPr>
          <w:rFonts w:cs="Arial" w:hint="eastAsia"/>
          <w:color w:val="000000"/>
          <w:sz w:val="24"/>
        </w:rPr>
        <w:t>侧袋账户</w:t>
      </w:r>
      <w:proofErr w:type="gramEnd"/>
      <w:r>
        <w:rPr>
          <w:rFonts w:cs="Arial" w:hint="eastAsia"/>
          <w:color w:val="000000"/>
          <w:sz w:val="24"/>
        </w:rPr>
        <w:t>的会计核算应符合《企业会计准则》的相关要求。</w:t>
      </w:r>
    </w:p>
    <w:p w14:paraId="55E97534" w14:textId="77777777" w:rsidR="0069510E"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五、实施</w:t>
      </w:r>
      <w:proofErr w:type="gramStart"/>
      <w:r>
        <w:rPr>
          <w:rFonts w:cs="Arial" w:hint="eastAsia"/>
          <w:color w:val="000000"/>
          <w:sz w:val="24"/>
        </w:rPr>
        <w:t>侧袋机制</w:t>
      </w:r>
      <w:proofErr w:type="gramEnd"/>
      <w:r>
        <w:rPr>
          <w:rFonts w:cs="Arial" w:hint="eastAsia"/>
          <w:color w:val="000000"/>
          <w:sz w:val="24"/>
        </w:rPr>
        <w:t>期间的基金费用</w:t>
      </w:r>
    </w:p>
    <w:p w14:paraId="784227F9" w14:textId="77777777" w:rsidR="0069510E"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本基金实施</w:t>
      </w:r>
      <w:proofErr w:type="gramStart"/>
      <w:r>
        <w:rPr>
          <w:rFonts w:cs="Arial" w:hint="eastAsia"/>
          <w:color w:val="000000"/>
          <w:sz w:val="24"/>
        </w:rPr>
        <w:t>侧袋机制</w:t>
      </w:r>
      <w:proofErr w:type="gramEnd"/>
      <w:r>
        <w:rPr>
          <w:rFonts w:cs="Arial" w:hint="eastAsia"/>
          <w:color w:val="000000"/>
          <w:sz w:val="24"/>
        </w:rPr>
        <w:t>的，</w:t>
      </w:r>
      <w:proofErr w:type="gramStart"/>
      <w:r>
        <w:rPr>
          <w:rFonts w:cs="Arial" w:hint="eastAsia"/>
          <w:color w:val="000000"/>
          <w:sz w:val="24"/>
        </w:rPr>
        <w:t>主袋账户</w:t>
      </w:r>
      <w:proofErr w:type="gramEnd"/>
      <w:r>
        <w:rPr>
          <w:rFonts w:cs="Arial" w:hint="eastAsia"/>
          <w:color w:val="000000"/>
          <w:sz w:val="24"/>
        </w:rPr>
        <w:t>的管理费和托管费</w:t>
      </w:r>
      <w:proofErr w:type="gramStart"/>
      <w:r>
        <w:rPr>
          <w:rFonts w:cs="Arial" w:hint="eastAsia"/>
          <w:color w:val="000000"/>
          <w:sz w:val="24"/>
        </w:rPr>
        <w:t>按主袋账户</w:t>
      </w:r>
      <w:proofErr w:type="gramEnd"/>
      <w:r>
        <w:rPr>
          <w:rFonts w:cs="Arial" w:hint="eastAsia"/>
          <w:color w:val="000000"/>
          <w:sz w:val="24"/>
        </w:rPr>
        <w:t>基金资产净值作为基数计提；</w:t>
      </w:r>
      <w:proofErr w:type="gramStart"/>
      <w:r>
        <w:rPr>
          <w:rFonts w:cs="Arial" w:hint="eastAsia"/>
          <w:color w:val="000000"/>
          <w:sz w:val="24"/>
        </w:rPr>
        <w:t>主袋账户</w:t>
      </w:r>
      <w:proofErr w:type="gramEnd"/>
      <w:r>
        <w:rPr>
          <w:rFonts w:cs="Arial" w:hint="eastAsia"/>
          <w:color w:val="000000"/>
          <w:sz w:val="24"/>
        </w:rPr>
        <w:t>的</w:t>
      </w:r>
      <w:r>
        <w:rPr>
          <w:rFonts w:cs="Arial"/>
          <w:color w:val="000000"/>
          <w:sz w:val="24"/>
        </w:rPr>
        <w:t>C</w:t>
      </w:r>
      <w:r>
        <w:rPr>
          <w:rFonts w:cs="Arial" w:hint="eastAsia"/>
          <w:color w:val="000000"/>
          <w:sz w:val="24"/>
        </w:rPr>
        <w:t>类基金份额的销售服务费仍</w:t>
      </w:r>
      <w:proofErr w:type="gramStart"/>
      <w:r>
        <w:rPr>
          <w:rFonts w:cs="Arial" w:hint="eastAsia"/>
          <w:color w:val="000000"/>
          <w:sz w:val="24"/>
        </w:rPr>
        <w:t>按主袋账户</w:t>
      </w:r>
      <w:proofErr w:type="gramEnd"/>
      <w:r>
        <w:rPr>
          <w:rFonts w:cs="Arial"/>
          <w:color w:val="000000"/>
          <w:sz w:val="24"/>
        </w:rPr>
        <w:t>C</w:t>
      </w:r>
      <w:r>
        <w:rPr>
          <w:rFonts w:cs="Arial" w:hint="eastAsia"/>
          <w:color w:val="000000"/>
          <w:sz w:val="24"/>
        </w:rPr>
        <w:t>类基金份额的基金资产净值作为基数计提。</w:t>
      </w:r>
      <w:proofErr w:type="gramStart"/>
      <w:r>
        <w:rPr>
          <w:rFonts w:cs="Arial" w:hint="eastAsia"/>
          <w:color w:val="000000"/>
          <w:sz w:val="24"/>
        </w:rPr>
        <w:t>与侧袋账户</w:t>
      </w:r>
      <w:proofErr w:type="gramEnd"/>
      <w:r>
        <w:rPr>
          <w:rFonts w:cs="Arial" w:hint="eastAsia"/>
          <w:color w:val="000000"/>
          <w:sz w:val="24"/>
        </w:rPr>
        <w:t>有关的费用可</w:t>
      </w:r>
      <w:proofErr w:type="gramStart"/>
      <w:r>
        <w:rPr>
          <w:rFonts w:cs="Arial" w:hint="eastAsia"/>
          <w:color w:val="000000"/>
          <w:sz w:val="24"/>
        </w:rPr>
        <w:t>从侧袋账户</w:t>
      </w:r>
      <w:proofErr w:type="gramEnd"/>
      <w:r>
        <w:rPr>
          <w:rFonts w:cs="Arial" w:hint="eastAsia"/>
          <w:color w:val="000000"/>
          <w:sz w:val="24"/>
        </w:rPr>
        <w:t>中列支，但应</w:t>
      </w:r>
      <w:proofErr w:type="gramStart"/>
      <w:r>
        <w:rPr>
          <w:rFonts w:cs="Arial" w:hint="eastAsia"/>
          <w:color w:val="000000"/>
          <w:sz w:val="24"/>
        </w:rPr>
        <w:t>待侧袋</w:t>
      </w:r>
      <w:proofErr w:type="gramEnd"/>
      <w:r>
        <w:rPr>
          <w:rFonts w:cs="Arial" w:hint="eastAsia"/>
          <w:color w:val="000000"/>
          <w:sz w:val="24"/>
        </w:rPr>
        <w:t>账户资产变现后方可列支，有关费用可酌情收取或减免，但不得收取管理费，其他费用详见相关公告的规定。因启用</w:t>
      </w:r>
      <w:proofErr w:type="gramStart"/>
      <w:r>
        <w:rPr>
          <w:rFonts w:cs="Arial" w:hint="eastAsia"/>
          <w:color w:val="000000"/>
          <w:sz w:val="24"/>
        </w:rPr>
        <w:t>侧袋机制</w:t>
      </w:r>
      <w:proofErr w:type="gramEnd"/>
      <w:r>
        <w:rPr>
          <w:rFonts w:cs="Arial" w:hint="eastAsia"/>
          <w:color w:val="000000"/>
          <w:sz w:val="24"/>
        </w:rPr>
        <w:t>产生的咨询、审计费用等由基金管理人承担。</w:t>
      </w:r>
    </w:p>
    <w:p w14:paraId="1D0484BA" w14:textId="77777777" w:rsidR="0069510E"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六、</w:t>
      </w:r>
      <w:proofErr w:type="gramStart"/>
      <w:r>
        <w:rPr>
          <w:rFonts w:cs="Arial" w:hint="eastAsia"/>
          <w:color w:val="000000"/>
          <w:sz w:val="24"/>
        </w:rPr>
        <w:t>侧袋账户</w:t>
      </w:r>
      <w:proofErr w:type="gramEnd"/>
      <w:r>
        <w:rPr>
          <w:rFonts w:cs="Arial" w:hint="eastAsia"/>
          <w:color w:val="000000"/>
          <w:sz w:val="24"/>
        </w:rPr>
        <w:t>中特定资产的处置变现和支付</w:t>
      </w:r>
    </w:p>
    <w:p w14:paraId="5164A46B" w14:textId="77777777" w:rsidR="0069510E"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特定资产以可出售、可转让、恢复交易等方式恢复流动性后，基金管理人应当按照基金份额持有人利益最大化原则，采取将特定资产予以处置变现等方式，及时</w:t>
      </w:r>
      <w:proofErr w:type="gramStart"/>
      <w:r>
        <w:rPr>
          <w:rFonts w:cs="Arial" w:hint="eastAsia"/>
          <w:color w:val="000000"/>
          <w:sz w:val="24"/>
        </w:rPr>
        <w:t>向侧袋账户</w:t>
      </w:r>
      <w:proofErr w:type="gramEnd"/>
      <w:r>
        <w:rPr>
          <w:rFonts w:cs="Arial" w:hint="eastAsia"/>
          <w:color w:val="000000"/>
          <w:sz w:val="24"/>
        </w:rPr>
        <w:t>份额持有人支付对应变现款项。</w:t>
      </w:r>
    </w:p>
    <w:p w14:paraId="1D047657" w14:textId="77777777" w:rsidR="0069510E" w:rsidRDefault="00000000">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侧袋机制</w:t>
      </w:r>
      <w:proofErr w:type="gramEnd"/>
      <w:r>
        <w:rPr>
          <w:rFonts w:cs="Arial" w:hint="eastAsia"/>
          <w:color w:val="000000"/>
          <w:sz w:val="24"/>
        </w:rPr>
        <w:t>实施期间，</w:t>
      </w:r>
      <w:proofErr w:type="gramStart"/>
      <w:r>
        <w:rPr>
          <w:rFonts w:cs="Arial" w:hint="eastAsia"/>
          <w:color w:val="000000"/>
          <w:sz w:val="24"/>
        </w:rPr>
        <w:t>无论侧袋账户</w:t>
      </w:r>
      <w:proofErr w:type="gramEnd"/>
      <w:r>
        <w:rPr>
          <w:rFonts w:cs="Arial" w:hint="eastAsia"/>
          <w:color w:val="000000"/>
          <w:sz w:val="24"/>
        </w:rPr>
        <w:t>资产是否全部完成变现，基金管理人都应当及时</w:t>
      </w:r>
      <w:proofErr w:type="gramStart"/>
      <w:r>
        <w:rPr>
          <w:rFonts w:cs="Arial" w:hint="eastAsia"/>
          <w:color w:val="000000"/>
          <w:sz w:val="24"/>
        </w:rPr>
        <w:t>向侧袋账户</w:t>
      </w:r>
      <w:proofErr w:type="gramEnd"/>
      <w:r>
        <w:rPr>
          <w:rFonts w:cs="Arial" w:hint="eastAsia"/>
          <w:color w:val="000000"/>
          <w:sz w:val="24"/>
        </w:rPr>
        <w:t>全部份额持有人支付已变现部分对应的款项。</w:t>
      </w:r>
      <w:proofErr w:type="gramStart"/>
      <w:r>
        <w:rPr>
          <w:rFonts w:cs="Arial" w:hint="eastAsia"/>
          <w:color w:val="000000"/>
          <w:sz w:val="24"/>
        </w:rPr>
        <w:t>若侧袋</w:t>
      </w:r>
      <w:proofErr w:type="gramEnd"/>
      <w:r>
        <w:rPr>
          <w:rFonts w:cs="Arial" w:hint="eastAsia"/>
          <w:color w:val="000000"/>
          <w:sz w:val="24"/>
        </w:rPr>
        <w:t>账户资产无法一次性完成处置变现，基金管理人在每次处置变现后均应按照相关法律法规要求及时发布临时公告。</w:t>
      </w:r>
    </w:p>
    <w:p w14:paraId="4F3C966F" w14:textId="77777777" w:rsidR="0069510E" w:rsidRDefault="00000000">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侧袋账户</w:t>
      </w:r>
      <w:proofErr w:type="gramEnd"/>
      <w:r>
        <w:rPr>
          <w:rFonts w:cs="Arial" w:hint="eastAsia"/>
          <w:color w:val="000000"/>
          <w:sz w:val="24"/>
        </w:rPr>
        <w:t>资产全部完成变现并终止</w:t>
      </w:r>
      <w:proofErr w:type="gramStart"/>
      <w:r>
        <w:rPr>
          <w:rFonts w:cs="Arial" w:hint="eastAsia"/>
          <w:color w:val="000000"/>
          <w:sz w:val="24"/>
        </w:rPr>
        <w:t>侧袋机制</w:t>
      </w:r>
      <w:proofErr w:type="gramEnd"/>
      <w:r>
        <w:rPr>
          <w:rFonts w:cs="Arial" w:hint="eastAsia"/>
          <w:color w:val="000000"/>
          <w:sz w:val="24"/>
        </w:rPr>
        <w:t>后，基金管理人应及时聘请符合《中华人民共和国证券法》规定的会计师事务所进行审计并披露专项审计意见。</w:t>
      </w:r>
    </w:p>
    <w:p w14:paraId="62640E51" w14:textId="77777777" w:rsidR="0069510E" w:rsidRDefault="00000000">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lastRenderedPageBreak/>
        <w:t>侧袋账户</w:t>
      </w:r>
      <w:proofErr w:type="gramEnd"/>
      <w:r>
        <w:rPr>
          <w:rFonts w:cs="Arial" w:hint="eastAsia"/>
          <w:color w:val="000000"/>
          <w:sz w:val="24"/>
        </w:rPr>
        <w:t>资产完全清算后，基金管理人应</w:t>
      </w:r>
      <w:proofErr w:type="gramStart"/>
      <w:r>
        <w:rPr>
          <w:rFonts w:cs="Arial" w:hint="eastAsia"/>
          <w:color w:val="000000"/>
          <w:sz w:val="24"/>
        </w:rPr>
        <w:t>注销侧袋账户</w:t>
      </w:r>
      <w:proofErr w:type="gramEnd"/>
      <w:r>
        <w:rPr>
          <w:rFonts w:cs="Arial" w:hint="eastAsia"/>
          <w:color w:val="000000"/>
          <w:sz w:val="24"/>
        </w:rPr>
        <w:t>。</w:t>
      </w:r>
    </w:p>
    <w:p w14:paraId="33862C24" w14:textId="77777777" w:rsidR="0069510E"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七、</w:t>
      </w:r>
      <w:proofErr w:type="gramStart"/>
      <w:r>
        <w:rPr>
          <w:rFonts w:cs="Arial" w:hint="eastAsia"/>
          <w:color w:val="000000"/>
          <w:sz w:val="24"/>
        </w:rPr>
        <w:t>侧袋机制</w:t>
      </w:r>
      <w:proofErr w:type="gramEnd"/>
      <w:r>
        <w:rPr>
          <w:rFonts w:cs="Arial" w:hint="eastAsia"/>
          <w:color w:val="000000"/>
          <w:sz w:val="24"/>
        </w:rPr>
        <w:t>的信息披露</w:t>
      </w:r>
    </w:p>
    <w:p w14:paraId="3D583E70" w14:textId="77777777" w:rsidR="0069510E" w:rsidRDefault="00000000">
      <w:pPr>
        <w:autoSpaceDE w:val="0"/>
        <w:autoSpaceDN w:val="0"/>
        <w:adjustRightInd w:val="0"/>
        <w:spacing w:line="360" w:lineRule="auto"/>
        <w:ind w:firstLineChars="200" w:firstLine="480"/>
        <w:rPr>
          <w:rFonts w:cs="Arial"/>
          <w:color w:val="000000"/>
          <w:sz w:val="24"/>
        </w:rPr>
      </w:pPr>
      <w:r>
        <w:rPr>
          <w:rFonts w:cs="Arial"/>
          <w:color w:val="000000"/>
          <w:sz w:val="24"/>
        </w:rPr>
        <w:t>1</w:t>
      </w:r>
      <w:r>
        <w:rPr>
          <w:rFonts w:cs="Arial" w:hint="eastAsia"/>
          <w:color w:val="000000"/>
          <w:sz w:val="24"/>
        </w:rPr>
        <w:t>、临时公告</w:t>
      </w:r>
    </w:p>
    <w:p w14:paraId="7D6034F6" w14:textId="77777777" w:rsidR="0069510E"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在</w:t>
      </w:r>
      <w:proofErr w:type="gramStart"/>
      <w:r>
        <w:rPr>
          <w:rFonts w:cs="Arial" w:hint="eastAsia"/>
          <w:color w:val="000000"/>
          <w:sz w:val="24"/>
        </w:rPr>
        <w:t>启用侧袋机制</w:t>
      </w:r>
      <w:proofErr w:type="gramEnd"/>
      <w:r>
        <w:rPr>
          <w:rFonts w:cs="Arial" w:hint="eastAsia"/>
          <w:color w:val="000000"/>
          <w:sz w:val="24"/>
        </w:rPr>
        <w:t>、处置特定资产、终止</w:t>
      </w:r>
      <w:proofErr w:type="gramStart"/>
      <w:r>
        <w:rPr>
          <w:rFonts w:cs="Arial" w:hint="eastAsia"/>
          <w:color w:val="000000"/>
          <w:sz w:val="24"/>
        </w:rPr>
        <w:t>侧袋机制</w:t>
      </w:r>
      <w:proofErr w:type="gramEnd"/>
      <w:r>
        <w:rPr>
          <w:rFonts w:cs="Arial" w:hint="eastAsia"/>
          <w:color w:val="000000"/>
          <w:sz w:val="24"/>
        </w:rPr>
        <w:t>以及发生其他可能对投资者利益产生重大影响的事项后基金管理人应及时发布临时公告。</w:t>
      </w:r>
    </w:p>
    <w:p w14:paraId="6EDCBF3F" w14:textId="77777777" w:rsidR="0069510E" w:rsidRDefault="00000000">
      <w:pPr>
        <w:autoSpaceDE w:val="0"/>
        <w:autoSpaceDN w:val="0"/>
        <w:adjustRightInd w:val="0"/>
        <w:spacing w:line="360" w:lineRule="auto"/>
        <w:ind w:firstLineChars="200" w:firstLine="480"/>
        <w:rPr>
          <w:rFonts w:cs="Arial"/>
          <w:color w:val="000000"/>
          <w:sz w:val="24"/>
        </w:rPr>
      </w:pPr>
      <w:r>
        <w:rPr>
          <w:rFonts w:cs="Arial"/>
          <w:color w:val="000000"/>
          <w:sz w:val="24"/>
        </w:rPr>
        <w:t>2</w:t>
      </w:r>
      <w:r>
        <w:rPr>
          <w:rFonts w:cs="Arial" w:hint="eastAsia"/>
          <w:color w:val="000000"/>
          <w:sz w:val="24"/>
        </w:rPr>
        <w:t>、基金净值信息</w:t>
      </w:r>
    </w:p>
    <w:p w14:paraId="25A1B3B9" w14:textId="77777777" w:rsidR="0069510E"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基金管理人应按照招募说明书“基金的信息披露”部分规定的基金净值信息披露方式和频率</w:t>
      </w:r>
      <w:proofErr w:type="gramStart"/>
      <w:r>
        <w:rPr>
          <w:rFonts w:cs="Arial" w:hint="eastAsia"/>
          <w:color w:val="000000"/>
          <w:sz w:val="24"/>
        </w:rPr>
        <w:t>披露主袋账户</w:t>
      </w:r>
      <w:proofErr w:type="gramEnd"/>
      <w:r>
        <w:rPr>
          <w:rFonts w:cs="Arial" w:hint="eastAsia"/>
          <w:color w:val="000000"/>
          <w:sz w:val="24"/>
        </w:rPr>
        <w:t>份额的基金份额净值和基金份额累计净值。实施</w:t>
      </w:r>
      <w:proofErr w:type="gramStart"/>
      <w:r>
        <w:rPr>
          <w:rFonts w:cs="Arial" w:hint="eastAsia"/>
          <w:color w:val="000000"/>
          <w:sz w:val="24"/>
        </w:rPr>
        <w:t>侧袋机制</w:t>
      </w:r>
      <w:proofErr w:type="gramEnd"/>
      <w:r>
        <w:rPr>
          <w:rFonts w:cs="Arial" w:hint="eastAsia"/>
          <w:color w:val="000000"/>
          <w:sz w:val="24"/>
        </w:rPr>
        <w:t>期间，本基金暂停</w:t>
      </w:r>
      <w:proofErr w:type="gramStart"/>
      <w:r>
        <w:rPr>
          <w:rFonts w:cs="Arial" w:hint="eastAsia"/>
          <w:color w:val="000000"/>
          <w:sz w:val="24"/>
        </w:rPr>
        <w:t>披露侧袋账户</w:t>
      </w:r>
      <w:proofErr w:type="gramEnd"/>
      <w:r>
        <w:rPr>
          <w:rFonts w:cs="Arial" w:hint="eastAsia"/>
          <w:color w:val="000000"/>
          <w:sz w:val="24"/>
        </w:rPr>
        <w:t>的基金净值信息。</w:t>
      </w:r>
    </w:p>
    <w:p w14:paraId="47787FF9" w14:textId="77777777" w:rsidR="0069510E" w:rsidRDefault="00000000">
      <w:pPr>
        <w:autoSpaceDE w:val="0"/>
        <w:autoSpaceDN w:val="0"/>
        <w:adjustRightInd w:val="0"/>
        <w:spacing w:line="360" w:lineRule="auto"/>
        <w:ind w:firstLineChars="200" w:firstLine="480"/>
        <w:rPr>
          <w:rFonts w:cs="Arial"/>
          <w:color w:val="000000"/>
          <w:sz w:val="24"/>
        </w:rPr>
      </w:pPr>
      <w:r>
        <w:rPr>
          <w:rFonts w:cs="Arial"/>
          <w:color w:val="000000"/>
          <w:sz w:val="24"/>
        </w:rPr>
        <w:t>3</w:t>
      </w:r>
      <w:r>
        <w:rPr>
          <w:rFonts w:cs="Arial" w:hint="eastAsia"/>
          <w:color w:val="000000"/>
          <w:sz w:val="24"/>
        </w:rPr>
        <w:t>、定期报告</w:t>
      </w:r>
    </w:p>
    <w:p w14:paraId="74D23D09" w14:textId="77777777" w:rsidR="0069510E" w:rsidRDefault="00000000">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侧袋机制</w:t>
      </w:r>
      <w:proofErr w:type="gramEnd"/>
      <w:r>
        <w:rPr>
          <w:rFonts w:cs="Arial" w:hint="eastAsia"/>
          <w:color w:val="000000"/>
          <w:sz w:val="24"/>
        </w:rPr>
        <w:t>实施期间，基金管理人应当在基金定期报告中披露报告期</w:t>
      </w:r>
      <w:proofErr w:type="gramStart"/>
      <w:r>
        <w:rPr>
          <w:rFonts w:cs="Arial" w:hint="eastAsia"/>
          <w:color w:val="000000"/>
          <w:sz w:val="24"/>
        </w:rPr>
        <w:t>内侧袋</w:t>
      </w:r>
      <w:proofErr w:type="gramEnd"/>
      <w:r>
        <w:rPr>
          <w:rFonts w:cs="Arial" w:hint="eastAsia"/>
          <w:color w:val="000000"/>
          <w:sz w:val="24"/>
        </w:rPr>
        <w:t>账户相关信息，基金定期报告中的基金会计报表仅需</w:t>
      </w:r>
      <w:proofErr w:type="gramStart"/>
      <w:r>
        <w:rPr>
          <w:rFonts w:cs="Arial" w:hint="eastAsia"/>
          <w:color w:val="000000"/>
          <w:sz w:val="24"/>
        </w:rPr>
        <w:t>针对主袋账户</w:t>
      </w:r>
      <w:proofErr w:type="gramEnd"/>
      <w:r>
        <w:rPr>
          <w:rFonts w:cs="Arial" w:hint="eastAsia"/>
          <w:color w:val="000000"/>
          <w:sz w:val="24"/>
        </w:rPr>
        <w:t>进行编制。</w:t>
      </w:r>
      <w:proofErr w:type="gramStart"/>
      <w:r>
        <w:rPr>
          <w:rFonts w:cs="Arial" w:hint="eastAsia"/>
          <w:color w:val="000000"/>
          <w:sz w:val="24"/>
        </w:rPr>
        <w:t>侧袋账户</w:t>
      </w:r>
      <w:proofErr w:type="gramEnd"/>
      <w:r>
        <w:rPr>
          <w:rFonts w:cs="Arial" w:hint="eastAsia"/>
          <w:color w:val="000000"/>
          <w:sz w:val="24"/>
        </w:rPr>
        <w:t>相关信息在定期报告中单独进行披露。会计师事务所对基金年度报告进行审计时，应对报告期内基金</w:t>
      </w:r>
      <w:proofErr w:type="gramStart"/>
      <w:r>
        <w:rPr>
          <w:rFonts w:cs="Arial" w:hint="eastAsia"/>
          <w:color w:val="000000"/>
          <w:sz w:val="24"/>
        </w:rPr>
        <w:t>侧袋机制</w:t>
      </w:r>
      <w:proofErr w:type="gramEnd"/>
      <w:r>
        <w:rPr>
          <w:rFonts w:cs="Arial" w:hint="eastAsia"/>
          <w:color w:val="000000"/>
          <w:sz w:val="24"/>
        </w:rPr>
        <w:t>运行相关的会计核算和年度报告披露，执行适当程序并发表审计意见。</w:t>
      </w:r>
    </w:p>
    <w:p w14:paraId="407C6A58" w14:textId="77777777" w:rsidR="0069510E"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八、本部</w:t>
      </w:r>
      <w:proofErr w:type="gramStart"/>
      <w:r>
        <w:rPr>
          <w:rFonts w:cs="Arial" w:hint="eastAsia"/>
          <w:color w:val="000000"/>
          <w:sz w:val="24"/>
        </w:rPr>
        <w:t>分关于侧袋机制</w:t>
      </w:r>
      <w:proofErr w:type="gramEnd"/>
      <w:r>
        <w:rPr>
          <w:rFonts w:cs="Arial" w:hint="eastAsia"/>
          <w:color w:val="000000"/>
          <w:sz w:val="24"/>
        </w:rPr>
        <w:t>的相关规定，凡是直接引用法律法规或监管规则的部分，如将来法律法规或监管规则修改导致相关内容被取消或变更的，或将来法律法规或监管规则针对</w:t>
      </w:r>
      <w:proofErr w:type="gramStart"/>
      <w:r>
        <w:rPr>
          <w:rFonts w:cs="Arial" w:hint="eastAsia"/>
          <w:color w:val="000000"/>
          <w:sz w:val="24"/>
        </w:rPr>
        <w:t>侧袋机制</w:t>
      </w:r>
      <w:proofErr w:type="gramEnd"/>
      <w:r>
        <w:rPr>
          <w:rFonts w:cs="Arial" w:hint="eastAsia"/>
          <w:color w:val="000000"/>
          <w:sz w:val="24"/>
        </w:rPr>
        <w:t>的内容有进一步规定的，基金管理人经与基金托管人协商一致并履行适当程序后，在对基金份额持有人利益无实质性不利影响的前提下，可直接对本部分内容进行修改和调整，无需召开基金份额持有人大会审议。</w:t>
      </w:r>
    </w:p>
    <w:p w14:paraId="0008975A" w14:textId="77777777" w:rsidR="0069510E" w:rsidRDefault="0069510E">
      <w:pPr>
        <w:autoSpaceDE w:val="0"/>
        <w:autoSpaceDN w:val="0"/>
        <w:adjustRightInd w:val="0"/>
        <w:spacing w:line="360" w:lineRule="auto"/>
        <w:ind w:firstLineChars="200" w:firstLine="480"/>
        <w:rPr>
          <w:rFonts w:cs="Arial"/>
          <w:color w:val="000000"/>
          <w:sz w:val="24"/>
        </w:rPr>
        <w:sectPr w:rsidR="0069510E">
          <w:headerReference w:type="even" r:id="rId51"/>
          <w:headerReference w:type="default" r:id="rId52"/>
          <w:footerReference w:type="default" r:id="rId53"/>
          <w:headerReference w:type="first" r:id="rId54"/>
          <w:footerReference w:type="first" r:id="rId55"/>
          <w:pgSz w:w="11907" w:h="16840"/>
          <w:pgMar w:top="1440" w:right="1559" w:bottom="1440" w:left="1797" w:header="907" w:footer="964" w:gutter="0"/>
          <w:pgNumType w:chapStyle="1"/>
          <w:cols w:space="425"/>
          <w:docGrid w:type="lines" w:linePitch="312"/>
        </w:sectPr>
      </w:pPr>
    </w:p>
    <w:p w14:paraId="64A301F4" w14:textId="77777777" w:rsidR="0069510E" w:rsidRDefault="0069510E">
      <w:pPr>
        <w:widowControl/>
        <w:jc w:val="left"/>
        <w:rPr>
          <w:bCs/>
          <w:sz w:val="24"/>
        </w:rPr>
      </w:pPr>
    </w:p>
    <w:p w14:paraId="5C8ED890" w14:textId="77777777" w:rsidR="0069510E" w:rsidRDefault="00000000">
      <w:pPr>
        <w:pStyle w:val="1"/>
        <w:jc w:val="center"/>
        <w:rPr>
          <w:sz w:val="30"/>
          <w:szCs w:val="30"/>
        </w:rPr>
      </w:pPr>
      <w:bookmarkStart w:id="335" w:name="_Toc147463125"/>
      <w:bookmarkStart w:id="336" w:name="_Toc21073398"/>
      <w:bookmarkStart w:id="337" w:name="_Toc12357178"/>
      <w:bookmarkStart w:id="338" w:name="_Toc136963817"/>
      <w:bookmarkStart w:id="339" w:name="_Toc68266304"/>
      <w:bookmarkStart w:id="340" w:name="_Toc214873605"/>
      <w:bookmarkStart w:id="341" w:name="_Toc263092324"/>
      <w:bookmarkStart w:id="342" w:name="_Toc416264552"/>
      <w:bookmarkStart w:id="343" w:name="_Toc92662708"/>
      <w:bookmarkStart w:id="344" w:name="_Toc93226150"/>
      <w:bookmarkStart w:id="345" w:name="_Toc141703897"/>
      <w:bookmarkStart w:id="346" w:name="_Toc10894"/>
      <w:bookmarkStart w:id="347" w:name="_Toc139991747"/>
      <w:bookmarkStart w:id="348" w:name="_Toc13255"/>
      <w:bookmarkStart w:id="349" w:name="_Toc128310500"/>
      <w:bookmarkStart w:id="350" w:name="_Toc17499"/>
      <w:bookmarkStart w:id="351" w:name="_Toc29695"/>
      <w:bookmarkStart w:id="352" w:name="_Toc21206"/>
      <w:bookmarkStart w:id="353" w:name="_Toc23859"/>
      <w:bookmarkStart w:id="354" w:name="_Toc18007"/>
      <w:bookmarkStart w:id="355" w:name="_Toc352229763"/>
      <w:bookmarkStart w:id="356" w:name="_Toc31736"/>
      <w:bookmarkStart w:id="357" w:name="_Toc28961"/>
      <w:bookmarkStart w:id="358" w:name="_Toc1043"/>
      <w:bookmarkStart w:id="359" w:name="_Toc18747"/>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r>
        <w:rPr>
          <w:rFonts w:hint="eastAsia"/>
          <w:sz w:val="30"/>
          <w:szCs w:val="30"/>
        </w:rPr>
        <w:t>第十七部分</w:t>
      </w:r>
      <w:r>
        <w:rPr>
          <w:sz w:val="30"/>
          <w:szCs w:val="30"/>
        </w:rPr>
        <w:t xml:space="preserve">  </w:t>
      </w:r>
      <w:r>
        <w:rPr>
          <w:rFonts w:hint="eastAsia"/>
          <w:sz w:val="30"/>
          <w:szCs w:val="30"/>
        </w:rPr>
        <w:t>风险揭示</w:t>
      </w:r>
      <w:bookmarkEnd w:id="335"/>
      <w:bookmarkEnd w:id="336"/>
      <w:bookmarkEnd w:id="337"/>
      <w:bookmarkEnd w:id="338"/>
      <w:bookmarkEnd w:id="339"/>
      <w:bookmarkEnd w:id="340"/>
      <w:bookmarkEnd w:id="341"/>
      <w:bookmarkEnd w:id="342"/>
    </w:p>
    <w:p w14:paraId="6F16FB81" w14:textId="77777777" w:rsidR="0069510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14:paraId="5FBB72FB" w14:textId="77777777" w:rsidR="0069510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3536EF69" w14:textId="77777777" w:rsidR="0069510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178B5C06" w14:textId="77777777" w:rsidR="0069510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58561397" w14:textId="77777777" w:rsidR="0069510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793A77A5" w14:textId="77777777" w:rsidR="0069510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530CF571" w14:textId="77777777" w:rsidR="0069510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3330DDAC" w14:textId="77777777" w:rsidR="0069510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74B4DF5B" w14:textId="77777777" w:rsidR="0069510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59E99806" w14:textId="77777777" w:rsidR="0069510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717A02A8" w14:textId="77777777" w:rsidR="0069510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70C4D71F" w14:textId="77777777" w:rsidR="0069510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4A7DB646" w14:textId="77777777" w:rsidR="0069510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1）拟投资市场、行业及资产的流动性风险评估</w:t>
      </w:r>
    </w:p>
    <w:p w14:paraId="53C67891" w14:textId="77777777" w:rsidR="0069510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存托凭证、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000C240D" w14:textId="77777777" w:rsidR="0069510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w:t>
      </w:r>
      <w:r>
        <w:rPr>
          <w:rFonts w:asciiTheme="minorEastAsia" w:hAnsiTheme="minorEastAsia" w:cs="Arial"/>
          <w:bCs/>
          <w:sz w:val="24"/>
          <w:szCs w:val="24"/>
        </w:rPr>
        <w:t xml:space="preserve">2）巨额赎回情形下的流动性风险管理措施 </w:t>
      </w:r>
    </w:p>
    <w:p w14:paraId="6CCFC43D" w14:textId="77777777" w:rsidR="0069510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79A836DE" w14:textId="77777777" w:rsidR="0069510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3）实施备用的流动性风险管理工具的情形、程序及对投资者的潜在影响</w:t>
      </w:r>
    </w:p>
    <w:p w14:paraId="454DE10D" w14:textId="77777777" w:rsidR="0069510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57BF9A0B" w14:textId="77777777" w:rsidR="0069510E" w:rsidRDefault="00000000">
      <w:pPr>
        <w:adjustRightInd w:val="0"/>
        <w:snapToGrid w:val="0"/>
        <w:spacing w:line="360" w:lineRule="auto"/>
        <w:ind w:firstLineChars="200" w:firstLine="480"/>
        <w:rPr>
          <w:rFonts w:ascii="宋体" w:hAnsi="宋体" w:cs="Arial"/>
          <w:kern w:val="0"/>
          <w:sz w:val="24"/>
          <w:szCs w:val="24"/>
        </w:rPr>
      </w:pPr>
      <w:r>
        <w:rPr>
          <w:rFonts w:ascii="宋体" w:hAnsi="宋体" w:cs="Arial" w:hint="eastAsia"/>
          <w:kern w:val="0"/>
          <w:sz w:val="24"/>
          <w:szCs w:val="24"/>
        </w:rPr>
        <w:t>（</w:t>
      </w:r>
      <w:r>
        <w:rPr>
          <w:rFonts w:ascii="宋体" w:hAnsi="宋体" w:cs="Arial"/>
          <w:kern w:val="0"/>
          <w:sz w:val="24"/>
          <w:szCs w:val="24"/>
        </w:rPr>
        <w:t>4）实施</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对投资者的影响</w:t>
      </w:r>
    </w:p>
    <w:p w14:paraId="6C858E88" w14:textId="77777777" w:rsidR="0069510E" w:rsidRDefault="00000000">
      <w:pPr>
        <w:adjustRightInd w:val="0"/>
        <w:snapToGrid w:val="0"/>
        <w:spacing w:line="360" w:lineRule="auto"/>
        <w:ind w:firstLineChars="200" w:firstLine="480"/>
        <w:rPr>
          <w:rFonts w:ascii="宋体" w:hAnsi="宋体" w:cs="Arial"/>
          <w:kern w:val="0"/>
          <w:sz w:val="24"/>
          <w:szCs w:val="24"/>
        </w:rPr>
      </w:pP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是一种流动性风险管理工具，是将特定资产分离</w:t>
      </w:r>
      <w:proofErr w:type="gramStart"/>
      <w:r>
        <w:rPr>
          <w:rFonts w:ascii="宋体" w:hAnsi="宋体" w:cs="Arial" w:hint="eastAsia"/>
          <w:kern w:val="0"/>
          <w:sz w:val="24"/>
          <w:szCs w:val="24"/>
        </w:rPr>
        <w:t>至专门的侧袋</w:t>
      </w:r>
      <w:proofErr w:type="gramEnd"/>
      <w:r>
        <w:rPr>
          <w:rFonts w:ascii="宋体" w:hAnsi="宋体" w:cs="Arial" w:hint="eastAsia"/>
          <w:kern w:val="0"/>
          <w:sz w:val="24"/>
          <w:szCs w:val="24"/>
        </w:rPr>
        <w:t>账户进行处置清算，并以处置变现后的款项向基金份额持有人进行支付，目的在于有效隔离并化解风险，但基金启用</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后，</w:t>
      </w:r>
      <w:proofErr w:type="gramStart"/>
      <w:r>
        <w:rPr>
          <w:rFonts w:ascii="宋体" w:hAnsi="宋体" w:cs="Arial" w:hint="eastAsia"/>
          <w:kern w:val="0"/>
          <w:sz w:val="24"/>
          <w:szCs w:val="24"/>
        </w:rPr>
        <w:t>侧袋账户</w:t>
      </w:r>
      <w:proofErr w:type="gramEnd"/>
      <w:r>
        <w:rPr>
          <w:rFonts w:ascii="宋体" w:hAnsi="宋体" w:cs="Arial" w:hint="eastAsia"/>
          <w:kern w:val="0"/>
          <w:sz w:val="24"/>
          <w:szCs w:val="24"/>
        </w:rPr>
        <w:t>份额将停止披露基金份额净值，并不得办理申购、赎回和转换，</w:t>
      </w:r>
      <w:proofErr w:type="gramStart"/>
      <w:r>
        <w:rPr>
          <w:rFonts w:ascii="宋体" w:hAnsi="宋体" w:cs="Arial" w:hint="eastAsia"/>
          <w:kern w:val="0"/>
          <w:sz w:val="24"/>
          <w:szCs w:val="24"/>
        </w:rPr>
        <w:t>仅主袋</w:t>
      </w:r>
      <w:proofErr w:type="gramEnd"/>
      <w:r>
        <w:rPr>
          <w:rFonts w:ascii="宋体" w:hAnsi="宋体" w:cs="Arial" w:hint="eastAsia"/>
          <w:kern w:val="0"/>
          <w:sz w:val="24"/>
          <w:szCs w:val="24"/>
        </w:rPr>
        <w:t>账户份额按规定开放赎回，因此启用</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时持有基金份额的持有人将在启用</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后同时</w:t>
      </w:r>
      <w:proofErr w:type="gramStart"/>
      <w:r>
        <w:rPr>
          <w:rFonts w:ascii="宋体" w:hAnsi="宋体" w:cs="Arial" w:hint="eastAsia"/>
          <w:kern w:val="0"/>
          <w:sz w:val="24"/>
          <w:szCs w:val="24"/>
        </w:rPr>
        <w:t>拥有主袋账户</w:t>
      </w:r>
      <w:proofErr w:type="gramEnd"/>
      <w:r>
        <w:rPr>
          <w:rFonts w:ascii="宋体" w:hAnsi="宋体" w:cs="Arial" w:hint="eastAsia"/>
          <w:kern w:val="0"/>
          <w:sz w:val="24"/>
          <w:szCs w:val="24"/>
        </w:rPr>
        <w:t>份额和</w:t>
      </w:r>
      <w:proofErr w:type="gramStart"/>
      <w:r>
        <w:rPr>
          <w:rFonts w:ascii="宋体" w:hAnsi="宋体" w:cs="Arial" w:hint="eastAsia"/>
          <w:kern w:val="0"/>
          <w:sz w:val="24"/>
          <w:szCs w:val="24"/>
        </w:rPr>
        <w:t>侧袋</w:t>
      </w:r>
      <w:proofErr w:type="gramEnd"/>
      <w:r>
        <w:rPr>
          <w:rFonts w:ascii="宋体" w:hAnsi="宋体" w:cs="Arial" w:hint="eastAsia"/>
          <w:kern w:val="0"/>
          <w:sz w:val="24"/>
          <w:szCs w:val="24"/>
        </w:rPr>
        <w:t>账户份额，</w:t>
      </w:r>
      <w:proofErr w:type="gramStart"/>
      <w:r>
        <w:rPr>
          <w:rFonts w:ascii="宋体" w:hAnsi="宋体" w:cs="Arial" w:hint="eastAsia"/>
          <w:kern w:val="0"/>
          <w:sz w:val="24"/>
          <w:szCs w:val="24"/>
        </w:rPr>
        <w:t>侧袋账户</w:t>
      </w:r>
      <w:proofErr w:type="gramEnd"/>
      <w:r>
        <w:rPr>
          <w:rFonts w:ascii="宋体" w:hAnsi="宋体" w:cs="Arial" w:hint="eastAsia"/>
          <w:kern w:val="0"/>
          <w:sz w:val="24"/>
          <w:szCs w:val="24"/>
        </w:rPr>
        <w:t>份额不能赎回，其对应特定资产的变现时间具有不确定性，最终变现价格也具有不确定性并且有可能大幅低于启用</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时的特定资产的估值，基金份额持有人可能因此面临损失。</w:t>
      </w:r>
    </w:p>
    <w:p w14:paraId="5AB9DEE2" w14:textId="77777777" w:rsidR="0069510E" w:rsidRDefault="00000000">
      <w:pPr>
        <w:adjustRightInd w:val="0"/>
        <w:snapToGrid w:val="0"/>
        <w:spacing w:line="360" w:lineRule="auto"/>
        <w:ind w:firstLineChars="200" w:firstLine="480"/>
        <w:rPr>
          <w:rFonts w:ascii="宋体" w:hAnsi="宋体" w:cs="Arial"/>
          <w:kern w:val="0"/>
          <w:sz w:val="24"/>
          <w:szCs w:val="24"/>
        </w:rPr>
      </w:pPr>
      <w:r>
        <w:rPr>
          <w:rFonts w:ascii="宋体" w:hAnsi="宋体" w:cs="Arial" w:hint="eastAsia"/>
          <w:kern w:val="0"/>
          <w:sz w:val="24"/>
          <w:szCs w:val="24"/>
        </w:rPr>
        <w:t>实施</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期间，基金管理人计算各项投资运作指标和基金业绩指标时</w:t>
      </w:r>
      <w:proofErr w:type="gramStart"/>
      <w:r>
        <w:rPr>
          <w:rFonts w:ascii="宋体" w:hAnsi="宋体" w:cs="Arial" w:hint="eastAsia"/>
          <w:kern w:val="0"/>
          <w:sz w:val="24"/>
          <w:szCs w:val="24"/>
        </w:rPr>
        <w:t>以主袋账户</w:t>
      </w:r>
      <w:proofErr w:type="gramEnd"/>
      <w:r>
        <w:rPr>
          <w:rFonts w:ascii="宋体" w:hAnsi="宋体" w:cs="Arial" w:hint="eastAsia"/>
          <w:kern w:val="0"/>
          <w:sz w:val="24"/>
          <w:szCs w:val="24"/>
        </w:rPr>
        <w:t>资产为基准，不</w:t>
      </w:r>
      <w:proofErr w:type="gramStart"/>
      <w:r>
        <w:rPr>
          <w:rFonts w:ascii="宋体" w:hAnsi="宋体" w:cs="Arial" w:hint="eastAsia"/>
          <w:kern w:val="0"/>
          <w:sz w:val="24"/>
          <w:szCs w:val="24"/>
        </w:rPr>
        <w:t>反映侧袋账户</w:t>
      </w:r>
      <w:proofErr w:type="gramEnd"/>
      <w:r>
        <w:rPr>
          <w:rFonts w:ascii="宋体" w:hAnsi="宋体" w:cs="Arial" w:hint="eastAsia"/>
          <w:kern w:val="0"/>
          <w:sz w:val="24"/>
          <w:szCs w:val="24"/>
        </w:rPr>
        <w:t>特定资产的真实价值及变化情况。本基金不</w:t>
      </w:r>
      <w:proofErr w:type="gramStart"/>
      <w:r>
        <w:rPr>
          <w:rFonts w:ascii="宋体" w:hAnsi="宋体" w:cs="Arial" w:hint="eastAsia"/>
          <w:kern w:val="0"/>
          <w:sz w:val="24"/>
          <w:szCs w:val="24"/>
        </w:rPr>
        <w:t>披露侧袋账户</w:t>
      </w:r>
      <w:proofErr w:type="gramEnd"/>
      <w:r>
        <w:rPr>
          <w:rFonts w:ascii="宋体" w:hAnsi="宋体" w:cs="Arial" w:hint="eastAsia"/>
          <w:kern w:val="0"/>
          <w:sz w:val="24"/>
          <w:szCs w:val="24"/>
        </w:rPr>
        <w:t>份额的净值，即便基金管理人在基金定期报告中披露报告期末特定资产可变现净值或净值区间的，也不作为特定资产最终变现价格的承诺，对于特定资产的公允价值和最终变现价格，基金管理人不承担任何保证和承诺的责任。</w:t>
      </w:r>
    </w:p>
    <w:p w14:paraId="27A85819" w14:textId="77777777" w:rsidR="0069510E" w:rsidRDefault="00000000">
      <w:pPr>
        <w:adjustRightInd w:val="0"/>
        <w:snapToGrid w:val="0"/>
        <w:spacing w:line="360" w:lineRule="auto"/>
        <w:ind w:firstLineChars="200" w:firstLine="480"/>
        <w:rPr>
          <w:rFonts w:ascii="宋体" w:hAnsi="宋体" w:cs="Arial"/>
          <w:kern w:val="0"/>
          <w:sz w:val="24"/>
          <w:szCs w:val="24"/>
        </w:rPr>
      </w:pPr>
      <w:r>
        <w:rPr>
          <w:rFonts w:ascii="宋体" w:hAnsi="宋体" w:cs="Arial" w:hint="eastAsia"/>
          <w:kern w:val="0"/>
          <w:sz w:val="24"/>
          <w:szCs w:val="24"/>
        </w:rPr>
        <w:t>基金管理人将</w:t>
      </w:r>
      <w:proofErr w:type="gramStart"/>
      <w:r>
        <w:rPr>
          <w:rFonts w:ascii="宋体" w:hAnsi="宋体" w:cs="Arial" w:hint="eastAsia"/>
          <w:kern w:val="0"/>
          <w:sz w:val="24"/>
          <w:szCs w:val="24"/>
        </w:rPr>
        <w:t>根据主袋账户</w:t>
      </w:r>
      <w:proofErr w:type="gramEnd"/>
      <w:r>
        <w:rPr>
          <w:rFonts w:ascii="宋体" w:hAnsi="宋体" w:cs="Arial" w:hint="eastAsia"/>
          <w:kern w:val="0"/>
          <w:sz w:val="24"/>
          <w:szCs w:val="24"/>
        </w:rPr>
        <w:t>运作情况合理确定申购政策，因此实施</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lastRenderedPageBreak/>
        <w:t>后主袋账户份额存在暂停申购的可能。</w:t>
      </w:r>
    </w:p>
    <w:p w14:paraId="00488250" w14:textId="77777777" w:rsidR="0069510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78BBF89F" w14:textId="77777777" w:rsidR="0069510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5E3DE97E" w14:textId="77777777" w:rsidR="0069510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0833670F" w14:textId="77777777" w:rsidR="0069510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37056D96" w14:textId="77777777" w:rsidR="0069510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6649E3BD" w14:textId="77777777" w:rsidR="0069510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3BB2B81B" w14:textId="77777777" w:rsidR="0069510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14:paraId="524DB39B" w14:textId="77777777" w:rsidR="0069510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09F02C4F" w14:textId="77777777" w:rsidR="0069510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w:t>
      </w:r>
      <w:proofErr w:type="gramStart"/>
      <w:r>
        <w:rPr>
          <w:rFonts w:asciiTheme="minorEastAsia" w:hAnsiTheme="minorEastAsia" w:cs="Arial" w:hint="eastAsia"/>
          <w:bCs/>
          <w:sz w:val="24"/>
          <w:szCs w:val="24"/>
        </w:rPr>
        <w:t>品投资</w:t>
      </w:r>
      <w:proofErr w:type="gramEnd"/>
      <w:r>
        <w:rPr>
          <w:rFonts w:asciiTheme="minorEastAsia" w:hAnsiTheme="minorEastAsia" w:cs="Arial" w:hint="eastAsia"/>
          <w:bCs/>
          <w:sz w:val="24"/>
          <w:szCs w:val="24"/>
        </w:rPr>
        <w:t>风险</w:t>
      </w:r>
    </w:p>
    <w:p w14:paraId="5DE094DC" w14:textId="77777777" w:rsidR="0069510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0BBBA4AD" w14:textId="77777777" w:rsidR="0069510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38A931C7" w14:textId="77777777" w:rsidR="0069510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lastRenderedPageBreak/>
        <w:t>3</w:t>
      </w:r>
      <w:r>
        <w:rPr>
          <w:rFonts w:asciiTheme="minorEastAsia" w:hAnsiTheme="minorEastAsia" w:cs="Arial" w:hint="eastAsia"/>
          <w:bCs/>
          <w:sz w:val="24"/>
          <w:szCs w:val="24"/>
        </w:rPr>
        <w:t>、资产支持证券投资风险</w:t>
      </w:r>
    </w:p>
    <w:p w14:paraId="4DE76A39" w14:textId="77777777" w:rsidR="0069510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w:t>
      </w:r>
      <w:r>
        <w:rPr>
          <w:rFonts w:asciiTheme="minorEastAsia" w:hAnsiTheme="minorEastAsia" w:cs="Arial"/>
          <w:bCs/>
          <w:sz w:val="24"/>
          <w:szCs w:val="24"/>
        </w:rPr>
        <w:t>ABS）或资产支持票据（ABN）是一种债券性质的金融工具，其向投资者支付的本息来自于基础资产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41E2D8C2" w14:textId="77777777" w:rsidR="0069510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、股票期权投资风险</w:t>
      </w:r>
    </w:p>
    <w:p w14:paraId="36A27254" w14:textId="77777777" w:rsidR="0069510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本基金可投资于股票期权，投资股票期权主要存在市场风险、流动性风险、保证金风险、信用风险、操作风险等风险，极端情况下会给投资组合带来较大损失。</w:t>
      </w:r>
    </w:p>
    <w:p w14:paraId="1108D0EB" w14:textId="77777777" w:rsidR="0069510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、存托凭证投资风险</w:t>
      </w:r>
    </w:p>
    <w:p w14:paraId="1A437707" w14:textId="77777777" w:rsidR="0069510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Pr>
          <w:rFonts w:asciiTheme="minorEastAsia" w:hAnsiTheme="minorEastAsia" w:cs="Arial" w:hint="eastAsia"/>
          <w:bCs/>
          <w:sz w:val="24"/>
          <w:szCs w:val="24"/>
        </w:rPr>
        <w:t>托协议</w:t>
      </w:r>
      <w:proofErr w:type="gramEnd"/>
      <w:r>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293A0F1A" w14:textId="77777777" w:rsidR="0069510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14:paraId="33621DD4" w14:textId="77777777" w:rsidR="0069510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561F2F7F" w14:textId="77777777" w:rsidR="0069510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056E010B" w14:textId="77777777" w:rsidR="0069510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lastRenderedPageBreak/>
        <w:t>2</w:t>
      </w:r>
      <w:r>
        <w:rPr>
          <w:rFonts w:asciiTheme="minorEastAsia" w:hAnsiTheme="minorEastAsia" w:cs="Arial" w:hint="eastAsia"/>
          <w:bCs/>
          <w:sz w:val="24"/>
          <w:szCs w:val="24"/>
        </w:rPr>
        <w:t>、法律风险</w:t>
      </w:r>
    </w:p>
    <w:p w14:paraId="682AB7AB" w14:textId="77777777" w:rsidR="0069510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49D50F8F" w14:textId="77777777" w:rsidR="0069510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0DC2C522" w14:textId="77777777" w:rsidR="0069510E"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04115736" w14:textId="77777777" w:rsidR="0069510E" w:rsidRDefault="0069510E">
      <w:pPr>
        <w:widowControl/>
        <w:spacing w:line="360" w:lineRule="auto"/>
        <w:jc w:val="left"/>
        <w:rPr>
          <w:rFonts w:asciiTheme="minorEastAsia" w:hAnsiTheme="minorEastAsia" w:cs="Times New Roman"/>
          <w:b/>
          <w:bCs/>
          <w:kern w:val="44"/>
          <w:sz w:val="24"/>
          <w:szCs w:val="24"/>
        </w:rPr>
        <w:sectPr w:rsidR="0069510E">
          <w:headerReference w:type="even" r:id="rId56"/>
          <w:headerReference w:type="default" r:id="rId57"/>
          <w:footerReference w:type="default" r:id="rId58"/>
          <w:headerReference w:type="first" r:id="rId59"/>
          <w:pgSz w:w="11906" w:h="16838"/>
          <w:pgMar w:top="1440" w:right="1800" w:bottom="1440" w:left="1800" w:header="851" w:footer="992" w:gutter="0"/>
          <w:pgNumType w:chapStyle="1"/>
          <w:cols w:space="720"/>
          <w:docGrid w:type="lines" w:linePitch="312"/>
        </w:sectPr>
      </w:pPr>
    </w:p>
    <w:p w14:paraId="284B6C64" w14:textId="77777777" w:rsidR="0069510E" w:rsidRDefault="00000000">
      <w:pPr>
        <w:pStyle w:val="1"/>
        <w:ind w:firstLine="600"/>
        <w:jc w:val="center"/>
      </w:pPr>
      <w:bookmarkStart w:id="360" w:name="_Toc136963818"/>
      <w:bookmarkStart w:id="361" w:name="_Toc68266305"/>
      <w:r>
        <w:rPr>
          <w:rFonts w:hint="eastAsia"/>
          <w:sz w:val="30"/>
          <w:szCs w:val="30"/>
        </w:rPr>
        <w:lastRenderedPageBreak/>
        <w:t>第十八部分</w:t>
      </w:r>
      <w:r>
        <w:rPr>
          <w:sz w:val="30"/>
          <w:szCs w:val="30"/>
        </w:rPr>
        <w:t xml:space="preserve">  </w:t>
      </w:r>
      <w:bookmarkEnd w:id="343"/>
      <w:bookmarkEnd w:id="344"/>
      <w:r>
        <w:rPr>
          <w:rFonts w:hint="eastAsia"/>
          <w:sz w:val="30"/>
          <w:szCs w:val="30"/>
        </w:rPr>
        <w:t>基金合同的变更、终止与基金财产的清算</w:t>
      </w:r>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p>
    <w:p w14:paraId="7089ED86" w14:textId="77777777" w:rsidR="0069510E" w:rsidRDefault="00000000">
      <w:pPr>
        <w:autoSpaceDE w:val="0"/>
        <w:autoSpaceDN w:val="0"/>
        <w:spacing w:line="360" w:lineRule="auto"/>
        <w:ind w:firstLineChars="200" w:firstLine="480"/>
        <w:textAlignment w:val="bottom"/>
        <w:rPr>
          <w:bCs/>
          <w:sz w:val="24"/>
        </w:rPr>
      </w:pPr>
      <w:bookmarkStart w:id="362" w:name="_Toc79392639"/>
      <w:bookmarkStart w:id="363" w:name="_Toc3056"/>
      <w:bookmarkStart w:id="364" w:name="_Toc193"/>
      <w:bookmarkStart w:id="365" w:name="_Toc11049"/>
      <w:bookmarkStart w:id="366" w:name="_Toc352229764"/>
      <w:bookmarkStart w:id="367" w:name="_Toc128310501"/>
      <w:bookmarkStart w:id="368" w:name="_Toc21351"/>
      <w:bookmarkStart w:id="369" w:name="_Toc29289"/>
      <w:bookmarkStart w:id="370" w:name="_Toc12028"/>
      <w:bookmarkStart w:id="371" w:name="_Toc92662709"/>
      <w:bookmarkStart w:id="372" w:name="_Toc11802"/>
      <w:bookmarkStart w:id="373" w:name="_Toc139991748"/>
      <w:bookmarkStart w:id="374" w:name="_Toc93226151"/>
      <w:bookmarkStart w:id="375" w:name="_Toc141703898"/>
      <w:bookmarkStart w:id="376" w:name="_Toc1421"/>
      <w:bookmarkStart w:id="377" w:name="_Toc1173"/>
      <w:bookmarkStart w:id="378" w:name="_Toc31866"/>
      <w:bookmarkStart w:id="379" w:name="_Toc8512"/>
      <w:r>
        <w:rPr>
          <w:rFonts w:hint="eastAsia"/>
          <w:bCs/>
          <w:sz w:val="24"/>
        </w:rPr>
        <w:t>一、《基金合同》的变更</w:t>
      </w:r>
      <w:bookmarkEnd w:id="362"/>
    </w:p>
    <w:p w14:paraId="766A2C88" w14:textId="77777777" w:rsidR="0069510E" w:rsidRDefault="00000000">
      <w:pPr>
        <w:autoSpaceDE w:val="0"/>
        <w:autoSpaceDN w:val="0"/>
        <w:spacing w:line="360" w:lineRule="auto"/>
        <w:ind w:firstLineChars="200" w:firstLine="480"/>
        <w:textAlignment w:val="bottom"/>
        <w:rPr>
          <w:bCs/>
          <w:sz w:val="24"/>
        </w:rPr>
      </w:pPr>
      <w:r>
        <w:rPr>
          <w:bCs/>
          <w:sz w:val="24"/>
        </w:rPr>
        <w:t>1</w:t>
      </w:r>
      <w:r>
        <w:rPr>
          <w:rFonts w:hint="eastAsia"/>
          <w:bCs/>
          <w:sz w:val="24"/>
        </w:rPr>
        <w:t>、变更基金合同涉及法律法规规定或基金合同约定应经基金份额持有人大会决议通过的事项的，应召</w:t>
      </w:r>
      <w:proofErr w:type="gramStart"/>
      <w:r>
        <w:rPr>
          <w:rFonts w:hint="eastAsia"/>
          <w:bCs/>
          <w:sz w:val="24"/>
        </w:rPr>
        <w:t>开基金</w:t>
      </w:r>
      <w:proofErr w:type="gramEnd"/>
      <w:r>
        <w:rPr>
          <w:rFonts w:hint="eastAsia"/>
          <w:bCs/>
          <w:sz w:val="24"/>
        </w:rPr>
        <w:t>份额持有人大会决议通过。对于法律法规规定和基金合同约定可不经基金份额持有人大会决议通过的事项，由基金管理人和基金托管人同意后变更并公告，并报中国证监会备案。</w:t>
      </w:r>
    </w:p>
    <w:p w14:paraId="623B4B2D" w14:textId="77777777" w:rsidR="0069510E" w:rsidRDefault="00000000">
      <w:pPr>
        <w:autoSpaceDE w:val="0"/>
        <w:autoSpaceDN w:val="0"/>
        <w:spacing w:line="360" w:lineRule="auto"/>
        <w:ind w:firstLineChars="200" w:firstLine="480"/>
        <w:textAlignment w:val="bottom"/>
        <w:rPr>
          <w:bCs/>
          <w:sz w:val="24"/>
        </w:rPr>
      </w:pPr>
      <w:r>
        <w:rPr>
          <w:bCs/>
          <w:sz w:val="24"/>
        </w:rPr>
        <w:t xml:space="preserve"> 2</w:t>
      </w:r>
      <w:r>
        <w:rPr>
          <w:rFonts w:hint="eastAsia"/>
          <w:bCs/>
          <w:sz w:val="24"/>
        </w:rPr>
        <w:t>、关于《基金合同》变更的基金份额持有人大会决议自表决通过之日起生效，并</w:t>
      </w:r>
      <w:proofErr w:type="gramStart"/>
      <w:r>
        <w:rPr>
          <w:rFonts w:hint="eastAsia"/>
          <w:bCs/>
          <w:sz w:val="24"/>
        </w:rPr>
        <w:t>自决议</w:t>
      </w:r>
      <w:proofErr w:type="gramEnd"/>
      <w:r>
        <w:rPr>
          <w:rFonts w:hint="eastAsia"/>
          <w:bCs/>
          <w:sz w:val="24"/>
        </w:rPr>
        <w:t>生效后依照《信息披露办法》的有关规定在规定媒介公告。</w:t>
      </w:r>
    </w:p>
    <w:p w14:paraId="17BFDB3C" w14:textId="77777777" w:rsidR="0069510E" w:rsidRDefault="00000000">
      <w:pPr>
        <w:autoSpaceDE w:val="0"/>
        <w:autoSpaceDN w:val="0"/>
        <w:spacing w:line="360" w:lineRule="auto"/>
        <w:ind w:firstLineChars="200" w:firstLine="480"/>
        <w:textAlignment w:val="bottom"/>
        <w:rPr>
          <w:bCs/>
          <w:sz w:val="24"/>
        </w:rPr>
      </w:pPr>
      <w:r>
        <w:rPr>
          <w:rFonts w:hint="eastAsia"/>
          <w:bCs/>
          <w:sz w:val="24"/>
        </w:rPr>
        <w:t>二、《基金合同》的终止事由</w:t>
      </w:r>
    </w:p>
    <w:p w14:paraId="364A5720" w14:textId="77777777" w:rsidR="0069510E" w:rsidRDefault="00000000">
      <w:pPr>
        <w:autoSpaceDE w:val="0"/>
        <w:autoSpaceDN w:val="0"/>
        <w:spacing w:line="360" w:lineRule="auto"/>
        <w:ind w:firstLineChars="200" w:firstLine="480"/>
        <w:textAlignment w:val="bottom"/>
        <w:rPr>
          <w:bCs/>
          <w:sz w:val="24"/>
        </w:rPr>
      </w:pPr>
      <w:r>
        <w:rPr>
          <w:rFonts w:hint="eastAsia"/>
          <w:bCs/>
          <w:sz w:val="24"/>
        </w:rPr>
        <w:t>有下列情形之一的，经履行相关程序后，《基金合同》应当终止：</w:t>
      </w:r>
    </w:p>
    <w:p w14:paraId="5CFD47A8" w14:textId="77777777" w:rsidR="0069510E" w:rsidRDefault="00000000">
      <w:pPr>
        <w:autoSpaceDE w:val="0"/>
        <w:autoSpaceDN w:val="0"/>
        <w:spacing w:line="360" w:lineRule="auto"/>
        <w:ind w:firstLineChars="200" w:firstLine="480"/>
        <w:textAlignment w:val="bottom"/>
        <w:rPr>
          <w:bCs/>
          <w:sz w:val="24"/>
        </w:rPr>
      </w:pPr>
      <w:r>
        <w:rPr>
          <w:bCs/>
          <w:sz w:val="24"/>
        </w:rPr>
        <w:t>1</w:t>
      </w:r>
      <w:r>
        <w:rPr>
          <w:rFonts w:hint="eastAsia"/>
          <w:bCs/>
          <w:sz w:val="24"/>
        </w:rPr>
        <w:t>、基金份额持有人大会决定终止的；</w:t>
      </w:r>
    </w:p>
    <w:p w14:paraId="7BB2DA7C" w14:textId="77777777" w:rsidR="0069510E" w:rsidRDefault="00000000">
      <w:pPr>
        <w:autoSpaceDE w:val="0"/>
        <w:autoSpaceDN w:val="0"/>
        <w:spacing w:line="360" w:lineRule="auto"/>
        <w:ind w:firstLineChars="200" w:firstLine="480"/>
        <w:textAlignment w:val="bottom"/>
        <w:rPr>
          <w:bCs/>
          <w:sz w:val="24"/>
        </w:rPr>
      </w:pPr>
      <w:r>
        <w:rPr>
          <w:bCs/>
          <w:sz w:val="24"/>
        </w:rPr>
        <w:t>2</w:t>
      </w:r>
      <w:r>
        <w:rPr>
          <w:rFonts w:hint="eastAsia"/>
          <w:bCs/>
          <w:sz w:val="24"/>
        </w:rPr>
        <w:t>、基金管理人、基金托管人职责终止，在</w:t>
      </w:r>
      <w:r>
        <w:rPr>
          <w:bCs/>
          <w:sz w:val="24"/>
        </w:rPr>
        <w:t>6</w:t>
      </w:r>
      <w:r>
        <w:rPr>
          <w:rFonts w:hint="eastAsia"/>
          <w:bCs/>
          <w:sz w:val="24"/>
        </w:rPr>
        <w:t>个月内没有新基金管理人、新基金托管人承接的；</w:t>
      </w:r>
    </w:p>
    <w:p w14:paraId="1774BAD0" w14:textId="77777777" w:rsidR="0069510E" w:rsidRDefault="00000000">
      <w:pPr>
        <w:autoSpaceDE w:val="0"/>
        <w:autoSpaceDN w:val="0"/>
        <w:spacing w:line="360" w:lineRule="auto"/>
        <w:ind w:firstLineChars="200" w:firstLine="480"/>
        <w:textAlignment w:val="bottom"/>
        <w:rPr>
          <w:bCs/>
          <w:sz w:val="24"/>
        </w:rPr>
      </w:pPr>
      <w:r>
        <w:rPr>
          <w:bCs/>
          <w:sz w:val="24"/>
        </w:rPr>
        <w:t>3</w:t>
      </w:r>
      <w:r>
        <w:rPr>
          <w:rFonts w:hint="eastAsia"/>
          <w:bCs/>
          <w:sz w:val="24"/>
        </w:rPr>
        <w:t>、《基金合同》约定的其他情形；</w:t>
      </w:r>
    </w:p>
    <w:p w14:paraId="742F8976" w14:textId="77777777" w:rsidR="0069510E" w:rsidRDefault="00000000">
      <w:pPr>
        <w:autoSpaceDE w:val="0"/>
        <w:autoSpaceDN w:val="0"/>
        <w:spacing w:line="360" w:lineRule="auto"/>
        <w:ind w:firstLineChars="200" w:firstLine="480"/>
        <w:textAlignment w:val="bottom"/>
        <w:rPr>
          <w:bCs/>
          <w:sz w:val="24"/>
        </w:rPr>
      </w:pPr>
      <w:r>
        <w:rPr>
          <w:bCs/>
          <w:sz w:val="24"/>
        </w:rPr>
        <w:t>4</w:t>
      </w:r>
      <w:r>
        <w:rPr>
          <w:rFonts w:hint="eastAsia"/>
          <w:bCs/>
          <w:sz w:val="24"/>
        </w:rPr>
        <w:t>、相关法律法规和中国证监会规定的其他情况。</w:t>
      </w:r>
    </w:p>
    <w:p w14:paraId="5EB97425" w14:textId="77777777" w:rsidR="0069510E" w:rsidRDefault="00000000">
      <w:pPr>
        <w:autoSpaceDE w:val="0"/>
        <w:autoSpaceDN w:val="0"/>
        <w:spacing w:line="360" w:lineRule="auto"/>
        <w:ind w:firstLineChars="200" w:firstLine="480"/>
        <w:textAlignment w:val="bottom"/>
        <w:rPr>
          <w:bCs/>
          <w:sz w:val="24"/>
        </w:rPr>
      </w:pPr>
      <w:r>
        <w:rPr>
          <w:rFonts w:hint="eastAsia"/>
          <w:bCs/>
          <w:sz w:val="24"/>
        </w:rPr>
        <w:t>三、基金财产的清算</w:t>
      </w:r>
    </w:p>
    <w:p w14:paraId="0BA98816" w14:textId="77777777" w:rsidR="0069510E" w:rsidRDefault="00000000">
      <w:pPr>
        <w:autoSpaceDE w:val="0"/>
        <w:autoSpaceDN w:val="0"/>
        <w:spacing w:line="360" w:lineRule="auto"/>
        <w:ind w:firstLineChars="200" w:firstLine="480"/>
        <w:textAlignment w:val="bottom"/>
        <w:rPr>
          <w:bCs/>
          <w:sz w:val="24"/>
        </w:rPr>
      </w:pPr>
      <w:r>
        <w:rPr>
          <w:bCs/>
          <w:sz w:val="24"/>
        </w:rPr>
        <w:t>1</w:t>
      </w:r>
      <w:r>
        <w:rPr>
          <w:rFonts w:hint="eastAsia"/>
          <w:bCs/>
          <w:sz w:val="24"/>
        </w:rPr>
        <w:t>、基金财产清算小组：自出现《基金合同》终止事由之日起</w:t>
      </w:r>
      <w:r>
        <w:rPr>
          <w:bCs/>
          <w:sz w:val="24"/>
        </w:rPr>
        <w:t>30</w:t>
      </w:r>
      <w:r>
        <w:rPr>
          <w:rFonts w:hint="eastAsia"/>
          <w:bCs/>
          <w:sz w:val="24"/>
        </w:rPr>
        <w:t>个工作日内成立清算小组，基金管理人或临时基金管理人组织基金财产清算小组并在中国证监会的监督下进行基金清算。</w:t>
      </w:r>
    </w:p>
    <w:p w14:paraId="01D662E7" w14:textId="77777777" w:rsidR="0069510E" w:rsidRDefault="00000000">
      <w:pPr>
        <w:autoSpaceDE w:val="0"/>
        <w:autoSpaceDN w:val="0"/>
        <w:spacing w:line="360" w:lineRule="auto"/>
        <w:ind w:firstLineChars="200" w:firstLine="480"/>
        <w:textAlignment w:val="bottom"/>
        <w:rPr>
          <w:bCs/>
          <w:sz w:val="24"/>
        </w:rPr>
      </w:pPr>
      <w:r>
        <w:rPr>
          <w:bCs/>
          <w:sz w:val="24"/>
        </w:rPr>
        <w:t>2</w:t>
      </w:r>
      <w:r>
        <w:rPr>
          <w:rFonts w:hint="eastAsia"/>
          <w:bCs/>
          <w:sz w:val="24"/>
        </w:rPr>
        <w:t>、基金财产清算小组组成：基金财产清算小组成员由基金管理人或临时基金管理人、基金托管人、符合《中华人民共和国证券法》规定的注册会计师、律师以及中国证监会指定的人员组成。基金财产清算小组可以聘用必要的工作人员。</w:t>
      </w:r>
    </w:p>
    <w:p w14:paraId="189CE028" w14:textId="77777777" w:rsidR="0069510E" w:rsidRDefault="00000000">
      <w:pPr>
        <w:autoSpaceDE w:val="0"/>
        <w:autoSpaceDN w:val="0"/>
        <w:spacing w:line="360" w:lineRule="auto"/>
        <w:ind w:firstLineChars="200" w:firstLine="480"/>
        <w:textAlignment w:val="bottom"/>
        <w:rPr>
          <w:bCs/>
          <w:sz w:val="24"/>
        </w:rPr>
      </w:pPr>
      <w:r>
        <w:rPr>
          <w:bCs/>
          <w:sz w:val="24"/>
        </w:rPr>
        <w:t>3</w:t>
      </w:r>
      <w:r>
        <w:rPr>
          <w:rFonts w:hint="eastAsia"/>
          <w:bCs/>
          <w:sz w:val="24"/>
        </w:rPr>
        <w:t>、基金财产清算小组职责：基金财产清算小组负责基金财产的保管、清理、估价、变现和分配。基金财产清算小组可以依法进行必要的民事活动。</w:t>
      </w:r>
    </w:p>
    <w:p w14:paraId="555026C3" w14:textId="77777777" w:rsidR="0069510E" w:rsidRDefault="00000000">
      <w:pPr>
        <w:autoSpaceDE w:val="0"/>
        <w:autoSpaceDN w:val="0"/>
        <w:spacing w:line="360" w:lineRule="auto"/>
        <w:ind w:firstLineChars="200" w:firstLine="480"/>
        <w:textAlignment w:val="bottom"/>
        <w:rPr>
          <w:bCs/>
          <w:sz w:val="24"/>
        </w:rPr>
      </w:pPr>
      <w:r>
        <w:rPr>
          <w:bCs/>
          <w:sz w:val="24"/>
        </w:rPr>
        <w:t>4</w:t>
      </w:r>
      <w:r>
        <w:rPr>
          <w:rFonts w:hint="eastAsia"/>
          <w:bCs/>
          <w:sz w:val="24"/>
        </w:rPr>
        <w:t>、基金财产清算程序：</w:t>
      </w:r>
    </w:p>
    <w:p w14:paraId="7EEBFB93" w14:textId="77777777" w:rsidR="0069510E"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）《基金合同》终止情形出现时，由基金财产清算小组统一接管基金；</w:t>
      </w:r>
    </w:p>
    <w:p w14:paraId="3E1F3675" w14:textId="77777777" w:rsidR="0069510E"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）对基金财产和债权债务进行清理和确认；</w:t>
      </w:r>
    </w:p>
    <w:p w14:paraId="4E78EA50" w14:textId="77777777" w:rsidR="0069510E"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）对基金财产进行估值和变现；</w:t>
      </w:r>
    </w:p>
    <w:p w14:paraId="0FC1E7AA" w14:textId="77777777" w:rsidR="0069510E"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）制作清算报告；</w:t>
      </w:r>
    </w:p>
    <w:p w14:paraId="1CE12E1D" w14:textId="77777777" w:rsidR="0069510E" w:rsidRDefault="00000000">
      <w:pPr>
        <w:autoSpaceDE w:val="0"/>
        <w:autoSpaceDN w:val="0"/>
        <w:spacing w:line="360" w:lineRule="auto"/>
        <w:ind w:firstLineChars="200" w:firstLine="480"/>
        <w:textAlignment w:val="bottom"/>
        <w:rPr>
          <w:bCs/>
          <w:sz w:val="24"/>
        </w:rPr>
      </w:pPr>
      <w:r>
        <w:rPr>
          <w:rFonts w:hint="eastAsia"/>
          <w:bCs/>
          <w:sz w:val="24"/>
        </w:rPr>
        <w:lastRenderedPageBreak/>
        <w:t>（</w:t>
      </w:r>
      <w:r>
        <w:rPr>
          <w:bCs/>
          <w:sz w:val="24"/>
        </w:rPr>
        <w:t>5</w:t>
      </w:r>
      <w:r>
        <w:rPr>
          <w:rFonts w:hint="eastAsia"/>
          <w:bCs/>
          <w:sz w:val="24"/>
        </w:rPr>
        <w:t>）聘请符合《中华人民共和国证券法》规定的会计师事务所对清算报告进行外部审计，聘请律师事务所对清算报告出具法律意见书；</w:t>
      </w:r>
    </w:p>
    <w:p w14:paraId="05B2E1B6" w14:textId="77777777" w:rsidR="0069510E"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6</w:t>
      </w:r>
      <w:r>
        <w:rPr>
          <w:rFonts w:hint="eastAsia"/>
          <w:bCs/>
          <w:sz w:val="24"/>
        </w:rPr>
        <w:t>）将清算报告报中国证监会备案并公告；</w:t>
      </w:r>
    </w:p>
    <w:p w14:paraId="3A89A80F" w14:textId="77777777" w:rsidR="0069510E" w:rsidRDefault="00000000">
      <w:pPr>
        <w:autoSpaceDE w:val="0"/>
        <w:autoSpaceDN w:val="0"/>
        <w:spacing w:line="360" w:lineRule="auto"/>
        <w:ind w:firstLineChars="200" w:firstLine="480"/>
        <w:textAlignment w:val="bottom"/>
        <w:rPr>
          <w:bCs/>
          <w:sz w:val="24"/>
        </w:rPr>
      </w:pPr>
      <w:r>
        <w:rPr>
          <w:rFonts w:hint="eastAsia"/>
          <w:bCs/>
          <w:sz w:val="24"/>
        </w:rPr>
        <w:t>（</w:t>
      </w:r>
      <w:r>
        <w:rPr>
          <w:bCs/>
          <w:sz w:val="24"/>
        </w:rPr>
        <w:t>7</w:t>
      </w:r>
      <w:r>
        <w:rPr>
          <w:rFonts w:hint="eastAsia"/>
          <w:bCs/>
          <w:sz w:val="24"/>
        </w:rPr>
        <w:t>）对基金剩余财产进行分配。</w:t>
      </w:r>
    </w:p>
    <w:p w14:paraId="4E010FFB" w14:textId="77777777" w:rsidR="0069510E" w:rsidRDefault="00000000">
      <w:pPr>
        <w:spacing w:line="360" w:lineRule="auto"/>
        <w:ind w:firstLineChars="200" w:firstLine="480"/>
        <w:rPr>
          <w:bCs/>
          <w:sz w:val="24"/>
        </w:rPr>
      </w:pPr>
      <w:r>
        <w:rPr>
          <w:bCs/>
          <w:sz w:val="24"/>
        </w:rPr>
        <w:t>5</w:t>
      </w:r>
      <w:r>
        <w:rPr>
          <w:rFonts w:hint="eastAsia"/>
          <w:bCs/>
          <w:sz w:val="24"/>
        </w:rPr>
        <w:t>、基金财产清算的期限为</w:t>
      </w:r>
      <w:r>
        <w:rPr>
          <w:bCs/>
          <w:sz w:val="24"/>
        </w:rPr>
        <w:t>6</w:t>
      </w:r>
      <w:r>
        <w:rPr>
          <w:rFonts w:hint="eastAsia"/>
          <w:bCs/>
          <w:sz w:val="24"/>
        </w:rPr>
        <w:t>个月，但因本基金所持证券的流动性受到限制而不能及时变现的，清算期限可相应顺延。</w:t>
      </w:r>
    </w:p>
    <w:p w14:paraId="19CEE36E"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四、清算费用</w:t>
      </w:r>
    </w:p>
    <w:p w14:paraId="30F7C53C" w14:textId="77777777" w:rsidR="0069510E" w:rsidRDefault="00000000">
      <w:pPr>
        <w:autoSpaceDE w:val="0"/>
        <w:autoSpaceDN w:val="0"/>
        <w:spacing w:line="360" w:lineRule="auto"/>
        <w:ind w:firstLineChars="200" w:firstLine="480"/>
        <w:textAlignment w:val="bottom"/>
        <w:rPr>
          <w:bCs/>
          <w:sz w:val="24"/>
        </w:rPr>
      </w:pPr>
      <w:r>
        <w:rPr>
          <w:rFonts w:hint="eastAsia"/>
          <w:bCs/>
          <w:sz w:val="24"/>
        </w:rPr>
        <w:t>清算费用是指基金财产清算小组在进行基金清算过程中发生的所有合理费用，清算费用由基金财产清算小组优先从基金财产中支付。</w:t>
      </w:r>
    </w:p>
    <w:p w14:paraId="2C565335" w14:textId="77777777" w:rsidR="0069510E" w:rsidRDefault="00000000">
      <w:pPr>
        <w:autoSpaceDE w:val="0"/>
        <w:autoSpaceDN w:val="0"/>
        <w:spacing w:line="360" w:lineRule="auto"/>
        <w:ind w:firstLineChars="200" w:firstLine="480"/>
        <w:textAlignment w:val="bottom"/>
        <w:rPr>
          <w:bCs/>
          <w:sz w:val="24"/>
        </w:rPr>
      </w:pPr>
      <w:r>
        <w:rPr>
          <w:rFonts w:hint="eastAsia"/>
          <w:bCs/>
          <w:sz w:val="24"/>
        </w:rPr>
        <w:t>五、基金财产清算剩余资产的分配</w:t>
      </w:r>
    </w:p>
    <w:p w14:paraId="06C2EBE1" w14:textId="77777777" w:rsidR="0069510E" w:rsidRDefault="00000000">
      <w:pPr>
        <w:autoSpaceDE w:val="0"/>
        <w:autoSpaceDN w:val="0"/>
        <w:spacing w:line="360" w:lineRule="auto"/>
        <w:ind w:firstLineChars="200" w:firstLine="480"/>
        <w:textAlignment w:val="bottom"/>
        <w:rPr>
          <w:bCs/>
          <w:sz w:val="24"/>
        </w:rPr>
      </w:pPr>
      <w:r>
        <w:rPr>
          <w:rFonts w:hint="eastAsia"/>
          <w:bCs/>
          <w:sz w:val="24"/>
        </w:rPr>
        <w:t>依据基金财产清算的分配方案，将基金财产清算后的全部剩余资产扣除基金财产清算费用、交纳所欠税款并清偿基金债务后，按基金份额持有人持有的基金份额比例进行分配。</w:t>
      </w:r>
    </w:p>
    <w:p w14:paraId="7EDFBF1F" w14:textId="77777777" w:rsidR="0069510E" w:rsidRDefault="00000000">
      <w:pPr>
        <w:autoSpaceDE w:val="0"/>
        <w:autoSpaceDN w:val="0"/>
        <w:spacing w:line="360" w:lineRule="auto"/>
        <w:ind w:firstLineChars="200" w:firstLine="480"/>
        <w:textAlignment w:val="bottom"/>
        <w:rPr>
          <w:bCs/>
          <w:sz w:val="24"/>
        </w:rPr>
      </w:pPr>
      <w:r>
        <w:rPr>
          <w:rFonts w:hint="eastAsia"/>
          <w:bCs/>
          <w:sz w:val="24"/>
        </w:rPr>
        <w:t>六、基金财产清算的公告</w:t>
      </w:r>
    </w:p>
    <w:p w14:paraId="68B404CA" w14:textId="77777777" w:rsidR="0069510E" w:rsidRDefault="00000000">
      <w:pPr>
        <w:spacing w:line="360" w:lineRule="auto"/>
        <w:ind w:firstLineChars="200" w:firstLine="480"/>
        <w:rPr>
          <w:bCs/>
          <w:sz w:val="24"/>
        </w:rPr>
      </w:pPr>
      <w:r>
        <w:rPr>
          <w:rFonts w:hint="eastAsia"/>
          <w:bCs/>
          <w:sz w:val="24"/>
        </w:rPr>
        <w:t>清算过程中的有关重大事项须及时公告；基金财产清算报告</w:t>
      </w:r>
      <w:proofErr w:type="gramStart"/>
      <w:r>
        <w:rPr>
          <w:rFonts w:hint="eastAsia"/>
          <w:bCs/>
          <w:sz w:val="24"/>
        </w:rPr>
        <w:t>经符合</w:t>
      </w:r>
      <w:proofErr w:type="gramEnd"/>
      <w:r>
        <w:rPr>
          <w:rFonts w:hint="eastAsia"/>
          <w:bCs/>
          <w:sz w:val="24"/>
        </w:rPr>
        <w:t>《中华人民共和国证券法》规定的会计师事务所审计并由律师事务所出具法律意见书后报中国证监会备案并公告。基金财产清算公告于基金财产清算报告报中国证监会备案后</w:t>
      </w:r>
      <w:r>
        <w:rPr>
          <w:bCs/>
          <w:sz w:val="24"/>
        </w:rPr>
        <w:t>5</w:t>
      </w:r>
      <w:r>
        <w:rPr>
          <w:rFonts w:hint="eastAsia"/>
          <w:bCs/>
          <w:sz w:val="24"/>
        </w:rPr>
        <w:t>个工作日内由基金财产清算小组进行公告，基金财产清算小组应当将清算报告登载在规定网站上，并将清算报告提示性公告登载在规定报刊上。</w:t>
      </w:r>
    </w:p>
    <w:p w14:paraId="5D28B563" w14:textId="77777777" w:rsidR="0069510E" w:rsidRDefault="00000000">
      <w:pPr>
        <w:autoSpaceDE w:val="0"/>
        <w:autoSpaceDN w:val="0"/>
        <w:spacing w:line="360" w:lineRule="auto"/>
        <w:ind w:firstLineChars="200" w:firstLine="480"/>
        <w:textAlignment w:val="bottom"/>
        <w:rPr>
          <w:bCs/>
          <w:sz w:val="24"/>
        </w:rPr>
      </w:pPr>
      <w:r>
        <w:rPr>
          <w:rFonts w:hint="eastAsia"/>
          <w:bCs/>
          <w:sz w:val="24"/>
        </w:rPr>
        <w:t>七、基金财产清算账册及文件的保存</w:t>
      </w:r>
    </w:p>
    <w:p w14:paraId="7DC38867" w14:textId="77777777" w:rsidR="0069510E" w:rsidRDefault="00000000">
      <w:pPr>
        <w:adjustRightInd w:val="0"/>
        <w:snapToGrid w:val="0"/>
        <w:spacing w:line="360" w:lineRule="auto"/>
        <w:ind w:firstLineChars="200" w:firstLine="480"/>
        <w:rPr>
          <w:rFonts w:asciiTheme="minorEastAsia" w:hAnsiTheme="minorEastAsia" w:cs="Times New Roman"/>
          <w:sz w:val="24"/>
          <w:szCs w:val="24"/>
        </w:rPr>
      </w:pPr>
      <w:r>
        <w:rPr>
          <w:rFonts w:hint="eastAsia"/>
          <w:bCs/>
          <w:sz w:val="24"/>
        </w:rPr>
        <w:t>基金财产清算账册及有关文件由基金托管人保存，保存期限不低于法律法规规定的最低期限。</w:t>
      </w:r>
      <w:r>
        <w:rPr>
          <w:rFonts w:asciiTheme="minorEastAsia" w:hAnsiTheme="minorEastAsia" w:cs="Times New Roman"/>
          <w:sz w:val="24"/>
          <w:szCs w:val="24"/>
        </w:rPr>
        <w:br w:type="page"/>
      </w:r>
    </w:p>
    <w:p w14:paraId="5154D7C5" w14:textId="77777777" w:rsidR="0069510E" w:rsidRDefault="0069510E">
      <w:pPr>
        <w:adjustRightInd w:val="0"/>
        <w:snapToGrid w:val="0"/>
        <w:spacing w:line="360" w:lineRule="auto"/>
        <w:ind w:firstLineChars="200" w:firstLine="480"/>
        <w:rPr>
          <w:rFonts w:asciiTheme="minorEastAsia" w:hAnsiTheme="minorEastAsia" w:cs="Times New Roman"/>
          <w:sz w:val="24"/>
          <w:szCs w:val="24"/>
        </w:rPr>
      </w:pPr>
    </w:p>
    <w:p w14:paraId="3EE68040" w14:textId="77777777" w:rsidR="0069510E" w:rsidRDefault="00000000">
      <w:pPr>
        <w:pStyle w:val="1"/>
        <w:jc w:val="center"/>
        <w:rPr>
          <w:sz w:val="30"/>
          <w:szCs w:val="30"/>
        </w:rPr>
      </w:pPr>
      <w:bookmarkStart w:id="380" w:name="_Toc416264553"/>
      <w:bookmarkStart w:id="381" w:name="_Toc263092326"/>
      <w:bookmarkStart w:id="382" w:name="_Toc136963819"/>
      <w:bookmarkStart w:id="383" w:name="_Toc214873607"/>
      <w:bookmarkStart w:id="384" w:name="_Toc123051465"/>
      <w:bookmarkStart w:id="385" w:name="_Toc7170"/>
      <w:bookmarkStart w:id="386" w:name="_Toc123102466"/>
      <w:bookmarkStart w:id="387" w:name="_Toc139991749"/>
      <w:bookmarkStart w:id="388" w:name="_Toc25647"/>
      <w:bookmarkStart w:id="389" w:name="_Toc6237"/>
      <w:bookmarkStart w:id="390" w:name="_Toc22978"/>
      <w:bookmarkStart w:id="391" w:name="_Toc8059"/>
      <w:bookmarkStart w:id="392" w:name="_Toc29891"/>
      <w:bookmarkStart w:id="393" w:name="_Toc98560364"/>
      <w:bookmarkStart w:id="394" w:name="_Toc8049"/>
      <w:bookmarkStart w:id="395" w:name="_Toc11113"/>
      <w:bookmarkStart w:id="396" w:name="_Toc352229765"/>
      <w:bookmarkStart w:id="397" w:name="_Toc123112247"/>
      <w:bookmarkStart w:id="398" w:name="_Toc27464"/>
      <w:bookmarkStart w:id="399" w:name="_Toc9005"/>
      <w:bookmarkStart w:id="400" w:name="_Toc141703899"/>
      <w:bookmarkStart w:id="401" w:name="_Toc10006"/>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r>
        <w:rPr>
          <w:rFonts w:hint="eastAsia"/>
          <w:sz w:val="30"/>
          <w:szCs w:val="30"/>
        </w:rPr>
        <w:t>第十九部分</w:t>
      </w:r>
      <w:r>
        <w:rPr>
          <w:sz w:val="30"/>
          <w:szCs w:val="30"/>
        </w:rPr>
        <w:t xml:space="preserve">  </w:t>
      </w:r>
      <w:r>
        <w:rPr>
          <w:rFonts w:hint="eastAsia"/>
          <w:sz w:val="30"/>
          <w:szCs w:val="30"/>
        </w:rPr>
        <w:t>基金合同的内容摘要</w:t>
      </w:r>
      <w:bookmarkEnd w:id="380"/>
      <w:bookmarkEnd w:id="381"/>
      <w:bookmarkEnd w:id="382"/>
      <w:bookmarkEnd w:id="383"/>
    </w:p>
    <w:p w14:paraId="2BD2EF5E"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一、基金份额持有人、基金管理人和基金托管人的权利、义务</w:t>
      </w:r>
    </w:p>
    <w:p w14:paraId="5635B400"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w:t>
      </w:r>
      <w:r>
        <w:rPr>
          <w:rFonts w:asciiTheme="minorEastAsia" w:hAnsiTheme="minorEastAsia" w:cs="Times New Roman"/>
          <w:bCs/>
          <w:sz w:val="24"/>
          <w:szCs w:val="24"/>
        </w:rPr>
        <w:tab/>
      </w:r>
      <w:r>
        <w:rPr>
          <w:rFonts w:asciiTheme="minorEastAsia" w:hAnsiTheme="minorEastAsia" w:cs="Times New Roman" w:hint="eastAsia"/>
          <w:bCs/>
          <w:sz w:val="24"/>
          <w:szCs w:val="24"/>
        </w:rPr>
        <w:t>基金管理人的权利与义务</w:t>
      </w:r>
    </w:p>
    <w:p w14:paraId="65474F72"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1、根据《基金法》、《运作办法》及其他有关规定，基金管理人的权利包括但不限于：</w:t>
      </w:r>
    </w:p>
    <w:p w14:paraId="7BBFB462"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1）依法募集资金；</w:t>
      </w:r>
    </w:p>
    <w:p w14:paraId="047809FE"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2）自《基金合同》生效之日起，根据法律法规和《基金合同》独立运用并管理基金财产；</w:t>
      </w:r>
    </w:p>
    <w:p w14:paraId="0C240874"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3）依照《基金合同》收取基金管理费以及法律法规规定或中国证监会批准的其他费用；</w:t>
      </w:r>
    </w:p>
    <w:p w14:paraId="5D64FFF0"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4）销售基金份额；</w:t>
      </w:r>
    </w:p>
    <w:p w14:paraId="06BB8411"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5）按照规定召集基金份额持有人大会；</w:t>
      </w:r>
    </w:p>
    <w:p w14:paraId="62C6268A"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66C155F8"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7）在基金托管人更换时，提名新的基金托管人；</w:t>
      </w:r>
    </w:p>
    <w:p w14:paraId="220C0322"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8）选择、更换基金销售机构，对基金销售机构的相关行为进行监督和处理； </w:t>
      </w:r>
    </w:p>
    <w:p w14:paraId="41E0E261"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9）担任或委托其他符合条件的机构担任基金登记机构办理基金登记业务并获得《基金合同》规定的费用； </w:t>
      </w:r>
    </w:p>
    <w:p w14:paraId="6B597176"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10）依据《基金合同》及有关法律规定决定基金收益的分配方案；</w:t>
      </w:r>
      <w:r>
        <w:rPr>
          <w:rFonts w:asciiTheme="minorEastAsia" w:hAnsiTheme="minorEastAsia" w:cs="Times New Roman"/>
          <w:bCs/>
          <w:sz w:val="24"/>
          <w:szCs w:val="24"/>
        </w:rPr>
        <w:tab/>
      </w:r>
    </w:p>
    <w:p w14:paraId="6162ADFB"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11）在《基金合同》约定的范围内，拒绝或暂停受理申购、赎回或转换申请； </w:t>
      </w:r>
    </w:p>
    <w:p w14:paraId="21B9689A"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12）依照法律法规为基金的利益对被投资公司行使股东权利，为基金的利益行使因基金财产投资于证券所产生的权利；</w:t>
      </w:r>
      <w:r>
        <w:rPr>
          <w:rFonts w:asciiTheme="minorEastAsia" w:hAnsiTheme="minorEastAsia" w:cs="Times New Roman"/>
          <w:bCs/>
          <w:sz w:val="24"/>
          <w:szCs w:val="24"/>
        </w:rPr>
        <w:tab/>
      </w:r>
    </w:p>
    <w:p w14:paraId="60EE9D6E"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13）在法律法规允许的前提下，为基金的利益依法为基金进行融资；</w:t>
      </w:r>
    </w:p>
    <w:p w14:paraId="3D1A7BB9"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14）以基金管理人的名义，代表基金份额持有人的利益行使诉讼权利或者实施其他法律行为；</w:t>
      </w:r>
      <w:r>
        <w:rPr>
          <w:rFonts w:asciiTheme="minorEastAsia" w:hAnsiTheme="minorEastAsia" w:cs="Times New Roman"/>
          <w:bCs/>
          <w:sz w:val="24"/>
          <w:szCs w:val="24"/>
        </w:rPr>
        <w:tab/>
      </w:r>
    </w:p>
    <w:p w14:paraId="3C093E3A"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15）选择、更换律师事务所、会计师事务所、证券/期货经纪商或其他为基金提供服务的外部机构；</w:t>
      </w:r>
      <w:r>
        <w:rPr>
          <w:rFonts w:asciiTheme="minorEastAsia" w:hAnsiTheme="minorEastAsia" w:cs="Times New Roman"/>
          <w:bCs/>
          <w:sz w:val="24"/>
          <w:szCs w:val="24"/>
        </w:rPr>
        <w:tab/>
      </w:r>
    </w:p>
    <w:p w14:paraId="49A4FEA0"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16）在符合有关法律、法规的前提下，制订和调整有关基金认购、申购、赎回、转换、</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过户、转托管和收益分配等的业务规则；</w:t>
      </w:r>
    </w:p>
    <w:p w14:paraId="59C92BDF"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17）法律法规及中国证监会规定的和《基金合同》约定的其他权利。</w:t>
      </w:r>
    </w:p>
    <w:p w14:paraId="15A4EB7F"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2、根据《基金法》、《运作办法》及其他有关规定，基金管理人的义务包括但不限于：</w:t>
      </w:r>
    </w:p>
    <w:p w14:paraId="72EB26AC"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1）依法募集资金，办理或者委托经中国证监会认定的其他机构代为办理基金份额的发售、申购、赎回和登记事宜；</w:t>
      </w:r>
    </w:p>
    <w:p w14:paraId="423795E3"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2）办理基金备案手续；</w:t>
      </w:r>
    </w:p>
    <w:p w14:paraId="697DF39D"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3）自《基金合同》生效之日起,以诚实信用、谨慎勤勉的原则管理和运用基金财产；</w:t>
      </w:r>
    </w:p>
    <w:p w14:paraId="1FF7B92F"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4）配备足够的具有专业资格的人员进行基金投资分析、决策，以专业化的经营方式管理和运作基金财产；</w:t>
      </w:r>
    </w:p>
    <w:p w14:paraId="7D88102B"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5）建立健全内部风险控制、监察与稽核、财务管理及人事管理等制度，保证所管理的基金财产和基金管理人的财产相互</w:t>
      </w:r>
      <w:proofErr w:type="gramStart"/>
      <w:r>
        <w:rPr>
          <w:rFonts w:asciiTheme="minorEastAsia" w:hAnsiTheme="minorEastAsia" w:cs="Times New Roman" w:hint="eastAsia"/>
          <w:bCs/>
          <w:sz w:val="24"/>
          <w:szCs w:val="24"/>
        </w:rPr>
        <w:t>独立</w:t>
      </w:r>
      <w:r>
        <w:rPr>
          <w:rFonts w:asciiTheme="minorEastAsia" w:hAnsiTheme="minorEastAsia" w:cs="Times New Roman"/>
          <w:bCs/>
          <w:sz w:val="24"/>
          <w:szCs w:val="24"/>
        </w:rPr>
        <w:t>,</w:t>
      </w:r>
      <w:proofErr w:type="gramEnd"/>
      <w:r>
        <w:rPr>
          <w:rFonts w:asciiTheme="minorEastAsia" w:hAnsiTheme="minorEastAsia" w:cs="Times New Roman" w:hint="eastAsia"/>
          <w:bCs/>
          <w:sz w:val="24"/>
          <w:szCs w:val="24"/>
        </w:rPr>
        <w:t>对所管理的不同基金分别管理，分别记账，进行证券投资；</w:t>
      </w:r>
    </w:p>
    <w:p w14:paraId="67E1487D"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6）除依据《基金法》、《基金合同》及其他有关规定外,不得利用基金财产为自己及任何第三人谋取利益，不得委托第三人运作基金财产；</w:t>
      </w:r>
    </w:p>
    <w:p w14:paraId="48A6E1D0"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7）依法接受基金托管人的监督；</w:t>
      </w:r>
    </w:p>
    <w:p w14:paraId="4531D2D0"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8）采取适当合理的措施使计算基金份额认购、申购、赎回和注销价格的方法符合《基金合同》等法律文件的规定，按有关规定计算并公告基金净值信息，确定基金份额申购、赎回的价格；</w:t>
      </w:r>
    </w:p>
    <w:p w14:paraId="23713EC5"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9）进行基金会计核算并编制基金财务会计报告；</w:t>
      </w:r>
    </w:p>
    <w:p w14:paraId="4A81D0CD"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10）编制季度报告、中期报告和年度报告；</w:t>
      </w:r>
    </w:p>
    <w:p w14:paraId="71341C04"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11）严格按照《基金法》、《基金合同》及其他有关规定，履行信息披露及报告义务；</w:t>
      </w:r>
    </w:p>
    <w:p w14:paraId="7723B398"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12）保守基金商业秘密，不泄露基金投资计划、投资意向等。除《基金法》、《基金合同》及其他有关规定另有规定外，在基金信息公开披露前应予保密，不</w:t>
      </w:r>
      <w:r>
        <w:rPr>
          <w:rFonts w:asciiTheme="minorEastAsia" w:hAnsiTheme="minorEastAsia" w:cs="Times New Roman" w:hint="eastAsia"/>
          <w:bCs/>
          <w:sz w:val="24"/>
          <w:szCs w:val="24"/>
        </w:rPr>
        <w:lastRenderedPageBreak/>
        <w:t>向他人泄露，但依法向监管机构、司法机关及审计、法律等外部专业顾问提供的除外；</w:t>
      </w:r>
    </w:p>
    <w:p w14:paraId="2FADCF06"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13）按《基金合同》的约定确定基金收益分配方案，及时向基金份额持有人分配基金收益；</w:t>
      </w:r>
    </w:p>
    <w:p w14:paraId="39EBD5F2"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14）按规定受理申购与赎回申请，及时、足额支付赎回款项；</w:t>
      </w:r>
    </w:p>
    <w:p w14:paraId="277B8AAB"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15）依据《基金法》、《基金合同》及其他有关规定召集基金份额持有人大会或配合基金托管人、基金份额持有人依法召集基金份额持有人大会；</w:t>
      </w:r>
    </w:p>
    <w:p w14:paraId="49838F39"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16）按规定保存基金财产管理业务活动的会计账册、报表、记录和其他相关资料</w:t>
      </w:r>
      <w:r>
        <w:rPr>
          <w:rFonts w:asciiTheme="minorEastAsia" w:hAnsiTheme="minorEastAsia" w:cs="Times New Roman" w:hint="eastAsia"/>
          <w:bCs/>
          <w:sz w:val="24"/>
          <w:szCs w:val="24"/>
        </w:rPr>
        <w:t>，保存期限不低于法律法规规定的最低期限；</w:t>
      </w:r>
    </w:p>
    <w:p w14:paraId="571A5406"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28164D9C"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18）组织并参加基金财产清算小组,参与基金财产的保管、清理、估价、变现和分配；</w:t>
      </w:r>
    </w:p>
    <w:p w14:paraId="7AAC34EE"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19）面临解散、依法被撤销或者被依法宣告破产时，及时报告中国证监会并通知基金托管人；</w:t>
      </w:r>
    </w:p>
    <w:p w14:paraId="3B7797CE"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20）因违反《基金合同》导致基金财产的损失或损害基金份额持有人合法权益时，应当承担赔偿责任，其赔偿责任不因其退任而免除；</w:t>
      </w:r>
    </w:p>
    <w:p w14:paraId="760791B9"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21）监督基金托管人按法律法规和《基金合同》规定履行自己的义务，基金托管人违反《基金合同》造成基金财产损失时，基金管理人应为基金份额持有人利益向基金托管人追偿；</w:t>
      </w:r>
    </w:p>
    <w:p w14:paraId="1B6E68E2"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22）当基金管理人将其义务委托第三方处理时，应当对第三方处理有关基金事务的行为承担责任；</w:t>
      </w:r>
    </w:p>
    <w:p w14:paraId="75BA778C"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23）以基金管理人名义，代表基金份额持有人利益行使诉讼权利或实施其他法律行为；</w:t>
      </w:r>
      <w:r>
        <w:rPr>
          <w:rFonts w:asciiTheme="minorEastAsia" w:hAnsiTheme="minorEastAsia" w:cs="Times New Roman"/>
          <w:bCs/>
          <w:sz w:val="24"/>
          <w:szCs w:val="24"/>
        </w:rPr>
        <w:tab/>
      </w:r>
    </w:p>
    <w:p w14:paraId="0D8920B6"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24）基金管理人在募集期间未能达到基金的备案条件，《基金合同》不能生效，基金管理人承担全部募集费用，将已募集资金并加计银行同期存款利息在基金募集期结束后30日内退还基金认购人；</w:t>
      </w:r>
    </w:p>
    <w:p w14:paraId="60B89A7E"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25）执行生效的基金份额持有人大会的决议；</w:t>
      </w:r>
    </w:p>
    <w:p w14:paraId="250BAC57"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26）建立并保存基金份额持有人名册；</w:t>
      </w:r>
    </w:p>
    <w:p w14:paraId="4BDF53E8"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27）法律法规及中国证监会规定的和《基金合同》约定的其他义务。</w:t>
      </w:r>
    </w:p>
    <w:p w14:paraId="51A2BE00"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w:t>
      </w:r>
      <w:r>
        <w:rPr>
          <w:rFonts w:asciiTheme="minorEastAsia" w:hAnsiTheme="minorEastAsia" w:cs="Times New Roman"/>
          <w:bCs/>
          <w:sz w:val="24"/>
          <w:szCs w:val="24"/>
        </w:rPr>
        <w:tab/>
      </w:r>
      <w:r>
        <w:rPr>
          <w:rFonts w:asciiTheme="minorEastAsia" w:hAnsiTheme="minorEastAsia" w:cs="Times New Roman" w:hint="eastAsia"/>
          <w:bCs/>
          <w:sz w:val="24"/>
          <w:szCs w:val="24"/>
        </w:rPr>
        <w:t>基金托管人的权利与义务</w:t>
      </w:r>
    </w:p>
    <w:p w14:paraId="6B5FF438"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1、根据《基金法》、《运作办法》及其他有关规定，基金托管人的权利包括但不限于：</w:t>
      </w:r>
    </w:p>
    <w:p w14:paraId="5B28E999"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1）自《基金合同》生效之日起，依法</w:t>
      </w:r>
      <w:proofErr w:type="gramStart"/>
      <w:r>
        <w:rPr>
          <w:rFonts w:asciiTheme="minorEastAsia" w:hAnsiTheme="minorEastAsia" w:cs="Times New Roman" w:hint="eastAsia"/>
          <w:bCs/>
          <w:sz w:val="24"/>
          <w:szCs w:val="24"/>
        </w:rPr>
        <w:t>律法规</w:t>
      </w:r>
      <w:proofErr w:type="gramEnd"/>
      <w:r>
        <w:rPr>
          <w:rFonts w:asciiTheme="minorEastAsia" w:hAnsiTheme="minorEastAsia" w:cs="Times New Roman" w:hint="eastAsia"/>
          <w:bCs/>
          <w:sz w:val="24"/>
          <w:szCs w:val="24"/>
        </w:rPr>
        <w:t>和《基金合同》的规定安全保管基金财产；</w:t>
      </w:r>
    </w:p>
    <w:p w14:paraId="4B968A18"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2）依《基金合同》约定获得基金托管费以及法律法规规定或监管部门批准的其他费用；</w:t>
      </w:r>
    </w:p>
    <w:p w14:paraId="693C89B1"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527B365F"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4）根据相关市场规则，为基金开设</w:t>
      </w:r>
      <w:r>
        <w:rPr>
          <w:rFonts w:asciiTheme="minorEastAsia" w:hAnsiTheme="minorEastAsia" w:cs="Times New Roman" w:hint="eastAsia"/>
          <w:bCs/>
          <w:sz w:val="24"/>
          <w:szCs w:val="24"/>
        </w:rPr>
        <w:t>托管账户、证券账户及其他投资所需账户，为基金办理证券、期货交易资金清算；</w:t>
      </w:r>
    </w:p>
    <w:p w14:paraId="5BE1CA01"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5）提议召开或召集基金份额持有人大会；</w:t>
      </w:r>
    </w:p>
    <w:p w14:paraId="000F6CFF"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6）在基金管理人更换时，提名新的基金管理人；</w:t>
      </w:r>
    </w:p>
    <w:p w14:paraId="6AD523F0"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7）法律法规及中国证监会规定的和《基金合同》约定的其他权利。</w:t>
      </w:r>
    </w:p>
    <w:p w14:paraId="0DD09BF6"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2、根据《基金法》、《运作办法》及其他有关规定，基金托管人的义务包括但不限于：</w:t>
      </w:r>
    </w:p>
    <w:p w14:paraId="16FBF187"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1）以诚实信用、勤勉尽责的原则持有并安全保管基金财产；</w:t>
      </w:r>
    </w:p>
    <w:p w14:paraId="5A6D949E"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2）设立专门的基金托管部门，具有符合要求的营业场所，配备足够的、合格的熟悉基金托管业务的专职人员，负责基金财产托管事宜；</w:t>
      </w:r>
    </w:p>
    <w:p w14:paraId="38EB63AA"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395B4AAC"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4）除依据《基金法》、《基金合同》、《托管协议》及其他有关规定外，不得利用基金财产为自己及任何第三人谋取利益，不得委托第三人托管基金财产；</w:t>
      </w:r>
    </w:p>
    <w:p w14:paraId="7E4C811F"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5）保管由基金管理人代表基金签订的与基金有关的重大合同及有关凭证；</w:t>
      </w:r>
    </w:p>
    <w:p w14:paraId="58027DE4"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6）按规定开设基金财产的</w:t>
      </w:r>
      <w:r>
        <w:rPr>
          <w:rFonts w:asciiTheme="minorEastAsia" w:hAnsiTheme="minorEastAsia" w:cs="Times New Roman" w:hint="eastAsia"/>
          <w:bCs/>
          <w:sz w:val="24"/>
          <w:szCs w:val="24"/>
        </w:rPr>
        <w:t>托管账户和证券账户等投资所需账户，按照《基金合同》、《托管协议》的约定，根据基金管理人的投资指令，及时办理清算、交割事宜；</w:t>
      </w:r>
    </w:p>
    <w:p w14:paraId="72A488F0"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保守基金商业秘密，除《基金法》、《基金合同》、《托管协议》及其他有关规定另有规定外，在基金信息公开披露前予以保密，不得向他人泄露，但依法向监管机构、司法机关及审计、法律等外部专业顾问提供的除外；</w:t>
      </w:r>
    </w:p>
    <w:p w14:paraId="2D265BB8"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8）复核、审查基金管理人计算的基金资产净值、基金份额净值、基金份额申购、赎回价格；</w:t>
      </w:r>
    </w:p>
    <w:p w14:paraId="3399777D"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9）办理与基金托管业务活动有关的信息披露事项；</w:t>
      </w:r>
    </w:p>
    <w:p w14:paraId="2189C17E"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3CD0B266"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11）保存基金托管业务活动的记录、账册、报表和其他相关资料</w:t>
      </w:r>
      <w:r>
        <w:rPr>
          <w:rFonts w:asciiTheme="minorEastAsia" w:hAnsiTheme="minorEastAsia" w:cs="Times New Roman" w:hint="eastAsia"/>
          <w:bCs/>
          <w:sz w:val="24"/>
          <w:szCs w:val="24"/>
        </w:rPr>
        <w:t>不低于法律法规规定的最低期限；</w:t>
      </w:r>
    </w:p>
    <w:p w14:paraId="2D58D2AA"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12）从基金管理人或其委托的登记机构处接收并保存基金份额持有人名册；</w:t>
      </w:r>
    </w:p>
    <w:p w14:paraId="439694E8"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13）按规定制作相关账册并与基金管理人核对；</w:t>
      </w:r>
    </w:p>
    <w:p w14:paraId="02DB5742"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14）依据基金管理人的指令或有关规定向基金份额持有人支付基金收益和赎回款项；</w:t>
      </w:r>
    </w:p>
    <w:p w14:paraId="33AF43B0"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15）依据《基金法》、《基金合同》及其他有关规定，召集基金份额持有人大会或配合基金管理人、基金份额持有人依法召集基金份额持有人大会；</w:t>
      </w:r>
    </w:p>
    <w:p w14:paraId="65C48011"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16）按照法律法规和《基金合同》及《托管协议》的规定监督基金管理人的投资运作；</w:t>
      </w:r>
    </w:p>
    <w:p w14:paraId="3E7207CF"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17）参加基金财产清算小组，参与基金财产的保管、清理、估价、变现和分配；</w:t>
      </w:r>
    </w:p>
    <w:p w14:paraId="37A25ECD"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18）面临解散、依法被撤销或者被依法宣告破产时，及时报告中国证监会，并通知基金管理人；</w:t>
      </w:r>
    </w:p>
    <w:p w14:paraId="6B1BA6B4"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19）因违反《基金合同》及《托管协议》导致基金财产损失时，应承担赔偿责任，其赔偿责任不因其退任而免除；</w:t>
      </w:r>
    </w:p>
    <w:p w14:paraId="1ED72521"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20）按规定监督基金管理人按法律法规和《基金合同》规定履行自己的义务，基金管理人因违反《基金合同》造成基金财产损失时，应为基金份额持有人利益向基金管理人追偿；</w:t>
      </w:r>
    </w:p>
    <w:p w14:paraId="3EB81F75"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21）执行生效的基金份额持有人大会的决议；</w:t>
      </w:r>
    </w:p>
    <w:p w14:paraId="389B9562"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22）法律法规及中国证监会规定的和《基金合同》约定的其他义务。</w:t>
      </w:r>
    </w:p>
    <w:p w14:paraId="43BEAE30"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（三）基金份额持有人的权利与义务</w:t>
      </w:r>
    </w:p>
    <w:p w14:paraId="052D3C43"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基金投资者持有本</w:t>
      </w:r>
      <w:proofErr w:type="gramStart"/>
      <w:r>
        <w:rPr>
          <w:rFonts w:asciiTheme="minorEastAsia" w:hAnsiTheme="minorEastAsia" w:cs="Times New Roman" w:hint="eastAsia"/>
          <w:bCs/>
          <w:sz w:val="24"/>
          <w:szCs w:val="24"/>
        </w:rPr>
        <w:t>基金基金</w:t>
      </w:r>
      <w:proofErr w:type="gramEnd"/>
      <w:r>
        <w:rPr>
          <w:rFonts w:asciiTheme="minorEastAsia" w:hAnsiTheme="minorEastAsia" w:cs="Times New Roman" w:hint="eastAsia"/>
          <w:bCs/>
          <w:sz w:val="24"/>
          <w:szCs w:val="24"/>
        </w:rPr>
        <w:t>份额的行为即视为对《基金合同》的承认和接受，基金投资者</w:t>
      </w:r>
      <w:proofErr w:type="gramStart"/>
      <w:r>
        <w:rPr>
          <w:rFonts w:asciiTheme="minorEastAsia" w:hAnsiTheme="minorEastAsia" w:cs="Times New Roman" w:hint="eastAsia"/>
          <w:bCs/>
          <w:sz w:val="24"/>
          <w:szCs w:val="24"/>
        </w:rPr>
        <w:t>自依据</w:t>
      </w:r>
      <w:proofErr w:type="gramEnd"/>
      <w:r>
        <w:rPr>
          <w:rFonts w:asciiTheme="minorEastAsia" w:hAnsiTheme="minorEastAsia" w:cs="Times New Roman"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336D7B21"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除法律法规另有规定或基金合同另有约定外，同一类别每份基金份额具有同等的合法权益。</w:t>
      </w:r>
    </w:p>
    <w:p w14:paraId="0A1981F3"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1、根据《基金法》、《运作办法》及其他有关规定，基金份额持有人的权利包括但不限于：</w:t>
      </w:r>
    </w:p>
    <w:p w14:paraId="0F9AFC68"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1）分享基金财产收益；</w:t>
      </w:r>
    </w:p>
    <w:p w14:paraId="47D1CCF1"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2）参与分配清算后的剩余基金财产；</w:t>
      </w:r>
    </w:p>
    <w:p w14:paraId="56B00501"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3）依照法律及基金合同的约定转让或者申请赎回其持有的基金份额；</w:t>
      </w:r>
    </w:p>
    <w:p w14:paraId="39BCCDD5"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4）按照规定要求召开基金份额持有人大会或者召集基金份额持有人大会；</w:t>
      </w:r>
    </w:p>
    <w:p w14:paraId="1B312F62"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5）出席或者委派代表出席基金份额持有人大会，对基金份额持有人大会审议事项行使表决权；</w:t>
      </w:r>
    </w:p>
    <w:p w14:paraId="48F3959F"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6）查阅或者复制公开披露的基金信息资料；</w:t>
      </w:r>
    </w:p>
    <w:p w14:paraId="43BFD87E"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7）监督基金管理人的投资运作；</w:t>
      </w:r>
    </w:p>
    <w:p w14:paraId="31E12A8C"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8）对基金管理人、基金托管人、基金服务机构损害其合法权益的行为依法提起诉讼或仲裁；</w:t>
      </w:r>
    </w:p>
    <w:p w14:paraId="262A0F5B"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9）法律法规及中国证监会规定的和《基金合同》约定的其他权利。</w:t>
      </w:r>
    </w:p>
    <w:p w14:paraId="369BEF60"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2、根据《基金法》、《运作办法》及其他有关规定，基金份额持有人的义务包括但不限于：</w:t>
      </w:r>
    </w:p>
    <w:p w14:paraId="173AFD22"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1）认真阅读并遵守《基金合同》、招募说明书等信息披露文件；</w:t>
      </w:r>
    </w:p>
    <w:p w14:paraId="4D0DD13A"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2）了解所投资基金产品，了解自身风险承受能力，自主判断基金的投资价值，自主做出投资决策，自行承担投资风险；</w:t>
      </w:r>
    </w:p>
    <w:p w14:paraId="262069AD"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3）关注基金信息披露，及时行使权利和履行义务；</w:t>
      </w:r>
    </w:p>
    <w:p w14:paraId="4482CFE3"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4）交纳基金认购、申购款项及法律法规和《基金合同》所规定的费用；</w:t>
      </w:r>
    </w:p>
    <w:p w14:paraId="696E2096"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5）在其持有的基金份额范围内，承担基金亏损或者《基金合同》终止的有限责任；</w:t>
      </w:r>
    </w:p>
    <w:p w14:paraId="40E514A0"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6）不从事任何有损基金及其他《基金合同》当事人合法权益的活动；</w:t>
      </w:r>
    </w:p>
    <w:p w14:paraId="2F551AD0"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7）执行生效的基金份额持有人大会的决议；</w:t>
      </w:r>
    </w:p>
    <w:p w14:paraId="6EF26B7C"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8）返还在基金交易过程中因任何原因获得的不当得利；</w:t>
      </w:r>
    </w:p>
    <w:p w14:paraId="651270A7"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（9）遵守基金管理人、基金托管人、销售机构和登记机构的相关交易及业务规则；</w:t>
      </w:r>
    </w:p>
    <w:p w14:paraId="0F789335"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10）提供基金管理人和监管机构依法要求提供的信息，以及不时的更新和补充，并保证其真实性；</w:t>
      </w:r>
    </w:p>
    <w:p w14:paraId="1FB4183F"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w:t>
      </w:r>
      <w:r>
        <w:rPr>
          <w:rFonts w:asciiTheme="minorEastAsia" w:hAnsiTheme="minorEastAsia" w:cs="Times New Roman" w:hint="eastAsia"/>
          <w:bCs/>
          <w:sz w:val="24"/>
          <w:szCs w:val="24"/>
        </w:rPr>
        <w:t>）法律法规及中国证监会规定的和《基金合同》约定的其他义务。</w:t>
      </w:r>
    </w:p>
    <w:p w14:paraId="5B12E102"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二、基金份额持有人大会召集、议事及表决的程序和规则</w:t>
      </w:r>
    </w:p>
    <w:p w14:paraId="7E4EE56F"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除法律法规另有规定或基金合同另有约定外，基金份额持有人持有的每一基金份额拥有平等的投票权。</w:t>
      </w:r>
    </w:p>
    <w:p w14:paraId="33C4E01E"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w:t>
      </w:r>
      <w:proofErr w:type="gramStart"/>
      <w:r>
        <w:rPr>
          <w:rFonts w:asciiTheme="minorEastAsia" w:hAnsiTheme="minorEastAsia" w:cs="Times New Roman" w:hint="eastAsia"/>
          <w:bCs/>
          <w:sz w:val="24"/>
          <w:szCs w:val="24"/>
        </w:rPr>
        <w:t>基金基金</w:t>
      </w:r>
      <w:proofErr w:type="gramEnd"/>
      <w:r>
        <w:rPr>
          <w:rFonts w:asciiTheme="minorEastAsia" w:hAnsiTheme="minorEastAsia" w:cs="Times New Roman" w:hint="eastAsia"/>
          <w:bCs/>
          <w:sz w:val="24"/>
          <w:szCs w:val="24"/>
        </w:rPr>
        <w:t>份额持有人大会不设立日常机构。</w:t>
      </w:r>
    </w:p>
    <w:p w14:paraId="22D69E11"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（一）召开事由</w:t>
      </w:r>
    </w:p>
    <w:p w14:paraId="1E7AAA60"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w:t>
      </w:r>
      <w:r>
        <w:rPr>
          <w:rFonts w:asciiTheme="minorEastAsia" w:hAnsiTheme="minorEastAsia" w:cs="Times New Roman" w:hint="eastAsia"/>
          <w:bCs/>
          <w:sz w:val="24"/>
          <w:szCs w:val="24"/>
        </w:rPr>
        <w:t>除法律法规、中国证监会另有规定或基金合同另有约定的以外，当出现或需要决定下列事由之一的，应当召开基金份额持有人大会：</w:t>
      </w:r>
    </w:p>
    <w:p w14:paraId="62E6E131"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1）终止基金合同；</w:t>
      </w:r>
    </w:p>
    <w:p w14:paraId="4E59F71B"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2）更换基金管理人；</w:t>
      </w:r>
    </w:p>
    <w:p w14:paraId="6C69ACA2"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3）更换基金托管人；</w:t>
      </w:r>
    </w:p>
    <w:p w14:paraId="2D10BD49"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4）转换基金运作方式；</w:t>
      </w:r>
    </w:p>
    <w:p w14:paraId="763A6BDD"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5）调整基金管理人、基金托管人的报酬标准</w:t>
      </w:r>
      <w:r>
        <w:rPr>
          <w:rFonts w:asciiTheme="minorEastAsia" w:hAnsiTheme="minorEastAsia" w:cs="Times New Roman" w:hint="eastAsia"/>
          <w:bCs/>
          <w:sz w:val="24"/>
          <w:szCs w:val="24"/>
        </w:rPr>
        <w:t>或提高销售服务费率；</w:t>
      </w:r>
    </w:p>
    <w:p w14:paraId="3A48EF07"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6）变更基金类别；</w:t>
      </w:r>
    </w:p>
    <w:p w14:paraId="1B06AF32"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7）本基金与其他基金的合并；</w:t>
      </w:r>
    </w:p>
    <w:p w14:paraId="6A7BC7DC"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8）变更基金投资目标、范围或策略；</w:t>
      </w:r>
    </w:p>
    <w:p w14:paraId="29AF33B1"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9）变更基金份额持有人大会程序；</w:t>
      </w:r>
    </w:p>
    <w:p w14:paraId="415ECEF0"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10）基金管理人或基金托管人要求召开基金份额持有人大会；</w:t>
      </w:r>
    </w:p>
    <w:p w14:paraId="6D35AB85"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11）单独或合计持有本基金总份额10%以上（含10%）基金份额的基金份额持有人（以基金管理人收到提议当日的基金份额计算，下同）就同一事项书面要求召开基金份额持有人大会；</w:t>
      </w:r>
    </w:p>
    <w:p w14:paraId="3F020175"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12）对基金合同当事人权利和义务产生重大影响的其他事项；</w:t>
      </w:r>
    </w:p>
    <w:p w14:paraId="4AFEADF6"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13）法律法规、《基金合同》或中国证监会规定的其他应当召开基金份额持有人大会的事项。</w:t>
      </w:r>
    </w:p>
    <w:p w14:paraId="276482A5"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2、在法律法规规定和《基金合同》约定的范围内且对基金份额持有人利益无实质性不利影响的前提下，以下情况可由基金管理人和基金托管人协商后修改，不需召开基金份额持有人大会：</w:t>
      </w:r>
    </w:p>
    <w:p w14:paraId="55F4CA55"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1）法律法规要求增加的基金费用的收取；</w:t>
      </w:r>
    </w:p>
    <w:p w14:paraId="2B030947"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2）在法律法规和《基金合同》规定的范围内调整本基金的申购费率、调低赎回费率</w:t>
      </w:r>
      <w:r>
        <w:rPr>
          <w:rFonts w:asciiTheme="minorEastAsia" w:hAnsiTheme="minorEastAsia" w:cs="Times New Roman" w:hint="eastAsia"/>
          <w:bCs/>
          <w:sz w:val="24"/>
          <w:szCs w:val="24"/>
        </w:rPr>
        <w:t>、调低销售服务费率或变更收费方式；</w:t>
      </w:r>
    </w:p>
    <w:p w14:paraId="2E87BFF0"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w:t>
      </w:r>
      <w:proofErr w:type="gramStart"/>
      <w:r>
        <w:rPr>
          <w:rFonts w:asciiTheme="minorEastAsia" w:hAnsiTheme="minorEastAsia" w:cs="Times New Roman" w:hint="eastAsia"/>
          <w:bCs/>
          <w:sz w:val="24"/>
          <w:szCs w:val="24"/>
        </w:rPr>
        <w:t>因相应</w:t>
      </w:r>
      <w:proofErr w:type="gramEnd"/>
      <w:r>
        <w:rPr>
          <w:rFonts w:asciiTheme="minorEastAsia" w:hAnsiTheme="minorEastAsia" w:cs="Times New Roman" w:hint="eastAsia"/>
          <w:bCs/>
          <w:sz w:val="24"/>
          <w:szCs w:val="24"/>
        </w:rPr>
        <w:t>的法律法规发生变动而应当对《基金合同》进行修改；</w:t>
      </w:r>
    </w:p>
    <w:p w14:paraId="28DB172E"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4）对《基金合同》的修改对基金份额持有人利益无实质性不利影响或修改不涉及《基金合同》当事人权利义务关系发生重大变化；</w:t>
      </w:r>
    </w:p>
    <w:p w14:paraId="78151401"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5）增加新的基金份额类别或者停止现有基金份额类别的销售等，或对基金份额分类办法及规则进行调整；</w:t>
      </w:r>
    </w:p>
    <w:p w14:paraId="5BAD5177"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6）基金管理人、销售机构、登记机构调整有关基金认购、申购、赎回、转换、</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过户、转托管等业务的规则；</w:t>
      </w:r>
    </w:p>
    <w:p w14:paraId="231B19AD"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w:t>
      </w:r>
      <w:r>
        <w:rPr>
          <w:rFonts w:asciiTheme="minorEastAsia" w:hAnsiTheme="minorEastAsia" w:cs="Times New Roman" w:hint="eastAsia"/>
          <w:bCs/>
          <w:sz w:val="24"/>
          <w:szCs w:val="24"/>
        </w:rPr>
        <w:t>在法律法规允许的情况下，且在对现有基金份额持有人利益无实质性不利影响的前提下，推出新业务或服务；</w:t>
      </w:r>
    </w:p>
    <w:p w14:paraId="61B4B459"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8）按照法律法规和《基金合同》规定不需召开基金份额持有人大会的其他情形。</w:t>
      </w:r>
    </w:p>
    <w:p w14:paraId="6C77A481"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（二）会议召集人及召集方式</w:t>
      </w:r>
    </w:p>
    <w:p w14:paraId="44EED177"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1、除法律法规规定或《基金合同》另有约定外，基金份额持有人大会由基金管理人召集；</w:t>
      </w:r>
    </w:p>
    <w:p w14:paraId="18E68B97"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lastRenderedPageBreak/>
        <w:t>2、基金管理人未按规定召集或不能召集时，由基金托管人召集；</w:t>
      </w:r>
    </w:p>
    <w:p w14:paraId="5F85CCA9"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2B096110"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 xml:space="preserve">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 </w:t>
      </w:r>
      <w:r>
        <w:rPr>
          <w:rFonts w:asciiTheme="minorEastAsia" w:hAnsiTheme="minorEastAsia" w:cs="Times New Roman" w:hint="eastAsia"/>
          <w:bCs/>
          <w:sz w:val="24"/>
          <w:szCs w:val="24"/>
        </w:rPr>
        <w:t>的基金份额持有人仍认为有必要召开的，应当向基金托管人提出书面提议。基金托管人应当自收到书面提议之日起</w:t>
      </w:r>
      <w:r>
        <w:rPr>
          <w:rFonts w:asciiTheme="minorEastAsia" w:hAnsiTheme="minorEastAsia" w:cs="Times New Roman"/>
          <w:bCs/>
          <w:sz w:val="24"/>
          <w:szCs w:val="24"/>
        </w:rPr>
        <w:t>10日内决定是否召集，并书面告知提出提议的基金份额持有人代表和基金管理人；基金托管人决定召集的，应当自出具书面决定之日起60日内召开并告知基金管理人，基金管理人应当配合；</w:t>
      </w:r>
    </w:p>
    <w:p w14:paraId="21DD6B58"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466BE237"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6、基金份额持有人会议的召集人负责选择确定开会时间、地点、方式和权益登记日。</w:t>
      </w:r>
    </w:p>
    <w:p w14:paraId="33D22A41"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（三）召开基金份额持有人大会的通知时间、通知内容、通知方式</w:t>
      </w:r>
    </w:p>
    <w:p w14:paraId="20ABC406"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1、召开基金份额持有人大会，召集人应于会议召开前30日，</w:t>
      </w:r>
      <w:r>
        <w:rPr>
          <w:rFonts w:asciiTheme="minorEastAsia" w:hAnsiTheme="minorEastAsia" w:cs="Times New Roman" w:hint="eastAsia"/>
          <w:bCs/>
          <w:sz w:val="24"/>
          <w:szCs w:val="24"/>
        </w:rPr>
        <w:t>依据有关规定进行公告。基金份额持有人大会通知应至少载明以下内容：</w:t>
      </w:r>
    </w:p>
    <w:p w14:paraId="788BEDCC"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1）会议召开的时间、地点和会议形式；</w:t>
      </w:r>
    </w:p>
    <w:p w14:paraId="2B2EA039"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2）会议</w:t>
      </w:r>
      <w:proofErr w:type="gramStart"/>
      <w:r>
        <w:rPr>
          <w:rFonts w:asciiTheme="minorEastAsia" w:hAnsiTheme="minorEastAsia" w:cs="Times New Roman" w:hint="eastAsia"/>
          <w:bCs/>
          <w:sz w:val="24"/>
          <w:szCs w:val="24"/>
        </w:rPr>
        <w:t>拟审议</w:t>
      </w:r>
      <w:proofErr w:type="gramEnd"/>
      <w:r>
        <w:rPr>
          <w:rFonts w:asciiTheme="minorEastAsia" w:hAnsiTheme="minorEastAsia" w:cs="Times New Roman" w:hint="eastAsia"/>
          <w:bCs/>
          <w:sz w:val="24"/>
          <w:szCs w:val="24"/>
        </w:rPr>
        <w:t>的事项、议事程序和表决方式；</w:t>
      </w:r>
    </w:p>
    <w:p w14:paraId="36C580F3"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3）有权出席基金份额持有人大会的基金份额持有人的权益登记日；</w:t>
      </w:r>
    </w:p>
    <w:p w14:paraId="51F0C6BD"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4）授权委托证明的内容要求（包括但不限于代理人身份，代理权限和代理有效期限等）、送达时间和地点；</w:t>
      </w:r>
    </w:p>
    <w:p w14:paraId="1D05200C"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5）会务常设联系人姓名及联系电话；</w:t>
      </w:r>
    </w:p>
    <w:p w14:paraId="68AB2899"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6）出席会议者必须准备的文件和必须履行的手续；</w:t>
      </w:r>
    </w:p>
    <w:p w14:paraId="09417749"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7）召集人需要通知的其他事项。</w:t>
      </w:r>
    </w:p>
    <w:p w14:paraId="2F89EF1B"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59A6B281"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asciiTheme="minorEastAsia" w:hAnsiTheme="minorEastAsia" w:cs="Times New Roman" w:hint="eastAsia"/>
          <w:bCs/>
          <w:sz w:val="24"/>
          <w:szCs w:val="24"/>
        </w:rPr>
        <w:t>拒不派</w:t>
      </w:r>
      <w:proofErr w:type="gramEnd"/>
      <w:r>
        <w:rPr>
          <w:rFonts w:asciiTheme="minorEastAsia" w:hAnsiTheme="minorEastAsia" w:cs="Times New Roman" w:hint="eastAsia"/>
          <w:bCs/>
          <w:sz w:val="24"/>
          <w:szCs w:val="24"/>
        </w:rPr>
        <w:t>代表对表决意见的计票进行监督的，不影响表决意见的计票效力。</w:t>
      </w:r>
    </w:p>
    <w:p w14:paraId="6B1AD494"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（四）基金份额持有人出席会议的方式</w:t>
      </w:r>
    </w:p>
    <w:p w14:paraId="7F5A2A2C"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4110D64A"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3DF9BBE9"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30AAAA1E"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2）经核对，汇总到会者出示的在权益登记日持有基金份额的凭证显示，有效的基金份额不少于本基金在权益登记日基金总份额的二分之一（含二分之一）。</w:t>
      </w:r>
    </w:p>
    <w:p w14:paraId="1E4D1DE3"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若到会者在权益登记日代表的有效的基金份额少于本基金在权益登记日基金总份额的二分之一，召集人可以在原公告的基金份额持有人大会召开时间的</w:t>
      </w:r>
      <w:r>
        <w:rPr>
          <w:rFonts w:asciiTheme="minorEastAsia" w:hAnsiTheme="minorEastAsia" w:cs="Times New Roman"/>
          <w:bCs/>
          <w:sz w:val="24"/>
          <w:szCs w:val="24"/>
        </w:rPr>
        <w:t>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0F8050E7"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2、通讯开会。通讯开会系指基金份额持有人将其对表决事项的投票以书面形式或</w:t>
      </w:r>
      <w:r>
        <w:rPr>
          <w:rFonts w:asciiTheme="minorEastAsia" w:hAnsiTheme="minorEastAsia" w:cs="Times New Roman" w:hint="eastAsia"/>
          <w:bCs/>
          <w:sz w:val="24"/>
          <w:szCs w:val="24"/>
        </w:rPr>
        <w:t>会议通知载明的其他方式在表决截止日以前送达至召集人指定的地址或系统。通讯开会应以书面方式或会议通知载明的其他方式进行表决。</w:t>
      </w:r>
    </w:p>
    <w:p w14:paraId="48AC73AD"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在同时符合以下条件时，通讯开会的方式视为有效：</w:t>
      </w:r>
    </w:p>
    <w:p w14:paraId="1ADE91CF"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1）会议召集人按《基金合同》约定公布会议通知后，在2个工作日内连续公布相关提示性公告；</w:t>
      </w:r>
    </w:p>
    <w:p w14:paraId="678C837F"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149D7C0D"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3）本人直接出具</w:t>
      </w:r>
      <w:r>
        <w:rPr>
          <w:rFonts w:asciiTheme="minorEastAsia" w:hAnsiTheme="minorEastAsia" w:cs="Times New Roman" w:hint="eastAsia"/>
          <w:bCs/>
          <w:sz w:val="24"/>
          <w:szCs w:val="24"/>
        </w:rPr>
        <w:t>表决意见或授权他人代表出具表决意见的，基金份额持有人所持有的基金份额不小于在权益登记日基金总份额的二分之一（含二分之一）；</w:t>
      </w:r>
    </w:p>
    <w:p w14:paraId="78ACBB30"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若本人直接出具表决意见或授权他人代表出具表决意见的基金份额持有人所持有的基金份额小于在权益登记日基金总份额的二分之一，召集人可以在原公告的基金份额持有人大会召开时间的</w:t>
      </w:r>
      <w:r>
        <w:rPr>
          <w:rFonts w:asciiTheme="minorEastAsia" w:hAnsiTheme="minorEastAsia" w:cs="Times New Roman"/>
          <w:bCs/>
          <w:sz w:val="24"/>
          <w:szCs w:val="24"/>
        </w:rPr>
        <w:t>3个月以后、6个月以内，就原定审议事项重新召集基金份额持有人大会。重新召集的基金份额持有人大会应当有代表三分之一以上（含三分之一）基金份额的持有人直接出具</w:t>
      </w:r>
      <w:r>
        <w:rPr>
          <w:rFonts w:asciiTheme="minorEastAsia" w:hAnsiTheme="minorEastAsia" w:cs="Times New Roman" w:hint="eastAsia"/>
          <w:bCs/>
          <w:sz w:val="24"/>
          <w:szCs w:val="24"/>
        </w:rPr>
        <w:t>表决意见或授权他人代表出具表决意见；</w:t>
      </w:r>
    </w:p>
    <w:p w14:paraId="159610AF"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4）上述第（3）项中直接出具</w:t>
      </w:r>
      <w:r>
        <w:rPr>
          <w:rFonts w:asciiTheme="minorEastAsia" w:hAnsiTheme="minorEastAsia" w:cs="Times New Roman" w:hint="eastAsia"/>
          <w:bCs/>
          <w:sz w:val="24"/>
          <w:szCs w:val="24"/>
        </w:rPr>
        <w:t>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390AC0F2"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lastRenderedPageBreak/>
        <w:t>3、在法律法规和监管机关允许的情况下，本基金的基金份额持有人亦可采用其他非书面方式授权其代理人出席基金份额持有人大会</w:t>
      </w:r>
      <w:r>
        <w:rPr>
          <w:rFonts w:asciiTheme="minorEastAsia" w:hAnsiTheme="minorEastAsia" w:cs="Times New Roman" w:hint="eastAsia"/>
          <w:bCs/>
          <w:sz w:val="24"/>
          <w:szCs w:val="24"/>
        </w:rPr>
        <w:t>并行使表决权，具体方式由会议召集人确定并在会议通知中列明。</w:t>
      </w:r>
    </w:p>
    <w:p w14:paraId="6C98E6AB"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4、在会议召开方式上，本基金亦可采用其他非现场方式或者以现场方式与非现场方式相结合的方式召开基金份额持有人大会，会议程序比照现场开会和通讯方式开会的程序进行</w:t>
      </w:r>
      <w:r>
        <w:rPr>
          <w:rFonts w:asciiTheme="minorEastAsia" w:hAnsiTheme="minorEastAsia" w:cs="Times New Roman" w:hint="eastAsia"/>
          <w:bCs/>
          <w:sz w:val="24"/>
          <w:szCs w:val="24"/>
        </w:rPr>
        <w:t>，具体方式由会议召集人确定并在会议通知中列明。</w:t>
      </w:r>
    </w:p>
    <w:p w14:paraId="40D61765"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（五）议事内容与程序</w:t>
      </w:r>
    </w:p>
    <w:p w14:paraId="704C5F78"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1、议事内容及提案权</w:t>
      </w:r>
    </w:p>
    <w:p w14:paraId="3CF7805F"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7E048710"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0EBE66C1"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基金份额持有人大会不得对未事先公告的议事内容进行表决。</w:t>
      </w:r>
    </w:p>
    <w:p w14:paraId="3978A9FE"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2、议事程序</w:t>
      </w:r>
    </w:p>
    <w:p w14:paraId="651E51BC"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1）现场开会</w:t>
      </w:r>
    </w:p>
    <w:p w14:paraId="573278AE"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asciiTheme="minorEastAsia" w:hAnsiTheme="minorEastAsia" w:cs="Times New Roman" w:hint="eastAsia"/>
          <w:bCs/>
          <w:sz w:val="24"/>
          <w:szCs w:val="24"/>
        </w:rPr>
        <w:t>作出</w:t>
      </w:r>
      <w:proofErr w:type="gramEnd"/>
      <w:r>
        <w:rPr>
          <w:rFonts w:asciiTheme="minorEastAsia" w:hAnsiTheme="minorEastAsia" w:cs="Times New Roman" w:hint="eastAsia"/>
          <w:bCs/>
          <w:sz w:val="24"/>
          <w:szCs w:val="24"/>
        </w:rPr>
        <w:t>的决议的效力。</w:t>
      </w:r>
    </w:p>
    <w:p w14:paraId="464C8DD1"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会议召集人应当制作出席会议人员的签名册。签名</w:t>
      </w:r>
      <w:proofErr w:type="gramStart"/>
      <w:r>
        <w:rPr>
          <w:rFonts w:asciiTheme="minorEastAsia" w:hAnsiTheme="minorEastAsia" w:cs="Times New Roman" w:hint="eastAsia"/>
          <w:bCs/>
          <w:sz w:val="24"/>
          <w:szCs w:val="24"/>
        </w:rPr>
        <w:t>册</w:t>
      </w:r>
      <w:proofErr w:type="gramEnd"/>
      <w:r>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14:paraId="01E96644"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2）通讯开会</w:t>
      </w:r>
    </w:p>
    <w:p w14:paraId="72050249"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在通讯开会的情况下，首先由召集人提前</w:t>
      </w:r>
      <w:r>
        <w:rPr>
          <w:rFonts w:asciiTheme="minorEastAsia" w:hAnsiTheme="minorEastAsia" w:cs="Times New Roman"/>
          <w:bCs/>
          <w:sz w:val="24"/>
          <w:szCs w:val="24"/>
        </w:rPr>
        <w:t>30日公布提案，在所通知的表决截止日期后2个工作日内在公证机关监督下由召集人统计全部有效表决，在公证机关监督下形成决议。</w:t>
      </w:r>
    </w:p>
    <w:p w14:paraId="4535A494"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（六）表决</w:t>
      </w:r>
    </w:p>
    <w:p w14:paraId="35F7AE7D"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基金份额持有人所持每份基金份额有一票表决权。</w:t>
      </w:r>
    </w:p>
    <w:p w14:paraId="79EDBA63"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基金份额持有人大会决议分为一般决议和特别决议：</w:t>
      </w:r>
    </w:p>
    <w:p w14:paraId="30146505"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197450CD"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2、特别决议，特别决议应当经参加大会的基金份额持有人或其代理人所持表决权的三分之二以上（含三分之二）通过方可做出。</w:t>
      </w:r>
      <w:r>
        <w:rPr>
          <w:rFonts w:asciiTheme="minorEastAsia" w:hAnsiTheme="minorEastAsia" w:cs="Times New Roman" w:hint="eastAsia"/>
          <w:bCs/>
          <w:sz w:val="24"/>
          <w:szCs w:val="24"/>
        </w:rPr>
        <w:t>除法律法规、中国证监会另有规定或基金合同另有约定的以外，转换基金运作方式、更换基金管理人或者基金托管人、终止《基金合同》、本基金与其他基金合并以特别决议通过方为有效。</w:t>
      </w:r>
    </w:p>
    <w:p w14:paraId="1E4C961A"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基金份额持有人大会采取记名方式进行投票表决。</w:t>
      </w:r>
    </w:p>
    <w:p w14:paraId="7B271DD0"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采取通讯方式进行表决时，除非在计票时监督员及公证机关均认为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14:paraId="26AFA183"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3AD3D643"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（七）计票</w:t>
      </w:r>
    </w:p>
    <w:p w14:paraId="6BCFA09A"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1、现场开会</w:t>
      </w:r>
    </w:p>
    <w:p w14:paraId="1751331A"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w:t>
      </w:r>
      <w:r>
        <w:rPr>
          <w:rFonts w:asciiTheme="minorEastAsia" w:hAnsiTheme="minorEastAsia" w:cs="Times New Roman" w:hint="eastAsia"/>
          <w:bCs/>
          <w:sz w:val="24"/>
          <w:szCs w:val="24"/>
        </w:rPr>
        <w:lastRenderedPageBreak/>
        <w:t>后宣布在出席会议的基金份额持有人中选举三名基金份额持有人代表担任监票人。基金管理人或基金托管人不出席大会的，不影响计票的效力。</w:t>
      </w:r>
    </w:p>
    <w:p w14:paraId="2122295D"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2）监票人应当在基金份额持有人表决后立即进行清点并由大会主持人当场公布计票结果。</w:t>
      </w:r>
    </w:p>
    <w:p w14:paraId="3699A21D"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3）如果会议主持人或基金份额持有人或代理人对于提交的表决结果有</w:t>
      </w:r>
      <w:r>
        <w:rPr>
          <w:rFonts w:asciiTheme="minorEastAsia" w:hAnsiTheme="minorEastAsia" w:cs="Times New Roman" w:hint="eastAsia"/>
          <w:bCs/>
          <w:sz w:val="24"/>
          <w:szCs w:val="24"/>
        </w:rPr>
        <w:t>异议，可以在宣布表决结果后立即对所投票</w:t>
      </w:r>
      <w:proofErr w:type="gramStart"/>
      <w:r>
        <w:rPr>
          <w:rFonts w:asciiTheme="minorEastAsia" w:hAnsiTheme="minorEastAsia" w:cs="Times New Roman" w:hint="eastAsia"/>
          <w:bCs/>
          <w:sz w:val="24"/>
          <w:szCs w:val="24"/>
        </w:rPr>
        <w:t>数要求</w:t>
      </w:r>
      <w:proofErr w:type="gramEnd"/>
      <w:r>
        <w:rPr>
          <w:rFonts w:asciiTheme="minorEastAsia" w:hAnsiTheme="minorEastAsia" w:cs="Times New Roman" w:hint="eastAsia"/>
          <w:bCs/>
          <w:sz w:val="24"/>
          <w:szCs w:val="24"/>
        </w:rPr>
        <w:t>进行重新清点。监票人应当进行重新清点，重新清点以一次为限。重新清点后，大会主持人应当当场公布重新清点结果。</w:t>
      </w:r>
    </w:p>
    <w:p w14:paraId="3EECF765"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4）计票过程应由公证机关予以公证,基金管理人或基金托管人拒不出席大会的，不影响计票的效力。</w:t>
      </w:r>
    </w:p>
    <w:p w14:paraId="23DBB4C3"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2、通讯开会</w:t>
      </w:r>
    </w:p>
    <w:p w14:paraId="3EB252DD"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Theme="minorEastAsia" w:hAnsiTheme="minorEastAsia" w:cs="Times New Roman" w:hint="eastAsia"/>
          <w:bCs/>
          <w:sz w:val="24"/>
          <w:szCs w:val="24"/>
        </w:rPr>
        <w:t>人拒派</w:t>
      </w:r>
      <w:proofErr w:type="gramEnd"/>
      <w:r>
        <w:rPr>
          <w:rFonts w:asciiTheme="minorEastAsia" w:hAnsiTheme="minorEastAsia" w:cs="Times New Roman" w:hint="eastAsia"/>
          <w:bCs/>
          <w:sz w:val="24"/>
          <w:szCs w:val="24"/>
        </w:rPr>
        <w:t>代表对表决意见的计票进行监督的，不影响计票和表决结果。</w:t>
      </w:r>
    </w:p>
    <w:p w14:paraId="5A21C0B3"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（八）生效与公告</w:t>
      </w:r>
    </w:p>
    <w:p w14:paraId="5BEA79C1"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基金份额持有人大会的决议，召集人应当自通过之日起</w:t>
      </w:r>
      <w:r>
        <w:rPr>
          <w:rFonts w:asciiTheme="minorEastAsia" w:hAnsiTheme="minorEastAsia" w:cs="Times New Roman"/>
          <w:bCs/>
          <w:sz w:val="24"/>
          <w:szCs w:val="24"/>
        </w:rPr>
        <w:t>5日内报中国证监会备案。</w:t>
      </w:r>
    </w:p>
    <w:p w14:paraId="4D4DBC13"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基金份额持有人大会的决议自表决通过之日起生效。</w:t>
      </w:r>
    </w:p>
    <w:p w14:paraId="3A351260"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自生效之日起依照《信息披露办法》的有关规定在规定媒介上公告。如果采用通讯方式进行表决，在公告基金份额持有人大会决议时，必须将公证书全文、公证机构、公证员姓名等一同公告。</w:t>
      </w:r>
    </w:p>
    <w:p w14:paraId="210EAED0"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4B553568"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（九）实施</w:t>
      </w:r>
      <w:proofErr w:type="gramStart"/>
      <w:r>
        <w:rPr>
          <w:rFonts w:asciiTheme="minorEastAsia" w:hAnsiTheme="minorEastAsia" w:cs="Times New Roman" w:hint="eastAsia"/>
          <w:bCs/>
          <w:sz w:val="24"/>
          <w:szCs w:val="24"/>
        </w:rPr>
        <w:t>侧袋机制</w:t>
      </w:r>
      <w:proofErr w:type="gramEnd"/>
      <w:r>
        <w:rPr>
          <w:rFonts w:asciiTheme="minorEastAsia" w:hAnsiTheme="minorEastAsia" w:cs="Times New Roman" w:hint="eastAsia"/>
          <w:bCs/>
          <w:sz w:val="24"/>
          <w:szCs w:val="24"/>
        </w:rPr>
        <w:t>期间基金份额持有人大会的特殊约定</w:t>
      </w:r>
    </w:p>
    <w:p w14:paraId="1EEEBA70"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若本基金</w:t>
      </w:r>
      <w:proofErr w:type="gramStart"/>
      <w:r>
        <w:rPr>
          <w:rFonts w:asciiTheme="minorEastAsia" w:hAnsiTheme="minorEastAsia" w:cs="Times New Roman" w:hint="eastAsia"/>
          <w:bCs/>
          <w:sz w:val="24"/>
          <w:szCs w:val="24"/>
        </w:rPr>
        <w:t>实施侧袋机制</w:t>
      </w:r>
      <w:proofErr w:type="gramEnd"/>
      <w:r>
        <w:rPr>
          <w:rFonts w:asciiTheme="minorEastAsia" w:hAnsiTheme="minorEastAsia" w:cs="Times New Roman" w:hint="eastAsia"/>
          <w:bCs/>
          <w:sz w:val="24"/>
          <w:szCs w:val="24"/>
        </w:rPr>
        <w:t>，</w:t>
      </w:r>
      <w:proofErr w:type="gramStart"/>
      <w:r>
        <w:rPr>
          <w:rFonts w:asciiTheme="minorEastAsia" w:hAnsiTheme="minorEastAsia" w:cs="Times New Roman" w:hint="eastAsia"/>
          <w:bCs/>
          <w:sz w:val="24"/>
          <w:szCs w:val="24"/>
        </w:rPr>
        <w:t>则相关</w:t>
      </w:r>
      <w:proofErr w:type="gramEnd"/>
      <w:r>
        <w:rPr>
          <w:rFonts w:asciiTheme="minorEastAsia" w:hAnsiTheme="minorEastAsia" w:cs="Times New Roman" w:hint="eastAsia"/>
          <w:bCs/>
          <w:sz w:val="24"/>
          <w:szCs w:val="24"/>
        </w:rPr>
        <w:t>基金份额或表决权的比例</w:t>
      </w:r>
      <w:proofErr w:type="gramStart"/>
      <w:r>
        <w:rPr>
          <w:rFonts w:asciiTheme="minorEastAsia" w:hAnsiTheme="minorEastAsia" w:cs="Times New Roman" w:hint="eastAsia"/>
          <w:bCs/>
          <w:sz w:val="24"/>
          <w:szCs w:val="24"/>
        </w:rPr>
        <w:t>指主袋份额</w:t>
      </w:r>
      <w:proofErr w:type="gramEnd"/>
      <w:r>
        <w:rPr>
          <w:rFonts w:asciiTheme="minorEastAsia" w:hAnsiTheme="minorEastAsia" w:cs="Times New Roman" w:hint="eastAsia"/>
          <w:bCs/>
          <w:sz w:val="24"/>
          <w:szCs w:val="24"/>
        </w:rPr>
        <w:t>持有</w:t>
      </w:r>
      <w:proofErr w:type="gramStart"/>
      <w:r>
        <w:rPr>
          <w:rFonts w:asciiTheme="minorEastAsia" w:hAnsiTheme="minorEastAsia" w:cs="Times New Roman" w:hint="eastAsia"/>
          <w:bCs/>
          <w:sz w:val="24"/>
          <w:szCs w:val="24"/>
        </w:rPr>
        <w:t>人和侧袋份额</w:t>
      </w:r>
      <w:proofErr w:type="gramEnd"/>
      <w:r>
        <w:rPr>
          <w:rFonts w:asciiTheme="minorEastAsia" w:hAnsiTheme="minorEastAsia" w:cs="Times New Roman" w:hint="eastAsia"/>
          <w:bCs/>
          <w:sz w:val="24"/>
          <w:szCs w:val="24"/>
        </w:rPr>
        <w:t>持有人分别持有或代表的基金份额或表决权符合该等比例，但</w:t>
      </w:r>
      <w:proofErr w:type="gramStart"/>
      <w:r>
        <w:rPr>
          <w:rFonts w:asciiTheme="minorEastAsia" w:hAnsiTheme="minorEastAsia" w:cs="Times New Roman" w:hint="eastAsia"/>
          <w:bCs/>
          <w:sz w:val="24"/>
          <w:szCs w:val="24"/>
        </w:rPr>
        <w:t>若相关</w:t>
      </w:r>
      <w:proofErr w:type="gramEnd"/>
      <w:r>
        <w:rPr>
          <w:rFonts w:asciiTheme="minorEastAsia" w:hAnsiTheme="minorEastAsia" w:cs="Times New Roman" w:hint="eastAsia"/>
          <w:bCs/>
          <w:sz w:val="24"/>
          <w:szCs w:val="24"/>
        </w:rPr>
        <w:lastRenderedPageBreak/>
        <w:t>基金份额持有人大会召集和审议事项不</w:t>
      </w:r>
      <w:proofErr w:type="gramStart"/>
      <w:r>
        <w:rPr>
          <w:rFonts w:asciiTheme="minorEastAsia" w:hAnsiTheme="minorEastAsia" w:cs="Times New Roman" w:hint="eastAsia"/>
          <w:bCs/>
          <w:sz w:val="24"/>
          <w:szCs w:val="24"/>
        </w:rPr>
        <w:t>涉及侧袋账户</w:t>
      </w:r>
      <w:proofErr w:type="gramEnd"/>
      <w:r>
        <w:rPr>
          <w:rFonts w:asciiTheme="minorEastAsia" w:hAnsiTheme="minorEastAsia" w:cs="Times New Roman" w:hint="eastAsia"/>
          <w:bCs/>
          <w:sz w:val="24"/>
          <w:szCs w:val="24"/>
        </w:rPr>
        <w:t>的，则仅</w:t>
      </w:r>
      <w:proofErr w:type="gramStart"/>
      <w:r>
        <w:rPr>
          <w:rFonts w:asciiTheme="minorEastAsia" w:hAnsiTheme="minorEastAsia" w:cs="Times New Roman" w:hint="eastAsia"/>
          <w:bCs/>
          <w:sz w:val="24"/>
          <w:szCs w:val="24"/>
        </w:rPr>
        <w:t>指主袋份额</w:t>
      </w:r>
      <w:proofErr w:type="gramEnd"/>
      <w:r>
        <w:rPr>
          <w:rFonts w:asciiTheme="minorEastAsia" w:hAnsiTheme="minorEastAsia" w:cs="Times New Roman" w:hint="eastAsia"/>
          <w:bCs/>
          <w:sz w:val="24"/>
          <w:szCs w:val="24"/>
        </w:rPr>
        <w:t>持有人持有或代表的基金份额或表决权符合该等比例：</w:t>
      </w:r>
    </w:p>
    <w:p w14:paraId="4773247E"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1、基金份额持有人行使提议权、召集权、提名权所需单独或合计代表相关基金份额10%以上（含10%）；</w:t>
      </w:r>
    </w:p>
    <w:p w14:paraId="274BCC64"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2、现场开会的到会者在权益登记日代表的基金份额不少于本基金在权益登记</w:t>
      </w:r>
      <w:proofErr w:type="gramStart"/>
      <w:r>
        <w:rPr>
          <w:rFonts w:asciiTheme="minorEastAsia" w:hAnsiTheme="minorEastAsia" w:cs="Times New Roman" w:hint="eastAsia"/>
          <w:bCs/>
          <w:sz w:val="24"/>
          <w:szCs w:val="24"/>
        </w:rPr>
        <w:t>日相关</w:t>
      </w:r>
      <w:proofErr w:type="gramEnd"/>
      <w:r>
        <w:rPr>
          <w:rFonts w:asciiTheme="minorEastAsia" w:hAnsiTheme="minorEastAsia" w:cs="Times New Roman" w:hint="eastAsia"/>
          <w:bCs/>
          <w:sz w:val="24"/>
          <w:szCs w:val="24"/>
        </w:rPr>
        <w:t>基金份额的二分之一（含二分之一）；</w:t>
      </w:r>
    </w:p>
    <w:p w14:paraId="21ECF145"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3、通讯开会的直接出具表决意见或授权他人代表出具表决意见的基金份额持有人所持有的基金份额不小于在权益登记</w:t>
      </w:r>
      <w:proofErr w:type="gramStart"/>
      <w:r>
        <w:rPr>
          <w:rFonts w:asciiTheme="minorEastAsia" w:hAnsiTheme="minorEastAsia" w:cs="Times New Roman" w:hint="eastAsia"/>
          <w:bCs/>
          <w:sz w:val="24"/>
          <w:szCs w:val="24"/>
        </w:rPr>
        <w:t>日相关</w:t>
      </w:r>
      <w:proofErr w:type="gramEnd"/>
      <w:r>
        <w:rPr>
          <w:rFonts w:asciiTheme="minorEastAsia" w:hAnsiTheme="minorEastAsia" w:cs="Times New Roman" w:hint="eastAsia"/>
          <w:bCs/>
          <w:sz w:val="24"/>
          <w:szCs w:val="24"/>
        </w:rPr>
        <w:t>基金份额的二分之一（含二分之一）；</w:t>
      </w:r>
    </w:p>
    <w:p w14:paraId="19F0AED9"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4、</w:t>
      </w:r>
      <w:proofErr w:type="gramStart"/>
      <w:r>
        <w:rPr>
          <w:rFonts w:asciiTheme="minorEastAsia" w:hAnsiTheme="minorEastAsia" w:cs="Times New Roman" w:hint="eastAsia"/>
          <w:bCs/>
          <w:sz w:val="24"/>
          <w:szCs w:val="24"/>
        </w:rPr>
        <w:t>若参</w:t>
      </w:r>
      <w:proofErr w:type="gramEnd"/>
      <w:r>
        <w:rPr>
          <w:rFonts w:asciiTheme="minorEastAsia" w:hAnsiTheme="minorEastAsia" w:cs="Times New Roman" w:hint="eastAsia"/>
          <w:bCs/>
          <w:sz w:val="24"/>
          <w:szCs w:val="24"/>
        </w:rPr>
        <w:t>与基金份额持有人大会投票的基金份额持有人所持有的基金份额小于在权益登记</w:t>
      </w:r>
      <w:proofErr w:type="gramStart"/>
      <w:r>
        <w:rPr>
          <w:rFonts w:asciiTheme="minorEastAsia" w:hAnsiTheme="minorEastAsia" w:cs="Times New Roman" w:hint="eastAsia"/>
          <w:bCs/>
          <w:sz w:val="24"/>
          <w:szCs w:val="24"/>
        </w:rPr>
        <w:t>日相关</w:t>
      </w:r>
      <w:proofErr w:type="gramEnd"/>
      <w:r>
        <w:rPr>
          <w:rFonts w:asciiTheme="minorEastAsia" w:hAnsiTheme="minorEastAsia" w:cs="Times New Roman" w:hint="eastAsia"/>
          <w:bCs/>
          <w:sz w:val="24"/>
          <w:szCs w:val="24"/>
        </w:rPr>
        <w:t>基金份额的二分之一，召集人在原公告的基金份额持有人大会召开时间的</w:t>
      </w:r>
      <w:r>
        <w:rPr>
          <w:rFonts w:asciiTheme="minorEastAsia" w:hAnsiTheme="minorEastAsia" w:cs="Times New Roman"/>
          <w:bCs/>
          <w:sz w:val="24"/>
          <w:szCs w:val="24"/>
        </w:rPr>
        <w:t>3个月以后、6个月以内就原定审议事项重新召集的基金份额持有人大会应当有代表三分之一以上（含三分之一）相关基金份额的持有人参与或授权他人参与基金份额持有人大会投票；</w:t>
      </w:r>
    </w:p>
    <w:p w14:paraId="417078F3"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5、现场开会由出席大会的基金份额持有人和代理人所持表决权的二分之一以上（含二分之一）选举产生一名基金份额持有人作为该次基金份额持有人大会的主持人；</w:t>
      </w:r>
    </w:p>
    <w:p w14:paraId="12DCCC03"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6、一般决议须经参加大会的基金份额持有人或其代理人所持表决权的二分之一以上（含二分之一）通过；</w:t>
      </w:r>
    </w:p>
    <w:p w14:paraId="3B8B3860"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7、特别决议应当经参加大会的基金份额持有人或其代理人所持表决权的三分之二以上（含三分之二）通过。</w:t>
      </w:r>
    </w:p>
    <w:p w14:paraId="66FE97EF"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proofErr w:type="gramStart"/>
      <w:r>
        <w:rPr>
          <w:rFonts w:asciiTheme="minorEastAsia" w:hAnsiTheme="minorEastAsia" w:cs="Times New Roman" w:hint="eastAsia"/>
          <w:bCs/>
          <w:sz w:val="24"/>
          <w:szCs w:val="24"/>
        </w:rPr>
        <w:t>侧袋机制</w:t>
      </w:r>
      <w:proofErr w:type="gramEnd"/>
      <w:r>
        <w:rPr>
          <w:rFonts w:asciiTheme="minorEastAsia" w:hAnsiTheme="minorEastAsia" w:cs="Times New Roman" w:hint="eastAsia"/>
          <w:bCs/>
          <w:sz w:val="24"/>
          <w:szCs w:val="24"/>
        </w:rPr>
        <w:t>实施期间，基金份额持有人大会审议事项</w:t>
      </w:r>
      <w:proofErr w:type="gramStart"/>
      <w:r>
        <w:rPr>
          <w:rFonts w:asciiTheme="minorEastAsia" w:hAnsiTheme="minorEastAsia" w:cs="Times New Roman" w:hint="eastAsia"/>
          <w:bCs/>
          <w:sz w:val="24"/>
          <w:szCs w:val="24"/>
        </w:rPr>
        <w:t>涉及主袋账户</w:t>
      </w:r>
      <w:proofErr w:type="gramEnd"/>
      <w:r>
        <w:rPr>
          <w:rFonts w:asciiTheme="minorEastAsia" w:hAnsiTheme="minorEastAsia" w:cs="Times New Roman" w:hint="eastAsia"/>
          <w:bCs/>
          <w:sz w:val="24"/>
          <w:szCs w:val="24"/>
        </w:rPr>
        <w:t>和</w:t>
      </w:r>
      <w:proofErr w:type="gramStart"/>
      <w:r>
        <w:rPr>
          <w:rFonts w:asciiTheme="minorEastAsia" w:hAnsiTheme="minorEastAsia" w:cs="Times New Roman" w:hint="eastAsia"/>
          <w:bCs/>
          <w:sz w:val="24"/>
          <w:szCs w:val="24"/>
        </w:rPr>
        <w:t>侧袋</w:t>
      </w:r>
      <w:proofErr w:type="gramEnd"/>
      <w:r>
        <w:rPr>
          <w:rFonts w:asciiTheme="minorEastAsia" w:hAnsiTheme="minorEastAsia" w:cs="Times New Roman" w:hint="eastAsia"/>
          <w:bCs/>
          <w:sz w:val="24"/>
          <w:szCs w:val="24"/>
        </w:rPr>
        <w:t>账户的，应分别</w:t>
      </w:r>
      <w:proofErr w:type="gramStart"/>
      <w:r>
        <w:rPr>
          <w:rFonts w:asciiTheme="minorEastAsia" w:hAnsiTheme="minorEastAsia" w:cs="Times New Roman" w:hint="eastAsia"/>
          <w:bCs/>
          <w:sz w:val="24"/>
          <w:szCs w:val="24"/>
        </w:rPr>
        <w:t>由主袋账户</w:t>
      </w:r>
      <w:proofErr w:type="gramEnd"/>
      <w:r>
        <w:rPr>
          <w:rFonts w:asciiTheme="minorEastAsia" w:hAnsiTheme="minorEastAsia" w:cs="Times New Roman" w:hint="eastAsia"/>
          <w:bCs/>
          <w:sz w:val="24"/>
          <w:szCs w:val="24"/>
        </w:rPr>
        <w:t>、</w:t>
      </w:r>
      <w:proofErr w:type="gramStart"/>
      <w:r>
        <w:rPr>
          <w:rFonts w:asciiTheme="minorEastAsia" w:hAnsiTheme="minorEastAsia" w:cs="Times New Roman" w:hint="eastAsia"/>
          <w:bCs/>
          <w:sz w:val="24"/>
          <w:szCs w:val="24"/>
        </w:rPr>
        <w:t>侧袋账户</w:t>
      </w:r>
      <w:proofErr w:type="gramEnd"/>
      <w:r>
        <w:rPr>
          <w:rFonts w:asciiTheme="minorEastAsia" w:hAnsiTheme="minorEastAsia" w:cs="Times New Roman" w:hint="eastAsia"/>
          <w:bCs/>
          <w:sz w:val="24"/>
          <w:szCs w:val="24"/>
        </w:rPr>
        <w:t>的基金份额持有人进行表决，同</w:t>
      </w:r>
      <w:proofErr w:type="gramStart"/>
      <w:r>
        <w:rPr>
          <w:rFonts w:asciiTheme="minorEastAsia" w:hAnsiTheme="minorEastAsia" w:cs="Times New Roman" w:hint="eastAsia"/>
          <w:bCs/>
          <w:sz w:val="24"/>
          <w:szCs w:val="24"/>
        </w:rPr>
        <w:t>一主侧袋账户</w:t>
      </w:r>
      <w:proofErr w:type="gramEnd"/>
      <w:r>
        <w:rPr>
          <w:rFonts w:asciiTheme="minorEastAsia" w:hAnsiTheme="minorEastAsia" w:cs="Times New Roman" w:hint="eastAsia"/>
          <w:bCs/>
          <w:sz w:val="24"/>
          <w:szCs w:val="24"/>
        </w:rPr>
        <w:t>内的每份基金份额具有平等的表决权。表决事项未</w:t>
      </w:r>
      <w:proofErr w:type="gramStart"/>
      <w:r>
        <w:rPr>
          <w:rFonts w:asciiTheme="minorEastAsia" w:hAnsiTheme="minorEastAsia" w:cs="Times New Roman" w:hint="eastAsia"/>
          <w:bCs/>
          <w:sz w:val="24"/>
          <w:szCs w:val="24"/>
        </w:rPr>
        <w:t>涉及侧袋账户</w:t>
      </w:r>
      <w:proofErr w:type="gramEnd"/>
      <w:r>
        <w:rPr>
          <w:rFonts w:asciiTheme="minorEastAsia" w:hAnsiTheme="minorEastAsia" w:cs="Times New Roman" w:hint="eastAsia"/>
          <w:bCs/>
          <w:sz w:val="24"/>
          <w:szCs w:val="24"/>
        </w:rPr>
        <w:t>的，</w:t>
      </w:r>
      <w:proofErr w:type="gramStart"/>
      <w:r>
        <w:rPr>
          <w:rFonts w:asciiTheme="minorEastAsia" w:hAnsiTheme="minorEastAsia" w:cs="Times New Roman" w:hint="eastAsia"/>
          <w:bCs/>
          <w:sz w:val="24"/>
          <w:szCs w:val="24"/>
        </w:rPr>
        <w:t>侧袋账户</w:t>
      </w:r>
      <w:proofErr w:type="gramEnd"/>
      <w:r>
        <w:rPr>
          <w:rFonts w:asciiTheme="minorEastAsia" w:hAnsiTheme="minorEastAsia" w:cs="Times New Roman" w:hint="eastAsia"/>
          <w:bCs/>
          <w:sz w:val="24"/>
          <w:szCs w:val="24"/>
        </w:rPr>
        <w:t>份额无表决权。</w:t>
      </w:r>
    </w:p>
    <w:p w14:paraId="50179C97"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proofErr w:type="gramStart"/>
      <w:r>
        <w:rPr>
          <w:rFonts w:asciiTheme="minorEastAsia" w:hAnsiTheme="minorEastAsia" w:cs="Times New Roman" w:hint="eastAsia"/>
          <w:bCs/>
          <w:sz w:val="24"/>
          <w:szCs w:val="24"/>
        </w:rPr>
        <w:t>侧袋机制</w:t>
      </w:r>
      <w:proofErr w:type="gramEnd"/>
      <w:r>
        <w:rPr>
          <w:rFonts w:asciiTheme="minorEastAsia" w:hAnsiTheme="minorEastAsia" w:cs="Times New Roman" w:hint="eastAsia"/>
          <w:bCs/>
          <w:sz w:val="24"/>
          <w:szCs w:val="24"/>
        </w:rPr>
        <w:t>实施期间，关于基金份额持有人大会的相关规定以本节特殊约定内容为准，本节没有规定的适用本部分的相关规定。</w:t>
      </w:r>
    </w:p>
    <w:p w14:paraId="34DF34DB"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（十）本部</w:t>
      </w:r>
      <w:proofErr w:type="gramStart"/>
      <w:r>
        <w:rPr>
          <w:rFonts w:asciiTheme="minorEastAsia" w:hAnsiTheme="minorEastAsia" w:cs="Times New Roman" w:hint="eastAsia"/>
          <w:bCs/>
          <w:sz w:val="24"/>
          <w:szCs w:val="24"/>
        </w:rPr>
        <w:t>分关于</w:t>
      </w:r>
      <w:proofErr w:type="gramEnd"/>
      <w:r>
        <w:rPr>
          <w:rFonts w:asciiTheme="minorEastAsia" w:hAnsiTheme="minorEastAsia" w:cs="Times New Roman" w:hint="eastAsia"/>
          <w:bCs/>
          <w:sz w:val="24"/>
          <w:szCs w:val="24"/>
        </w:rPr>
        <w:t>基金份额持有人大会召开事由、召开条件、议事程序、表决条件等规定，凡是直接引用法律法规或监管规则的部分，如将来法律法规或监</w:t>
      </w:r>
      <w:r>
        <w:rPr>
          <w:rFonts w:asciiTheme="minorEastAsia" w:hAnsiTheme="minorEastAsia" w:cs="Times New Roman" w:hint="eastAsia"/>
          <w:bCs/>
          <w:sz w:val="24"/>
          <w:szCs w:val="24"/>
        </w:rPr>
        <w:lastRenderedPageBreak/>
        <w:t>管规则修改导致相关内容被取消或变更的，基金管理人提前公告后，可直接对本部分内容进行修改和调整，无需召开基金份额持有人大会审议。</w:t>
      </w:r>
    </w:p>
    <w:p w14:paraId="71FB93E4"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三、基金合同解除和终止的事由、程序以及基金财产清算方式</w:t>
      </w:r>
    </w:p>
    <w:p w14:paraId="5B6585F7"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（一）《基金合同》的变更</w:t>
      </w:r>
    </w:p>
    <w:p w14:paraId="60D1438C"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1、变更基金合同涉及法律法规规定或本基金合同约定应经基金份额持有人大会决议通过的事项的，应召</w:t>
      </w:r>
      <w:proofErr w:type="gramStart"/>
      <w:r>
        <w:rPr>
          <w:rFonts w:asciiTheme="minorEastAsia" w:hAnsiTheme="minorEastAsia" w:cs="Times New Roman" w:hint="eastAsia"/>
          <w:bCs/>
          <w:sz w:val="24"/>
          <w:szCs w:val="24"/>
        </w:rPr>
        <w:t>开基金</w:t>
      </w:r>
      <w:proofErr w:type="gramEnd"/>
      <w:r>
        <w:rPr>
          <w:rFonts w:asciiTheme="minorEastAsia" w:hAnsiTheme="minorEastAsia" w:cs="Times New Roman" w:hint="eastAsia"/>
          <w:bCs/>
          <w:sz w:val="24"/>
          <w:szCs w:val="24"/>
        </w:rPr>
        <w:t>份额持有人大会决议通过。对于法律法规规定和基金合同约定可不经基金份额持有人大会决议通过的事项，由基金管理人和基金托管人同意后变更并公告，并报中国证监会备案。</w:t>
      </w:r>
    </w:p>
    <w:p w14:paraId="57194480"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2、关于《基金合同》变更的基金份额持有人大会决议自表决通过之日起生效，并</w:t>
      </w:r>
      <w:proofErr w:type="gramStart"/>
      <w:r>
        <w:rPr>
          <w:rFonts w:asciiTheme="minorEastAsia" w:hAnsiTheme="minorEastAsia" w:cs="Times New Roman" w:hint="eastAsia"/>
          <w:bCs/>
          <w:sz w:val="24"/>
          <w:szCs w:val="24"/>
        </w:rPr>
        <w:t>自决议</w:t>
      </w:r>
      <w:proofErr w:type="gramEnd"/>
      <w:r>
        <w:rPr>
          <w:rFonts w:asciiTheme="minorEastAsia" w:hAnsiTheme="minorEastAsia" w:cs="Times New Roman" w:hint="eastAsia"/>
          <w:bCs/>
          <w:sz w:val="24"/>
          <w:szCs w:val="24"/>
        </w:rPr>
        <w:t>生效后依照《信息披露办法》的有关规定在规定媒介公告。</w:t>
      </w:r>
    </w:p>
    <w:p w14:paraId="7F65B8E4"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（二）《基金合同》的终止事由</w:t>
      </w:r>
    </w:p>
    <w:p w14:paraId="7C72ED39"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有下列情形之一的，经履行相关程序后，《基金合同》应当终止：</w:t>
      </w:r>
    </w:p>
    <w:p w14:paraId="6003A136"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1、基金份额持有人大会决定终止的；</w:t>
      </w:r>
    </w:p>
    <w:p w14:paraId="064C780D"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2、基金管理人、基金托管人职责终止，在6个月内没有新基金管理人、新基金托管人承接的；</w:t>
      </w:r>
    </w:p>
    <w:p w14:paraId="3EA63F9F"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3、《基金合同》约定的其他情形；</w:t>
      </w:r>
    </w:p>
    <w:p w14:paraId="0AE399BF"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4、相关法律法规和中国证监会规定的其他情况。</w:t>
      </w:r>
    </w:p>
    <w:p w14:paraId="588DE5D7"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（三）基金财产的清算</w:t>
      </w:r>
    </w:p>
    <w:p w14:paraId="56B73E73"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1、基金财产清算小组：自出现《基金合同》终止事由之日起30个工作日内成立清算小组，基金管理人</w:t>
      </w:r>
      <w:r>
        <w:rPr>
          <w:rFonts w:asciiTheme="minorEastAsia" w:hAnsiTheme="minorEastAsia" w:cs="Times New Roman" w:hint="eastAsia"/>
          <w:bCs/>
          <w:sz w:val="24"/>
          <w:szCs w:val="24"/>
        </w:rPr>
        <w:t>或临时基金管理人组织基金财产清算小组并在中国证监会的监督下进行基金清算。</w:t>
      </w:r>
    </w:p>
    <w:p w14:paraId="4EE39758"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2、基金财产清算小组组成：基金财产清算小组成员由基金管理人</w:t>
      </w:r>
      <w:r>
        <w:rPr>
          <w:rFonts w:asciiTheme="minorEastAsia" w:hAnsiTheme="minorEastAsia" w:cs="Times New Roman" w:hint="eastAsia"/>
          <w:bCs/>
          <w:sz w:val="24"/>
          <w:szCs w:val="24"/>
        </w:rPr>
        <w:t>或临时基金管理人、基金托管人、符合《中华人民共和国证券法》规定的注册会计师、律师以及中国证监会指定的人员组成。基金财产清算小组可以聘用必要的工作人员。</w:t>
      </w:r>
    </w:p>
    <w:p w14:paraId="0C31F572"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3、基金财产清算小组职责：基金财产清算小组负责基金财产的保管、清理、估价、变现和分配。基金财产清算小组可以依法进行必要的民事活动。</w:t>
      </w:r>
    </w:p>
    <w:p w14:paraId="73A1CE28"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4、基金财产清算程序：</w:t>
      </w:r>
    </w:p>
    <w:p w14:paraId="216EDA21"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1）《基金合同》终止情形出现时，由基金财产清算小组统一接管基金；</w:t>
      </w:r>
    </w:p>
    <w:p w14:paraId="34B2F8BC"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2）对基金财产和债权债务进行清理和确认；</w:t>
      </w:r>
    </w:p>
    <w:p w14:paraId="50FD087B"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3）对基金财产进行估值和变现；</w:t>
      </w:r>
    </w:p>
    <w:p w14:paraId="163B3BC4"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4）制作清算报告；</w:t>
      </w:r>
    </w:p>
    <w:p w14:paraId="797082F3"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5）聘请会计师事务所对清算报告进行外部审计，聘请律师事务所对清算报告出具法律意见书；</w:t>
      </w:r>
    </w:p>
    <w:p w14:paraId="6C5C9FAF"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6）将清算报告报中国证监会备案并公告；</w:t>
      </w:r>
    </w:p>
    <w:p w14:paraId="3866DCB5"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7）对基金剩余财产进行分配。</w:t>
      </w:r>
    </w:p>
    <w:p w14:paraId="5D2DE764"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5、基金财产清算的期限为6个月，但因本基金所持证券的流动性受到限制而不能及时变现的，清算期限</w:t>
      </w:r>
      <w:r>
        <w:rPr>
          <w:rFonts w:asciiTheme="minorEastAsia" w:hAnsiTheme="minorEastAsia" w:cs="Times New Roman" w:hint="eastAsia"/>
          <w:bCs/>
          <w:sz w:val="24"/>
          <w:szCs w:val="24"/>
        </w:rPr>
        <w:t>可相应顺延。</w:t>
      </w:r>
    </w:p>
    <w:p w14:paraId="4512C6C9"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（四）清算费用</w:t>
      </w:r>
    </w:p>
    <w:p w14:paraId="7C60F697"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清算费用是指基金财产清算小组在进行基金清算过程中发生的所有合理费用，清算费用由基金财产清算小组优先从基金财产中支付。</w:t>
      </w:r>
    </w:p>
    <w:p w14:paraId="2EE0FC70"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（五）基金财产清算剩余资产的分配</w:t>
      </w:r>
    </w:p>
    <w:p w14:paraId="084118A7"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依据基金财产清算的分配方案，将基金财产清算后的全部剩余资产扣除基金财产清算费用、交纳所欠税款并清偿基金债务后，按基金份额持有人持有的基金份额比例进行分配。</w:t>
      </w:r>
    </w:p>
    <w:p w14:paraId="445B687A"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（六）基金财产清算的公告</w:t>
      </w:r>
    </w:p>
    <w:p w14:paraId="01C3F7CD"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清算过程中的有关重大事项须及时公告；基金财产清算报告</w:t>
      </w:r>
      <w:proofErr w:type="gramStart"/>
      <w:r>
        <w:rPr>
          <w:rFonts w:asciiTheme="minorEastAsia" w:hAnsiTheme="minorEastAsia" w:cs="Times New Roman" w:hint="eastAsia"/>
          <w:bCs/>
          <w:sz w:val="24"/>
          <w:szCs w:val="24"/>
        </w:rPr>
        <w:t>经符合</w:t>
      </w:r>
      <w:proofErr w:type="gramEnd"/>
      <w:r>
        <w:rPr>
          <w:rFonts w:asciiTheme="minorEastAsia" w:hAnsiTheme="minorEastAsia" w:cs="Times New Roman" w:hint="eastAsia"/>
          <w:bCs/>
          <w:sz w:val="24"/>
          <w:szCs w:val="24"/>
        </w:rPr>
        <w:t>《中华人民共和国证券法》规定的会计师事务所审计并由律师事务所出具法律意见书后报中国证监会备案并公告。基金财产清算公告于基金财产清算报告报中国证监会备案后</w:t>
      </w:r>
      <w:r>
        <w:rPr>
          <w:rFonts w:asciiTheme="minorEastAsia" w:hAnsiTheme="minorEastAsia" w:cs="Times New Roman"/>
          <w:bCs/>
          <w:sz w:val="24"/>
          <w:szCs w:val="24"/>
        </w:rPr>
        <w:t>5个工作日内由基金财产清算小组进行公告，基金财产清算小组应当将清算报告登载在</w:t>
      </w:r>
      <w:r>
        <w:rPr>
          <w:rFonts w:asciiTheme="minorEastAsia" w:hAnsiTheme="minorEastAsia" w:cs="Times New Roman" w:hint="eastAsia"/>
          <w:bCs/>
          <w:sz w:val="24"/>
          <w:szCs w:val="24"/>
        </w:rPr>
        <w:t>规定网站上，并将清算报告提示性公告登载在规定报刊上。</w:t>
      </w:r>
    </w:p>
    <w:p w14:paraId="56062107"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（七）基金财产清算账册及文件的保存</w:t>
      </w:r>
    </w:p>
    <w:p w14:paraId="442DF42B" w14:textId="77777777" w:rsidR="0069510E"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基金财产清算账册及有关文件由基金托管人保存，保存期限不低于法律法规规定的最低期限。</w:t>
      </w:r>
    </w:p>
    <w:p w14:paraId="31FCF24F" w14:textId="77777777" w:rsidR="0069510E" w:rsidRDefault="00000000">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4FE88EA0" w14:textId="77777777" w:rsidR="0069510E" w:rsidRDefault="00000000">
      <w:pPr>
        <w:pStyle w:val="1"/>
        <w:jc w:val="center"/>
        <w:rPr>
          <w:sz w:val="30"/>
          <w:szCs w:val="30"/>
        </w:rPr>
      </w:pPr>
      <w:bookmarkStart w:id="402" w:name="_Toc214873614"/>
      <w:bookmarkStart w:id="403" w:name="_Toc263092327"/>
      <w:bookmarkStart w:id="404" w:name="_Toc136963820"/>
      <w:bookmarkStart w:id="405" w:name="_Toc68266307"/>
      <w:bookmarkStart w:id="406" w:name="_Toc416264554"/>
      <w:bookmarkStart w:id="407" w:name="_Toc21240"/>
      <w:bookmarkStart w:id="408" w:name="_Toc7367"/>
      <w:bookmarkStart w:id="409" w:name="_Toc48649720"/>
      <w:bookmarkStart w:id="410" w:name="_Toc9708"/>
      <w:bookmarkStart w:id="411" w:name="_Toc79392641"/>
      <w:bookmarkStart w:id="412" w:name="_Toc352229766"/>
      <w:bookmarkStart w:id="413" w:name="_Toc123051466"/>
      <w:bookmarkStart w:id="414" w:name="_Toc13398"/>
      <w:bookmarkStart w:id="415" w:name="_Toc30645"/>
      <w:bookmarkStart w:id="416" w:name="_Toc28549"/>
      <w:bookmarkStart w:id="417" w:name="_Toc98560365"/>
      <w:bookmarkStart w:id="418" w:name="_Toc23166"/>
      <w:bookmarkStart w:id="419" w:name="_Toc141703901"/>
      <w:bookmarkStart w:id="420" w:name="_Toc139991750"/>
      <w:bookmarkStart w:id="421" w:name="_Toc27058"/>
      <w:bookmarkStart w:id="422" w:name="_Toc12191"/>
      <w:bookmarkStart w:id="423" w:name="_Toc123102467"/>
      <w:bookmarkStart w:id="424" w:name="_Toc23022"/>
      <w:bookmarkStart w:id="425" w:name="_Toc8710"/>
      <w:bookmarkStart w:id="426" w:name="_Toc123112248"/>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r>
        <w:rPr>
          <w:rFonts w:hint="eastAsia"/>
          <w:sz w:val="30"/>
          <w:szCs w:val="30"/>
        </w:rPr>
        <w:lastRenderedPageBreak/>
        <w:t>第二十部分</w:t>
      </w:r>
      <w:r>
        <w:rPr>
          <w:sz w:val="30"/>
          <w:szCs w:val="30"/>
        </w:rPr>
        <w:t xml:space="preserve">  </w:t>
      </w:r>
      <w:r>
        <w:rPr>
          <w:rFonts w:hint="eastAsia"/>
          <w:sz w:val="30"/>
          <w:szCs w:val="30"/>
        </w:rPr>
        <w:t>基金托管协议的内容摘要</w:t>
      </w:r>
      <w:bookmarkEnd w:id="402"/>
      <w:bookmarkEnd w:id="403"/>
      <w:bookmarkEnd w:id="404"/>
      <w:bookmarkEnd w:id="405"/>
      <w:bookmarkEnd w:id="406"/>
    </w:p>
    <w:p w14:paraId="27B4665F" w14:textId="77777777" w:rsidR="0069510E" w:rsidRDefault="00000000">
      <w:pPr>
        <w:pStyle w:val="aff1"/>
        <w:numPr>
          <w:ilvl w:val="0"/>
          <w:numId w:val="3"/>
        </w:numPr>
        <w:tabs>
          <w:tab w:val="left" w:pos="851"/>
        </w:tabs>
        <w:adjustRightInd w:val="0"/>
        <w:snapToGrid w:val="0"/>
        <w:spacing w:line="360" w:lineRule="auto"/>
        <w:ind w:firstLineChars="0"/>
        <w:outlineLvl w:val="1"/>
        <w:rPr>
          <w:rFonts w:asciiTheme="minorEastAsia" w:hAnsiTheme="minorEastAsia" w:cs="Arial"/>
          <w:b/>
          <w:sz w:val="24"/>
          <w:szCs w:val="24"/>
        </w:rPr>
      </w:pPr>
      <w:r>
        <w:rPr>
          <w:rFonts w:asciiTheme="minorEastAsia" w:hAnsiTheme="minorEastAsia" w:cs="Arial" w:hint="eastAsia"/>
          <w:b/>
          <w:sz w:val="24"/>
          <w:szCs w:val="24"/>
        </w:rPr>
        <w:t>托管协议当事人</w:t>
      </w:r>
    </w:p>
    <w:p w14:paraId="4EC8009C" w14:textId="77777777" w:rsidR="0069510E"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（一）基金管理人（或简称“管理人”）</w:t>
      </w:r>
    </w:p>
    <w:p w14:paraId="69CC400E" w14:textId="77777777" w:rsidR="0069510E"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名称：富荣基金管理有限公司</w:t>
      </w:r>
    </w:p>
    <w:p w14:paraId="5BC23BB1" w14:textId="77777777" w:rsidR="0069510E"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w:t>
      </w:r>
      <w:r>
        <w:rPr>
          <w:rFonts w:asciiTheme="minorEastAsia" w:hAnsiTheme="minorEastAsia" w:cs="Times New Roman" w:hint="eastAsia"/>
          <w:kern w:val="0"/>
          <w:sz w:val="24"/>
          <w:szCs w:val="24"/>
        </w:rPr>
        <w:t>广东省广州市南沙区横</w:t>
      </w:r>
      <w:proofErr w:type="gramStart"/>
      <w:r>
        <w:rPr>
          <w:rFonts w:asciiTheme="minorEastAsia" w:hAnsiTheme="minorEastAsia" w:cs="Times New Roman" w:hint="eastAsia"/>
          <w:kern w:val="0"/>
          <w:sz w:val="24"/>
          <w:szCs w:val="24"/>
        </w:rPr>
        <w:t>沥</w:t>
      </w:r>
      <w:proofErr w:type="gramEnd"/>
      <w:r>
        <w:rPr>
          <w:rFonts w:asciiTheme="minorEastAsia" w:hAnsiTheme="minorEastAsia" w:cs="Times New Roman" w:hint="eastAsia"/>
          <w:kern w:val="0"/>
          <w:sz w:val="24"/>
          <w:szCs w:val="24"/>
        </w:rPr>
        <w:t>镇汇通二街2号3110房</w:t>
      </w:r>
    </w:p>
    <w:p w14:paraId="4578D0A3" w14:textId="77777777" w:rsidR="0069510E" w:rsidRDefault="00000000">
      <w:pPr>
        <w:adjustRightInd w:val="0"/>
        <w:snapToGrid w:val="0"/>
        <w:spacing w:line="360" w:lineRule="auto"/>
        <w:ind w:left="840" w:hanging="420"/>
        <w:rPr>
          <w:rFonts w:asciiTheme="minorEastAsia" w:hAnsiTheme="minorEastAsia" w:cs="Times New Roman"/>
          <w:kern w:val="0"/>
          <w:sz w:val="24"/>
          <w:szCs w:val="24"/>
        </w:rPr>
      </w:pPr>
      <w:r>
        <w:rPr>
          <w:rFonts w:asciiTheme="minorEastAsia" w:hAnsiTheme="minorEastAsia" w:cs="Arial" w:hint="eastAsia"/>
          <w:kern w:val="0"/>
          <w:sz w:val="24"/>
          <w:szCs w:val="24"/>
        </w:rPr>
        <w:t>办公地址：广东省</w:t>
      </w:r>
      <w:r>
        <w:rPr>
          <w:rFonts w:asciiTheme="minorEastAsia" w:hAnsiTheme="minorEastAsia" w:cs="Times New Roman" w:hint="eastAsia"/>
          <w:kern w:val="0"/>
          <w:sz w:val="24"/>
          <w:szCs w:val="24"/>
        </w:rPr>
        <w:t>深圳市福田区八卦四路</w:t>
      </w:r>
      <w:r>
        <w:rPr>
          <w:rFonts w:asciiTheme="minorEastAsia" w:hAnsiTheme="minorEastAsia" w:cs="Times New Roman"/>
          <w:kern w:val="0"/>
          <w:sz w:val="24"/>
          <w:szCs w:val="24"/>
        </w:rPr>
        <w:t>52号安吉</w:t>
      </w:r>
      <w:r>
        <w:rPr>
          <w:rFonts w:asciiTheme="minorEastAsia" w:hAnsiTheme="minorEastAsia" w:cs="Times New Roman" w:hint="eastAsia"/>
          <w:kern w:val="0"/>
          <w:sz w:val="24"/>
          <w:szCs w:val="24"/>
        </w:rPr>
        <w:t>尔大厦</w:t>
      </w:r>
      <w:r>
        <w:rPr>
          <w:rFonts w:asciiTheme="minorEastAsia" w:hAnsiTheme="minorEastAsia" w:cs="Times New Roman"/>
          <w:kern w:val="0"/>
          <w:sz w:val="24"/>
          <w:szCs w:val="24"/>
        </w:rPr>
        <w:t>24层</w:t>
      </w:r>
    </w:p>
    <w:p w14:paraId="46E8E72A" w14:textId="77777777" w:rsidR="0069510E"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法定代表人：王亦伟</w:t>
      </w:r>
    </w:p>
    <w:p w14:paraId="6FF909F3" w14:textId="77777777" w:rsidR="0069510E"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成立时间：</w:t>
      </w:r>
      <w:r>
        <w:rPr>
          <w:rFonts w:asciiTheme="minorEastAsia" w:hAnsiTheme="minorEastAsia" w:cs="Arial"/>
          <w:kern w:val="0"/>
          <w:sz w:val="24"/>
          <w:szCs w:val="24"/>
        </w:rPr>
        <w:t>2016年1月25日</w:t>
      </w:r>
      <w:r>
        <w:rPr>
          <w:rFonts w:asciiTheme="minorEastAsia" w:hAnsiTheme="minorEastAsia" w:cs="Arial"/>
          <w:kern w:val="0"/>
          <w:sz w:val="24"/>
          <w:szCs w:val="24"/>
        </w:rPr>
        <w:tab/>
      </w:r>
    </w:p>
    <w:p w14:paraId="3FFFAB5C" w14:textId="77777777" w:rsidR="0069510E"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批准设立机关：中国证监会</w:t>
      </w:r>
    </w:p>
    <w:p w14:paraId="4E5DBA78" w14:textId="77777777" w:rsidR="0069510E"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批准设立文号：证监许可【</w:t>
      </w:r>
      <w:r>
        <w:rPr>
          <w:rFonts w:asciiTheme="minorEastAsia" w:hAnsiTheme="minorEastAsia" w:cs="Arial"/>
          <w:kern w:val="0"/>
          <w:sz w:val="24"/>
          <w:szCs w:val="24"/>
        </w:rPr>
        <w:t>2015】3118号</w:t>
      </w:r>
    </w:p>
    <w:p w14:paraId="7CC76375" w14:textId="77777777" w:rsidR="0069510E"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经营范围：基金销售</w:t>
      </w:r>
      <w:r>
        <w:rPr>
          <w:rFonts w:asciiTheme="minorEastAsia" w:hAnsiTheme="minorEastAsia" w:cs="Arial"/>
          <w:kern w:val="0"/>
          <w:sz w:val="24"/>
          <w:szCs w:val="24"/>
        </w:rPr>
        <w:t>;基金募集;特定客户资产管理业务以及中国证监会许可的其他业务;资产管理（不含许可审批项目）</w:t>
      </w:r>
    </w:p>
    <w:p w14:paraId="083F85DB" w14:textId="77777777" w:rsidR="0069510E"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07FEC9E6" w14:textId="77777777" w:rsidR="0069510E"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14:paraId="54943DE4" w14:textId="77777777" w:rsidR="0069510E"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存续期间：永续经营</w:t>
      </w:r>
    </w:p>
    <w:p w14:paraId="56173CA7" w14:textId="77777777" w:rsidR="0069510E"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14:paraId="547EB0ED" w14:textId="77777777" w:rsidR="0069510E"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名称：</w:t>
      </w:r>
      <w:bookmarkStart w:id="427" w:name="_Hlk101960455"/>
      <w:r>
        <w:rPr>
          <w:rFonts w:ascii="宋体" w:hAnsi="宋体" w:hint="eastAsia"/>
          <w:color w:val="000000"/>
          <w:sz w:val="24"/>
        </w:rPr>
        <w:t>国泰君安证券股份有限公司</w:t>
      </w:r>
      <w:bookmarkEnd w:id="427"/>
    </w:p>
    <w:p w14:paraId="1B566145" w14:textId="77777777" w:rsidR="0069510E"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住所：中国（上海）自由贸易试验区商城路</w:t>
      </w:r>
      <w:r>
        <w:rPr>
          <w:rFonts w:ascii="宋体" w:hAnsi="宋体"/>
          <w:color w:val="000000"/>
          <w:sz w:val="24"/>
        </w:rPr>
        <w:t>618号</w:t>
      </w:r>
    </w:p>
    <w:p w14:paraId="5BDE607E" w14:textId="77777777" w:rsidR="0069510E"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办公地址：上海市静安区新闸路</w:t>
      </w:r>
      <w:r>
        <w:rPr>
          <w:rFonts w:ascii="宋体" w:hAnsi="宋体"/>
          <w:color w:val="000000"/>
          <w:sz w:val="24"/>
        </w:rPr>
        <w:t>669号19层</w:t>
      </w:r>
    </w:p>
    <w:p w14:paraId="7D28A619" w14:textId="77777777" w:rsidR="0069510E"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法定代表人：贺青</w:t>
      </w:r>
    </w:p>
    <w:p w14:paraId="1B79159B" w14:textId="77777777" w:rsidR="0069510E"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成立时间：</w:t>
      </w:r>
      <w:r>
        <w:rPr>
          <w:rFonts w:ascii="宋体" w:hAnsi="宋体"/>
          <w:color w:val="000000"/>
          <w:sz w:val="24"/>
        </w:rPr>
        <w:t>1999年8月18日</w:t>
      </w:r>
    </w:p>
    <w:p w14:paraId="0F3E8CFD" w14:textId="77777777" w:rsidR="0069510E"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批准设立机关：中国证监会</w:t>
      </w:r>
    </w:p>
    <w:p w14:paraId="6DB389CB" w14:textId="77777777" w:rsidR="0069510E"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批准设立文号：证监机构字</w:t>
      </w:r>
      <w:r>
        <w:rPr>
          <w:rFonts w:ascii="宋体" w:hAnsi="宋体"/>
          <w:color w:val="000000"/>
          <w:sz w:val="24"/>
        </w:rPr>
        <w:t>[1999]77号</w:t>
      </w:r>
    </w:p>
    <w:p w14:paraId="1BBA2051" w14:textId="77777777" w:rsidR="0069510E"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组织形式：股份有限公司</w:t>
      </w:r>
    </w:p>
    <w:p w14:paraId="4E7688BC" w14:textId="77777777" w:rsidR="0069510E"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注册资本：</w:t>
      </w:r>
      <w:r>
        <w:rPr>
          <w:rFonts w:ascii="宋体" w:hAnsi="宋体"/>
          <w:color w:val="000000"/>
          <w:sz w:val="24"/>
        </w:rPr>
        <w:t>890794.7万元人民币</w:t>
      </w:r>
    </w:p>
    <w:p w14:paraId="34686ED0" w14:textId="77777777" w:rsidR="0069510E"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存续期间：持续经营</w:t>
      </w:r>
    </w:p>
    <w:p w14:paraId="256FE53A" w14:textId="77777777" w:rsidR="0069510E"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基金托管业务批准文号：证监许可</w:t>
      </w:r>
      <w:r>
        <w:rPr>
          <w:rFonts w:ascii="宋体" w:hAnsi="宋体"/>
          <w:color w:val="000000"/>
          <w:sz w:val="24"/>
        </w:rPr>
        <w:t>[2014]511号</w:t>
      </w:r>
    </w:p>
    <w:p w14:paraId="50B9965F" w14:textId="77777777" w:rsidR="0069510E"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联系人：【丛艳】</w:t>
      </w:r>
      <w:r>
        <w:rPr>
          <w:rFonts w:ascii="宋体" w:hAnsi="宋体"/>
          <w:color w:val="000000"/>
          <w:sz w:val="24"/>
        </w:rPr>
        <w:t xml:space="preserve"> </w:t>
      </w:r>
    </w:p>
    <w:p w14:paraId="7ACA8C1B" w14:textId="77777777" w:rsidR="0069510E"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联系电话：</w:t>
      </w:r>
      <w:r>
        <w:rPr>
          <w:rFonts w:ascii="宋体" w:hAnsi="宋体"/>
          <w:color w:val="000000"/>
          <w:sz w:val="24"/>
        </w:rPr>
        <w:t>021-38676666</w:t>
      </w:r>
    </w:p>
    <w:p w14:paraId="476DE098" w14:textId="77777777" w:rsidR="0069510E" w:rsidRDefault="0069510E">
      <w:pPr>
        <w:adjustRightInd w:val="0"/>
        <w:snapToGrid w:val="0"/>
        <w:spacing w:line="360" w:lineRule="auto"/>
        <w:ind w:firstLineChars="200" w:firstLine="480"/>
        <w:rPr>
          <w:rFonts w:ascii="宋体" w:hAnsi="宋体"/>
          <w:color w:val="000000"/>
          <w:sz w:val="24"/>
        </w:rPr>
      </w:pPr>
    </w:p>
    <w:p w14:paraId="5D4DF990" w14:textId="77777777" w:rsidR="0069510E" w:rsidRDefault="00000000">
      <w:pPr>
        <w:pStyle w:val="aff1"/>
        <w:numPr>
          <w:ilvl w:val="0"/>
          <w:numId w:val="3"/>
        </w:numPr>
        <w:tabs>
          <w:tab w:val="left" w:pos="851"/>
        </w:tabs>
        <w:adjustRightInd w:val="0"/>
        <w:snapToGrid w:val="0"/>
        <w:spacing w:line="360" w:lineRule="auto"/>
        <w:ind w:firstLineChars="0"/>
        <w:outlineLvl w:val="1"/>
        <w:rPr>
          <w:rFonts w:asciiTheme="minorEastAsia" w:hAnsiTheme="minorEastAsia" w:cs="Arial"/>
          <w:b/>
          <w:sz w:val="24"/>
          <w:szCs w:val="24"/>
        </w:rPr>
      </w:pPr>
      <w:r>
        <w:rPr>
          <w:rFonts w:asciiTheme="minorEastAsia" w:hAnsiTheme="minorEastAsia" w:cs="Arial" w:hint="eastAsia"/>
          <w:b/>
          <w:sz w:val="24"/>
          <w:szCs w:val="24"/>
        </w:rPr>
        <w:t>基金托管人对基金管理人的业务监督和核查</w:t>
      </w:r>
    </w:p>
    <w:p w14:paraId="136BFB0F"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（一）基金托管人对基金管理人的投资行为行使监督权</w:t>
      </w:r>
    </w:p>
    <w:p w14:paraId="308B1796"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1、基金托管人根据有关法律法规的规定及《基金合同》和本协议的约定，对基金的投资范围、投资对象进行监督。</w:t>
      </w:r>
    </w:p>
    <w:p w14:paraId="6314A49D"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本基金的投资范围为具有良好流动性的金融工具，包括国内依法发行上市的股票（含主板、</w:t>
      </w:r>
      <w:proofErr w:type="gramStart"/>
      <w:r>
        <w:rPr>
          <w:rFonts w:asciiTheme="minorEastAsia" w:hAnsiTheme="minorEastAsia" w:cs="Arial" w:hint="eastAsia"/>
          <w:color w:val="000000"/>
          <w:sz w:val="24"/>
          <w:szCs w:val="24"/>
        </w:rPr>
        <w:t>科创板</w:t>
      </w:r>
      <w:proofErr w:type="gramEnd"/>
      <w:r>
        <w:rPr>
          <w:rFonts w:asciiTheme="minorEastAsia" w:hAnsiTheme="minorEastAsia" w:cs="Arial" w:hint="eastAsia"/>
          <w:color w:val="000000"/>
          <w:sz w:val="24"/>
          <w:szCs w:val="24"/>
        </w:rPr>
        <w:t>、创业板及其他经中国证监会允许投资的股票）、存托凭证、债券（包括国债、央行票据、金融债券、企业债券、公司债券、中期票据、短期融资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、超短期融资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w:t>
      </w:r>
      <w:r>
        <w:rPr>
          <w:rFonts w:asciiTheme="minorEastAsia" w:hAnsiTheme="minorEastAsia" w:cs="Arial"/>
          <w:color w:val="000000"/>
          <w:sz w:val="24"/>
          <w:szCs w:val="24"/>
        </w:rPr>
        <w:t>(但须符合中国证监会相关规定)。</w:t>
      </w:r>
    </w:p>
    <w:p w14:paraId="29FC140C"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本基金将根据法律法规的规定参与融资业务。在未来条件许可的情况下，本基金可根据相关法律法规，在履行适当程序后，参与融券业务和转融通证券出借业务。</w:t>
      </w:r>
    </w:p>
    <w:p w14:paraId="4699D13F"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如果法律法规或监管机构以后允许基金投资其他品种，基金管理人在履行适当程序后，可以将其纳入投资范围。</w:t>
      </w:r>
    </w:p>
    <w:p w14:paraId="15FD4345"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本基金的投资组合比例为：股票资产占基金资产的比例为</w:t>
      </w:r>
      <w:r>
        <w:rPr>
          <w:rFonts w:asciiTheme="minorEastAsia" w:hAnsiTheme="minorEastAsia" w:cs="Arial"/>
          <w:color w:val="000000"/>
          <w:sz w:val="24"/>
          <w:szCs w:val="24"/>
        </w:rPr>
        <w:t>60%-95%。每个交易日日终在扣除股指期货、国债期货、股票期权合约需缴纳的</w:t>
      </w:r>
      <w:r>
        <w:rPr>
          <w:rFonts w:asciiTheme="minorEastAsia" w:hAnsiTheme="minorEastAsia" w:cs="Arial" w:hint="eastAsia"/>
          <w:color w:val="000000"/>
          <w:sz w:val="24"/>
          <w:szCs w:val="24"/>
        </w:rPr>
        <w:t>交易保证金以后，基金保留的现金或投资于到期日在一年以内的政府债券的比例合计不低于基金资产净值的</w:t>
      </w:r>
      <w:r>
        <w:rPr>
          <w:rFonts w:asciiTheme="minorEastAsia" w:hAnsiTheme="minorEastAsia" w:cs="Arial"/>
          <w:color w:val="000000"/>
          <w:sz w:val="24"/>
          <w:szCs w:val="24"/>
        </w:rPr>
        <w:t>5%，本基金所指的现金不包括结算备付金、存出保证金、应收申购款等。股指期货、国债期货、股票期权及其他金融工具的投资比例依照法律法规或监管机构的规定执行。</w:t>
      </w:r>
    </w:p>
    <w:p w14:paraId="300A5854"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17EB5314"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2、基金托管人根据有关法律法规的规定及《基金合同》和本协议的约定，对基金投资、融资比例进行监督。</w:t>
      </w:r>
    </w:p>
    <w:p w14:paraId="39DEE176"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 xml:space="preserve">1）根据法律法规的规定及《基金合同》的约定，本基金投资组合遵循以下投资限制：  </w:t>
      </w:r>
    </w:p>
    <w:p w14:paraId="367C3260"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lastRenderedPageBreak/>
        <w:t>1）股票资产占基金资产的比例为60%-95%；</w:t>
      </w:r>
    </w:p>
    <w:p w14:paraId="55A563CA"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44F23132"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3）本基金持有一家公司发行的证券，其市值不超过基金资产净值的10％；</w:t>
      </w:r>
    </w:p>
    <w:p w14:paraId="1A562BD3"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4）本基金管理人管理的全部基金持有一家公司发行的证券，不超过该证券的10％；</w:t>
      </w:r>
    </w:p>
    <w:p w14:paraId="76DBFD43"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5）本基金投资于同一原始权益人的各类资产支持证券的比例，不得超过基金资产净值的10%；</w:t>
      </w:r>
    </w:p>
    <w:p w14:paraId="708FFBB5"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6）本基金持有的全部资产支持证券，其市值不得超过基金资产净值的20%；</w:t>
      </w:r>
    </w:p>
    <w:p w14:paraId="5EB83F12"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7）本基金持有的同一(指同一信用级别)资产支持证券的比例，不得超过该资产支持证券规模的10%；</w:t>
      </w:r>
    </w:p>
    <w:p w14:paraId="5D587A2B"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8）本基金管理人管理的全部证券投资基金投资于同一原始权益人的各类资产支持证券，不得超过其各类资产支持证券合计规模的10%；</w:t>
      </w:r>
    </w:p>
    <w:p w14:paraId="26539B4A"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70792D49"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10）基金财产参与股票发行申购，本基金所申报的金额不超过本基金的总资产，本基金所申报的股票数量不超过拟发行股票公司本次发行股票的总量；</w:t>
      </w:r>
    </w:p>
    <w:p w14:paraId="73CB4DB1"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11）本基金进入全国银行间同业市场进行债券回购的资金余额不得超过基金资产净值的40%；本基金在全国银行间同业市场的债券回购最长期限为1年，债券回购到期后不得展期；</w:t>
      </w:r>
    </w:p>
    <w:p w14:paraId="59706906"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12）本基金参与股指期货、国债期货交易依据下列标准建构组合：</w:t>
      </w:r>
    </w:p>
    <w:p w14:paraId="4879F068"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①在任何交易日日终，持有的买入国债期货和股指期货合约价值与有价证券市值之和不得超过基金资产净值的</w:t>
      </w:r>
      <w:r>
        <w:rPr>
          <w:rFonts w:asciiTheme="minorEastAsia" w:hAnsiTheme="minorEastAsia" w:cs="Arial"/>
          <w:color w:val="000000"/>
          <w:sz w:val="24"/>
          <w:szCs w:val="24"/>
        </w:rPr>
        <w:t>95%，其中，有价证券指股票、债券（不含到期日在一年以内的政府债券）、资产支持证券、买入返售金融资产（不含质押式回购）等；</w:t>
      </w:r>
    </w:p>
    <w:p w14:paraId="0908AED6"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②在任何交易日日终，持有的买入股指期货合约价值，不得超过基金资产净值的</w:t>
      </w:r>
      <w:r>
        <w:rPr>
          <w:rFonts w:asciiTheme="minorEastAsia" w:hAnsiTheme="minorEastAsia" w:cs="Arial"/>
          <w:color w:val="000000"/>
          <w:sz w:val="24"/>
          <w:szCs w:val="24"/>
        </w:rPr>
        <w:t>10%；在任何交易日日终，持有的买入国债期货合约价值，不得超过基金资产净值的15%；</w:t>
      </w:r>
    </w:p>
    <w:p w14:paraId="2D27EE2F"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③在任何交易日日终，持有的卖出股指期货合约价值不得超过基金持有的股票总市值的</w:t>
      </w:r>
      <w:r>
        <w:rPr>
          <w:rFonts w:asciiTheme="minorEastAsia" w:hAnsiTheme="minorEastAsia" w:cs="Arial"/>
          <w:color w:val="000000"/>
          <w:sz w:val="24"/>
          <w:szCs w:val="24"/>
        </w:rPr>
        <w:t>20%；在任何交易日日终，持有的卖出国债期货合约价值不得超过基金持有的债券总市值的30%；</w:t>
      </w:r>
    </w:p>
    <w:p w14:paraId="6FE93B84"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④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619D2ADE"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⑤本基金在任何交易日内交易（不包括平仓）的股指期货合约的成交金额不得超过上一交易日基金资产净值的</w:t>
      </w:r>
      <w:r>
        <w:rPr>
          <w:rFonts w:asciiTheme="minorEastAsia" w:hAnsiTheme="minorEastAsia" w:cs="Arial"/>
          <w:color w:val="000000"/>
          <w:sz w:val="24"/>
          <w:szCs w:val="24"/>
        </w:rPr>
        <w:t>20%；本基金在任何交易日内交易（不包括平仓）的国债期货合约的成交金额不得超过上一交易日基金资产净值的30%；</w:t>
      </w:r>
    </w:p>
    <w:p w14:paraId="6582607C"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55BC6D15"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14）基金资产</w:t>
      </w:r>
      <w:r>
        <w:rPr>
          <w:rFonts w:asciiTheme="minorEastAsia" w:hAnsiTheme="minorEastAsia" w:cs="Arial" w:hint="eastAsia"/>
          <w:color w:val="000000"/>
          <w:sz w:val="24"/>
          <w:szCs w:val="24"/>
        </w:rPr>
        <w:t>总值不得超过基金资产净值的</w:t>
      </w:r>
      <w:r>
        <w:rPr>
          <w:rFonts w:asciiTheme="minorEastAsia" w:hAnsiTheme="minorEastAsia" w:cs="Arial"/>
          <w:color w:val="000000"/>
          <w:sz w:val="24"/>
          <w:szCs w:val="24"/>
        </w:rPr>
        <w:t>140%；</w:t>
      </w:r>
    </w:p>
    <w:p w14:paraId="38B19805"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1021C60B"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16）本基金主动投资于流动性受限资产的市值合计不得超过</w:t>
      </w:r>
      <w:r>
        <w:rPr>
          <w:rFonts w:asciiTheme="minorEastAsia" w:hAnsiTheme="minorEastAsia" w:cs="Arial" w:hint="eastAsia"/>
          <w:color w:val="000000"/>
          <w:sz w:val="24"/>
          <w:szCs w:val="24"/>
        </w:rPr>
        <w:t>基金资产净值的</w:t>
      </w:r>
      <w:r>
        <w:rPr>
          <w:rFonts w:asciiTheme="minorEastAsia" w:hAnsiTheme="minorEastAsia" w:cs="Arial"/>
          <w:color w:val="000000"/>
          <w:sz w:val="24"/>
          <w:szCs w:val="24"/>
        </w:rPr>
        <w:t>15%；</w:t>
      </w:r>
    </w:p>
    <w:p w14:paraId="7AB75FBF"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因证券市场波动、上市公司股票停牌、基金规模变动等基金管理人之外的因素致使基金不符合前款所规定比例限制的，基金管理人不得主动新增流动性受限资产的投资；</w:t>
      </w:r>
    </w:p>
    <w:p w14:paraId="67E114BA"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17）本基金与私募类</w:t>
      </w:r>
      <w:proofErr w:type="gramStart"/>
      <w:r>
        <w:rPr>
          <w:rFonts w:asciiTheme="minorEastAsia" w:hAnsiTheme="minorEastAsia" w:cs="Arial" w:hint="eastAsia"/>
          <w:color w:val="000000"/>
          <w:sz w:val="24"/>
          <w:szCs w:val="24"/>
        </w:rPr>
        <w:t>证券资管产品</w:t>
      </w:r>
      <w:proofErr w:type="gramEnd"/>
      <w:r>
        <w:rPr>
          <w:rFonts w:asciiTheme="minorEastAsia" w:hAnsiTheme="minorEastAsia" w:cs="Arial" w:hint="eastAsia"/>
          <w:color w:val="000000"/>
          <w:sz w:val="24"/>
          <w:szCs w:val="24"/>
        </w:rPr>
        <w:t>及中国证监会认定的其他主体为交易对手开展逆回购交易的，可接受质押品的资质要求应当与基金合同约定的投资范围保持一致；</w:t>
      </w:r>
    </w:p>
    <w:p w14:paraId="40E5049A"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18）本基金参与股票期权交易的，需遵守下列投资比例限制：</w:t>
      </w:r>
    </w:p>
    <w:p w14:paraId="2CEE6A67"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①本基金因未平仓的期权合约支付和收取的权利金总额不得超过基金资产净值的</w:t>
      </w:r>
      <w:r>
        <w:rPr>
          <w:rFonts w:asciiTheme="minorEastAsia" w:hAnsiTheme="minorEastAsia" w:cs="Arial"/>
          <w:color w:val="000000"/>
          <w:sz w:val="24"/>
          <w:szCs w:val="24"/>
        </w:rPr>
        <w:t>10%；</w:t>
      </w:r>
    </w:p>
    <w:p w14:paraId="5174BED1"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②本基金开仓卖出认购期权的，应持有足额标的证券；开仓卖出认沽期权的，应持有合约行权所需的全额现金或交易所规则认可的可冲抵期权保证金的现金</w:t>
      </w:r>
      <w:r>
        <w:rPr>
          <w:rFonts w:asciiTheme="minorEastAsia" w:hAnsiTheme="minorEastAsia" w:cs="Arial" w:hint="eastAsia"/>
          <w:color w:val="000000"/>
          <w:sz w:val="24"/>
          <w:szCs w:val="24"/>
        </w:rPr>
        <w:lastRenderedPageBreak/>
        <w:t>等价物；</w:t>
      </w:r>
    </w:p>
    <w:p w14:paraId="06C94A1F"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③本基金未平仓的期权合约面值不得超过基金资产净值的</w:t>
      </w:r>
      <w:r>
        <w:rPr>
          <w:rFonts w:asciiTheme="minorEastAsia" w:hAnsiTheme="minorEastAsia" w:cs="Arial"/>
          <w:color w:val="000000"/>
          <w:sz w:val="24"/>
          <w:szCs w:val="24"/>
        </w:rPr>
        <w:t>20%。其中，合约面值按照行权价乘以合约乘数计算；</w:t>
      </w:r>
    </w:p>
    <w:p w14:paraId="732D33D7"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19</w:t>
      </w:r>
      <w:r>
        <w:rPr>
          <w:rFonts w:asciiTheme="minorEastAsia" w:hAnsiTheme="minorEastAsia" w:cs="Arial" w:hint="eastAsia"/>
          <w:color w:val="000000"/>
          <w:sz w:val="24"/>
          <w:szCs w:val="24"/>
        </w:rPr>
        <w:t>）本基金投资存托凭证的比例限制依照境内上市交易的股票执行，与境内上市交易的股票合并计算；</w:t>
      </w:r>
    </w:p>
    <w:p w14:paraId="282AC23B"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20</w:t>
      </w:r>
      <w:r>
        <w:rPr>
          <w:rFonts w:asciiTheme="minorEastAsia" w:hAnsiTheme="minorEastAsia" w:cs="Arial" w:hint="eastAsia"/>
          <w:color w:val="000000"/>
          <w:sz w:val="24"/>
          <w:szCs w:val="24"/>
        </w:rPr>
        <w:t>）本基金参与融资的，每个交易日日终，本基金持有的融资买入股票与其他有价证券市值之和，不得超过基金资产净值的</w:t>
      </w:r>
      <w:r>
        <w:rPr>
          <w:rFonts w:asciiTheme="minorEastAsia" w:hAnsiTheme="minorEastAsia" w:cs="Arial"/>
          <w:color w:val="000000"/>
          <w:sz w:val="24"/>
          <w:szCs w:val="24"/>
        </w:rPr>
        <w:t>95%；</w:t>
      </w:r>
    </w:p>
    <w:p w14:paraId="0B6A267B"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21</w:t>
      </w:r>
      <w:r>
        <w:rPr>
          <w:rFonts w:asciiTheme="minorEastAsia" w:hAnsiTheme="minorEastAsia" w:cs="Arial" w:hint="eastAsia"/>
          <w:color w:val="000000"/>
          <w:sz w:val="24"/>
          <w:szCs w:val="24"/>
        </w:rPr>
        <w:t>）法律法规及中国证监会规定的和《基金合同》约定的其他投资限制。</w:t>
      </w:r>
    </w:p>
    <w:p w14:paraId="0252F662"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除上述第</w:t>
      </w:r>
      <w:r>
        <w:rPr>
          <w:rFonts w:asciiTheme="minorEastAsia" w:hAnsiTheme="minorEastAsia" w:cs="Arial"/>
          <w:color w:val="000000"/>
          <w:sz w:val="24"/>
          <w:szCs w:val="24"/>
        </w:rPr>
        <w:t>2）、9）、13）、16）、17）项另有约定外，因证券、期货市场波动、</w:t>
      </w:r>
      <w:r>
        <w:rPr>
          <w:rFonts w:asciiTheme="minorEastAsia" w:hAnsiTheme="minorEastAsia" w:cs="Arial" w:hint="eastAsia"/>
          <w:color w:val="000000"/>
          <w:sz w:val="24"/>
          <w:szCs w:val="24"/>
        </w:rPr>
        <w:t>证券发行人合并、基金规模变动等基金管理人之外的因素致使基金投资比例不符合上述规定投资比例的，基金管理人应当在</w:t>
      </w:r>
      <w:r>
        <w:rPr>
          <w:rFonts w:asciiTheme="minorEastAsia" w:hAnsiTheme="minorEastAsia" w:cs="Arial"/>
          <w:color w:val="000000"/>
          <w:sz w:val="24"/>
          <w:szCs w:val="24"/>
        </w:rPr>
        <w:t>10个交易日内进行调整，但中国证监会规定的特殊情形除外。</w:t>
      </w:r>
    </w:p>
    <w:p w14:paraId="43C2BBD5"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基金管理人应当自基金合同生效之日起</w:t>
      </w:r>
      <w:r>
        <w:rPr>
          <w:rFonts w:asciiTheme="minorEastAsia" w:hAnsiTheme="minorEastAsia" w:cs="Arial"/>
          <w:color w:val="000000"/>
          <w:sz w:val="24"/>
          <w:szCs w:val="24"/>
        </w:rPr>
        <w:t>6个月内使基金的投资组合比例符合基金合同的有关约定。在此期间，基金的投资范围、投资策略应当符合基金合同的约定。基金托管人对基金的投资的监督与检查自基金合同生效之日起开始。</w:t>
      </w:r>
    </w:p>
    <w:p w14:paraId="20ACB6FF"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法律法规或监管部门取消或变更上述限制，如适用于本基金，基金管理人在履行适当程序后，则本基金投资不再受相关限制或以变更后的规定为准。</w:t>
      </w:r>
    </w:p>
    <w:p w14:paraId="1CF50C3C"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基金托管人依照上述规定对本基金的投资组合限制及调整期限进行监督。</w:t>
      </w:r>
    </w:p>
    <w:p w14:paraId="7FE32B17"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3、基金托管人根据有关法律、法规的规定及基金合同和本协议的约定，对基金投资禁止行为进行监督。基金财产不得用于下列投资或者活动。</w:t>
      </w:r>
    </w:p>
    <w:p w14:paraId="48F914A1"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1）承销证券；</w:t>
      </w:r>
    </w:p>
    <w:p w14:paraId="16994752"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2）违反规定向他人贷款或者提供担保；</w:t>
      </w:r>
    </w:p>
    <w:p w14:paraId="1151DEAC"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3）从事承担无限责任的投资；</w:t>
      </w:r>
    </w:p>
    <w:p w14:paraId="0CD823B6"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4）买卖其他基金份额，但是中国证监会另有规定的除外；</w:t>
      </w:r>
    </w:p>
    <w:p w14:paraId="5ADEAB92"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5）向基金管理人、基金托管人出资；</w:t>
      </w:r>
    </w:p>
    <w:p w14:paraId="2B68F18F"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6）从事内幕交易、操纵证券交易价格及其他不正当的证券交易活动；</w:t>
      </w:r>
    </w:p>
    <w:p w14:paraId="7407B58A"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7）法律、行政法规和中国证监会规定禁止的其他活动。</w:t>
      </w:r>
    </w:p>
    <w:p w14:paraId="66CC70FB"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w:t>
      </w:r>
      <w:r>
        <w:rPr>
          <w:rFonts w:asciiTheme="minorEastAsia" w:hAnsiTheme="minorEastAsia" w:cs="Arial" w:hint="eastAsia"/>
          <w:color w:val="000000"/>
          <w:sz w:val="24"/>
          <w:szCs w:val="24"/>
        </w:rPr>
        <w:lastRenderedPageBreak/>
        <w:t>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4C174525"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法律、行政法规或监管部门取消或调整上述禁止行为，如适用于本基金，基金管理人在履行适当程序后，则本基金投资按照取消或调整后的规定执行。</w:t>
      </w:r>
    </w:p>
    <w:p w14:paraId="33C46EDD"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4、基金托管人根据有关法律、法规规定及基金合同和本协议约定，对基金管理人参与银行间债券市场进行监督。</w:t>
      </w:r>
    </w:p>
    <w:p w14:paraId="11DDE6A2"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基金托管人依据有关法律、法规规定和《基金合同》约定对基金管理人参与银行间市场交易时面临的交易对手资信风险进行监督。</w:t>
      </w:r>
    </w:p>
    <w:p w14:paraId="08E5A03C"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在基金投资运作之前向基金托管人提供符合法律、法规及行业标准的、经慎重选择的、本基金适用的银行间市场交易对手的名单，并约定各交易对手所适用的交易结算方式。基金托管人在收到名单后【</w:t>
      </w:r>
      <w:r>
        <w:rPr>
          <w:rFonts w:asciiTheme="minorEastAsia" w:hAnsiTheme="minorEastAsia" w:cs="Arial"/>
          <w:color w:val="000000"/>
          <w:sz w:val="24"/>
          <w:szCs w:val="24"/>
        </w:rPr>
        <w:t>2】</w:t>
      </w:r>
      <w:proofErr w:type="gramStart"/>
      <w:r>
        <w:rPr>
          <w:rFonts w:asciiTheme="minorEastAsia" w:hAnsiTheme="minorEastAsia" w:cs="Arial" w:hint="eastAsia"/>
          <w:color w:val="000000"/>
          <w:sz w:val="24"/>
          <w:szCs w:val="24"/>
        </w:rPr>
        <w:t>个</w:t>
      </w:r>
      <w:proofErr w:type="gramEnd"/>
      <w:r>
        <w:rPr>
          <w:rFonts w:asciiTheme="minorEastAsia" w:hAnsiTheme="minorEastAsia" w:cs="Arial" w:hint="eastAsia"/>
          <w:color w:val="000000"/>
          <w:sz w:val="24"/>
          <w:szCs w:val="24"/>
        </w:rPr>
        <w:t>工作日内电话或回函确认收到该名单。基金管理人应严格按照交易对手名单的范围在银行间债券市场选择交易对手。基金托管人监督基金管理人是否按事前提供的银行间债券市场交易对手名单和交易结算方式进行交易。</w:t>
      </w:r>
    </w:p>
    <w:p w14:paraId="6C40C6EE"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基金管理人应定期【（每半年）】和不定期对银行间市场现券及回购交易对手的名单进行更新。基金托管人在收到名单后【</w:t>
      </w:r>
      <w:r>
        <w:rPr>
          <w:rFonts w:asciiTheme="minorEastAsia" w:hAnsiTheme="minorEastAsia" w:cs="Arial"/>
          <w:color w:val="000000"/>
          <w:sz w:val="24"/>
          <w:szCs w:val="24"/>
        </w:rPr>
        <w:t>2】</w:t>
      </w:r>
      <w:proofErr w:type="gramStart"/>
      <w:r>
        <w:rPr>
          <w:rFonts w:asciiTheme="minorEastAsia" w:hAnsiTheme="minorEastAsia" w:cs="Arial" w:hint="eastAsia"/>
          <w:color w:val="000000"/>
          <w:sz w:val="24"/>
          <w:szCs w:val="24"/>
        </w:rPr>
        <w:t>个</w:t>
      </w:r>
      <w:proofErr w:type="gramEnd"/>
      <w:r>
        <w:rPr>
          <w:rFonts w:asciiTheme="minorEastAsia" w:hAnsiTheme="minorEastAsia" w:cs="Arial" w:hint="eastAsia"/>
          <w:color w:val="000000"/>
          <w:sz w:val="24"/>
          <w:szCs w:val="24"/>
        </w:rPr>
        <w:t>工作日内电话或书面回函确认，新名单自基金托管人确认当日生效。新名单生效前已与本次剔除的交易对手所进行但尚未结算的交易，仍应按照协议进行结算。</w:t>
      </w:r>
    </w:p>
    <w:p w14:paraId="0C1C8DF4"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基金管理人参与银行间市场交易时，应按银行间债券市场的交易规则进行交易，并有责任控制交易对手的资信风险，由于交易对手资信风险引起的损失</w:t>
      </w:r>
      <w:r>
        <w:rPr>
          <w:rFonts w:asciiTheme="minorEastAsia" w:hAnsiTheme="minorEastAsia" w:cs="Arial"/>
          <w:color w:val="000000"/>
          <w:sz w:val="24"/>
          <w:szCs w:val="24"/>
        </w:rPr>
        <w:t>,基金管理人应当负责向相关责任人追偿。基金托管人不承担由此造成的任何法律责任及损失。</w:t>
      </w:r>
    </w:p>
    <w:p w14:paraId="3E7E75EC"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如基金托管人事后发现基金管理人没有按照事先约定的交易对手或交易方式进行交易时，基金托管人应及时提醒基金管理人，但基金托管人不承担由此造成的任何损失和责任。</w:t>
      </w:r>
    </w:p>
    <w:p w14:paraId="147EC5FD"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5、基金托管人根据有关法律、法规的规定及基金合同和本协议的约定，对基金管理人选择存款银行进行监督。</w:t>
      </w:r>
    </w:p>
    <w:p w14:paraId="5E7E39EC"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基金投资银行定期存款的，基金管理人应根据法律、法规的规定及基金合同</w:t>
      </w:r>
      <w:r>
        <w:rPr>
          <w:rFonts w:asciiTheme="minorEastAsia" w:hAnsiTheme="minorEastAsia" w:cs="Arial" w:hint="eastAsia"/>
          <w:color w:val="000000"/>
          <w:sz w:val="24"/>
          <w:szCs w:val="24"/>
        </w:rPr>
        <w:lastRenderedPageBreak/>
        <w:t>的约定，确定符合条件的所有存款银行的名单，并及时提供给基金托管人。基金管理人应严格按照名单范围选择投资对象，基金托管人监督基金管理人是否按事前提供的对手名单进行投资。基金管理人超越名单范围进行投资的，基金托管人应及时提醒基金管理人，但基金托管人不承担由此造成的任何损失和责任。</w:t>
      </w:r>
    </w:p>
    <w:p w14:paraId="2B8109B9"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本基金投资银行存款应符合如下规定：</w:t>
      </w:r>
    </w:p>
    <w:p w14:paraId="105EC2C5"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1）基金管理人、基金托管人应当与存款银行建立定期对账机制，确保基金银行存款业务账目及核算的真实、准确。</w:t>
      </w:r>
    </w:p>
    <w:p w14:paraId="1E62BAC3"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w:t>
      </w:r>
    </w:p>
    <w:p w14:paraId="4CA39159"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3）基金托管人应加强对基金银行存款业务的监督与核查，严格审查、复核相关协议、账户资料、投资指令、存款证实书等有关文件，切实履行托管职责。</w:t>
      </w:r>
    </w:p>
    <w:p w14:paraId="3A0BDA40"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4）基金管理人与基金托管人在开展基金存款业务时，应严格遵守《基金法》、《运作办法》等有关法律、法规，以及国家有关账户管理、利率管理、支付结算等的各项规定。</w:t>
      </w:r>
    </w:p>
    <w:p w14:paraId="73C097B2"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5）基金投资银行存款的，基金管理人应根据法律法规的规定及基金合同的约定，确定符合条件的所有存款银行的名单，并及时提供给基金托管人，基金托管人应据以对基金投资银行存款的交易对手是否符合有关规定进行监督。基金管理人对定期存款提前支取的损失由其承担。</w:t>
      </w:r>
    </w:p>
    <w:p w14:paraId="3E888EAF"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6、基金托管人根据有关法律法规的规定及《基金合同》的约定，对基金管理人投资流通受限证券进行监督。</w:t>
      </w:r>
    </w:p>
    <w:p w14:paraId="17D6B5B4"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投资流通受限证券，应事先根据中国证监会相关规定，明确基金投资流通受限证券的比例，制订严格的投资决策流程和风险控制制度，防范流动性风险、法律风险和操作风险等各种风险。基金托管人对基金管理人是否遵守相关制度、流动性风险处置预案以及相关投资额度和比例等的情况进行监督。</w:t>
      </w:r>
    </w:p>
    <w:p w14:paraId="230583F9"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1）本基金投资的流通受限证券须为经中国证监会批准的非公开发行股票、公开发行股票网下配售部分等在发行时明确一定期限锁定期的可交易证券，不包括由于发布重大消息或其他原因而临时停牌的证券、已发行未上市证券、回购交</w:t>
      </w:r>
      <w:r>
        <w:rPr>
          <w:rFonts w:asciiTheme="minorEastAsia" w:hAnsiTheme="minorEastAsia" w:cs="Arial"/>
          <w:color w:val="000000"/>
          <w:sz w:val="24"/>
          <w:szCs w:val="24"/>
        </w:rPr>
        <w:lastRenderedPageBreak/>
        <w:t>易中的质押</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等流通受限证券。本基金不投资有</w:t>
      </w:r>
      <w:proofErr w:type="gramStart"/>
      <w:r>
        <w:rPr>
          <w:rFonts w:asciiTheme="minorEastAsia" w:hAnsiTheme="minorEastAsia" w:cs="Arial" w:hint="eastAsia"/>
          <w:color w:val="000000"/>
          <w:sz w:val="24"/>
          <w:szCs w:val="24"/>
        </w:rPr>
        <w:t>锁定期但锁定</w:t>
      </w:r>
      <w:proofErr w:type="gramEnd"/>
      <w:r>
        <w:rPr>
          <w:rFonts w:asciiTheme="minorEastAsia" w:hAnsiTheme="minorEastAsia" w:cs="Arial" w:hint="eastAsia"/>
          <w:color w:val="000000"/>
          <w:sz w:val="24"/>
          <w:szCs w:val="24"/>
        </w:rPr>
        <w:t>期不明确的证券。</w:t>
      </w:r>
    </w:p>
    <w:p w14:paraId="25A4A92C"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本基金投资的流通受限证券限于可由中国证券登记结算有限责任公司或中央国债登记结算有限责任公司、银行间市场清算所股份有限公司负责登记和存管，并可在证券交易所或全国银行间债券市场交易的证券。</w:t>
      </w:r>
    </w:p>
    <w:p w14:paraId="38FABBED"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本基金投资的流通受限证券应保证登记存管在本基金名下，基金管理人负责相关工作的落实和协调，并确保基金托管人能够正常查询。因基金管理</w:t>
      </w:r>
      <w:proofErr w:type="gramStart"/>
      <w:r>
        <w:rPr>
          <w:rFonts w:asciiTheme="minorEastAsia" w:hAnsiTheme="minorEastAsia" w:cs="Arial" w:hint="eastAsia"/>
          <w:color w:val="000000"/>
          <w:sz w:val="24"/>
          <w:szCs w:val="24"/>
        </w:rPr>
        <w:t>人原因</w:t>
      </w:r>
      <w:proofErr w:type="gramEnd"/>
      <w:r>
        <w:rPr>
          <w:rFonts w:asciiTheme="minorEastAsia" w:hAnsiTheme="minorEastAsia" w:cs="Arial" w:hint="eastAsia"/>
          <w:color w:val="000000"/>
          <w:sz w:val="24"/>
          <w:szCs w:val="24"/>
        </w:rPr>
        <w:t>产生的流通受限证券登记存管问题，造成基金托管人无法安全保管本基金资产的责任与损失，及因流通受限证券存管直接影响本基金安全的责任及损失，由基金管理人承担。</w:t>
      </w:r>
    </w:p>
    <w:p w14:paraId="06083CC2"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本基金投资流通受限证券，不得预付任何形式的保证金。</w:t>
      </w:r>
    </w:p>
    <w:p w14:paraId="050F80CC"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2）基金管理人投资非公开发行股票，应制订流动性风险处置预案并经其董事会批准。风险处置预案应包括但不限于因投资流通受限证券需要解决的基金投资比例限制失调、基金流动性困难以及相关损失的应对解决措施，以及有关异常情况的处置。基金管理人应在首次投资流通受限证券前向基金托管人提供董事会批准的有关基金投资流通受限证券的投资决策流程、风险控制制度。基金投资非公开发行股票，基金管理人还应提供基金管理人董事会批准的相关流动性风险处置预案。</w:t>
      </w:r>
    </w:p>
    <w:p w14:paraId="3ECCCCEE"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如因基金管理</w:t>
      </w:r>
      <w:proofErr w:type="gramStart"/>
      <w:r>
        <w:rPr>
          <w:rFonts w:asciiTheme="minorEastAsia" w:hAnsiTheme="minorEastAsia" w:cs="Arial" w:hint="eastAsia"/>
          <w:color w:val="000000"/>
          <w:sz w:val="24"/>
          <w:szCs w:val="24"/>
        </w:rPr>
        <w:t>人原因</w:t>
      </w:r>
      <w:proofErr w:type="gramEnd"/>
      <w:r>
        <w:rPr>
          <w:rFonts w:asciiTheme="minorEastAsia" w:hAnsiTheme="minorEastAsia" w:cs="Arial" w:hint="eastAsia"/>
          <w:color w:val="000000"/>
          <w:sz w:val="24"/>
          <w:szCs w:val="24"/>
        </w:rPr>
        <w:t>导致本基金出现损失致使基金托管人承担连带赔偿责任的，基金管理人应赔偿基金托管人由此遭受的损失。</w:t>
      </w:r>
    </w:p>
    <w:p w14:paraId="51DE907D"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3）本基金投资非公开发行股票，基金管理人应至少于投资前三个工作日向基金托管人提交有关书面资料，并保证向基金托管人提供的有关资料真实、准确、完整。有关资料如有调整，基金管理人应及时提供调整后的资料。上述书面资料包括但不限于：</w:t>
      </w:r>
    </w:p>
    <w:p w14:paraId="6259F6EE"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1）中国证监会批准发行非公开发行股票的批准文件。</w:t>
      </w:r>
    </w:p>
    <w:p w14:paraId="3062FB67"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2）非公开发行股票有关发行数量、发行价格、锁定期等发行资料。</w:t>
      </w:r>
    </w:p>
    <w:p w14:paraId="60536A52"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lastRenderedPageBreak/>
        <w:t>3）非公开发行股票发行人与中国证券登记结算有限责任公司或中央国债登记结算有限责任公司签订的证券登记及服务协议。</w:t>
      </w:r>
    </w:p>
    <w:p w14:paraId="7B22A5B3"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4）基金拟认购的数量、价格、总成本、账面价值。</w:t>
      </w:r>
    </w:p>
    <w:p w14:paraId="7B3BC307"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4）基金管理人应在本基金投资非公开发行股票后两个交易日内，在中国证监会</w:t>
      </w:r>
      <w:r>
        <w:rPr>
          <w:rFonts w:asciiTheme="minorEastAsia" w:hAnsiTheme="minorEastAsia" w:cs="Arial" w:hint="eastAsia"/>
          <w:color w:val="000000"/>
          <w:sz w:val="24"/>
          <w:szCs w:val="24"/>
        </w:rPr>
        <w:t>规定媒介披露所投资非公开发行股票的名称、数量、总成本、账面价值，以及总成本和账面价值占基金资产净值的比例、锁定期等信息。</w:t>
      </w:r>
    </w:p>
    <w:p w14:paraId="3EB5DF40"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本基金有关投资流通受限证券比例如违反有关限制规定，在合理期限内未能进行及时调整，基金管理人应在两个工作日内编制临时报告书，予以公告。</w:t>
      </w:r>
    </w:p>
    <w:p w14:paraId="62426FE4"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5）基金托管人根据有关规定有权对基金管理人进行以下事项监督：</w:t>
      </w:r>
    </w:p>
    <w:p w14:paraId="29CB6F45"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1）本基金投资流通受限证券时的法律法规遵守情况。</w:t>
      </w:r>
    </w:p>
    <w:p w14:paraId="7C78840D"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2）在基金投资流通受限证券管理工作方面有关制度、流动性风险处置预案的建立与完善情况。</w:t>
      </w:r>
    </w:p>
    <w:p w14:paraId="366EECB2"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3）有关比例限制的执行情况。</w:t>
      </w:r>
    </w:p>
    <w:p w14:paraId="587B39CF"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4）信息披露情况。</w:t>
      </w:r>
    </w:p>
    <w:p w14:paraId="0A65AF8A"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w:t>
      </w:r>
      <w:r>
        <w:rPr>
          <w:rFonts w:asciiTheme="minorEastAsia" w:hAnsiTheme="minorEastAsia" w:cs="Arial"/>
          <w:color w:val="000000"/>
          <w:sz w:val="24"/>
          <w:szCs w:val="24"/>
        </w:rPr>
        <w:t>6）相关法律法规对基金投资流通受限证券有新规定的，从其规定。</w:t>
      </w:r>
    </w:p>
    <w:p w14:paraId="7A0C05D7"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7、基金托管人根据有关法律、法规的规定及基金合同和本协议的约定，对基金管理人产品禁投池进行监督。</w:t>
      </w:r>
    </w:p>
    <w:p w14:paraId="3A48F899"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基金管理人向基金托管人提供符合法律、法规及行业标准的基金禁投池清单。基金托管人在收到名单后</w:t>
      </w:r>
      <w:r>
        <w:rPr>
          <w:rFonts w:asciiTheme="minorEastAsia" w:hAnsiTheme="minorEastAsia" w:cs="Arial"/>
          <w:color w:val="000000"/>
          <w:sz w:val="24"/>
          <w:szCs w:val="24"/>
        </w:rPr>
        <w:t>2个工作日内电话或回函确认收到该名单。基金管理人应定期和不定期对基金禁投池清单进行更新。基金托管人在收到清单后2个工作日内电话或书面回函确认，新清单自基金托管人确认当日生效。新清单生效</w:t>
      </w:r>
      <w:proofErr w:type="gramStart"/>
      <w:r>
        <w:rPr>
          <w:rFonts w:asciiTheme="minorEastAsia" w:hAnsiTheme="minorEastAsia" w:cs="Arial" w:hint="eastAsia"/>
          <w:color w:val="000000"/>
          <w:sz w:val="24"/>
          <w:szCs w:val="24"/>
        </w:rPr>
        <w:t>前基金</w:t>
      </w:r>
      <w:proofErr w:type="gramEnd"/>
      <w:r>
        <w:rPr>
          <w:rFonts w:asciiTheme="minorEastAsia" w:hAnsiTheme="minorEastAsia" w:cs="Arial" w:hint="eastAsia"/>
          <w:color w:val="000000"/>
          <w:sz w:val="24"/>
          <w:szCs w:val="24"/>
        </w:rPr>
        <w:t>托管人仍</w:t>
      </w:r>
      <w:proofErr w:type="gramStart"/>
      <w:r>
        <w:rPr>
          <w:rFonts w:asciiTheme="minorEastAsia" w:hAnsiTheme="minorEastAsia" w:cs="Arial" w:hint="eastAsia"/>
          <w:color w:val="000000"/>
          <w:sz w:val="24"/>
          <w:szCs w:val="24"/>
        </w:rPr>
        <w:t>按原禁投池</w:t>
      </w:r>
      <w:proofErr w:type="gramEnd"/>
      <w:r>
        <w:rPr>
          <w:rFonts w:asciiTheme="minorEastAsia" w:hAnsiTheme="minorEastAsia" w:cs="Arial" w:hint="eastAsia"/>
          <w:color w:val="000000"/>
          <w:sz w:val="24"/>
          <w:szCs w:val="24"/>
        </w:rPr>
        <w:t>清单进行监督。</w:t>
      </w:r>
    </w:p>
    <w:p w14:paraId="1C75EA37"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基金管理人超越名单范围进行投资的，基金托管人应及时提醒基金管理人，但基金托管人不承担由此造成的任何损失和责任。</w:t>
      </w:r>
    </w:p>
    <w:p w14:paraId="72A6F148"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二）基金托管人应根据有关法律、法规的规定及基金合同的约定，对基金资产净值计算、各类基金份额的基金份额净值计算、应收资金到账、基金费用开支及收入确认、基金收益分配、相关信息披露、基金宣传推介材料中登载基金业绩表现数据等进行监督和核查。</w:t>
      </w:r>
    </w:p>
    <w:p w14:paraId="098344EE"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（三）基金管理人应积极配合和协助基金托管人的监督和核查，在规定时间内答复并改正，就基金托管人的合理疑义进行解释或举证。对基金托管人按照法</w:t>
      </w:r>
      <w:r>
        <w:rPr>
          <w:rFonts w:asciiTheme="minorEastAsia" w:hAnsiTheme="minorEastAsia" w:cs="Arial" w:hint="eastAsia"/>
          <w:color w:val="000000"/>
          <w:sz w:val="24"/>
          <w:szCs w:val="24"/>
        </w:rPr>
        <w:lastRenderedPageBreak/>
        <w:t>规要求需向中国证监会报送基金监督报告的，基金管理人应积极配合提供相关数据资料和制度等。</w:t>
      </w:r>
    </w:p>
    <w:p w14:paraId="0BF815FC"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前及时核对并以书面形式给基金托管人发出回函，就基金托管人的合理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47702EE0"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proofErr w:type="gramStart"/>
      <w:r>
        <w:rPr>
          <w:rFonts w:asciiTheme="minorEastAsia" w:hAnsiTheme="minorEastAsia" w:cs="Arial" w:hint="eastAsia"/>
          <w:color w:val="000000"/>
          <w:sz w:val="24"/>
          <w:szCs w:val="24"/>
        </w:rPr>
        <w:t>若基金</w:t>
      </w:r>
      <w:proofErr w:type="gramEnd"/>
      <w:r>
        <w:rPr>
          <w:rFonts w:asciiTheme="minorEastAsia" w:hAnsiTheme="minorEastAsia" w:cs="Arial" w:hint="eastAsia"/>
          <w:color w:val="000000"/>
          <w:sz w:val="24"/>
          <w:szCs w:val="24"/>
        </w:rPr>
        <w:t>托管人发现基金管理人依据交易程序已经生效的指令违反法律、行政法规和其他有关规定，或者违反《基金合同》约定的，应当立即通知基金管理人，由此造成的损失由基金管理人承担。</w:t>
      </w:r>
    </w:p>
    <w:p w14:paraId="35C32868"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p>
    <w:p w14:paraId="1AF2003D"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w:t>
      </w:r>
      <w:r>
        <w:rPr>
          <w:rFonts w:asciiTheme="minorEastAsia" w:hAnsiTheme="minorEastAsia" w:cs="Arial" w:hint="eastAsia"/>
          <w:color w:val="000000"/>
          <w:sz w:val="24"/>
          <w:szCs w:val="24"/>
        </w:rPr>
        <w:t>四）当基金持有特定资产且存在或潜在大额赎回申请时，根据最大限度保护基金份额持有人利益的原则，基金管理人经与基金托管人协商一致，并咨询会计师事务所意见后，可以依照法律法规及基金合同的约定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asciiTheme="minorEastAsia" w:hAnsiTheme="minorEastAsia" w:cs="Arial" w:hint="eastAsia"/>
          <w:color w:val="000000"/>
          <w:sz w:val="24"/>
          <w:szCs w:val="24"/>
        </w:rPr>
        <w:t>启用侧袋机制</w:t>
      </w:r>
      <w:proofErr w:type="gramEnd"/>
      <w:r>
        <w:rPr>
          <w:rFonts w:asciiTheme="minorEastAsia" w:hAnsiTheme="minorEastAsia" w:cs="Arial" w:hint="eastAsia"/>
          <w:color w:val="000000"/>
          <w:sz w:val="24"/>
          <w:szCs w:val="24"/>
        </w:rPr>
        <w:t>，无需召开基金份额持有人大会审议。</w:t>
      </w:r>
    </w:p>
    <w:p w14:paraId="50FFF18F"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proofErr w:type="gramStart"/>
      <w:r>
        <w:rPr>
          <w:rFonts w:asciiTheme="minorEastAsia" w:hAnsiTheme="minorEastAsia" w:cs="Arial" w:hint="eastAsia"/>
          <w:color w:val="000000"/>
          <w:sz w:val="24"/>
          <w:szCs w:val="24"/>
        </w:rPr>
        <w:t>侧袋机制</w:t>
      </w:r>
      <w:proofErr w:type="gramEnd"/>
      <w:r>
        <w:rPr>
          <w:rFonts w:asciiTheme="minorEastAsia" w:hAnsiTheme="minorEastAsia" w:cs="Arial" w:hint="eastAsia"/>
          <w:color w:val="000000"/>
          <w:sz w:val="24"/>
          <w:szCs w:val="24"/>
        </w:rPr>
        <w:t>实施期间，本基金的投资组合比例、投资策略、组合限制、业绩比较基准、风险收益特征等约定仅</w:t>
      </w:r>
      <w:proofErr w:type="gramStart"/>
      <w:r>
        <w:rPr>
          <w:rFonts w:asciiTheme="minorEastAsia" w:hAnsiTheme="minorEastAsia" w:cs="Arial" w:hint="eastAsia"/>
          <w:color w:val="000000"/>
          <w:sz w:val="24"/>
          <w:szCs w:val="24"/>
        </w:rPr>
        <w:t>适用于主袋账户</w:t>
      </w:r>
      <w:proofErr w:type="gramEnd"/>
      <w:r>
        <w:rPr>
          <w:rFonts w:asciiTheme="minorEastAsia" w:hAnsiTheme="minorEastAsia" w:cs="Arial" w:hint="eastAsia"/>
          <w:color w:val="000000"/>
          <w:sz w:val="24"/>
          <w:szCs w:val="24"/>
        </w:rPr>
        <w:t>。</w:t>
      </w:r>
    </w:p>
    <w:p w14:paraId="05E2ED25"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proofErr w:type="gramStart"/>
      <w:r>
        <w:rPr>
          <w:rFonts w:asciiTheme="minorEastAsia" w:hAnsiTheme="minorEastAsia" w:cs="Arial" w:hint="eastAsia"/>
          <w:color w:val="000000"/>
          <w:sz w:val="24"/>
          <w:szCs w:val="24"/>
        </w:rPr>
        <w:t>侧袋账户</w:t>
      </w:r>
      <w:proofErr w:type="gramEnd"/>
      <w:r>
        <w:rPr>
          <w:rFonts w:asciiTheme="minorEastAsia" w:hAnsiTheme="minorEastAsia" w:cs="Arial" w:hint="eastAsia"/>
          <w:color w:val="000000"/>
          <w:sz w:val="24"/>
          <w:szCs w:val="24"/>
        </w:rPr>
        <w:t>的实施条件、实施程序、运作安排（包括但不限于对基金赎回的影响、信息披露、费用列支等）、投资安排、特定资产的处置变现和支付等对投资者权益有重大影响的事项详见基金合同和招募说明书的规定。</w:t>
      </w:r>
    </w:p>
    <w:p w14:paraId="6DB05105" w14:textId="77777777" w:rsidR="0069510E"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基金托管人依照相关法律法规的规定以及基金合同和招募说明书的约定，对侧</w:t>
      </w:r>
      <w:proofErr w:type="gramStart"/>
      <w:r>
        <w:rPr>
          <w:rFonts w:asciiTheme="minorEastAsia" w:hAnsiTheme="minorEastAsia" w:cs="Arial" w:hint="eastAsia"/>
          <w:color w:val="000000"/>
          <w:sz w:val="24"/>
          <w:szCs w:val="24"/>
        </w:rPr>
        <w:t>袋机制</w:t>
      </w:r>
      <w:proofErr w:type="gramEnd"/>
      <w:r>
        <w:rPr>
          <w:rFonts w:asciiTheme="minorEastAsia" w:hAnsiTheme="minorEastAsia" w:cs="Arial" w:hint="eastAsia"/>
          <w:color w:val="000000"/>
          <w:sz w:val="24"/>
          <w:szCs w:val="24"/>
        </w:rPr>
        <w:t>启用、特定资产处置和信息披露等方面进行复核和监督。</w:t>
      </w:r>
      <w:r>
        <w:rPr>
          <w:rFonts w:asciiTheme="minorEastAsia" w:hAnsiTheme="minorEastAsia" w:cs="Arial"/>
          <w:color w:val="000000"/>
          <w:sz w:val="24"/>
          <w:szCs w:val="24"/>
        </w:rPr>
        <w:t xml:space="preserve">  </w:t>
      </w:r>
    </w:p>
    <w:p w14:paraId="20212FF1" w14:textId="77777777" w:rsidR="0069510E" w:rsidRDefault="00000000">
      <w:pPr>
        <w:pStyle w:val="aff1"/>
        <w:numPr>
          <w:ilvl w:val="0"/>
          <w:numId w:val="3"/>
        </w:numPr>
        <w:tabs>
          <w:tab w:val="left" w:pos="851"/>
        </w:tabs>
        <w:adjustRightInd w:val="0"/>
        <w:snapToGrid w:val="0"/>
        <w:spacing w:line="360" w:lineRule="auto"/>
        <w:ind w:firstLineChars="0"/>
        <w:outlineLvl w:val="1"/>
        <w:rPr>
          <w:rFonts w:asciiTheme="minorEastAsia" w:hAnsiTheme="minorEastAsia" w:cs="Arial"/>
          <w:b/>
          <w:sz w:val="24"/>
          <w:szCs w:val="24"/>
        </w:rPr>
      </w:pPr>
      <w:r>
        <w:rPr>
          <w:rFonts w:asciiTheme="minorEastAsia" w:hAnsiTheme="minorEastAsia" w:cs="Arial" w:hint="eastAsia"/>
          <w:b/>
          <w:sz w:val="24"/>
          <w:szCs w:val="24"/>
        </w:rPr>
        <w:t>基金管理人对基金托管人的业务核查</w:t>
      </w:r>
    </w:p>
    <w:p w14:paraId="34390598" w14:textId="77777777" w:rsidR="0069510E" w:rsidRDefault="00000000">
      <w:pPr>
        <w:spacing w:line="360" w:lineRule="auto"/>
        <w:ind w:firstLineChars="200" w:firstLine="480"/>
        <w:rPr>
          <w:rFonts w:ascii="宋体" w:hAnsi="宋体"/>
          <w:sz w:val="24"/>
          <w:szCs w:val="24"/>
        </w:rPr>
      </w:pPr>
      <w:r>
        <w:rPr>
          <w:rFonts w:ascii="宋体" w:hAnsi="宋体" w:hint="eastAsia"/>
          <w:sz w:val="24"/>
          <w:szCs w:val="24"/>
        </w:rPr>
        <w:lastRenderedPageBreak/>
        <w:t>根据《基金法》及其他有关法规、《基金合同》和本协议规定，基金管理人对基金托管人履行托管职责的情况进行核查，核查事项包括但不限于基金托管人是否安全保管基金财产、开立基金财产的银行存款账户、证券账户、债券托管账户等投资所需账户，是否及时、准确复核基金管理人计算的基金资产净值和各类基金份额的基金份额净值，是否根据基金管理人指令办理清算交收，是否按照法规规定和《基金合同》规定进行相关信息披露和监督基金投资运作等行为。</w:t>
      </w:r>
    </w:p>
    <w:p w14:paraId="0A987848" w14:textId="77777777" w:rsidR="0069510E" w:rsidRDefault="00000000">
      <w:pPr>
        <w:spacing w:line="360" w:lineRule="auto"/>
        <w:ind w:firstLineChars="200" w:firstLine="480"/>
        <w:rPr>
          <w:rFonts w:ascii="宋体" w:hAnsi="宋体"/>
          <w:sz w:val="24"/>
          <w:szCs w:val="24"/>
        </w:rPr>
      </w:pPr>
      <w:r>
        <w:rPr>
          <w:rFonts w:ascii="宋体" w:hAnsi="宋体" w:hint="eastAsia"/>
          <w:sz w:val="24"/>
          <w:szCs w:val="24"/>
        </w:rPr>
        <w:t>基金管理人定期【（每半年）】和不定期地对基金托管人保管的基金资产进行核查。基金托管人应积极配合基金管理人的核查行为，包括但不限于：提交相关资料以</w:t>
      </w:r>
      <w:proofErr w:type="gramStart"/>
      <w:r>
        <w:rPr>
          <w:rFonts w:ascii="宋体" w:hAnsi="宋体" w:hint="eastAsia"/>
          <w:sz w:val="24"/>
          <w:szCs w:val="24"/>
        </w:rPr>
        <w:t>供基金</w:t>
      </w:r>
      <w:proofErr w:type="gramEnd"/>
      <w:r>
        <w:rPr>
          <w:rFonts w:ascii="宋体" w:hAnsi="宋体" w:hint="eastAsia"/>
          <w:sz w:val="24"/>
          <w:szCs w:val="24"/>
        </w:rPr>
        <w:t>管理人核查托管财产的完整性和真实性，在规定时间内答复并改正。</w:t>
      </w:r>
    </w:p>
    <w:p w14:paraId="164B1064" w14:textId="77777777" w:rsidR="0069510E" w:rsidRDefault="00000000">
      <w:pPr>
        <w:spacing w:line="360" w:lineRule="auto"/>
        <w:ind w:firstLineChars="200" w:firstLine="480"/>
        <w:rPr>
          <w:rFonts w:ascii="宋体" w:hAnsi="宋体"/>
          <w:sz w:val="24"/>
          <w:szCs w:val="24"/>
        </w:rPr>
      </w:pPr>
      <w:r>
        <w:rPr>
          <w:rFonts w:ascii="宋体" w:hAnsi="宋体" w:hint="eastAsia"/>
          <w:sz w:val="24"/>
          <w:szCs w:val="24"/>
        </w:rPr>
        <w:t>基金管理人发现基金托管人未对基金资产实行分账管理、擅自挪用基金资产、未执行或无故延迟执行基金管理人资金划拨指令、泄露基金投资信息等违反《基金法》、《基金合同》、本协议及其他有关规定的，应及时以书面形式通知基金托管人在限期内纠正，基金托管人收到通知后应及时核对并以书面形式对基金管理人发出回函，说明违规原因及纠正期限，并保证在规定期限内及时改正。在限期内，基金管理人有权随时对通知事项进行复查，督促基金托管人改正。基金托管人对基金管理人通知的违规事项未能在限期内纠正的，基金管理人应报告中国证监会。对基金管理人按照法规要求需向中国证监会报送基金监督报告的，基金托管人应积极配合提供相关数据资料和制度等。</w:t>
      </w:r>
    </w:p>
    <w:p w14:paraId="58C08293" w14:textId="77777777" w:rsidR="0069510E" w:rsidRDefault="00000000">
      <w:pPr>
        <w:spacing w:line="360" w:lineRule="auto"/>
        <w:ind w:firstLineChars="200" w:firstLine="480"/>
        <w:rPr>
          <w:rFonts w:ascii="宋体" w:hAnsi="宋体"/>
          <w:sz w:val="24"/>
          <w:szCs w:val="24"/>
        </w:rPr>
      </w:pPr>
      <w:r>
        <w:rPr>
          <w:rFonts w:ascii="宋体" w:hAnsi="宋体" w:hint="eastAsia"/>
          <w:sz w:val="24"/>
          <w:szCs w:val="24"/>
        </w:rPr>
        <w:t>基金管理人发现基金托管人有重大违规行为，应立即报告中国证监会，同时通知基金托管人在限期内纠正。基金托管人无正当理由，拒绝、阻挠对方根据本协议规定行使监督权，或采取拖延、欺诈等手段妨碍对方进行有效监督，情节严重或经基金管理人提出警告仍不改正的，基金管理人应报告中国证监会。</w:t>
      </w:r>
    </w:p>
    <w:p w14:paraId="6C5E2EB8" w14:textId="77777777" w:rsidR="0069510E" w:rsidRDefault="0069510E">
      <w:pPr>
        <w:spacing w:line="360" w:lineRule="auto"/>
        <w:ind w:firstLineChars="200" w:firstLine="480"/>
        <w:rPr>
          <w:rFonts w:ascii="宋体" w:hAnsi="宋体"/>
          <w:sz w:val="24"/>
          <w:szCs w:val="24"/>
        </w:rPr>
      </w:pPr>
    </w:p>
    <w:p w14:paraId="74334991" w14:textId="77777777" w:rsidR="0069510E" w:rsidRDefault="00000000">
      <w:pPr>
        <w:pStyle w:val="aff1"/>
        <w:numPr>
          <w:ilvl w:val="0"/>
          <w:numId w:val="3"/>
        </w:numPr>
        <w:tabs>
          <w:tab w:val="left" w:pos="851"/>
        </w:tabs>
        <w:adjustRightInd w:val="0"/>
        <w:snapToGrid w:val="0"/>
        <w:spacing w:line="360" w:lineRule="auto"/>
        <w:ind w:firstLineChars="0"/>
        <w:outlineLvl w:val="1"/>
        <w:rPr>
          <w:rFonts w:asciiTheme="minorEastAsia" w:hAnsiTheme="minorEastAsia" w:cs="Arial"/>
          <w:b/>
          <w:sz w:val="24"/>
          <w:szCs w:val="24"/>
        </w:rPr>
      </w:pPr>
      <w:r>
        <w:rPr>
          <w:rFonts w:asciiTheme="minorEastAsia" w:hAnsiTheme="minorEastAsia" w:cs="Arial" w:hint="eastAsia"/>
          <w:b/>
          <w:sz w:val="24"/>
          <w:szCs w:val="24"/>
        </w:rPr>
        <w:t>基金财产的保管</w:t>
      </w:r>
    </w:p>
    <w:p w14:paraId="6E9A4246" w14:textId="77777777" w:rsidR="0069510E" w:rsidRDefault="00000000">
      <w:pPr>
        <w:spacing w:line="360" w:lineRule="auto"/>
        <w:ind w:firstLineChars="200" w:firstLine="480"/>
        <w:rPr>
          <w:rFonts w:ascii="宋体" w:hAnsi="宋体"/>
          <w:sz w:val="24"/>
          <w:szCs w:val="24"/>
        </w:rPr>
      </w:pPr>
      <w:r>
        <w:rPr>
          <w:rFonts w:ascii="宋体" w:hAnsi="宋体" w:hint="eastAsia"/>
          <w:sz w:val="24"/>
          <w:szCs w:val="24"/>
        </w:rPr>
        <w:t>（一）基金财产保管的原则</w:t>
      </w:r>
    </w:p>
    <w:p w14:paraId="2EED6859" w14:textId="77777777" w:rsidR="0069510E" w:rsidRDefault="00000000">
      <w:pPr>
        <w:spacing w:line="360" w:lineRule="auto"/>
        <w:ind w:firstLineChars="200" w:firstLine="480"/>
        <w:rPr>
          <w:rFonts w:ascii="宋体" w:hAnsi="宋体"/>
          <w:sz w:val="24"/>
          <w:szCs w:val="24"/>
        </w:rPr>
      </w:pPr>
      <w:r>
        <w:rPr>
          <w:rFonts w:ascii="宋体" w:hAnsi="宋体"/>
          <w:sz w:val="24"/>
          <w:szCs w:val="24"/>
        </w:rPr>
        <w:t>1、基金托管人应安全保管基金财产，未经基金管理人的指令，不得自行运用、处分、分配基金的任何资产。</w:t>
      </w:r>
    </w:p>
    <w:p w14:paraId="64C8EDFB" w14:textId="77777777" w:rsidR="0069510E" w:rsidRDefault="00000000">
      <w:pPr>
        <w:spacing w:line="360" w:lineRule="auto"/>
        <w:ind w:firstLineChars="200" w:firstLine="480"/>
        <w:rPr>
          <w:rFonts w:ascii="宋体" w:hAnsi="宋体"/>
          <w:sz w:val="24"/>
          <w:szCs w:val="24"/>
        </w:rPr>
      </w:pPr>
      <w:r>
        <w:rPr>
          <w:rFonts w:ascii="宋体" w:hAnsi="宋体"/>
          <w:sz w:val="24"/>
          <w:szCs w:val="24"/>
        </w:rPr>
        <w:t>2、基金财产应独立于基金管理人、基金托管人</w:t>
      </w:r>
      <w:r>
        <w:rPr>
          <w:rFonts w:ascii="宋体" w:hAnsi="宋体" w:hint="eastAsia"/>
          <w:sz w:val="24"/>
          <w:szCs w:val="24"/>
        </w:rPr>
        <w:t>、证券经纪机构的固有财产。</w:t>
      </w:r>
    </w:p>
    <w:p w14:paraId="0B5E9340" w14:textId="77777777" w:rsidR="0069510E" w:rsidRDefault="00000000">
      <w:pPr>
        <w:spacing w:line="360" w:lineRule="auto"/>
        <w:ind w:firstLineChars="200" w:firstLine="480"/>
        <w:rPr>
          <w:rFonts w:ascii="宋体" w:hAnsi="宋体"/>
          <w:sz w:val="24"/>
          <w:szCs w:val="24"/>
        </w:rPr>
      </w:pPr>
      <w:r>
        <w:rPr>
          <w:rFonts w:ascii="宋体" w:hAnsi="宋体"/>
          <w:sz w:val="24"/>
          <w:szCs w:val="24"/>
        </w:rPr>
        <w:t>3、基金托管人按照规定开立基金财产的银行</w:t>
      </w:r>
      <w:r>
        <w:rPr>
          <w:rFonts w:ascii="宋体" w:hAnsi="宋体" w:hint="eastAsia"/>
          <w:sz w:val="24"/>
          <w:szCs w:val="24"/>
        </w:rPr>
        <w:t>存款账户、证券账户、债券托</w:t>
      </w:r>
      <w:r>
        <w:rPr>
          <w:rFonts w:ascii="宋体" w:hAnsi="宋体" w:hint="eastAsia"/>
          <w:sz w:val="24"/>
          <w:szCs w:val="24"/>
        </w:rPr>
        <w:lastRenderedPageBreak/>
        <w:t>管账户等投资所需账户。</w:t>
      </w:r>
    </w:p>
    <w:p w14:paraId="4643A24A" w14:textId="77777777" w:rsidR="0069510E" w:rsidRDefault="00000000">
      <w:pPr>
        <w:spacing w:line="360" w:lineRule="auto"/>
        <w:ind w:firstLineChars="200" w:firstLine="480"/>
        <w:rPr>
          <w:rFonts w:ascii="宋体" w:hAnsi="宋体"/>
          <w:sz w:val="24"/>
          <w:szCs w:val="24"/>
        </w:rPr>
      </w:pPr>
      <w:r>
        <w:rPr>
          <w:rFonts w:ascii="宋体" w:hAnsi="宋体"/>
          <w:sz w:val="24"/>
          <w:szCs w:val="24"/>
        </w:rPr>
        <w:t>4、基金托管人对所托管的不同基金财产分别设置账户，与基金托管人的其他业务和其他基金的托管业务实行严格的分账管理，确保基金财产的完整和独立。</w:t>
      </w:r>
    </w:p>
    <w:p w14:paraId="2BB5D8E3" w14:textId="77777777" w:rsidR="0069510E" w:rsidRDefault="00000000">
      <w:pPr>
        <w:spacing w:line="360" w:lineRule="auto"/>
        <w:ind w:firstLineChars="200" w:firstLine="480"/>
        <w:rPr>
          <w:rFonts w:ascii="宋体" w:hAnsi="宋体"/>
          <w:sz w:val="24"/>
          <w:szCs w:val="24"/>
        </w:rPr>
      </w:pPr>
      <w:r>
        <w:rPr>
          <w:rFonts w:ascii="宋体" w:hAnsi="宋体"/>
          <w:sz w:val="24"/>
          <w:szCs w:val="24"/>
        </w:rPr>
        <w:t>5、对于因为基金投资产生的应收资产和基金申购过程中产生的应收资产，应由基金管理人负责与有关当事人确定到账日期并通知基金托管人，到账日基金资产没有到达基金银行存款账户的，基金托管人应及时通知基金管理人采取措施进行催收。由此给基金造成损失的，基金管理人应负责向有关当事人追偿基金的损失。基金托管人对此不承担任何责任。</w:t>
      </w:r>
    </w:p>
    <w:p w14:paraId="7A4E346F" w14:textId="77777777" w:rsidR="0069510E" w:rsidRDefault="00000000">
      <w:pPr>
        <w:spacing w:line="360" w:lineRule="auto"/>
        <w:ind w:firstLineChars="200" w:firstLine="480"/>
        <w:rPr>
          <w:rFonts w:ascii="宋体" w:hAnsi="宋体"/>
          <w:sz w:val="24"/>
          <w:szCs w:val="24"/>
        </w:rPr>
      </w:pPr>
      <w:r>
        <w:rPr>
          <w:rFonts w:ascii="宋体" w:hAnsi="宋体"/>
          <w:sz w:val="24"/>
          <w:szCs w:val="24"/>
        </w:rPr>
        <w:t>6、除依据法律法规和《基金合同》的规定外，基金托管人不得委托第三人托管基金财产。</w:t>
      </w:r>
    </w:p>
    <w:p w14:paraId="253E7A77" w14:textId="77777777" w:rsidR="0069510E" w:rsidRDefault="00000000">
      <w:pPr>
        <w:spacing w:line="360" w:lineRule="auto"/>
        <w:ind w:firstLineChars="200" w:firstLine="480"/>
        <w:rPr>
          <w:rFonts w:ascii="宋体" w:hAnsi="宋体"/>
          <w:sz w:val="24"/>
          <w:szCs w:val="24"/>
        </w:rPr>
      </w:pPr>
      <w:r>
        <w:rPr>
          <w:rFonts w:ascii="宋体" w:hAnsi="宋体" w:hint="eastAsia"/>
          <w:sz w:val="24"/>
          <w:szCs w:val="24"/>
        </w:rPr>
        <w:t>（二）基金募集资产的验证</w:t>
      </w:r>
    </w:p>
    <w:p w14:paraId="68ECEFAF" w14:textId="77777777" w:rsidR="0069510E" w:rsidRDefault="00000000">
      <w:pPr>
        <w:spacing w:line="360" w:lineRule="auto"/>
        <w:ind w:firstLineChars="200" w:firstLine="480"/>
        <w:rPr>
          <w:rFonts w:ascii="宋体" w:hAnsi="宋体"/>
          <w:sz w:val="24"/>
          <w:szCs w:val="24"/>
        </w:rPr>
      </w:pPr>
      <w:r>
        <w:rPr>
          <w:rFonts w:ascii="宋体" w:hAnsi="宋体" w:hint="eastAsia"/>
          <w:sz w:val="24"/>
          <w:szCs w:val="24"/>
        </w:rPr>
        <w:t>基金募集期间募集的资金应存于基金管理人在具有基金销售业务资格或托管资格的商业银行开设的富荣基金管理有限公司基金募集专户。该账户由基金管理人开立并管理。</w:t>
      </w:r>
    </w:p>
    <w:p w14:paraId="64B3FF36" w14:textId="77777777" w:rsidR="0069510E" w:rsidRDefault="00000000">
      <w:pPr>
        <w:spacing w:line="360" w:lineRule="auto"/>
        <w:ind w:firstLineChars="200" w:firstLine="480"/>
        <w:rPr>
          <w:rFonts w:ascii="宋体" w:hAnsi="宋体"/>
          <w:sz w:val="24"/>
          <w:szCs w:val="24"/>
        </w:rPr>
      </w:pPr>
      <w:r>
        <w:rPr>
          <w:rFonts w:ascii="宋体" w:hAnsi="宋体" w:hint="eastAsia"/>
          <w:sz w:val="24"/>
          <w:szCs w:val="24"/>
        </w:rPr>
        <w:t>基金募集期满之日起</w:t>
      </w:r>
      <w:r>
        <w:rPr>
          <w:rFonts w:ascii="宋体" w:hAnsi="宋体"/>
          <w:sz w:val="24"/>
          <w:szCs w:val="24"/>
        </w:rPr>
        <w:t>10日内，募集的基金</w:t>
      </w:r>
      <w:r>
        <w:rPr>
          <w:rFonts w:ascii="宋体" w:hAnsi="宋体" w:hint="eastAsia"/>
          <w:sz w:val="24"/>
          <w:szCs w:val="24"/>
        </w:rPr>
        <w:t>份额总额、基金募集金额、基金份额持有人人数符合《基金法》、《运作办法》等有关规定后，由基金管理人聘请符合《中华人民共和国证券法》规定的会计师事务所进行验资，出具验资报告，出具的验资报告应由参加验资的</w:t>
      </w:r>
      <w:r>
        <w:rPr>
          <w:rFonts w:ascii="宋体" w:hAnsi="宋体"/>
          <w:sz w:val="24"/>
          <w:szCs w:val="24"/>
        </w:rPr>
        <w:t>2名以上（含2名）中国注册会计师签字有效。验资完成，基金管理人应将募集到的全部资金存入基金托管人为基金开立的基金银行存款账户中，基金托管人在收到资金当日出具相关证明文件。</w:t>
      </w:r>
    </w:p>
    <w:p w14:paraId="6852B75F" w14:textId="77777777" w:rsidR="0069510E" w:rsidRDefault="00000000">
      <w:pPr>
        <w:spacing w:line="360" w:lineRule="auto"/>
        <w:ind w:firstLineChars="200" w:firstLine="480"/>
        <w:rPr>
          <w:rFonts w:ascii="宋体" w:hAnsi="宋体"/>
          <w:sz w:val="24"/>
          <w:szCs w:val="24"/>
        </w:rPr>
      </w:pPr>
      <w:r>
        <w:rPr>
          <w:rFonts w:ascii="宋体" w:hAnsi="宋体" w:hint="eastAsia"/>
          <w:sz w:val="24"/>
          <w:szCs w:val="24"/>
        </w:rPr>
        <w:t>（三）基金的银行存款账户的开立和管理</w:t>
      </w:r>
    </w:p>
    <w:p w14:paraId="4851A1E9" w14:textId="77777777" w:rsidR="0069510E" w:rsidRDefault="00000000">
      <w:pPr>
        <w:spacing w:line="360" w:lineRule="auto"/>
        <w:ind w:firstLineChars="200" w:firstLine="480"/>
        <w:rPr>
          <w:rFonts w:ascii="宋体" w:hAnsi="宋体"/>
          <w:sz w:val="24"/>
          <w:szCs w:val="24"/>
        </w:rPr>
      </w:pPr>
      <w:r>
        <w:rPr>
          <w:rFonts w:ascii="宋体" w:hAnsi="宋体"/>
          <w:sz w:val="24"/>
          <w:szCs w:val="24"/>
        </w:rPr>
        <w:t>1、基金托管人应负责本基金银行存款账户的开立和管理。</w:t>
      </w:r>
    </w:p>
    <w:p w14:paraId="7EBD3EC8" w14:textId="77777777" w:rsidR="0069510E" w:rsidRDefault="00000000">
      <w:pPr>
        <w:spacing w:line="360" w:lineRule="auto"/>
        <w:ind w:firstLineChars="200" w:firstLine="480"/>
        <w:rPr>
          <w:rFonts w:ascii="宋体" w:hAnsi="宋体"/>
          <w:sz w:val="24"/>
          <w:szCs w:val="24"/>
        </w:rPr>
      </w:pPr>
      <w:r>
        <w:rPr>
          <w:rFonts w:ascii="宋体" w:hAnsi="宋体"/>
          <w:sz w:val="24"/>
          <w:szCs w:val="24"/>
        </w:rPr>
        <w:t>2、基金托管人以本基金的名义在商业银行开立基金的银行存款账户，并根据中国人民银行规定计息。本基金的银行预留印鉴由基金托管</w:t>
      </w:r>
      <w:proofErr w:type="gramStart"/>
      <w:r>
        <w:rPr>
          <w:rFonts w:ascii="宋体" w:hAnsi="宋体" w:hint="eastAsia"/>
          <w:sz w:val="24"/>
          <w:szCs w:val="24"/>
        </w:rPr>
        <w:t>人制</w:t>
      </w:r>
      <w:proofErr w:type="gramEnd"/>
      <w:r>
        <w:rPr>
          <w:rFonts w:ascii="宋体" w:hAnsi="宋体" w:hint="eastAsia"/>
          <w:sz w:val="24"/>
          <w:szCs w:val="24"/>
        </w:rPr>
        <w:t>作、保管和使用。本基金的一切货币收支活动，包括但不限于投资、支付赎回金额、支付基金收益，均需通过本基金的银行存款账户进行。</w:t>
      </w:r>
    </w:p>
    <w:p w14:paraId="3D1E8860" w14:textId="77777777" w:rsidR="0069510E" w:rsidRDefault="00000000">
      <w:pPr>
        <w:spacing w:line="360" w:lineRule="auto"/>
        <w:ind w:firstLineChars="200" w:firstLine="480"/>
        <w:rPr>
          <w:rFonts w:ascii="宋体" w:hAnsi="宋体"/>
          <w:sz w:val="24"/>
          <w:szCs w:val="24"/>
        </w:rPr>
      </w:pPr>
      <w:r>
        <w:rPr>
          <w:rFonts w:ascii="宋体" w:hAnsi="宋体"/>
          <w:sz w:val="24"/>
          <w:szCs w:val="24"/>
        </w:rPr>
        <w:t>3、本基金银行存款账户的开立和使用，限于满足开展本基金业务的需要。基金托管人和基金管理人不得假借本基金的名义开立其他任何银行存款账户；亦不得使用基金的任何银行存款账户进行本基金业务以外的活动。</w:t>
      </w:r>
    </w:p>
    <w:p w14:paraId="57629F51" w14:textId="77777777" w:rsidR="0069510E" w:rsidRDefault="00000000">
      <w:pPr>
        <w:spacing w:line="360" w:lineRule="auto"/>
        <w:ind w:firstLineChars="200" w:firstLine="480"/>
        <w:rPr>
          <w:rFonts w:ascii="宋体" w:hAnsi="宋体"/>
          <w:sz w:val="24"/>
          <w:szCs w:val="24"/>
        </w:rPr>
      </w:pPr>
      <w:r>
        <w:rPr>
          <w:rFonts w:ascii="宋体" w:hAnsi="宋体"/>
          <w:sz w:val="24"/>
          <w:szCs w:val="24"/>
        </w:rPr>
        <w:lastRenderedPageBreak/>
        <w:t>4、基金托管人可以通过申请开通本基金银行账户的企业网上银行业务进行资金支付，并使用企业网上银行（简称“网银”）办理托管资产的资金结算汇划业务。</w:t>
      </w:r>
    </w:p>
    <w:p w14:paraId="7D86DB76" w14:textId="77777777" w:rsidR="0069510E" w:rsidRDefault="00000000">
      <w:pPr>
        <w:spacing w:line="360" w:lineRule="auto"/>
        <w:ind w:firstLineChars="200" w:firstLine="480"/>
        <w:rPr>
          <w:rFonts w:ascii="宋体" w:hAnsi="宋体"/>
          <w:sz w:val="24"/>
          <w:szCs w:val="24"/>
        </w:rPr>
      </w:pPr>
      <w:r>
        <w:rPr>
          <w:rFonts w:ascii="宋体" w:hAnsi="宋体"/>
          <w:sz w:val="24"/>
          <w:szCs w:val="24"/>
        </w:rPr>
        <w:t>5、基金银行存款账户的管理应符合法律、法规以及银行业监督管理机构的其他规定。</w:t>
      </w:r>
    </w:p>
    <w:p w14:paraId="399E336E" w14:textId="77777777" w:rsidR="0069510E" w:rsidRDefault="00000000">
      <w:pPr>
        <w:spacing w:line="360" w:lineRule="auto"/>
        <w:ind w:firstLineChars="200" w:firstLine="480"/>
        <w:rPr>
          <w:rFonts w:ascii="宋体" w:hAnsi="宋体"/>
          <w:sz w:val="24"/>
          <w:szCs w:val="24"/>
        </w:rPr>
      </w:pPr>
      <w:r>
        <w:rPr>
          <w:rFonts w:ascii="宋体" w:hAnsi="宋体" w:hint="eastAsia"/>
          <w:sz w:val="24"/>
          <w:szCs w:val="24"/>
        </w:rPr>
        <w:t>（四）基金的证券交收账户和资金交收账户的开立和管理</w:t>
      </w:r>
    </w:p>
    <w:p w14:paraId="0527DCA7" w14:textId="77777777" w:rsidR="0069510E" w:rsidRDefault="00000000">
      <w:pPr>
        <w:spacing w:line="360" w:lineRule="auto"/>
        <w:ind w:firstLineChars="200" w:firstLine="480"/>
        <w:rPr>
          <w:rFonts w:ascii="宋体" w:hAnsi="宋体"/>
          <w:sz w:val="24"/>
          <w:szCs w:val="24"/>
        </w:rPr>
      </w:pPr>
      <w:r>
        <w:rPr>
          <w:rFonts w:ascii="宋体" w:hAnsi="宋体" w:hint="eastAsia"/>
          <w:sz w:val="24"/>
          <w:szCs w:val="24"/>
        </w:rPr>
        <w:t>基金托管人以基金托管人和本基金联名的方式在中国证券登记结算有限责任公司开立证券账户。</w:t>
      </w:r>
    </w:p>
    <w:p w14:paraId="6548B667" w14:textId="77777777" w:rsidR="0069510E" w:rsidRDefault="00000000">
      <w:pPr>
        <w:spacing w:line="360" w:lineRule="auto"/>
        <w:ind w:firstLineChars="200" w:firstLine="480"/>
        <w:rPr>
          <w:rFonts w:ascii="宋体" w:hAnsi="宋体"/>
          <w:sz w:val="24"/>
          <w:szCs w:val="24"/>
        </w:rPr>
      </w:pPr>
      <w:r>
        <w:rPr>
          <w:rFonts w:ascii="宋体" w:hAnsi="宋体" w:hint="eastAsia"/>
          <w:sz w:val="24"/>
          <w:szCs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318A6F0D" w14:textId="77777777" w:rsidR="0069510E" w:rsidRDefault="00000000">
      <w:pPr>
        <w:spacing w:line="360" w:lineRule="auto"/>
        <w:ind w:firstLineChars="200" w:firstLine="480"/>
        <w:rPr>
          <w:rFonts w:ascii="宋体" w:hAnsi="宋体"/>
          <w:sz w:val="24"/>
          <w:szCs w:val="24"/>
        </w:rPr>
      </w:pPr>
      <w:r>
        <w:rPr>
          <w:rFonts w:ascii="宋体" w:hAnsi="宋体" w:hint="eastAsia"/>
          <w:sz w:val="24"/>
          <w:szCs w:val="24"/>
        </w:rPr>
        <w:t>基金管理人不得对基金证券交收账户、资金交收账户进行证券的超卖或超买。</w:t>
      </w:r>
    </w:p>
    <w:p w14:paraId="26D31333" w14:textId="77777777" w:rsidR="0069510E" w:rsidRDefault="00000000">
      <w:pPr>
        <w:spacing w:line="360" w:lineRule="auto"/>
        <w:ind w:firstLineChars="200" w:firstLine="480"/>
        <w:rPr>
          <w:rFonts w:ascii="宋体" w:hAnsi="宋体"/>
          <w:sz w:val="24"/>
          <w:szCs w:val="24"/>
        </w:rPr>
      </w:pPr>
      <w:r>
        <w:rPr>
          <w:rFonts w:ascii="宋体" w:hAnsi="宋体" w:hint="eastAsia"/>
          <w:sz w:val="24"/>
          <w:szCs w:val="24"/>
        </w:rPr>
        <w:t>（五）债券托管账户的开立和管理</w:t>
      </w:r>
    </w:p>
    <w:p w14:paraId="0A945E54" w14:textId="77777777" w:rsidR="0069510E" w:rsidRDefault="00000000">
      <w:pPr>
        <w:spacing w:line="360" w:lineRule="auto"/>
        <w:ind w:firstLineChars="200" w:firstLine="480"/>
        <w:rPr>
          <w:rFonts w:ascii="宋体" w:hAnsi="宋体"/>
          <w:sz w:val="24"/>
          <w:szCs w:val="24"/>
        </w:rPr>
      </w:pPr>
      <w:r>
        <w:rPr>
          <w:rFonts w:ascii="宋体" w:hAnsi="宋体"/>
          <w:sz w:val="24"/>
          <w:szCs w:val="24"/>
        </w:rPr>
        <w:t>1、募集资金经验资后，基金托管人负责在中央国债登记结算有限责任公司及银行间市场清算所股份有限公司以本基金的名义开立债券托管账户，并由基金托管人负责基金的债券及资金的清算。在上述手续办理完毕后，由基金托管人向人民银行进行报备。基金管理人负责申请基金进入全国银行间同业拆借市场进行交易，由基金管理人在中国外汇交易中心开设同业拆借市场交易账户。</w:t>
      </w:r>
    </w:p>
    <w:p w14:paraId="78F364F9" w14:textId="77777777" w:rsidR="0069510E" w:rsidRDefault="00000000">
      <w:pPr>
        <w:spacing w:line="360" w:lineRule="auto"/>
        <w:ind w:firstLineChars="200" w:firstLine="480"/>
        <w:rPr>
          <w:rFonts w:ascii="宋体" w:hAnsi="宋体"/>
          <w:sz w:val="24"/>
          <w:szCs w:val="24"/>
        </w:rPr>
      </w:pPr>
      <w:r>
        <w:rPr>
          <w:rFonts w:ascii="宋体" w:hAnsi="宋体"/>
          <w:sz w:val="24"/>
          <w:szCs w:val="24"/>
        </w:rPr>
        <w:t>2、基金管理人代表基金对外签订中国银行间债券市场回购交易主协议。</w:t>
      </w:r>
    </w:p>
    <w:p w14:paraId="2C75A7F5" w14:textId="77777777" w:rsidR="0069510E" w:rsidRDefault="00000000">
      <w:pPr>
        <w:spacing w:line="360" w:lineRule="auto"/>
        <w:ind w:firstLineChars="200" w:firstLine="480"/>
        <w:rPr>
          <w:rFonts w:ascii="宋体" w:hAnsi="宋体"/>
          <w:sz w:val="24"/>
          <w:szCs w:val="24"/>
        </w:rPr>
      </w:pPr>
      <w:r>
        <w:rPr>
          <w:rFonts w:ascii="宋体" w:hAnsi="宋体" w:hint="eastAsia"/>
          <w:sz w:val="24"/>
          <w:szCs w:val="24"/>
        </w:rPr>
        <w:t>（六）其他账户的开立和管理</w:t>
      </w:r>
    </w:p>
    <w:p w14:paraId="38B93374" w14:textId="77777777" w:rsidR="0069510E" w:rsidRDefault="00000000">
      <w:pPr>
        <w:spacing w:line="360" w:lineRule="auto"/>
        <w:ind w:firstLineChars="200" w:firstLine="480"/>
        <w:rPr>
          <w:rFonts w:ascii="宋体" w:hAnsi="宋体"/>
          <w:sz w:val="24"/>
          <w:szCs w:val="24"/>
        </w:rPr>
      </w:pPr>
      <w:r>
        <w:rPr>
          <w:rFonts w:ascii="宋体" w:hAnsi="宋体" w:hint="eastAsia"/>
          <w:sz w:val="24"/>
          <w:szCs w:val="24"/>
        </w:rPr>
        <w:t>若中国证监会或其他监管机构在本托管协议订立日之后允许基金从事其他投资品种的投资业务，涉及相关账户的开立、使用的，由基金管理人协助基金托管人根据有关法律、法规的规定和《基金合同》的约定，开立有关账户。该账户按有关规则使用并管理。</w:t>
      </w:r>
    </w:p>
    <w:p w14:paraId="33F7ADA0" w14:textId="77777777" w:rsidR="0069510E" w:rsidRDefault="00000000">
      <w:pPr>
        <w:spacing w:line="360" w:lineRule="auto"/>
        <w:ind w:firstLineChars="200" w:firstLine="480"/>
        <w:rPr>
          <w:rFonts w:ascii="宋体" w:hAnsi="宋体"/>
          <w:sz w:val="24"/>
          <w:szCs w:val="24"/>
        </w:rPr>
      </w:pPr>
      <w:r>
        <w:rPr>
          <w:rFonts w:ascii="宋体" w:hAnsi="宋体" w:hint="eastAsia"/>
          <w:sz w:val="24"/>
          <w:szCs w:val="24"/>
        </w:rPr>
        <w:t>法律法规等有关规定对相关账户的开立和管理另有规定的，从其规定办理。</w:t>
      </w:r>
    </w:p>
    <w:p w14:paraId="3FCCADB7" w14:textId="77777777" w:rsidR="0069510E" w:rsidRDefault="00000000">
      <w:pPr>
        <w:spacing w:line="360" w:lineRule="auto"/>
        <w:ind w:firstLineChars="200" w:firstLine="480"/>
        <w:rPr>
          <w:rFonts w:ascii="宋体" w:hAnsi="宋体"/>
          <w:sz w:val="24"/>
          <w:szCs w:val="24"/>
        </w:rPr>
      </w:pPr>
      <w:r>
        <w:rPr>
          <w:rFonts w:ascii="宋体" w:hAnsi="宋体" w:hint="eastAsia"/>
          <w:sz w:val="24"/>
          <w:szCs w:val="24"/>
        </w:rPr>
        <w:t>（七）基金财产投资的有关实物证券、银行存款定期存单等有价凭证的保管</w:t>
      </w:r>
    </w:p>
    <w:p w14:paraId="2A31101C" w14:textId="77777777" w:rsidR="0069510E" w:rsidRDefault="00000000">
      <w:pPr>
        <w:spacing w:line="360" w:lineRule="auto"/>
        <w:ind w:firstLineChars="200" w:firstLine="480"/>
        <w:rPr>
          <w:rFonts w:ascii="宋体" w:hAnsi="宋体"/>
          <w:sz w:val="24"/>
          <w:szCs w:val="24"/>
        </w:rPr>
      </w:pPr>
      <w:r>
        <w:rPr>
          <w:rFonts w:ascii="宋体" w:hAnsi="宋体" w:hint="eastAsia"/>
          <w:sz w:val="24"/>
          <w:szCs w:val="24"/>
        </w:rPr>
        <w:t>实物证券由基金托管人存放于基金托管人或其他基金管理人与基金托管人协议一致的第三方机构的保管库。实物证券的购买和转让，由基金托管人根据基金管理人的指令办理。基金托管人对由基金托管人以外机构实际有效控制的本基</w:t>
      </w:r>
      <w:r>
        <w:rPr>
          <w:rFonts w:ascii="宋体" w:hAnsi="宋体" w:hint="eastAsia"/>
          <w:sz w:val="24"/>
          <w:szCs w:val="24"/>
        </w:rPr>
        <w:lastRenderedPageBreak/>
        <w:t>金资产不承担保管责任。</w:t>
      </w:r>
    </w:p>
    <w:p w14:paraId="3743D8B7" w14:textId="77777777" w:rsidR="0069510E" w:rsidRDefault="00000000">
      <w:pPr>
        <w:spacing w:line="360" w:lineRule="auto"/>
        <w:ind w:firstLineChars="200" w:firstLine="480"/>
        <w:rPr>
          <w:rFonts w:ascii="宋体" w:hAnsi="宋体"/>
          <w:sz w:val="24"/>
          <w:szCs w:val="24"/>
        </w:rPr>
      </w:pPr>
      <w:r>
        <w:rPr>
          <w:rFonts w:ascii="宋体" w:hAnsi="宋体" w:hint="eastAsia"/>
          <w:sz w:val="24"/>
          <w:szCs w:val="24"/>
        </w:rPr>
        <w:t>银行存款定期存单等有价凭证由基金托管人负责保管。</w:t>
      </w:r>
    </w:p>
    <w:p w14:paraId="40DDB674" w14:textId="77777777" w:rsidR="0069510E" w:rsidRDefault="00000000">
      <w:pPr>
        <w:spacing w:line="360" w:lineRule="auto"/>
        <w:ind w:firstLineChars="200" w:firstLine="480"/>
        <w:rPr>
          <w:rFonts w:ascii="宋体" w:hAnsi="宋体"/>
          <w:sz w:val="24"/>
          <w:szCs w:val="24"/>
        </w:rPr>
      </w:pPr>
      <w:r>
        <w:rPr>
          <w:rFonts w:ascii="宋体" w:hAnsi="宋体" w:hint="eastAsia"/>
          <w:sz w:val="24"/>
          <w:szCs w:val="24"/>
        </w:rPr>
        <w:t>（八）与基金财产有关的重大合同的保管</w:t>
      </w:r>
    </w:p>
    <w:p w14:paraId="14AD4F0B" w14:textId="77777777" w:rsidR="0069510E" w:rsidRDefault="00000000">
      <w:pPr>
        <w:spacing w:line="360" w:lineRule="auto"/>
        <w:ind w:firstLineChars="200" w:firstLine="480"/>
        <w:rPr>
          <w:rFonts w:ascii="宋体" w:hAnsi="宋体"/>
          <w:sz w:val="24"/>
          <w:szCs w:val="24"/>
        </w:rPr>
      </w:pPr>
      <w:r>
        <w:rPr>
          <w:rFonts w:ascii="宋体" w:hAnsi="宋体" w:hint="eastAsia"/>
          <w:sz w:val="24"/>
          <w:szCs w:val="24"/>
        </w:rPr>
        <w:t>由基金管理人代表基金签署的与基金有关的重大合同的原件分别由基金托管人、基金管理人保管，相关业务程序另有限制除外。除本协议另有规定外，基金管理人在代基金签署与基金有关的重大合同时应尽可能保证持有二份以上的正本，以便基金管理人和基金托管人至少各持有一份正本的原件，基金管理人在合同签署后</w:t>
      </w:r>
      <w:r>
        <w:rPr>
          <w:rFonts w:ascii="宋体" w:hAnsi="宋体"/>
          <w:sz w:val="24"/>
          <w:szCs w:val="24"/>
        </w:rPr>
        <w:t>15个工作日内通过专人送达、挂号邮寄等安全方式将合同原件送达基金托管人处。合同的保管期限按照国家有关规定执行。</w:t>
      </w:r>
    </w:p>
    <w:p w14:paraId="57BE16BC" w14:textId="77777777" w:rsidR="0069510E" w:rsidRDefault="00000000">
      <w:pPr>
        <w:spacing w:line="360" w:lineRule="auto"/>
        <w:ind w:firstLineChars="200" w:firstLine="480"/>
        <w:rPr>
          <w:rFonts w:ascii="宋体" w:hAnsi="宋体"/>
          <w:sz w:val="24"/>
          <w:szCs w:val="24"/>
        </w:rPr>
      </w:pPr>
      <w:r>
        <w:rPr>
          <w:rFonts w:ascii="宋体" w:hAnsi="宋体" w:hint="eastAsia"/>
          <w:sz w:val="24"/>
          <w:szCs w:val="24"/>
        </w:rPr>
        <w:t>对于无法取得二份以上的正本的，基金管理人应向基金托管人提供与原件核对一致后加盖授权业务章的合同扫描件或传真件，未经双方协商或未在合同约定范围内，合同原件不得转移。</w:t>
      </w:r>
    </w:p>
    <w:p w14:paraId="327B1DEA" w14:textId="77777777" w:rsidR="0069510E" w:rsidRDefault="00000000">
      <w:pPr>
        <w:spacing w:line="360" w:lineRule="auto"/>
        <w:ind w:firstLineChars="200" w:firstLine="480"/>
        <w:rPr>
          <w:rFonts w:ascii="宋体" w:hAnsi="宋体"/>
          <w:sz w:val="24"/>
          <w:szCs w:val="24"/>
        </w:rPr>
      </w:pPr>
      <w:r>
        <w:rPr>
          <w:rFonts w:ascii="宋体" w:hAnsi="宋体" w:hint="eastAsia"/>
          <w:sz w:val="24"/>
          <w:szCs w:val="24"/>
        </w:rPr>
        <w:t>因基金管理人未按本协议约定及时向基金托管人送达重大合同原件或扫描件或传真件导致的法律责任，基金托管人不予承担。</w:t>
      </w:r>
    </w:p>
    <w:p w14:paraId="383757E6" w14:textId="77777777" w:rsidR="0069510E" w:rsidRDefault="0069510E">
      <w:pPr>
        <w:spacing w:line="360" w:lineRule="auto"/>
        <w:ind w:firstLineChars="200" w:firstLine="480"/>
        <w:rPr>
          <w:rFonts w:ascii="宋体" w:hAnsi="宋体"/>
          <w:sz w:val="24"/>
          <w:szCs w:val="24"/>
        </w:rPr>
      </w:pPr>
    </w:p>
    <w:p w14:paraId="3E33EDBE" w14:textId="77777777" w:rsidR="0069510E" w:rsidRDefault="00000000">
      <w:pPr>
        <w:pStyle w:val="aff1"/>
        <w:numPr>
          <w:ilvl w:val="0"/>
          <w:numId w:val="3"/>
        </w:numPr>
        <w:tabs>
          <w:tab w:val="left" w:pos="851"/>
        </w:tabs>
        <w:adjustRightInd w:val="0"/>
        <w:snapToGrid w:val="0"/>
        <w:spacing w:line="360" w:lineRule="auto"/>
        <w:ind w:firstLineChars="0"/>
        <w:outlineLvl w:val="1"/>
        <w:rPr>
          <w:rFonts w:asciiTheme="minorEastAsia" w:hAnsiTheme="minorEastAsia" w:cs="Arial"/>
          <w:b/>
          <w:sz w:val="24"/>
          <w:szCs w:val="24"/>
        </w:rPr>
      </w:pPr>
      <w:r>
        <w:rPr>
          <w:rFonts w:asciiTheme="minorEastAsia" w:hAnsiTheme="minorEastAsia" w:cs="Arial" w:hint="eastAsia"/>
          <w:b/>
          <w:sz w:val="24"/>
          <w:szCs w:val="24"/>
        </w:rPr>
        <w:t>基金资产净值计算和会计核算</w:t>
      </w:r>
    </w:p>
    <w:p w14:paraId="69346E08"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（一）基金资产净值及各类基金份额的基金份额净值的计算与复核</w:t>
      </w:r>
    </w:p>
    <w:p w14:paraId="1B6E2B36"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基金资产净值是指基金资产总值减去负债后的价值。</w:t>
      </w:r>
    </w:p>
    <w:p w14:paraId="6C7C6538"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每工作日对基金资产估值。但基金管理人根据法律法规或基金合同的规定暂停估值时除外。估值原则应符合《基金合同》、《中国证监会关于证券投资基金估值业务的指导意见》、《证券投资基金会计核算业务指引》及其他法律、法规的规定。基金资产净值和各类基金份额的基金份额净值由基金管理人负责计算，基金托管人复核。各类基金份额净值是按照每个工作日闭市后，该类基金资产净值除以当日该类基金份额的余额数量计算，精确到</w:t>
      </w:r>
      <w:r>
        <w:rPr>
          <w:rFonts w:asciiTheme="minorEastAsia" w:hAnsiTheme="minorEastAsia" w:cs="Arial"/>
          <w:sz w:val="24"/>
          <w:szCs w:val="24"/>
        </w:rPr>
        <w:t>0.0001元，小数点后第5位四舍五入，由此产生的收益或损失由基金财产承担。基金管理人可以设立大额赎回情形下的净值精度应急调整机制。国家另有规定的，从其规定。基金管理人</w:t>
      </w:r>
      <w:proofErr w:type="gramStart"/>
      <w:r>
        <w:rPr>
          <w:rFonts w:asciiTheme="minorEastAsia" w:hAnsiTheme="minorEastAsia" w:cs="Arial" w:hint="eastAsia"/>
          <w:sz w:val="24"/>
          <w:szCs w:val="24"/>
        </w:rPr>
        <w:t>应每个</w:t>
      </w:r>
      <w:proofErr w:type="gramEnd"/>
      <w:r>
        <w:rPr>
          <w:rFonts w:asciiTheme="minorEastAsia" w:hAnsiTheme="minorEastAsia" w:cs="Arial" w:hint="eastAsia"/>
          <w:sz w:val="24"/>
          <w:szCs w:val="24"/>
        </w:rPr>
        <w:t>工作日对基金资产估值。但基金管理人根据法律法规或基金合同的规定暂停估值时除外。基金管理人每个工作日对基金资产估值后，将各类基金份额净值结果发送基金托管人，经基金托管人复核无误后，由基金管理人按规定对外公布。</w:t>
      </w:r>
    </w:p>
    <w:p w14:paraId="7B4414CB"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本基金按以下方法估值：</w:t>
      </w:r>
      <w:r>
        <w:rPr>
          <w:rFonts w:asciiTheme="minorEastAsia" w:hAnsiTheme="minorEastAsia" w:cs="Arial"/>
          <w:sz w:val="24"/>
          <w:szCs w:val="24"/>
        </w:rPr>
        <w:t xml:space="preserve"> </w:t>
      </w:r>
    </w:p>
    <w:p w14:paraId="7DDEAEE5"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1、证券交易所上市的有价证券的估值</w:t>
      </w:r>
    </w:p>
    <w:p w14:paraId="62E890D5"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F092F25"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6E626A44"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5093AC03"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4）交易所上市交易的可转换债券以每日收盘价作为估值全价；</w:t>
      </w:r>
    </w:p>
    <w:p w14:paraId="4C3ACBED"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5）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06AE1EF7"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6）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60E6915E"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2、处于未上市期间的有价证券应区分如下情况处理：</w:t>
      </w:r>
    </w:p>
    <w:p w14:paraId="0863A05D"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1）送股、转增股、配股和公开增发的新股，按估值日在证券交易所挂牌的同一股票的估值方法估值；该日无交易的，以最近一日的市价（收盘价）估值；</w:t>
      </w:r>
    </w:p>
    <w:p w14:paraId="710BC1C2"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w:t>
      </w:r>
      <w:r>
        <w:rPr>
          <w:rFonts w:asciiTheme="minorEastAsia" w:hAnsiTheme="minorEastAsia" w:cs="Arial"/>
          <w:sz w:val="24"/>
          <w:szCs w:val="24"/>
        </w:rPr>
        <w:t>2）首次公开发行未上市的股票、债券，采用估值技术确定公允价值，在估值技术难以可靠计量公允价值的情况下，按成本估值；</w:t>
      </w:r>
    </w:p>
    <w:p w14:paraId="6B153599"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w:t>
      </w:r>
      <w:r>
        <w:rPr>
          <w:rFonts w:asciiTheme="minorEastAsia" w:hAnsiTheme="minorEastAsia" w:cs="Arial" w:hint="eastAsia"/>
          <w:sz w:val="24"/>
          <w:szCs w:val="24"/>
        </w:rPr>
        <w:t>流通受限的股票，包括非公开发行股票、首次公开发行股票时公司股东公开发售股份、通过大宗交易取得的带限售期的股票等（不包括停牌、新发行未上市、回购交易中的质押</w:t>
      </w:r>
      <w:proofErr w:type="gramStart"/>
      <w:r>
        <w:rPr>
          <w:rFonts w:asciiTheme="minorEastAsia" w:hAnsiTheme="minorEastAsia" w:cs="Arial" w:hint="eastAsia"/>
          <w:sz w:val="24"/>
          <w:szCs w:val="24"/>
        </w:rPr>
        <w:t>券</w:t>
      </w:r>
      <w:proofErr w:type="gramEnd"/>
      <w:r>
        <w:rPr>
          <w:rFonts w:asciiTheme="minorEastAsia" w:hAnsiTheme="minorEastAsia" w:cs="Arial" w:hint="eastAsia"/>
          <w:sz w:val="24"/>
          <w:szCs w:val="24"/>
        </w:rPr>
        <w:t>等流通受限股票），按监管机构或行业协会有关规定确定公允价值。</w:t>
      </w:r>
    </w:p>
    <w:p w14:paraId="27B60DD1"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3、全国银行间债券市场交易的债券、资产支持证券等固定收益品种，以第三方估值机构提供的价格数据估值。</w:t>
      </w:r>
    </w:p>
    <w:p w14:paraId="0E3CDFAC"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4、同一</w:t>
      </w:r>
      <w:r>
        <w:rPr>
          <w:rFonts w:asciiTheme="minorEastAsia" w:hAnsiTheme="minorEastAsia" w:cs="Arial" w:hint="eastAsia"/>
          <w:sz w:val="24"/>
          <w:szCs w:val="24"/>
        </w:rPr>
        <w:t>证券同时在两个或两个以上市场交易的，按证券所处的市场分别估值。</w:t>
      </w:r>
    </w:p>
    <w:p w14:paraId="505D8DAB"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5、本基金投资国债期货</w:t>
      </w:r>
      <w:r>
        <w:rPr>
          <w:rFonts w:asciiTheme="minorEastAsia" w:hAnsiTheme="minorEastAsia" w:cs="Arial" w:hint="eastAsia"/>
          <w:sz w:val="24"/>
          <w:szCs w:val="24"/>
        </w:rPr>
        <w:t>合约、股指期货合约、股票期权合约，一般以估值当日结算价进行估值，估值当日无结算价的，且最近交易日后经济环境未发生重大变化的，采用最近交易日结算价估值。</w:t>
      </w:r>
    </w:p>
    <w:p w14:paraId="3010BE33"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w:t>
      </w:r>
      <w:r>
        <w:rPr>
          <w:rFonts w:asciiTheme="minorEastAsia" w:hAnsiTheme="minorEastAsia" w:cs="Arial" w:hint="eastAsia"/>
          <w:sz w:val="24"/>
          <w:szCs w:val="24"/>
        </w:rPr>
        <w:t>、本基金投资存托凭证的估值核算，依照境内上市交易的股票执行。</w:t>
      </w:r>
    </w:p>
    <w:p w14:paraId="0D5D85A5"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7</w:t>
      </w:r>
      <w:r>
        <w:rPr>
          <w:rFonts w:asciiTheme="minorEastAsia" w:hAnsiTheme="minorEastAsia" w:cs="Arial" w:hint="eastAsia"/>
          <w:sz w:val="24"/>
          <w:szCs w:val="24"/>
        </w:rPr>
        <w:t>、其他资产按法律法规或监管机构有关规定进行估值。</w:t>
      </w:r>
    </w:p>
    <w:p w14:paraId="57DCB99F"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8</w:t>
      </w:r>
      <w:r>
        <w:rPr>
          <w:rFonts w:asciiTheme="minorEastAsia" w:hAnsiTheme="minorEastAsia" w:cs="Arial" w:hint="eastAsia"/>
          <w:sz w:val="24"/>
          <w:szCs w:val="24"/>
        </w:rPr>
        <w:t>、如有确凿证据表明按上述方法进行估值不能客观反映其公允价值的，基金管理人可根据具体情况与基金托管人商定后，按最能反映公允价值的方法估值。</w:t>
      </w:r>
    </w:p>
    <w:p w14:paraId="49C9E8D2"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9</w:t>
      </w:r>
      <w:r>
        <w:rPr>
          <w:rFonts w:asciiTheme="minorEastAsia" w:hAnsiTheme="minorEastAsia" w:cs="Arial" w:hint="eastAsia"/>
          <w:sz w:val="24"/>
          <w:szCs w:val="24"/>
        </w:rPr>
        <w:t>、当本基金发生大额申购或赎回情形时，基金管理人可以对本基金采用摆动定价机制，以确保基金估值的公平性。</w:t>
      </w:r>
    </w:p>
    <w:p w14:paraId="61F594E2"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10</w:t>
      </w:r>
      <w:r>
        <w:rPr>
          <w:rFonts w:asciiTheme="minorEastAsia" w:hAnsiTheme="minorEastAsia" w:cs="Arial" w:hint="eastAsia"/>
          <w:sz w:val="24"/>
          <w:szCs w:val="24"/>
        </w:rPr>
        <w:t>、相关法律法规以及监管部门有强制规定的，从其规定。如有新增事项，按国家最新规定估值。</w:t>
      </w:r>
    </w:p>
    <w:p w14:paraId="255D7EB7"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0ED2F971"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根据有关法律法规，基金资产净值计算和基金会计核算的义务由基金管理人承担，基金托管人承担复核责任。本基金的基金会计</w:t>
      </w:r>
      <w:proofErr w:type="gramStart"/>
      <w:r>
        <w:rPr>
          <w:rFonts w:asciiTheme="minorEastAsia" w:hAnsiTheme="minorEastAsia" w:cs="Arial" w:hint="eastAsia"/>
          <w:sz w:val="24"/>
          <w:szCs w:val="24"/>
        </w:rPr>
        <w:t>主责任</w:t>
      </w:r>
      <w:proofErr w:type="gramEnd"/>
      <w:r>
        <w:rPr>
          <w:rFonts w:asciiTheme="minorEastAsia" w:hAnsiTheme="minorEastAsia" w:cs="Arial" w:hint="eastAsia"/>
          <w:sz w:val="24"/>
          <w:szCs w:val="24"/>
        </w:rPr>
        <w:t>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14:paraId="4EB8180D"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（二）估值错误处理</w:t>
      </w:r>
    </w:p>
    <w:p w14:paraId="077F86D0"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基金管理人和基金托管人将采取必要、适当、合理的措施确保基金资产估值的准确性、及时性。当任一类基金份额净值小数点后</w:t>
      </w:r>
      <w:r>
        <w:rPr>
          <w:rFonts w:asciiTheme="minorEastAsia" w:hAnsiTheme="minorEastAsia" w:cs="Arial"/>
          <w:sz w:val="24"/>
          <w:szCs w:val="24"/>
        </w:rPr>
        <w:t>4位以内（含第4位）发生估值错误时，视为</w:t>
      </w:r>
      <w:r>
        <w:rPr>
          <w:rFonts w:asciiTheme="minorEastAsia" w:hAnsiTheme="minorEastAsia" w:cs="Arial" w:hint="eastAsia"/>
          <w:sz w:val="24"/>
          <w:szCs w:val="24"/>
        </w:rPr>
        <w:t>该类基金份额净值错误。</w:t>
      </w:r>
    </w:p>
    <w:p w14:paraId="4263961B"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基金合同的当事人应按照以下约定处理：</w:t>
      </w:r>
    </w:p>
    <w:p w14:paraId="01825AA9"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1、估值错误类型</w:t>
      </w:r>
    </w:p>
    <w:p w14:paraId="00DCB880"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本基金运作过程中，如果由于基金管理人或基金托管人、或登记机构、或证券经纪机构、</w:t>
      </w:r>
      <w:r>
        <w:rPr>
          <w:rFonts w:asciiTheme="minorEastAsia" w:hAnsiTheme="minorEastAsia" w:cs="Arial"/>
          <w:sz w:val="24"/>
          <w:szCs w:val="24"/>
        </w:rPr>
        <w:t xml:space="preserve"> </w:t>
      </w:r>
      <w:r>
        <w:rPr>
          <w:rFonts w:asciiTheme="minorEastAsia" w:hAnsiTheme="minorEastAsia" w:cs="Arial" w:hint="eastAsia"/>
          <w:sz w:val="24"/>
          <w:szCs w:val="24"/>
        </w:rPr>
        <w:t>或销售机构、或投资人自身的过错造成估值错误，导致其他当事人遭受损失的，过错的责任人应当对由于该估值错误遭受损失当事人（“受损方”）的直接损失按下述“估值错误处理原则”给予赔偿，承担赔偿责任。</w:t>
      </w:r>
    </w:p>
    <w:p w14:paraId="2E9EB555"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上述估值错误的主要类型包括但不限于：资料申报差错、数据传输差错、数据计算差错、系统故障差错、下达指令差错等。</w:t>
      </w:r>
    </w:p>
    <w:p w14:paraId="199F5103"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2、估值错误处理原则</w:t>
      </w:r>
    </w:p>
    <w:p w14:paraId="0FF3A417"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10EAC6D6"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2）估值错误的责任方对有关当事人的直接损失负责，不对间接损失负责，并且仅对估值错误的有关直接当事人负责，不对第三方负责。</w:t>
      </w:r>
    </w:p>
    <w:p w14:paraId="19DAAB9E"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3）因估值错误而获得不当得利的当事人负有及时返还不当得利的义务。但估值错误责任方仍应对估值错误负责。如果由于获得不当得利的当事人</w:t>
      </w:r>
      <w:proofErr w:type="gramStart"/>
      <w:r>
        <w:rPr>
          <w:rFonts w:asciiTheme="minorEastAsia" w:hAnsiTheme="minorEastAsia" w:cs="Arial" w:hint="eastAsia"/>
          <w:sz w:val="24"/>
          <w:szCs w:val="24"/>
        </w:rPr>
        <w:t>不</w:t>
      </w:r>
      <w:proofErr w:type="gramEnd"/>
      <w:r>
        <w:rPr>
          <w:rFonts w:asciiTheme="minorEastAsia" w:hAnsiTheme="minorEastAsia" w:cs="Arial" w:hint="eastAsia"/>
          <w:sz w:val="24"/>
          <w:szCs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74F67A24"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4）估值错误调整采用尽量恢复至假设未发生估值错误的正确情形的方式。</w:t>
      </w:r>
    </w:p>
    <w:p w14:paraId="2EB89FF1"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lastRenderedPageBreak/>
        <w:t>3、估值错误处理程序</w:t>
      </w:r>
    </w:p>
    <w:p w14:paraId="7BDCAF26"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估值错误被发现后，有关的当事人应当及时进行处理，处理的程序如下：</w:t>
      </w:r>
    </w:p>
    <w:p w14:paraId="5C383366"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1）查明估值错误发生的原因，列明所有的当事人，并根据估值错误发生的原因确定估值错误的责任方；</w:t>
      </w:r>
    </w:p>
    <w:p w14:paraId="7318ADCA"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2）根据估值错误处理原则或当事人协商的方法对因估值错误造成的损失进行评估；</w:t>
      </w:r>
    </w:p>
    <w:p w14:paraId="14D00124"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3）根据估值错误处理原则或当事人协商的方法由估值错误的责任方进行更正和赔偿损失；</w:t>
      </w:r>
    </w:p>
    <w:p w14:paraId="0AC88524"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4）根据估值错误处理的方法，需要修改基金</w:t>
      </w:r>
      <w:r>
        <w:rPr>
          <w:rFonts w:asciiTheme="minorEastAsia" w:hAnsiTheme="minorEastAsia" w:cs="Arial" w:hint="eastAsia"/>
          <w:sz w:val="24"/>
          <w:szCs w:val="24"/>
        </w:rPr>
        <w:t>份额登记机构交易数据的，由基金份额登记机构进行更正，并就估值错误的更正向有关当事人进行确认。</w:t>
      </w:r>
    </w:p>
    <w:p w14:paraId="49A87F5C"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4、基金份额净值估值错误处理的方法如下：</w:t>
      </w:r>
    </w:p>
    <w:p w14:paraId="602AB89F"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1）基金份额净值计算出现错误时，基金管理人应当立即予以纠正，通报基金托管人，并采取合理的措施防止损失进一步扩大。</w:t>
      </w:r>
    </w:p>
    <w:p w14:paraId="61F9A18C"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2）错误偏差达到</w:t>
      </w:r>
      <w:r>
        <w:rPr>
          <w:rFonts w:asciiTheme="minorEastAsia" w:hAnsiTheme="minorEastAsia" w:cs="Arial" w:hint="eastAsia"/>
          <w:sz w:val="24"/>
          <w:szCs w:val="24"/>
        </w:rPr>
        <w:t>某类基金份额净值的</w:t>
      </w:r>
      <w:r>
        <w:rPr>
          <w:rFonts w:asciiTheme="minorEastAsia" w:hAnsiTheme="minorEastAsia" w:cs="Arial"/>
          <w:sz w:val="24"/>
          <w:szCs w:val="24"/>
        </w:rPr>
        <w:t>0.25%时，基金管理人应当通报基金托管人并报中国证监会备案；错误偏差达到</w:t>
      </w:r>
      <w:r>
        <w:rPr>
          <w:rFonts w:asciiTheme="minorEastAsia" w:hAnsiTheme="minorEastAsia" w:cs="Arial" w:hint="eastAsia"/>
          <w:sz w:val="24"/>
          <w:szCs w:val="24"/>
        </w:rPr>
        <w:t>某类基金份额净值的</w:t>
      </w:r>
      <w:r>
        <w:rPr>
          <w:rFonts w:asciiTheme="minorEastAsia" w:hAnsiTheme="minorEastAsia" w:cs="Arial"/>
          <w:sz w:val="24"/>
          <w:szCs w:val="24"/>
        </w:rPr>
        <w:t>0.5%时，基金管理人应当公告</w:t>
      </w:r>
      <w:r>
        <w:rPr>
          <w:rFonts w:asciiTheme="minorEastAsia" w:hAnsiTheme="minorEastAsia" w:cs="Arial" w:hint="eastAsia"/>
          <w:sz w:val="24"/>
          <w:szCs w:val="24"/>
        </w:rPr>
        <w:t>，并报中国证监会备案。</w:t>
      </w:r>
    </w:p>
    <w:p w14:paraId="40B76661"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3）前述内容如法律法规或监管机关另有规定的，从其规定处理。</w:t>
      </w:r>
    </w:p>
    <w:p w14:paraId="56DF6E01"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（三）暂停估值的情形</w:t>
      </w:r>
    </w:p>
    <w:p w14:paraId="548C033D"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1、基金投资所涉及的证券/期货交易市场遇法定节假日或因其他原因暂停营业时；</w:t>
      </w:r>
    </w:p>
    <w:p w14:paraId="1A652410"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2、因不可抗力</w:t>
      </w:r>
      <w:r>
        <w:rPr>
          <w:rFonts w:asciiTheme="minorEastAsia" w:hAnsiTheme="minorEastAsia" w:cs="Arial" w:hint="eastAsia"/>
          <w:sz w:val="24"/>
          <w:szCs w:val="24"/>
        </w:rPr>
        <w:t>或其他情形致使基金管理人、基金托管人无法准确评估基金资产价值时；</w:t>
      </w:r>
    </w:p>
    <w:p w14:paraId="352538AE"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3、当</w:t>
      </w:r>
      <w:r>
        <w:rPr>
          <w:rFonts w:asciiTheme="minorEastAsia" w:hAnsiTheme="minorEastAsia" w:cs="Arial" w:hint="eastAsia"/>
          <w:sz w:val="24"/>
          <w:szCs w:val="24"/>
        </w:rPr>
        <w:t>特定资产占前一估值日基金资产净值</w:t>
      </w:r>
      <w:r>
        <w:rPr>
          <w:rFonts w:asciiTheme="minorEastAsia" w:hAnsiTheme="minorEastAsia" w:cs="Arial"/>
          <w:sz w:val="24"/>
          <w:szCs w:val="24"/>
        </w:rPr>
        <w:t>50%以上的，经与基金托管人协商确认后，基金管理人应当暂停基金估值；</w:t>
      </w:r>
    </w:p>
    <w:p w14:paraId="6FFC2DE5"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法律法规、中国证监会和基金合同认定的其它情形。</w:t>
      </w:r>
    </w:p>
    <w:p w14:paraId="38799D5B"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（四）基金会计制度</w:t>
      </w:r>
    </w:p>
    <w:p w14:paraId="2C968CF1"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按国家有关部门制定的会计制度执行。</w:t>
      </w:r>
    </w:p>
    <w:p w14:paraId="26A9CE12"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（五）基金账册的建立</w:t>
      </w:r>
    </w:p>
    <w:p w14:paraId="5B535E2E"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基金管理人和基金托管人在《基金合同》生效后，应按照双方约定的同一记账方法和会计处理原则，分别独立地设置、登录和保管本基金的全套账册，对双</w:t>
      </w:r>
      <w:r>
        <w:rPr>
          <w:rFonts w:asciiTheme="minorEastAsia" w:hAnsiTheme="minorEastAsia" w:cs="Arial" w:hint="eastAsia"/>
          <w:sz w:val="24"/>
          <w:szCs w:val="24"/>
        </w:rPr>
        <w:lastRenderedPageBreak/>
        <w:t>方各自的账册定期进行核对，互相监督，以保证基金财产的安全。若双方对会计处理方法存在分歧，应以基金管理人的处理方法为准。</w:t>
      </w:r>
    </w:p>
    <w:p w14:paraId="2850FC27"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（六）会计数据和财务指标的核对</w:t>
      </w:r>
    </w:p>
    <w:p w14:paraId="45E63E28"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双方</w:t>
      </w:r>
      <w:proofErr w:type="gramStart"/>
      <w:r>
        <w:rPr>
          <w:rFonts w:asciiTheme="minorEastAsia" w:hAnsiTheme="minorEastAsia" w:cs="Arial" w:hint="eastAsia"/>
          <w:sz w:val="24"/>
          <w:szCs w:val="24"/>
        </w:rPr>
        <w:t>应每个</w:t>
      </w:r>
      <w:proofErr w:type="gramEnd"/>
      <w:r>
        <w:rPr>
          <w:rFonts w:asciiTheme="minorEastAsia" w:hAnsiTheme="minorEastAsia" w:cs="Arial" w:hint="eastAsia"/>
          <w:sz w:val="24"/>
          <w:szCs w:val="24"/>
        </w:rPr>
        <w:t>交易日核对账目，如发现双方的账目存在不符的，基金管理人和基金托管人必须及时查明原因并纠正，确保核对一致。若当日核对不符，暂时无法查找到错账的原因而影响到基金净值信息的计算和公告的，以基金管理人的账册为准。</w:t>
      </w:r>
    </w:p>
    <w:p w14:paraId="2CEB6424"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（七）基金定期报告的编制和复核</w:t>
      </w:r>
    </w:p>
    <w:p w14:paraId="5D6D8A39"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基金财务报表由基金管理人和基金托管人每</w:t>
      </w:r>
      <w:proofErr w:type="gramStart"/>
      <w:r>
        <w:rPr>
          <w:rFonts w:asciiTheme="minorEastAsia" w:hAnsiTheme="minorEastAsia" w:cs="Arial" w:hint="eastAsia"/>
          <w:sz w:val="24"/>
          <w:szCs w:val="24"/>
        </w:rPr>
        <w:t>月分别独立</w:t>
      </w:r>
      <w:proofErr w:type="gramEnd"/>
      <w:r>
        <w:rPr>
          <w:rFonts w:asciiTheme="minorEastAsia" w:hAnsiTheme="minorEastAsia" w:cs="Arial" w:hint="eastAsia"/>
          <w:sz w:val="24"/>
          <w:szCs w:val="24"/>
        </w:rPr>
        <w:t>编制。月度报表的编制，应于每月终了后</w:t>
      </w:r>
      <w:r>
        <w:rPr>
          <w:rFonts w:asciiTheme="minorEastAsia" w:hAnsiTheme="minorEastAsia" w:cs="Arial"/>
          <w:sz w:val="24"/>
          <w:szCs w:val="24"/>
        </w:rPr>
        <w:t>5个工作日内完成。定期报告文件应按中国证监会的要求公告。季度报表的编制，应于每季度终了后15个工作日内完成；</w:t>
      </w:r>
      <w:r>
        <w:rPr>
          <w:rFonts w:asciiTheme="minorEastAsia" w:hAnsiTheme="minorEastAsia" w:cs="Arial" w:hint="eastAsia"/>
          <w:sz w:val="24"/>
          <w:szCs w:val="24"/>
        </w:rPr>
        <w:t>《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中期报告在基金会计年度前</w:t>
      </w:r>
      <w:r>
        <w:rPr>
          <w:rFonts w:asciiTheme="minorEastAsia" w:hAnsiTheme="minorEastAsia" w:cs="Arial"/>
          <w:sz w:val="24"/>
          <w:szCs w:val="24"/>
        </w:rPr>
        <w:t>6个月结束后的两个月内公告；年度报告在会计年度结束后三个月内公告。</w:t>
      </w:r>
    </w:p>
    <w:p w14:paraId="4E5CA20B"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基金管理人在月度报表完成当日，以约定方式将有关报表提供基金托管人；基金托管人在</w:t>
      </w:r>
      <w:r>
        <w:rPr>
          <w:rFonts w:asciiTheme="minorEastAsia" w:hAnsiTheme="minorEastAsia" w:cs="Arial"/>
          <w:sz w:val="24"/>
          <w:szCs w:val="24"/>
        </w:rPr>
        <w:t>2个工作日内进行复核，并将复核结果反馈给基金管理人。基金管理人在季度报表完成当日，以约定方式将有关报表提供基金托管人；基金托管人在5个工作日内进行复核，并将复核结果反馈给基金管理人。基金管理人在更新招募说明书完成当日，将有关报告提供基金托管人，基金托管人在收到15日内进行复核，并将复核结果反馈给基金管理人。基金管理人在半年度报告完成当日，将有关报告提供基金托管人，基金托管人在收到后20日内进行复核，并将复核结果反馈给基金管理人。基金管理人在年度报告完成当日，将有关报告提供基金托管人，基金托管人在收到后30日内复核，并将复核结果反馈给基金管理人。基金托管人在复核过程中，发现双方的报表存在不符时，基金管理人和基金托管人应共同查明原因，进行调整，调整以双方认可的账务处理方式为准。如果基金管理人与基金托管人不能</w:t>
      </w:r>
      <w:proofErr w:type="gramStart"/>
      <w:r>
        <w:rPr>
          <w:rFonts w:asciiTheme="minorEastAsia" w:hAnsiTheme="minorEastAsia" w:cs="Arial" w:hint="eastAsia"/>
          <w:sz w:val="24"/>
          <w:szCs w:val="24"/>
        </w:rPr>
        <w:t>于应当</w:t>
      </w:r>
      <w:proofErr w:type="gramEnd"/>
      <w:r>
        <w:rPr>
          <w:rFonts w:asciiTheme="minorEastAsia" w:hAnsiTheme="minorEastAsia" w:cs="Arial" w:hint="eastAsia"/>
          <w:sz w:val="24"/>
          <w:szCs w:val="24"/>
        </w:rPr>
        <w:t>发布公告之日前就相关报表达成一致，基金管理人有权按照其编制的报表对外发布公告，基金托管人有权就相关情况报证监会备案。</w:t>
      </w:r>
    </w:p>
    <w:p w14:paraId="52C16B11" w14:textId="77777777" w:rsidR="0069510E"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基金托管人在对财务报表、季度报告、中期报告或年度报告复核完毕后，可以出具复核确认书（盖章）、进行电子确认或以其他双方约定的方式确认，以</w:t>
      </w:r>
      <w:proofErr w:type="gramStart"/>
      <w:r>
        <w:rPr>
          <w:rFonts w:asciiTheme="minorEastAsia" w:hAnsiTheme="minorEastAsia" w:cs="Arial" w:hint="eastAsia"/>
          <w:sz w:val="24"/>
          <w:szCs w:val="24"/>
        </w:rPr>
        <w:t>备有权</w:t>
      </w:r>
      <w:proofErr w:type="gramEnd"/>
      <w:r>
        <w:rPr>
          <w:rFonts w:asciiTheme="minorEastAsia" w:hAnsiTheme="minorEastAsia" w:cs="Arial" w:hint="eastAsia"/>
          <w:sz w:val="24"/>
          <w:szCs w:val="24"/>
        </w:rPr>
        <w:t>机构对相关文件审核检查</w:t>
      </w:r>
    </w:p>
    <w:p w14:paraId="61355AAB" w14:textId="77777777" w:rsidR="0069510E" w:rsidRDefault="0069510E">
      <w:pPr>
        <w:adjustRightInd w:val="0"/>
        <w:snapToGrid w:val="0"/>
        <w:spacing w:line="360" w:lineRule="auto"/>
        <w:ind w:firstLineChars="200" w:firstLine="480"/>
        <w:rPr>
          <w:rFonts w:asciiTheme="minorEastAsia" w:hAnsiTheme="minorEastAsia" w:cs="Arial"/>
          <w:sz w:val="24"/>
          <w:szCs w:val="24"/>
        </w:rPr>
      </w:pPr>
    </w:p>
    <w:p w14:paraId="56E436C0" w14:textId="77777777" w:rsidR="0069510E" w:rsidRDefault="00000000">
      <w:pPr>
        <w:pStyle w:val="aff1"/>
        <w:numPr>
          <w:ilvl w:val="0"/>
          <w:numId w:val="3"/>
        </w:numPr>
        <w:tabs>
          <w:tab w:val="left" w:pos="851"/>
        </w:tabs>
        <w:adjustRightInd w:val="0"/>
        <w:snapToGrid w:val="0"/>
        <w:spacing w:line="360" w:lineRule="auto"/>
        <w:ind w:firstLineChars="0"/>
        <w:outlineLvl w:val="1"/>
        <w:rPr>
          <w:rFonts w:asciiTheme="minorEastAsia" w:hAnsiTheme="minorEastAsia" w:cs="Arial"/>
          <w:b/>
          <w:sz w:val="24"/>
          <w:szCs w:val="24"/>
        </w:rPr>
      </w:pPr>
      <w:r>
        <w:rPr>
          <w:rFonts w:asciiTheme="minorEastAsia" w:hAnsiTheme="minorEastAsia" w:cs="Arial" w:hint="eastAsia"/>
          <w:b/>
          <w:sz w:val="24"/>
          <w:szCs w:val="24"/>
        </w:rPr>
        <w:t>基金份额持有人名册的保管</w:t>
      </w:r>
    </w:p>
    <w:p w14:paraId="0C153B6B" w14:textId="77777777" w:rsidR="0069510E" w:rsidRDefault="00000000">
      <w:pPr>
        <w:spacing w:line="360" w:lineRule="auto"/>
        <w:ind w:firstLineChars="200" w:firstLine="480"/>
        <w:rPr>
          <w:rFonts w:ascii="宋体" w:hAnsi="宋体"/>
          <w:sz w:val="24"/>
          <w:szCs w:val="24"/>
        </w:rPr>
      </w:pPr>
      <w:r>
        <w:rPr>
          <w:rFonts w:ascii="宋体" w:hAnsi="宋体" w:hint="eastAsia"/>
          <w:sz w:val="24"/>
          <w:szCs w:val="24"/>
        </w:rPr>
        <w:t>基金管理人可委托基金登记机构登记和保管基金份额持有人名册。基金份额持有人名册的内容包括但不限于基金份额持有人的名称和持有的基金份额。</w:t>
      </w:r>
    </w:p>
    <w:p w14:paraId="25953F48" w14:textId="77777777" w:rsidR="0069510E" w:rsidRDefault="00000000">
      <w:pPr>
        <w:spacing w:line="360" w:lineRule="auto"/>
        <w:ind w:firstLineChars="200" w:firstLine="480"/>
        <w:rPr>
          <w:rFonts w:ascii="宋体" w:hAnsi="宋体"/>
          <w:sz w:val="24"/>
          <w:szCs w:val="24"/>
        </w:rPr>
      </w:pPr>
      <w:r>
        <w:rPr>
          <w:rFonts w:ascii="宋体" w:hAnsi="宋体" w:hint="eastAsia"/>
          <w:sz w:val="24"/>
          <w:szCs w:val="24"/>
        </w:rPr>
        <w:t>基金份额持有人名册，包括基金募集期结束时的基金份额持有人名册、基金权益登记日的基金份额持有人名册、基金份额持有人大会权益登记日的基金份额持有人名册、每年最后一个交易日的基金份额持有人名册，由基金登记机构负责编制和保管，并对基金份额持有人名册的真实性、完整性和准确性负责。</w:t>
      </w:r>
    </w:p>
    <w:p w14:paraId="69A9649A" w14:textId="77777777" w:rsidR="0069510E" w:rsidRDefault="00000000">
      <w:pPr>
        <w:spacing w:line="360" w:lineRule="auto"/>
        <w:ind w:firstLineChars="200" w:firstLine="480"/>
        <w:rPr>
          <w:rFonts w:ascii="宋体" w:hAnsi="宋体"/>
          <w:sz w:val="24"/>
          <w:szCs w:val="24"/>
        </w:rPr>
      </w:pPr>
      <w:r>
        <w:rPr>
          <w:rFonts w:ascii="宋体" w:hAnsi="宋体" w:hint="eastAsia"/>
          <w:sz w:val="24"/>
          <w:szCs w:val="24"/>
        </w:rPr>
        <w:t>基金管理人应根据基金托管人的要求定期和不定期向基金托管人提供基金份额持有人名册。</w:t>
      </w:r>
    </w:p>
    <w:p w14:paraId="228551AC" w14:textId="77777777" w:rsidR="0069510E" w:rsidRDefault="00000000">
      <w:pPr>
        <w:spacing w:line="360" w:lineRule="auto"/>
        <w:ind w:firstLineChars="200" w:firstLine="480"/>
        <w:rPr>
          <w:rFonts w:ascii="宋体" w:hAnsi="宋体"/>
          <w:sz w:val="24"/>
          <w:szCs w:val="24"/>
        </w:rPr>
      </w:pPr>
      <w:r>
        <w:rPr>
          <w:rFonts w:ascii="宋体" w:hAnsi="宋体" w:hint="eastAsia"/>
          <w:sz w:val="24"/>
          <w:szCs w:val="24"/>
        </w:rPr>
        <w:t>（一）基金管理人于《基金合同》生效日及《基金合同》终止日后</w:t>
      </w:r>
      <w:r>
        <w:rPr>
          <w:rFonts w:ascii="宋体" w:hAnsi="宋体"/>
          <w:sz w:val="24"/>
          <w:szCs w:val="24"/>
        </w:rPr>
        <w:t>10个工作日内向基金托管人提供由登记</w:t>
      </w:r>
      <w:r>
        <w:rPr>
          <w:rFonts w:ascii="宋体" w:hAnsi="宋体" w:hint="eastAsia"/>
          <w:sz w:val="24"/>
          <w:szCs w:val="24"/>
        </w:rPr>
        <w:t>机构编制的基金份额持有人名册；</w:t>
      </w:r>
    </w:p>
    <w:p w14:paraId="6F9AF246" w14:textId="77777777" w:rsidR="0069510E" w:rsidRDefault="00000000">
      <w:pPr>
        <w:spacing w:line="360" w:lineRule="auto"/>
        <w:ind w:firstLineChars="200" w:firstLine="480"/>
        <w:rPr>
          <w:rFonts w:ascii="宋体" w:hAnsi="宋体"/>
          <w:sz w:val="24"/>
          <w:szCs w:val="24"/>
        </w:rPr>
      </w:pPr>
      <w:r>
        <w:rPr>
          <w:rFonts w:ascii="宋体" w:hAnsi="宋体" w:hint="eastAsia"/>
          <w:sz w:val="24"/>
          <w:szCs w:val="24"/>
        </w:rPr>
        <w:t>（二）基金管理人于基金份额持有人大会权益登记日后</w:t>
      </w:r>
      <w:r>
        <w:rPr>
          <w:rFonts w:ascii="宋体" w:hAnsi="宋体"/>
          <w:sz w:val="24"/>
          <w:szCs w:val="24"/>
        </w:rPr>
        <w:t>5个工作日内向基金托管人提供由登记</w:t>
      </w:r>
      <w:r>
        <w:rPr>
          <w:rFonts w:ascii="宋体" w:hAnsi="宋体" w:hint="eastAsia"/>
          <w:sz w:val="24"/>
          <w:szCs w:val="24"/>
        </w:rPr>
        <w:t>机构编制的基金份额持有人名册；</w:t>
      </w:r>
    </w:p>
    <w:p w14:paraId="264D4983" w14:textId="77777777" w:rsidR="0069510E" w:rsidRDefault="00000000">
      <w:pPr>
        <w:spacing w:line="360" w:lineRule="auto"/>
        <w:ind w:firstLineChars="200" w:firstLine="480"/>
        <w:rPr>
          <w:rFonts w:ascii="宋体" w:hAnsi="宋体"/>
          <w:sz w:val="24"/>
          <w:szCs w:val="24"/>
        </w:rPr>
      </w:pPr>
      <w:r>
        <w:rPr>
          <w:rFonts w:ascii="宋体" w:hAnsi="宋体" w:hint="eastAsia"/>
          <w:sz w:val="24"/>
          <w:szCs w:val="24"/>
        </w:rPr>
        <w:t>（三）基金管理人于每年最后一个交易日后</w:t>
      </w:r>
      <w:r>
        <w:rPr>
          <w:rFonts w:ascii="宋体" w:hAnsi="宋体"/>
          <w:sz w:val="24"/>
          <w:szCs w:val="24"/>
        </w:rPr>
        <w:t>10个工作日内向基金托管人提供由登记机构编制的基金份额持有人名册；</w:t>
      </w:r>
    </w:p>
    <w:p w14:paraId="7E09F795" w14:textId="77777777" w:rsidR="0069510E" w:rsidRDefault="00000000">
      <w:pPr>
        <w:spacing w:line="360" w:lineRule="auto"/>
        <w:ind w:firstLineChars="200" w:firstLine="480"/>
        <w:rPr>
          <w:rFonts w:ascii="宋体" w:hAnsi="宋体"/>
          <w:sz w:val="24"/>
          <w:szCs w:val="24"/>
        </w:rPr>
      </w:pPr>
      <w:r>
        <w:rPr>
          <w:rFonts w:ascii="宋体" w:hAnsi="宋体" w:hint="eastAsia"/>
          <w:sz w:val="24"/>
          <w:szCs w:val="24"/>
        </w:rPr>
        <w:t>（四）除上述约定时间外，如果确因业务需要，基金托管人与基金管理人商议一致后，由基金管理人向基金托管人提供由登记机构编制的基金份额持有人名册。</w:t>
      </w:r>
    </w:p>
    <w:p w14:paraId="5F6C1CE4" w14:textId="77777777" w:rsidR="0069510E" w:rsidRDefault="00000000">
      <w:pPr>
        <w:spacing w:line="360" w:lineRule="auto"/>
        <w:ind w:firstLineChars="200" w:firstLine="480"/>
        <w:rPr>
          <w:rFonts w:ascii="宋体" w:hAnsi="宋体"/>
          <w:sz w:val="24"/>
          <w:szCs w:val="24"/>
        </w:rPr>
      </w:pPr>
      <w:r>
        <w:rPr>
          <w:rFonts w:ascii="宋体" w:hAnsi="宋体" w:hint="eastAsia"/>
          <w:sz w:val="24"/>
          <w:szCs w:val="24"/>
        </w:rPr>
        <w:t>基金托管人以电子版形式妥善保管基金份额持有人名册，并定期刻成光盘备份，保存期限不低于法律法规规定的最低期限。基金托管人不得将所保管的基金份额持有人名册用于基金托管业务以外的其他用途，并应遵守保密义务。</w:t>
      </w:r>
      <w:proofErr w:type="gramStart"/>
      <w:r>
        <w:rPr>
          <w:rFonts w:ascii="宋体" w:hAnsi="宋体" w:hint="eastAsia"/>
          <w:sz w:val="24"/>
          <w:szCs w:val="24"/>
        </w:rPr>
        <w:t>若基金</w:t>
      </w:r>
      <w:proofErr w:type="gramEnd"/>
      <w:r>
        <w:rPr>
          <w:rFonts w:ascii="宋体" w:hAnsi="宋体" w:hint="eastAsia"/>
          <w:sz w:val="24"/>
          <w:szCs w:val="24"/>
        </w:rPr>
        <w:t>管理人或基金托管人由于自身原因无法妥善保管基金份额持有人名册，应按有关法规规定各自承担相应的责任。</w:t>
      </w:r>
    </w:p>
    <w:p w14:paraId="519D4A24" w14:textId="77777777" w:rsidR="0069510E" w:rsidRDefault="0069510E">
      <w:pPr>
        <w:spacing w:line="360" w:lineRule="auto"/>
        <w:ind w:firstLineChars="200" w:firstLine="480"/>
        <w:rPr>
          <w:rFonts w:ascii="宋体" w:hAnsi="宋体"/>
          <w:sz w:val="24"/>
          <w:szCs w:val="24"/>
        </w:rPr>
      </w:pPr>
    </w:p>
    <w:p w14:paraId="1A3235D3" w14:textId="77777777" w:rsidR="0069510E" w:rsidRDefault="00000000">
      <w:pPr>
        <w:pStyle w:val="aff1"/>
        <w:numPr>
          <w:ilvl w:val="0"/>
          <w:numId w:val="3"/>
        </w:numPr>
        <w:tabs>
          <w:tab w:val="left" w:pos="851"/>
        </w:tabs>
        <w:adjustRightInd w:val="0"/>
        <w:snapToGrid w:val="0"/>
        <w:spacing w:line="360" w:lineRule="auto"/>
        <w:ind w:firstLineChars="0"/>
        <w:outlineLvl w:val="1"/>
        <w:rPr>
          <w:rFonts w:asciiTheme="minorEastAsia" w:hAnsiTheme="minorEastAsia" w:cs="Arial"/>
          <w:b/>
          <w:sz w:val="24"/>
          <w:szCs w:val="24"/>
        </w:rPr>
      </w:pPr>
      <w:r>
        <w:rPr>
          <w:rFonts w:asciiTheme="minorEastAsia" w:hAnsiTheme="minorEastAsia" w:cs="Arial" w:hint="eastAsia"/>
          <w:b/>
          <w:sz w:val="24"/>
          <w:szCs w:val="24"/>
        </w:rPr>
        <w:t>争议解决方式</w:t>
      </w:r>
    </w:p>
    <w:p w14:paraId="1347A4F7" w14:textId="77777777" w:rsidR="0069510E" w:rsidRDefault="00000000">
      <w:pPr>
        <w:adjustRightInd w:val="0"/>
        <w:snapToGrid w:val="0"/>
        <w:spacing w:line="360" w:lineRule="auto"/>
        <w:ind w:firstLineChars="200" w:firstLine="480"/>
        <w:rPr>
          <w:rFonts w:ascii="宋体" w:hAnsi="宋体"/>
          <w:sz w:val="24"/>
          <w:szCs w:val="24"/>
        </w:rPr>
      </w:pPr>
      <w:r>
        <w:rPr>
          <w:rFonts w:ascii="宋体" w:hAnsi="宋体" w:hint="eastAsia"/>
          <w:sz w:val="24"/>
          <w:szCs w:val="24"/>
        </w:rPr>
        <w:t>相关各方当事人同意，因本协议而产生的或与本协议有关的一切争议，应通</w:t>
      </w:r>
      <w:r>
        <w:rPr>
          <w:rFonts w:ascii="宋体" w:hAnsi="宋体" w:hint="eastAsia"/>
          <w:sz w:val="24"/>
          <w:szCs w:val="24"/>
        </w:rPr>
        <w:lastRenderedPageBreak/>
        <w:t>过友好协商或者调解解决。托管协议当事人不愿通过协商、调解解决或者协商、调解不成的，应将争议提交上海仲裁委员会金融仲裁院，根据该会当时有效的仲裁规则进行仲裁，仲裁的地点为上海市，仲裁裁决是终局的，并对相关各方当事人均有约束力。除非仲裁裁决另有规定，仲裁费用由败诉方承担。</w:t>
      </w:r>
    </w:p>
    <w:p w14:paraId="3E904BE2" w14:textId="77777777" w:rsidR="0069510E" w:rsidRDefault="00000000">
      <w:pPr>
        <w:adjustRightInd w:val="0"/>
        <w:snapToGrid w:val="0"/>
        <w:spacing w:line="360" w:lineRule="auto"/>
        <w:ind w:firstLineChars="200" w:firstLine="480"/>
        <w:rPr>
          <w:rFonts w:ascii="宋体" w:hAnsi="宋体"/>
          <w:sz w:val="24"/>
          <w:szCs w:val="24"/>
        </w:rPr>
      </w:pPr>
      <w:r>
        <w:rPr>
          <w:rFonts w:ascii="宋体" w:hAnsi="宋体" w:hint="eastAsia"/>
          <w:sz w:val="24"/>
          <w:szCs w:val="24"/>
        </w:rPr>
        <w:t>争议处理期间，相关各方当事人应恪守基金管理人和基金托管人职责，继续忠实、勤勉、尽责地履行《基金合同》和本协议规定的义务，维护基金份额持有人的合法权益。</w:t>
      </w:r>
    </w:p>
    <w:p w14:paraId="40BBE0C3" w14:textId="77777777" w:rsidR="0069510E" w:rsidRDefault="00000000">
      <w:pPr>
        <w:adjustRightInd w:val="0"/>
        <w:snapToGrid w:val="0"/>
        <w:spacing w:line="360" w:lineRule="auto"/>
        <w:ind w:firstLineChars="200" w:firstLine="480"/>
        <w:rPr>
          <w:rFonts w:ascii="宋体" w:hAnsi="宋体"/>
          <w:sz w:val="24"/>
          <w:szCs w:val="24"/>
        </w:rPr>
      </w:pPr>
      <w:r>
        <w:rPr>
          <w:rFonts w:ascii="宋体" w:hAnsi="宋体" w:hint="eastAsia"/>
          <w:sz w:val="24"/>
          <w:szCs w:val="24"/>
        </w:rPr>
        <w:t>本协议受中华人民共和国法律（为本协议之目的，不包括香港、澳门特别行政区及台湾地区法律）管辖并从其解释。</w:t>
      </w:r>
    </w:p>
    <w:p w14:paraId="02AA7382" w14:textId="77777777" w:rsidR="0069510E" w:rsidRDefault="00000000">
      <w:pPr>
        <w:pStyle w:val="aff1"/>
        <w:numPr>
          <w:ilvl w:val="0"/>
          <w:numId w:val="3"/>
        </w:numPr>
        <w:tabs>
          <w:tab w:val="left" w:pos="851"/>
        </w:tabs>
        <w:adjustRightInd w:val="0"/>
        <w:snapToGrid w:val="0"/>
        <w:spacing w:line="360" w:lineRule="auto"/>
        <w:ind w:firstLineChars="0"/>
        <w:outlineLvl w:val="1"/>
        <w:rPr>
          <w:rFonts w:asciiTheme="minorEastAsia" w:hAnsiTheme="minorEastAsia" w:cs="Arial"/>
          <w:b/>
          <w:sz w:val="24"/>
          <w:szCs w:val="24"/>
        </w:rPr>
      </w:pPr>
      <w:r>
        <w:rPr>
          <w:rFonts w:asciiTheme="minorEastAsia" w:hAnsiTheme="minorEastAsia" w:cs="Arial" w:hint="eastAsia"/>
          <w:b/>
          <w:sz w:val="24"/>
          <w:szCs w:val="24"/>
        </w:rPr>
        <w:t>基金托管协议的变更、终止与基金财产的清算</w:t>
      </w:r>
    </w:p>
    <w:p w14:paraId="601DED75" w14:textId="77777777" w:rsidR="0069510E" w:rsidRDefault="00000000">
      <w:pPr>
        <w:spacing w:line="360" w:lineRule="auto"/>
        <w:ind w:firstLineChars="200" w:firstLine="480"/>
        <w:rPr>
          <w:rFonts w:ascii="宋体" w:hAnsi="宋体"/>
          <w:sz w:val="24"/>
          <w:szCs w:val="24"/>
        </w:rPr>
      </w:pPr>
      <w:r>
        <w:rPr>
          <w:rFonts w:ascii="宋体" w:hAnsi="宋体" w:hint="eastAsia"/>
          <w:sz w:val="24"/>
          <w:szCs w:val="24"/>
        </w:rPr>
        <w:t>（一）基金托管协议的变更</w:t>
      </w:r>
    </w:p>
    <w:p w14:paraId="772B9A4A" w14:textId="77777777" w:rsidR="0069510E" w:rsidRDefault="00000000">
      <w:pPr>
        <w:spacing w:line="360" w:lineRule="auto"/>
        <w:ind w:firstLineChars="200" w:firstLine="480"/>
        <w:rPr>
          <w:rFonts w:ascii="宋体" w:hAnsi="宋体"/>
          <w:sz w:val="24"/>
          <w:szCs w:val="24"/>
        </w:rPr>
      </w:pPr>
      <w:r>
        <w:rPr>
          <w:rFonts w:ascii="宋体" w:hAnsi="宋体" w:hint="eastAsia"/>
          <w:sz w:val="24"/>
          <w:szCs w:val="24"/>
        </w:rPr>
        <w:t>本协议双方当事人经协商一致，可以对协议进行修改。修改后的新协议，其内容不得与《基金合同》的规定有任何冲突，并报中国证监会备案。</w:t>
      </w:r>
    </w:p>
    <w:p w14:paraId="5ECAF23B" w14:textId="77777777" w:rsidR="0069510E" w:rsidRDefault="00000000">
      <w:pPr>
        <w:spacing w:line="360" w:lineRule="auto"/>
        <w:ind w:firstLineChars="200" w:firstLine="480"/>
        <w:rPr>
          <w:rFonts w:ascii="宋体" w:hAnsi="宋体"/>
          <w:sz w:val="24"/>
          <w:szCs w:val="24"/>
        </w:rPr>
      </w:pPr>
      <w:r>
        <w:rPr>
          <w:rFonts w:ascii="宋体" w:hAnsi="宋体" w:hint="eastAsia"/>
          <w:sz w:val="24"/>
          <w:szCs w:val="24"/>
        </w:rPr>
        <w:t>（二）基金托管协议的终止</w:t>
      </w:r>
    </w:p>
    <w:p w14:paraId="2ABBAA43" w14:textId="77777777" w:rsidR="0069510E" w:rsidRDefault="00000000">
      <w:pPr>
        <w:spacing w:line="360" w:lineRule="auto"/>
        <w:ind w:firstLineChars="200" w:firstLine="480"/>
        <w:rPr>
          <w:rFonts w:ascii="宋体" w:hAnsi="宋体"/>
          <w:sz w:val="24"/>
          <w:szCs w:val="24"/>
        </w:rPr>
      </w:pPr>
      <w:r>
        <w:rPr>
          <w:rFonts w:ascii="宋体" w:hAnsi="宋体"/>
          <w:sz w:val="24"/>
          <w:szCs w:val="24"/>
        </w:rPr>
        <w:t>1、《基金合同》终止；</w:t>
      </w:r>
    </w:p>
    <w:p w14:paraId="7C7F843C" w14:textId="77777777" w:rsidR="0069510E" w:rsidRDefault="00000000">
      <w:pPr>
        <w:spacing w:line="360" w:lineRule="auto"/>
        <w:ind w:firstLineChars="200" w:firstLine="480"/>
        <w:rPr>
          <w:rFonts w:ascii="宋体" w:hAnsi="宋体"/>
          <w:sz w:val="24"/>
          <w:szCs w:val="24"/>
        </w:rPr>
      </w:pPr>
      <w:r>
        <w:rPr>
          <w:rFonts w:ascii="宋体" w:hAnsi="宋体"/>
          <w:sz w:val="24"/>
          <w:szCs w:val="24"/>
        </w:rPr>
        <w:t>2、基金托管人解散、依法被撤销、破产，被依法取消基金托管资格或因其他事由造成其他基金托管人接管基金财产；</w:t>
      </w:r>
    </w:p>
    <w:p w14:paraId="4300DEF8" w14:textId="77777777" w:rsidR="0069510E" w:rsidRDefault="00000000">
      <w:pPr>
        <w:spacing w:line="360" w:lineRule="auto"/>
        <w:ind w:firstLineChars="200" w:firstLine="480"/>
        <w:rPr>
          <w:rFonts w:ascii="宋体" w:hAnsi="宋体"/>
          <w:sz w:val="24"/>
          <w:szCs w:val="24"/>
        </w:rPr>
      </w:pPr>
      <w:r>
        <w:rPr>
          <w:rFonts w:ascii="宋体" w:hAnsi="宋体"/>
          <w:sz w:val="24"/>
          <w:szCs w:val="24"/>
        </w:rPr>
        <w:t>3、基金管理人解散、依法被撤销、破产，被依法取消基金管理资格或因其他事由造成其他基金管理人接管基金管理权；</w:t>
      </w:r>
    </w:p>
    <w:p w14:paraId="13769C99" w14:textId="77777777" w:rsidR="0069510E" w:rsidRDefault="00000000">
      <w:pPr>
        <w:spacing w:line="360" w:lineRule="auto"/>
        <w:ind w:firstLineChars="200" w:firstLine="480"/>
        <w:rPr>
          <w:rFonts w:ascii="宋体" w:hAnsi="宋体"/>
          <w:sz w:val="24"/>
          <w:szCs w:val="24"/>
        </w:rPr>
      </w:pPr>
      <w:r>
        <w:rPr>
          <w:rFonts w:ascii="宋体" w:hAnsi="宋体"/>
          <w:sz w:val="24"/>
          <w:szCs w:val="24"/>
        </w:rPr>
        <w:t>4、发生《基金法》、《销售办法》、《运作办法》或其他法律、法规规定的终止事项。</w:t>
      </w:r>
    </w:p>
    <w:p w14:paraId="48625E84" w14:textId="77777777" w:rsidR="0069510E" w:rsidRDefault="00000000">
      <w:pPr>
        <w:spacing w:line="360" w:lineRule="auto"/>
        <w:ind w:firstLineChars="200" w:firstLine="480"/>
        <w:rPr>
          <w:rFonts w:ascii="宋体" w:hAnsi="宋体"/>
          <w:sz w:val="24"/>
          <w:szCs w:val="24"/>
        </w:rPr>
      </w:pPr>
      <w:r>
        <w:rPr>
          <w:rFonts w:ascii="宋体" w:hAnsi="宋体" w:hint="eastAsia"/>
          <w:sz w:val="24"/>
          <w:szCs w:val="24"/>
        </w:rPr>
        <w:t>（三）基金财产的清算</w:t>
      </w:r>
    </w:p>
    <w:p w14:paraId="00D0CBFE" w14:textId="77777777" w:rsidR="0069510E" w:rsidRDefault="00000000">
      <w:pPr>
        <w:spacing w:line="360" w:lineRule="auto"/>
        <w:ind w:firstLineChars="200" w:firstLine="480"/>
        <w:rPr>
          <w:rFonts w:ascii="宋体" w:hAnsi="宋体"/>
          <w:sz w:val="24"/>
          <w:szCs w:val="24"/>
        </w:rPr>
      </w:pPr>
      <w:r>
        <w:rPr>
          <w:rFonts w:ascii="宋体" w:hAnsi="宋体"/>
          <w:sz w:val="24"/>
          <w:szCs w:val="24"/>
        </w:rPr>
        <w:t>1、基金财产清算小组：自出现《基金合同》终止事由之日起30个工作日内成立清算小组，基金管理人</w:t>
      </w:r>
      <w:r>
        <w:rPr>
          <w:rFonts w:ascii="宋体" w:hAnsi="宋体" w:hint="eastAsia"/>
          <w:sz w:val="24"/>
          <w:szCs w:val="24"/>
        </w:rPr>
        <w:t>或临时基金管理人组织基金财产清算小组并在中国证监会的监督下进行基金清算。</w:t>
      </w:r>
    </w:p>
    <w:p w14:paraId="652E812C" w14:textId="77777777" w:rsidR="0069510E" w:rsidRDefault="00000000">
      <w:pPr>
        <w:spacing w:line="360" w:lineRule="auto"/>
        <w:ind w:firstLineChars="200" w:firstLine="480"/>
        <w:rPr>
          <w:rFonts w:ascii="宋体" w:hAnsi="宋体"/>
          <w:sz w:val="24"/>
          <w:szCs w:val="24"/>
        </w:rPr>
      </w:pPr>
      <w:r>
        <w:rPr>
          <w:rFonts w:ascii="宋体" w:hAnsi="宋体"/>
          <w:sz w:val="24"/>
          <w:szCs w:val="24"/>
        </w:rPr>
        <w:t>2、基金财产清算小组组成：基金财产清算小组成员由基金管理人</w:t>
      </w:r>
      <w:r>
        <w:rPr>
          <w:rFonts w:ascii="宋体" w:hAnsi="宋体" w:hint="eastAsia"/>
          <w:sz w:val="24"/>
          <w:szCs w:val="24"/>
        </w:rPr>
        <w:t>或临时基金管理人、基金托管人、符合《中华人民共和国证券法》规定的注册会计师、律师以及中国证监会指定的人员组成。基金财产清算小组可以聘用必要的工作人员。</w:t>
      </w:r>
    </w:p>
    <w:p w14:paraId="441E7424" w14:textId="77777777" w:rsidR="0069510E" w:rsidRDefault="00000000">
      <w:pPr>
        <w:spacing w:line="360" w:lineRule="auto"/>
        <w:ind w:firstLineChars="200" w:firstLine="480"/>
        <w:rPr>
          <w:rFonts w:ascii="宋体" w:hAnsi="宋体"/>
          <w:sz w:val="24"/>
          <w:szCs w:val="24"/>
        </w:rPr>
      </w:pPr>
      <w:r>
        <w:rPr>
          <w:rFonts w:ascii="宋体" w:hAnsi="宋体"/>
          <w:sz w:val="24"/>
          <w:szCs w:val="24"/>
        </w:rPr>
        <w:t>3、基金财产清算小组职责：基金财产清算小组负责基金财产的保管、清理、估价、变现和分配。基金财产清算小组可以依法进行必要的民事活动。</w:t>
      </w:r>
    </w:p>
    <w:p w14:paraId="5F5A5162" w14:textId="77777777" w:rsidR="0069510E" w:rsidRDefault="00000000">
      <w:pPr>
        <w:spacing w:line="360" w:lineRule="auto"/>
        <w:ind w:firstLineChars="200" w:firstLine="480"/>
        <w:rPr>
          <w:rFonts w:ascii="宋体" w:hAnsi="宋体"/>
          <w:sz w:val="24"/>
          <w:szCs w:val="24"/>
        </w:rPr>
      </w:pPr>
      <w:r>
        <w:rPr>
          <w:rFonts w:ascii="宋体" w:hAnsi="宋体"/>
          <w:sz w:val="24"/>
          <w:szCs w:val="24"/>
        </w:rPr>
        <w:lastRenderedPageBreak/>
        <w:t>4、基金财产清算程序：</w:t>
      </w:r>
    </w:p>
    <w:p w14:paraId="26F1014F" w14:textId="77777777" w:rsidR="0069510E" w:rsidRDefault="00000000">
      <w:pPr>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sz w:val="24"/>
          <w:szCs w:val="24"/>
        </w:rPr>
        <w:t>1）《基金合同》终止情形出现时，由基金财产清算小组统一接管基金；</w:t>
      </w:r>
    </w:p>
    <w:p w14:paraId="06CBEBF9" w14:textId="77777777" w:rsidR="0069510E" w:rsidRDefault="00000000">
      <w:pPr>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sz w:val="24"/>
          <w:szCs w:val="24"/>
        </w:rPr>
        <w:t>2）对基金财产和债权债务进行清理和确认；</w:t>
      </w:r>
    </w:p>
    <w:p w14:paraId="582872BE" w14:textId="77777777" w:rsidR="0069510E" w:rsidRDefault="00000000">
      <w:pPr>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sz w:val="24"/>
          <w:szCs w:val="24"/>
        </w:rPr>
        <w:t>3）对基金财产进行估值和变现；</w:t>
      </w:r>
    </w:p>
    <w:p w14:paraId="22C6C136" w14:textId="77777777" w:rsidR="0069510E" w:rsidRDefault="00000000">
      <w:pPr>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sz w:val="24"/>
          <w:szCs w:val="24"/>
        </w:rPr>
        <w:t>4）制作清算报告；</w:t>
      </w:r>
    </w:p>
    <w:p w14:paraId="3DEEF475" w14:textId="77777777" w:rsidR="0069510E" w:rsidRDefault="00000000">
      <w:pPr>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sz w:val="24"/>
          <w:szCs w:val="24"/>
        </w:rPr>
        <w:t>5）聘请会计师事务所对清算报告进行外部审计，聘请律师事务所对清算报告出具法律意见书；</w:t>
      </w:r>
    </w:p>
    <w:p w14:paraId="1324FD0E" w14:textId="77777777" w:rsidR="0069510E" w:rsidRDefault="00000000">
      <w:pPr>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sz w:val="24"/>
          <w:szCs w:val="24"/>
        </w:rPr>
        <w:t>6）将清算报告报中国证监会备案并公告；</w:t>
      </w:r>
    </w:p>
    <w:p w14:paraId="0D0CBFAE" w14:textId="77777777" w:rsidR="0069510E" w:rsidRDefault="00000000">
      <w:pPr>
        <w:spacing w:line="360" w:lineRule="auto"/>
        <w:ind w:firstLineChars="200" w:firstLine="480"/>
        <w:rPr>
          <w:rFonts w:ascii="宋体" w:hAnsi="宋体"/>
          <w:sz w:val="24"/>
          <w:szCs w:val="24"/>
        </w:rPr>
      </w:pPr>
      <w:r>
        <w:rPr>
          <w:rFonts w:ascii="宋体" w:hAnsi="宋体" w:hint="eastAsia"/>
          <w:sz w:val="24"/>
          <w:szCs w:val="24"/>
        </w:rPr>
        <w:t>（</w:t>
      </w:r>
      <w:r>
        <w:rPr>
          <w:rFonts w:ascii="宋体" w:hAnsi="宋体"/>
          <w:sz w:val="24"/>
          <w:szCs w:val="24"/>
        </w:rPr>
        <w:t>7）对基金剩余财产进行分配。</w:t>
      </w:r>
    </w:p>
    <w:p w14:paraId="3D223587" w14:textId="77777777" w:rsidR="0069510E" w:rsidRDefault="00000000">
      <w:pPr>
        <w:spacing w:line="360" w:lineRule="auto"/>
        <w:ind w:firstLineChars="200" w:firstLine="480"/>
        <w:rPr>
          <w:rFonts w:ascii="宋体" w:hAnsi="宋体"/>
          <w:sz w:val="24"/>
          <w:szCs w:val="24"/>
        </w:rPr>
      </w:pPr>
      <w:r>
        <w:rPr>
          <w:rFonts w:ascii="宋体" w:hAnsi="宋体"/>
          <w:sz w:val="24"/>
          <w:szCs w:val="24"/>
        </w:rPr>
        <w:t>5、基金财产清算的期限为6个月，但因本基金所持证券的流动性受到限制而不能及时变现的，</w:t>
      </w:r>
      <w:r>
        <w:rPr>
          <w:rFonts w:ascii="宋体" w:hAnsi="宋体" w:hint="eastAsia"/>
          <w:sz w:val="24"/>
          <w:szCs w:val="24"/>
        </w:rPr>
        <w:t>清算期限可相应顺延。</w:t>
      </w:r>
    </w:p>
    <w:p w14:paraId="646C422D" w14:textId="77777777" w:rsidR="0069510E" w:rsidRDefault="00000000">
      <w:pPr>
        <w:spacing w:line="360" w:lineRule="auto"/>
        <w:ind w:firstLineChars="200" w:firstLine="480"/>
        <w:rPr>
          <w:rFonts w:ascii="宋体" w:hAnsi="宋体"/>
          <w:sz w:val="24"/>
          <w:szCs w:val="24"/>
        </w:rPr>
      </w:pPr>
      <w:r>
        <w:rPr>
          <w:rFonts w:ascii="宋体" w:hAnsi="宋体"/>
          <w:sz w:val="24"/>
          <w:szCs w:val="24"/>
        </w:rPr>
        <w:t>6、清算费用</w:t>
      </w:r>
    </w:p>
    <w:p w14:paraId="283392CA" w14:textId="77777777" w:rsidR="0069510E" w:rsidRDefault="00000000">
      <w:pPr>
        <w:spacing w:line="360" w:lineRule="auto"/>
        <w:ind w:firstLineChars="200" w:firstLine="480"/>
        <w:rPr>
          <w:rFonts w:ascii="宋体" w:hAnsi="宋体"/>
          <w:sz w:val="24"/>
          <w:szCs w:val="24"/>
        </w:rPr>
      </w:pPr>
      <w:r>
        <w:rPr>
          <w:rFonts w:ascii="宋体" w:hAnsi="宋体" w:hint="eastAsia"/>
          <w:sz w:val="24"/>
          <w:szCs w:val="24"/>
        </w:rPr>
        <w:t>清算费用是指基金财产清算小组在进行基金清算过程中发生的所有合理费用，清算费用由基金财产清算小组优先从基金财产中支付。</w:t>
      </w:r>
    </w:p>
    <w:p w14:paraId="5D930C13" w14:textId="77777777" w:rsidR="0069510E" w:rsidRDefault="00000000">
      <w:pPr>
        <w:spacing w:line="360" w:lineRule="auto"/>
        <w:ind w:firstLineChars="200" w:firstLine="480"/>
        <w:rPr>
          <w:rFonts w:ascii="宋体" w:hAnsi="宋体"/>
          <w:sz w:val="24"/>
          <w:szCs w:val="24"/>
        </w:rPr>
      </w:pPr>
      <w:r>
        <w:rPr>
          <w:rFonts w:ascii="宋体" w:hAnsi="宋体"/>
          <w:sz w:val="24"/>
          <w:szCs w:val="24"/>
        </w:rPr>
        <w:t>7、基金财产清算剩余资产的分配</w:t>
      </w:r>
    </w:p>
    <w:p w14:paraId="6D4313AF" w14:textId="77777777" w:rsidR="0069510E" w:rsidRDefault="00000000">
      <w:pPr>
        <w:spacing w:line="360" w:lineRule="auto"/>
        <w:ind w:firstLineChars="200" w:firstLine="480"/>
        <w:rPr>
          <w:rFonts w:ascii="宋体" w:hAnsi="宋体"/>
          <w:sz w:val="24"/>
          <w:szCs w:val="24"/>
        </w:rPr>
      </w:pPr>
      <w:r>
        <w:rPr>
          <w:rFonts w:ascii="宋体" w:hAnsi="宋体" w:hint="eastAsia"/>
          <w:sz w:val="24"/>
          <w:szCs w:val="24"/>
        </w:rPr>
        <w:t>依据基金财产清算的分配方案，将基金财产清算后的全部剩余资产扣除基金财产清算费用、交纳所欠税款并清偿基金债务后，按基金份额持有人持有的基金份额比例进行分配。</w:t>
      </w:r>
    </w:p>
    <w:p w14:paraId="41571829" w14:textId="77777777" w:rsidR="0069510E" w:rsidRDefault="00000000">
      <w:pPr>
        <w:spacing w:line="360" w:lineRule="auto"/>
        <w:ind w:firstLineChars="200" w:firstLine="480"/>
        <w:rPr>
          <w:rFonts w:ascii="宋体" w:hAnsi="宋体"/>
          <w:sz w:val="24"/>
          <w:szCs w:val="24"/>
        </w:rPr>
      </w:pPr>
      <w:r>
        <w:rPr>
          <w:rFonts w:ascii="宋体" w:hAnsi="宋体"/>
          <w:sz w:val="24"/>
          <w:szCs w:val="24"/>
        </w:rPr>
        <w:t>8、基金财产清算的公告</w:t>
      </w:r>
    </w:p>
    <w:p w14:paraId="4546B2D6" w14:textId="77777777" w:rsidR="0069510E" w:rsidRDefault="00000000">
      <w:pPr>
        <w:spacing w:line="360" w:lineRule="auto"/>
        <w:ind w:firstLineChars="200" w:firstLine="480"/>
        <w:rPr>
          <w:rFonts w:ascii="宋体" w:hAnsi="宋体"/>
          <w:sz w:val="24"/>
          <w:szCs w:val="24"/>
        </w:rPr>
      </w:pPr>
      <w:r>
        <w:rPr>
          <w:rFonts w:ascii="宋体" w:hAnsi="宋体" w:hint="eastAsia"/>
          <w:sz w:val="24"/>
          <w:szCs w:val="24"/>
        </w:rPr>
        <w:t>清算过程中的有关重大事项须及时公告；基金财产清算报告</w:t>
      </w:r>
      <w:proofErr w:type="gramStart"/>
      <w:r>
        <w:rPr>
          <w:rFonts w:ascii="宋体" w:hAnsi="宋体" w:hint="eastAsia"/>
          <w:sz w:val="24"/>
          <w:szCs w:val="24"/>
        </w:rPr>
        <w:t>经符合</w:t>
      </w:r>
      <w:proofErr w:type="gramEnd"/>
      <w:r>
        <w:rPr>
          <w:rFonts w:ascii="宋体" w:hAnsi="宋体" w:hint="eastAsia"/>
          <w:sz w:val="24"/>
          <w:szCs w:val="24"/>
        </w:rPr>
        <w:t>《中华人民共和国证券法》规定的会计师事务所审计并由律师事务所出具法律意见书后报中国证监会备案并公告。基金财产清算公告于基金财产清算报告报中国证监会备案后</w:t>
      </w:r>
      <w:r>
        <w:rPr>
          <w:rFonts w:ascii="宋体" w:hAnsi="宋体"/>
          <w:sz w:val="24"/>
          <w:szCs w:val="24"/>
        </w:rPr>
        <w:t>5个工作日内由基金财产清算小组进行公告</w:t>
      </w:r>
      <w:r>
        <w:rPr>
          <w:rFonts w:ascii="宋体" w:hAnsi="宋体" w:hint="eastAsia"/>
          <w:sz w:val="24"/>
          <w:szCs w:val="24"/>
        </w:rPr>
        <w:t>，基金财产清算小组应当将清算报告登载在规定网站上，并将清算报告提示性公告登载在规定报刊上。</w:t>
      </w:r>
    </w:p>
    <w:p w14:paraId="4447A2B2" w14:textId="77777777" w:rsidR="0069510E" w:rsidRDefault="00000000">
      <w:pPr>
        <w:spacing w:line="360" w:lineRule="auto"/>
        <w:ind w:firstLineChars="200" w:firstLine="480"/>
        <w:rPr>
          <w:rFonts w:ascii="宋体" w:hAnsi="宋体"/>
          <w:sz w:val="24"/>
          <w:szCs w:val="24"/>
        </w:rPr>
      </w:pPr>
      <w:r>
        <w:rPr>
          <w:rFonts w:ascii="宋体" w:hAnsi="宋体"/>
          <w:sz w:val="24"/>
          <w:szCs w:val="24"/>
        </w:rPr>
        <w:t>9、基金财产清算账册及文件的保存</w:t>
      </w:r>
    </w:p>
    <w:p w14:paraId="0B39502C" w14:textId="77777777" w:rsidR="0069510E" w:rsidRDefault="00000000">
      <w:pPr>
        <w:spacing w:line="360" w:lineRule="auto"/>
        <w:ind w:firstLineChars="200" w:firstLine="480"/>
        <w:rPr>
          <w:rFonts w:ascii="宋体" w:hAnsi="宋体"/>
          <w:sz w:val="24"/>
          <w:szCs w:val="24"/>
        </w:rPr>
      </w:pPr>
      <w:r>
        <w:rPr>
          <w:rFonts w:ascii="宋体" w:hAnsi="宋体" w:hint="eastAsia"/>
          <w:sz w:val="24"/>
          <w:szCs w:val="24"/>
        </w:rPr>
        <w:t>基金财产清算账册及有关文件由基金托管人保存，保存期限不低于法律法规规定的最低期限。</w:t>
      </w:r>
    </w:p>
    <w:p w14:paraId="30C562BB" w14:textId="77777777" w:rsidR="0069510E" w:rsidRDefault="00000000">
      <w:pPr>
        <w:widowControl/>
        <w:jc w:val="left"/>
        <w:rPr>
          <w:rFonts w:ascii="宋体" w:hAnsi="宋体"/>
          <w:sz w:val="24"/>
          <w:szCs w:val="24"/>
        </w:rPr>
      </w:pPr>
      <w:r>
        <w:rPr>
          <w:rFonts w:ascii="宋体" w:hAnsi="宋体"/>
          <w:sz w:val="24"/>
          <w:szCs w:val="24"/>
        </w:rPr>
        <w:br w:type="page"/>
      </w:r>
    </w:p>
    <w:p w14:paraId="1F6962FF" w14:textId="77777777" w:rsidR="0069510E" w:rsidRDefault="00000000">
      <w:pPr>
        <w:pStyle w:val="1"/>
        <w:jc w:val="center"/>
        <w:rPr>
          <w:sz w:val="30"/>
          <w:szCs w:val="30"/>
        </w:rPr>
      </w:pPr>
      <w:bookmarkStart w:id="428" w:name="_Toc136963821"/>
      <w:bookmarkStart w:id="429" w:name="_Toc68266308"/>
      <w:bookmarkStart w:id="430" w:name="_Toc416264555"/>
      <w:bookmarkStart w:id="431" w:name="_Toc147463123"/>
      <w:bookmarkStart w:id="432" w:name="_Toc21073396"/>
      <w:bookmarkStart w:id="433" w:name="_Toc12357176"/>
      <w:bookmarkStart w:id="434" w:name="_Toc263092328"/>
      <w:bookmarkStart w:id="435" w:name="_Toc214873621"/>
      <w:bookmarkStart w:id="436" w:name="_Toc1790"/>
      <w:bookmarkStart w:id="437" w:name="_Toc25651"/>
      <w:bookmarkStart w:id="438" w:name="_Toc8636"/>
      <w:bookmarkStart w:id="439" w:name="_Toc24923"/>
      <w:bookmarkStart w:id="440" w:name="_Toc30350"/>
      <w:bookmarkStart w:id="441" w:name="_Toc6202"/>
      <w:bookmarkStart w:id="442" w:name="_Toc7288"/>
      <w:bookmarkStart w:id="443" w:name="_Toc98560366"/>
      <w:bookmarkStart w:id="444" w:name="_Toc21983"/>
      <w:bookmarkStart w:id="445" w:name="_Toc141703902"/>
      <w:bookmarkStart w:id="446" w:name="_Toc123051467"/>
      <w:bookmarkStart w:id="447" w:name="_Toc352229767"/>
      <w:bookmarkStart w:id="448" w:name="_Toc123102468"/>
      <w:bookmarkStart w:id="449" w:name="_Toc123112249"/>
      <w:bookmarkStart w:id="450" w:name="_Toc3319"/>
      <w:bookmarkStart w:id="451" w:name="_Toc23999"/>
      <w:bookmarkStart w:id="452" w:name="_Toc6110"/>
      <w:bookmarkStart w:id="453" w:name="_Toc139991751"/>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r>
        <w:rPr>
          <w:rFonts w:hint="eastAsia"/>
          <w:sz w:val="30"/>
          <w:szCs w:val="30"/>
        </w:rPr>
        <w:lastRenderedPageBreak/>
        <w:t>第二十一部分</w:t>
      </w:r>
      <w:r>
        <w:rPr>
          <w:sz w:val="30"/>
          <w:szCs w:val="30"/>
        </w:rPr>
        <w:t xml:space="preserve">  </w:t>
      </w:r>
      <w:r>
        <w:rPr>
          <w:rFonts w:hint="eastAsia"/>
          <w:sz w:val="30"/>
          <w:szCs w:val="30"/>
        </w:rPr>
        <w:t>对基金份额持有人的服务</w:t>
      </w:r>
      <w:bookmarkEnd w:id="428"/>
      <w:bookmarkEnd w:id="429"/>
    </w:p>
    <w:p w14:paraId="290799EB" w14:textId="77777777" w:rsidR="0069510E"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23A89893" w14:textId="77777777" w:rsidR="0069510E"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15F20ED4" w14:textId="77777777" w:rsidR="0069510E"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022FA32D" w14:textId="77777777" w:rsidR="0069510E"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7893A5C0" w14:textId="77777777" w:rsidR="0069510E"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534A9DA1" w14:textId="77777777" w:rsidR="0069510E"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708E0306" w14:textId="77777777" w:rsidR="0069510E"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1316FFB5" w14:textId="77777777" w:rsidR="0069510E"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745C8669" w14:textId="77777777" w:rsidR="0069510E"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1C9D6B2C" w14:textId="77777777" w:rsidR="0069510E"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（五）客户投诉受理服务</w:t>
      </w:r>
    </w:p>
    <w:p w14:paraId="5E2548BB" w14:textId="77777777" w:rsidR="0069510E"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投资人可以通过客服热线、书信、电子邮件等渠道，对基金管理人和销售机构所提供的服务进行投诉。基金管理人承诺在 20个工作日之内对基金投资人的投诉做出回复。</w:t>
      </w:r>
    </w:p>
    <w:p w14:paraId="57640E4A" w14:textId="77777777" w:rsidR="0069510E"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（六）基金管理人联系方式 </w:t>
      </w:r>
    </w:p>
    <w:p w14:paraId="34851D5A" w14:textId="77777777" w:rsidR="0069510E"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 www.furamc.com.cn</w:t>
      </w:r>
    </w:p>
    <w:p w14:paraId="71C3D1D2" w14:textId="77777777" w:rsidR="0069510E"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电子信箱：service@furamc.com.cn</w:t>
      </w:r>
    </w:p>
    <w:p w14:paraId="0055541D" w14:textId="77777777" w:rsidR="0069510E"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14:paraId="64888286" w14:textId="77777777" w:rsidR="0069510E"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客户服务部门地址：</w:t>
      </w:r>
      <w:r>
        <w:rPr>
          <w:rFonts w:asciiTheme="minorEastAsia" w:hAnsiTheme="minorEastAsia" w:cs="Times New Roman" w:hint="eastAsia"/>
          <w:kern w:val="0"/>
          <w:sz w:val="24"/>
          <w:szCs w:val="24"/>
        </w:rPr>
        <w:t>深圳市福田区八卦四路52号安吉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hint="eastAsia"/>
          <w:kern w:val="0"/>
          <w:sz w:val="24"/>
          <w:szCs w:val="24"/>
        </w:rPr>
        <w:t>24层</w:t>
      </w:r>
      <w:r>
        <w:rPr>
          <w:rFonts w:asciiTheme="minorEastAsia" w:hAnsiTheme="minorEastAsia" w:cs="Arial" w:hint="eastAsia"/>
          <w:sz w:val="24"/>
          <w:szCs w:val="24"/>
        </w:rPr>
        <w:t>，富</w:t>
      </w:r>
      <w:proofErr w:type="gramStart"/>
      <w:r>
        <w:rPr>
          <w:rFonts w:asciiTheme="minorEastAsia" w:hAnsiTheme="minorEastAsia" w:cs="Arial" w:hint="eastAsia"/>
          <w:sz w:val="24"/>
          <w:szCs w:val="24"/>
        </w:rPr>
        <w:t>荣基金</w:t>
      </w:r>
      <w:proofErr w:type="gramEnd"/>
      <w:r>
        <w:rPr>
          <w:rFonts w:asciiTheme="minorEastAsia" w:hAnsiTheme="minorEastAsia" w:cs="Arial" w:hint="eastAsia"/>
          <w:sz w:val="24"/>
          <w:szCs w:val="24"/>
        </w:rPr>
        <w:t>管理有限公司客户服务部门（收）</w:t>
      </w:r>
    </w:p>
    <w:p w14:paraId="64042C0A" w14:textId="77777777" w:rsidR="0069510E"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14:paraId="2D1F4599" w14:textId="17D436B8" w:rsidR="0069510E"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（七）如本招募说明书存在任何您/</w:t>
      </w:r>
      <w:proofErr w:type="gramStart"/>
      <w:r>
        <w:rPr>
          <w:rFonts w:asciiTheme="minorEastAsia" w:hAnsiTheme="minorEastAsia" w:cs="Arial" w:hint="eastAsia"/>
          <w:kern w:val="0"/>
          <w:sz w:val="24"/>
          <w:szCs w:val="24"/>
        </w:rPr>
        <w:t>贵机构</w:t>
      </w:r>
      <w:proofErr w:type="gramEnd"/>
      <w:r>
        <w:rPr>
          <w:rFonts w:asciiTheme="minorEastAsia" w:hAnsiTheme="minorEastAsia" w:cs="Arial" w:hint="eastAsia"/>
          <w:kern w:val="0"/>
          <w:sz w:val="24"/>
          <w:szCs w:val="24"/>
        </w:rPr>
        <w:t>无法理解的内容，请通过</w:t>
      </w:r>
      <w:proofErr w:type="gramStart"/>
      <w:r>
        <w:rPr>
          <w:rFonts w:asciiTheme="minorEastAsia" w:hAnsiTheme="minorEastAsia" w:cs="Arial" w:hint="eastAsia"/>
          <w:kern w:val="0"/>
          <w:sz w:val="24"/>
          <w:szCs w:val="24"/>
        </w:rPr>
        <w:t>上述联系</w:t>
      </w:r>
      <w:proofErr w:type="gramEnd"/>
      <w:r>
        <w:rPr>
          <w:rFonts w:asciiTheme="minorEastAsia" w:hAnsiTheme="minorEastAsia" w:cs="Arial" w:hint="eastAsia"/>
          <w:kern w:val="0"/>
          <w:sz w:val="24"/>
          <w:szCs w:val="24"/>
        </w:rPr>
        <w:t>方式联系基金管理人。</w:t>
      </w:r>
      <w:proofErr w:type="gramStart"/>
      <w:r>
        <w:rPr>
          <w:rFonts w:asciiTheme="minorEastAsia" w:hAnsiTheme="minorEastAsia" w:cs="Arial" w:hint="eastAsia"/>
          <w:kern w:val="0"/>
          <w:sz w:val="24"/>
          <w:szCs w:val="24"/>
        </w:rPr>
        <w:t>请确保</w:t>
      </w:r>
      <w:proofErr w:type="gramEnd"/>
      <w:r>
        <w:rPr>
          <w:rFonts w:asciiTheme="minorEastAsia" w:hAnsiTheme="minorEastAsia" w:cs="Arial" w:hint="eastAsia"/>
          <w:kern w:val="0"/>
          <w:sz w:val="24"/>
          <w:szCs w:val="24"/>
        </w:rPr>
        <w:t>投资前，您/</w:t>
      </w:r>
      <w:proofErr w:type="gramStart"/>
      <w:r>
        <w:rPr>
          <w:rFonts w:asciiTheme="minorEastAsia" w:hAnsiTheme="minorEastAsia" w:cs="Arial" w:hint="eastAsia"/>
          <w:kern w:val="0"/>
          <w:sz w:val="24"/>
          <w:szCs w:val="24"/>
        </w:rPr>
        <w:t>贵机构</w:t>
      </w:r>
      <w:proofErr w:type="gramEnd"/>
      <w:r>
        <w:rPr>
          <w:rFonts w:asciiTheme="minorEastAsia" w:hAnsiTheme="minorEastAsia" w:cs="Arial" w:hint="eastAsia"/>
          <w:kern w:val="0"/>
          <w:sz w:val="24"/>
          <w:szCs w:val="24"/>
        </w:rPr>
        <w:t>已经全面理解了本招募说明书。</w:t>
      </w:r>
    </w:p>
    <w:p w14:paraId="23BDC04C" w14:textId="77777777" w:rsidR="0069510E" w:rsidRDefault="0069510E">
      <w:pPr>
        <w:spacing w:line="360" w:lineRule="auto"/>
        <w:ind w:firstLineChars="200" w:firstLine="480"/>
        <w:rPr>
          <w:rFonts w:asciiTheme="minorEastAsia" w:hAnsiTheme="minorEastAsia" w:cs="Arial"/>
          <w:sz w:val="24"/>
          <w:szCs w:val="24"/>
        </w:rPr>
      </w:pPr>
    </w:p>
    <w:p w14:paraId="4186E28D" w14:textId="77777777" w:rsidR="0069510E" w:rsidRDefault="0069510E">
      <w:pPr>
        <w:spacing w:line="360" w:lineRule="auto"/>
        <w:ind w:firstLineChars="200" w:firstLine="480"/>
        <w:rPr>
          <w:rFonts w:asciiTheme="minorEastAsia" w:hAnsiTheme="minorEastAsia" w:cs="Arial"/>
          <w:sz w:val="24"/>
          <w:szCs w:val="24"/>
        </w:rPr>
      </w:pPr>
    </w:p>
    <w:p w14:paraId="6EAE04E0" w14:textId="77777777" w:rsidR="0069510E"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br w:type="page"/>
      </w:r>
    </w:p>
    <w:p w14:paraId="24FDF46C" w14:textId="77777777" w:rsidR="0069510E" w:rsidRDefault="00000000">
      <w:pPr>
        <w:pStyle w:val="1"/>
        <w:jc w:val="center"/>
        <w:rPr>
          <w:sz w:val="30"/>
          <w:szCs w:val="30"/>
        </w:rPr>
      </w:pPr>
      <w:bookmarkStart w:id="454" w:name="_Toc256666809"/>
      <w:bookmarkStart w:id="455" w:name="_Toc520207207"/>
      <w:bookmarkStart w:id="456" w:name="_Toc256666929"/>
      <w:bookmarkStart w:id="457" w:name="_Toc521338342"/>
      <w:bookmarkStart w:id="458" w:name="_Toc30359"/>
      <w:bookmarkStart w:id="459" w:name="_Toc482624810"/>
      <w:bookmarkStart w:id="460" w:name="_Toc37770224"/>
      <w:bookmarkStart w:id="461" w:name="_Toc136963822"/>
      <w:r>
        <w:rPr>
          <w:rFonts w:hint="eastAsia"/>
          <w:sz w:val="30"/>
          <w:szCs w:val="30"/>
        </w:rPr>
        <w:lastRenderedPageBreak/>
        <w:t xml:space="preserve">第二十二部分  </w:t>
      </w:r>
      <w:bookmarkEnd w:id="454"/>
      <w:bookmarkEnd w:id="455"/>
      <w:bookmarkEnd w:id="456"/>
      <w:bookmarkEnd w:id="457"/>
      <w:bookmarkEnd w:id="458"/>
      <w:bookmarkEnd w:id="459"/>
      <w:r>
        <w:rPr>
          <w:rFonts w:hint="eastAsia"/>
          <w:sz w:val="30"/>
          <w:szCs w:val="30"/>
        </w:rPr>
        <w:t>其他应披露事项</w:t>
      </w:r>
      <w:bookmarkEnd w:id="460"/>
      <w:bookmarkEnd w:id="461"/>
    </w:p>
    <w:tbl>
      <w:tblPr>
        <w:tblpPr w:leftFromText="180" w:rightFromText="180" w:vertAnchor="text" w:tblpX="40" w:tblpY="1"/>
        <w:tblOverlap w:val="never"/>
        <w:tblW w:w="90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6237"/>
        <w:gridCol w:w="1990"/>
      </w:tblGrid>
      <w:tr w:rsidR="0069510E" w14:paraId="7D2D616E" w14:textId="77777777">
        <w:trPr>
          <w:trHeight w:val="382"/>
        </w:trPr>
        <w:tc>
          <w:tcPr>
            <w:tcW w:w="817" w:type="dxa"/>
            <w:tcBorders>
              <w:top w:val="single" w:sz="4" w:space="0" w:color="auto"/>
              <w:left w:val="single" w:sz="4" w:space="0" w:color="auto"/>
              <w:bottom w:val="single" w:sz="4" w:space="0" w:color="auto"/>
              <w:right w:val="single" w:sz="4" w:space="0" w:color="auto"/>
            </w:tcBorders>
          </w:tcPr>
          <w:p w14:paraId="3D968E34" w14:textId="77777777" w:rsidR="0069510E" w:rsidRDefault="00000000">
            <w:pPr>
              <w:jc w:val="center"/>
              <w:rPr>
                <w:rFonts w:ascii="宋体" w:hAnsi="宋体"/>
                <w:szCs w:val="21"/>
              </w:rPr>
            </w:pPr>
            <w:r>
              <w:rPr>
                <w:rFonts w:asciiTheme="minorEastAsia" w:hAnsiTheme="minorEastAsia" w:cs="Arial" w:hint="eastAsia"/>
                <w:sz w:val="24"/>
                <w:szCs w:val="24"/>
              </w:rPr>
              <w:t>序号</w:t>
            </w:r>
          </w:p>
        </w:tc>
        <w:tc>
          <w:tcPr>
            <w:tcW w:w="6237" w:type="dxa"/>
            <w:tcBorders>
              <w:top w:val="single" w:sz="4" w:space="0" w:color="auto"/>
              <w:left w:val="single" w:sz="4" w:space="0" w:color="auto"/>
              <w:bottom w:val="single" w:sz="4" w:space="0" w:color="auto"/>
              <w:right w:val="single" w:sz="4" w:space="0" w:color="auto"/>
            </w:tcBorders>
          </w:tcPr>
          <w:p w14:paraId="53DA38DB" w14:textId="77777777" w:rsidR="0069510E" w:rsidRDefault="00000000">
            <w:pPr>
              <w:jc w:val="center"/>
              <w:rPr>
                <w:rFonts w:ascii="宋体" w:hAnsi="宋体"/>
                <w:szCs w:val="21"/>
              </w:rPr>
            </w:pPr>
            <w:r>
              <w:rPr>
                <w:rFonts w:asciiTheme="minorEastAsia" w:hAnsiTheme="minorEastAsia" w:cs="Arial" w:hint="eastAsia"/>
                <w:sz w:val="24"/>
                <w:szCs w:val="24"/>
              </w:rPr>
              <w:t>公告事项</w:t>
            </w:r>
          </w:p>
        </w:tc>
        <w:tc>
          <w:tcPr>
            <w:tcW w:w="1990" w:type="dxa"/>
            <w:tcBorders>
              <w:top w:val="single" w:sz="4" w:space="0" w:color="auto"/>
              <w:left w:val="single" w:sz="4" w:space="0" w:color="auto"/>
              <w:bottom w:val="single" w:sz="4" w:space="0" w:color="auto"/>
              <w:right w:val="single" w:sz="4" w:space="0" w:color="auto"/>
            </w:tcBorders>
          </w:tcPr>
          <w:p w14:paraId="75C40CD6" w14:textId="77777777" w:rsidR="0069510E" w:rsidRDefault="00000000">
            <w:pPr>
              <w:jc w:val="center"/>
              <w:rPr>
                <w:rFonts w:ascii="宋体" w:hAnsi="宋体"/>
                <w:szCs w:val="21"/>
              </w:rPr>
            </w:pPr>
            <w:r>
              <w:rPr>
                <w:rFonts w:asciiTheme="minorEastAsia" w:hAnsiTheme="minorEastAsia" w:cs="Arial" w:hint="eastAsia"/>
                <w:sz w:val="24"/>
                <w:szCs w:val="24"/>
              </w:rPr>
              <w:t>披露日期</w:t>
            </w:r>
          </w:p>
        </w:tc>
      </w:tr>
      <w:tr w:rsidR="0069510E" w14:paraId="1C415AB0"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50FFA42F" w14:textId="4343E226" w:rsidR="0069510E" w:rsidRDefault="00000000">
            <w:pPr>
              <w:jc w:val="center"/>
              <w:rPr>
                <w:rFonts w:asciiTheme="minorEastAsia" w:hAnsiTheme="minorEastAsia" w:cs="Arial"/>
                <w:sz w:val="24"/>
                <w:szCs w:val="24"/>
              </w:rPr>
            </w:pPr>
            <w:r>
              <w:rPr>
                <w:rFonts w:hint="eastAsia"/>
                <w:color w:val="000000"/>
                <w:sz w:val="22"/>
              </w:rPr>
              <w:t>1</w:t>
            </w:r>
          </w:p>
        </w:tc>
        <w:tc>
          <w:tcPr>
            <w:tcW w:w="6237" w:type="dxa"/>
            <w:tcBorders>
              <w:top w:val="single" w:sz="4" w:space="0" w:color="auto"/>
              <w:left w:val="single" w:sz="4" w:space="0" w:color="auto"/>
              <w:bottom w:val="single" w:sz="4" w:space="0" w:color="auto"/>
              <w:right w:val="single" w:sz="4" w:space="0" w:color="auto"/>
            </w:tcBorders>
            <w:vAlign w:val="bottom"/>
          </w:tcPr>
          <w:p w14:paraId="7A4A7636" w14:textId="1E479337" w:rsidR="0069510E" w:rsidRDefault="00000000">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管理有限公司关于旗下部分基金新增浙江同花</w:t>
            </w:r>
            <w:proofErr w:type="gramStart"/>
            <w:r>
              <w:rPr>
                <w:rFonts w:hint="eastAsia"/>
                <w:color w:val="000000"/>
                <w:sz w:val="22"/>
              </w:rPr>
              <w:t>顺基金</w:t>
            </w:r>
            <w:proofErr w:type="gramEnd"/>
            <w:r>
              <w:rPr>
                <w:rFonts w:hint="eastAsia"/>
                <w:color w:val="000000"/>
                <w:sz w:val="22"/>
              </w:rPr>
              <w:t>销售有限公司为销售机构、开通基金定期定额投资业务和基金转换业务并参加申购及定期定额投资申购费率优惠活动的公告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15A5FF57" w14:textId="1C337F3C" w:rsidR="0069510E" w:rsidRDefault="00000000">
            <w:pPr>
              <w:jc w:val="center"/>
              <w:rPr>
                <w:rFonts w:asciiTheme="minorEastAsia" w:hAnsiTheme="minorEastAsia" w:cs="Arial"/>
                <w:sz w:val="24"/>
                <w:szCs w:val="24"/>
              </w:rPr>
            </w:pPr>
            <w:r>
              <w:rPr>
                <w:rFonts w:hint="eastAsia"/>
                <w:color w:val="000000"/>
                <w:sz w:val="22"/>
              </w:rPr>
              <w:t>2023</w:t>
            </w:r>
            <w:r>
              <w:rPr>
                <w:rFonts w:hint="eastAsia"/>
                <w:color w:val="000000"/>
                <w:sz w:val="22"/>
              </w:rPr>
              <w:t>年</w:t>
            </w:r>
            <w:r>
              <w:rPr>
                <w:rFonts w:hint="eastAsia"/>
                <w:color w:val="000000"/>
                <w:sz w:val="22"/>
              </w:rPr>
              <w:t>5</w:t>
            </w:r>
            <w:r>
              <w:rPr>
                <w:rFonts w:hint="eastAsia"/>
                <w:color w:val="000000"/>
                <w:sz w:val="22"/>
              </w:rPr>
              <w:t>月</w:t>
            </w:r>
            <w:r>
              <w:rPr>
                <w:rFonts w:hint="eastAsia"/>
                <w:color w:val="000000"/>
                <w:sz w:val="22"/>
              </w:rPr>
              <w:t>16</w:t>
            </w:r>
            <w:r>
              <w:rPr>
                <w:rFonts w:hint="eastAsia"/>
                <w:color w:val="000000"/>
                <w:sz w:val="22"/>
              </w:rPr>
              <w:t>日</w:t>
            </w:r>
          </w:p>
        </w:tc>
      </w:tr>
      <w:tr w:rsidR="0069510E" w14:paraId="273FA047"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240E09E" w14:textId="7EA4EDBF" w:rsidR="0069510E" w:rsidRDefault="00000000">
            <w:pPr>
              <w:jc w:val="center"/>
              <w:rPr>
                <w:rFonts w:asciiTheme="minorEastAsia" w:hAnsiTheme="minorEastAsia" w:cs="Arial"/>
                <w:sz w:val="24"/>
                <w:szCs w:val="24"/>
              </w:rPr>
            </w:pPr>
            <w:r>
              <w:rPr>
                <w:rFonts w:hint="eastAsia"/>
                <w:color w:val="000000"/>
                <w:sz w:val="22"/>
              </w:rPr>
              <w:t>2</w:t>
            </w:r>
          </w:p>
        </w:tc>
        <w:tc>
          <w:tcPr>
            <w:tcW w:w="6237" w:type="dxa"/>
            <w:tcBorders>
              <w:top w:val="single" w:sz="4" w:space="0" w:color="auto"/>
              <w:left w:val="single" w:sz="4" w:space="0" w:color="auto"/>
              <w:bottom w:val="single" w:sz="4" w:space="0" w:color="auto"/>
              <w:right w:val="single" w:sz="4" w:space="0" w:color="auto"/>
            </w:tcBorders>
            <w:vAlign w:val="bottom"/>
          </w:tcPr>
          <w:p w14:paraId="5DF5B63C" w14:textId="344E55A6" w:rsidR="0069510E" w:rsidRDefault="00000000">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管理有限公司关于旗下部分公开募集证券投资基金更新招募说明书及产品资料概要的提示性公告</w:t>
            </w:r>
          </w:p>
        </w:tc>
        <w:tc>
          <w:tcPr>
            <w:tcW w:w="1990" w:type="dxa"/>
            <w:tcBorders>
              <w:top w:val="single" w:sz="4" w:space="0" w:color="auto"/>
              <w:left w:val="single" w:sz="4" w:space="0" w:color="auto"/>
              <w:bottom w:val="single" w:sz="4" w:space="0" w:color="auto"/>
              <w:right w:val="single" w:sz="4" w:space="0" w:color="auto"/>
            </w:tcBorders>
            <w:vAlign w:val="center"/>
          </w:tcPr>
          <w:p w14:paraId="365CF569" w14:textId="02307658" w:rsidR="0069510E" w:rsidRDefault="00000000">
            <w:pPr>
              <w:jc w:val="center"/>
              <w:rPr>
                <w:rFonts w:asciiTheme="minorEastAsia" w:hAnsiTheme="minorEastAsia" w:cs="Arial"/>
                <w:sz w:val="24"/>
                <w:szCs w:val="24"/>
              </w:rPr>
            </w:pPr>
            <w:r>
              <w:rPr>
                <w:rFonts w:hint="eastAsia"/>
                <w:color w:val="000000"/>
                <w:sz w:val="22"/>
              </w:rPr>
              <w:t>2023</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8</w:t>
            </w:r>
            <w:r>
              <w:rPr>
                <w:rFonts w:hint="eastAsia"/>
                <w:color w:val="000000"/>
                <w:sz w:val="22"/>
              </w:rPr>
              <w:t>日</w:t>
            </w:r>
          </w:p>
        </w:tc>
      </w:tr>
      <w:tr w:rsidR="0069510E" w14:paraId="7466482F"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4EF4832F" w14:textId="1838CF3C" w:rsidR="0069510E" w:rsidRDefault="00000000">
            <w:pPr>
              <w:jc w:val="center"/>
              <w:rPr>
                <w:rFonts w:asciiTheme="minorEastAsia" w:hAnsiTheme="minorEastAsia" w:cs="Arial"/>
                <w:sz w:val="24"/>
                <w:szCs w:val="24"/>
              </w:rPr>
            </w:pPr>
            <w:r>
              <w:rPr>
                <w:rFonts w:hint="eastAsia"/>
                <w:color w:val="000000"/>
                <w:sz w:val="22"/>
              </w:rPr>
              <w:t>3</w:t>
            </w:r>
          </w:p>
        </w:tc>
        <w:tc>
          <w:tcPr>
            <w:tcW w:w="6237" w:type="dxa"/>
            <w:tcBorders>
              <w:top w:val="single" w:sz="4" w:space="0" w:color="auto"/>
              <w:left w:val="single" w:sz="4" w:space="0" w:color="auto"/>
              <w:bottom w:val="single" w:sz="4" w:space="0" w:color="auto"/>
              <w:right w:val="single" w:sz="4" w:space="0" w:color="auto"/>
            </w:tcBorders>
            <w:vAlign w:val="bottom"/>
          </w:tcPr>
          <w:p w14:paraId="15596F2E" w14:textId="51AC306F" w:rsidR="0069510E" w:rsidRDefault="00000000">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管理有限公司关于总经理代为履行督察长职务的公告</w:t>
            </w:r>
          </w:p>
        </w:tc>
        <w:tc>
          <w:tcPr>
            <w:tcW w:w="1990" w:type="dxa"/>
            <w:tcBorders>
              <w:top w:val="single" w:sz="4" w:space="0" w:color="auto"/>
              <w:left w:val="single" w:sz="4" w:space="0" w:color="auto"/>
              <w:bottom w:val="single" w:sz="4" w:space="0" w:color="auto"/>
              <w:right w:val="single" w:sz="4" w:space="0" w:color="auto"/>
            </w:tcBorders>
            <w:vAlign w:val="center"/>
          </w:tcPr>
          <w:p w14:paraId="230AE7AB" w14:textId="45DDD035" w:rsidR="0069510E" w:rsidRDefault="00000000">
            <w:pPr>
              <w:jc w:val="center"/>
              <w:rPr>
                <w:rFonts w:asciiTheme="minorEastAsia" w:hAnsiTheme="minorEastAsia" w:cs="Arial"/>
                <w:sz w:val="24"/>
                <w:szCs w:val="24"/>
              </w:rPr>
            </w:pPr>
            <w:r>
              <w:rPr>
                <w:rFonts w:hint="eastAsia"/>
                <w:color w:val="000000"/>
                <w:sz w:val="22"/>
              </w:rPr>
              <w:t>2023</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14</w:t>
            </w:r>
            <w:r>
              <w:rPr>
                <w:rFonts w:hint="eastAsia"/>
                <w:color w:val="000000"/>
                <w:sz w:val="22"/>
              </w:rPr>
              <w:t>日</w:t>
            </w:r>
          </w:p>
        </w:tc>
      </w:tr>
      <w:tr w:rsidR="0069510E" w14:paraId="6F957B9E"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2EC34B4" w14:textId="698965A8" w:rsidR="0069510E" w:rsidRDefault="00000000">
            <w:pPr>
              <w:jc w:val="center"/>
              <w:rPr>
                <w:rFonts w:asciiTheme="minorEastAsia" w:hAnsiTheme="minorEastAsia" w:cs="Arial"/>
                <w:sz w:val="24"/>
                <w:szCs w:val="24"/>
              </w:rPr>
            </w:pPr>
            <w:r>
              <w:rPr>
                <w:rFonts w:hint="eastAsia"/>
                <w:color w:val="000000"/>
                <w:sz w:val="22"/>
              </w:rPr>
              <w:t>4</w:t>
            </w:r>
          </w:p>
        </w:tc>
        <w:tc>
          <w:tcPr>
            <w:tcW w:w="6237" w:type="dxa"/>
            <w:tcBorders>
              <w:top w:val="single" w:sz="4" w:space="0" w:color="auto"/>
              <w:left w:val="single" w:sz="4" w:space="0" w:color="auto"/>
              <w:bottom w:val="single" w:sz="4" w:space="0" w:color="auto"/>
              <w:right w:val="single" w:sz="4" w:space="0" w:color="auto"/>
            </w:tcBorders>
            <w:vAlign w:val="bottom"/>
          </w:tcPr>
          <w:p w14:paraId="0AAE9A29" w14:textId="570DC728" w:rsidR="0069510E" w:rsidRDefault="00000000">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管理有限公司高级管理人员变更公告</w:t>
            </w:r>
          </w:p>
        </w:tc>
        <w:tc>
          <w:tcPr>
            <w:tcW w:w="1990" w:type="dxa"/>
            <w:tcBorders>
              <w:top w:val="single" w:sz="4" w:space="0" w:color="auto"/>
              <w:left w:val="single" w:sz="4" w:space="0" w:color="auto"/>
              <w:bottom w:val="single" w:sz="4" w:space="0" w:color="auto"/>
              <w:right w:val="single" w:sz="4" w:space="0" w:color="auto"/>
            </w:tcBorders>
            <w:vAlign w:val="center"/>
          </w:tcPr>
          <w:p w14:paraId="675CD648" w14:textId="20F34C89" w:rsidR="0069510E" w:rsidRDefault="00000000">
            <w:pPr>
              <w:jc w:val="center"/>
              <w:rPr>
                <w:rFonts w:asciiTheme="minorEastAsia" w:hAnsiTheme="minorEastAsia" w:cs="Arial"/>
                <w:sz w:val="24"/>
                <w:szCs w:val="24"/>
              </w:rPr>
            </w:pPr>
            <w:r>
              <w:rPr>
                <w:rFonts w:hint="eastAsia"/>
                <w:color w:val="000000"/>
                <w:sz w:val="22"/>
              </w:rPr>
              <w:t>2023</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15</w:t>
            </w:r>
            <w:r>
              <w:rPr>
                <w:rFonts w:hint="eastAsia"/>
                <w:color w:val="000000"/>
                <w:sz w:val="22"/>
              </w:rPr>
              <w:t>日</w:t>
            </w:r>
          </w:p>
        </w:tc>
      </w:tr>
      <w:tr w:rsidR="0069510E" w14:paraId="55F6A114"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54B45914" w14:textId="30CBE003" w:rsidR="0069510E" w:rsidRDefault="00000000">
            <w:pPr>
              <w:jc w:val="center"/>
              <w:rPr>
                <w:rFonts w:asciiTheme="minorEastAsia" w:hAnsiTheme="minorEastAsia" w:cs="Arial"/>
                <w:sz w:val="24"/>
                <w:szCs w:val="24"/>
              </w:rPr>
            </w:pPr>
            <w:r>
              <w:rPr>
                <w:rFonts w:hint="eastAsia"/>
                <w:color w:val="000000"/>
                <w:sz w:val="22"/>
              </w:rPr>
              <w:t>5</w:t>
            </w:r>
          </w:p>
        </w:tc>
        <w:tc>
          <w:tcPr>
            <w:tcW w:w="6237" w:type="dxa"/>
            <w:tcBorders>
              <w:top w:val="single" w:sz="4" w:space="0" w:color="auto"/>
              <w:left w:val="single" w:sz="4" w:space="0" w:color="auto"/>
              <w:bottom w:val="single" w:sz="4" w:space="0" w:color="auto"/>
              <w:right w:val="single" w:sz="4" w:space="0" w:color="auto"/>
            </w:tcBorders>
            <w:vAlign w:val="bottom"/>
          </w:tcPr>
          <w:p w14:paraId="25CA37B3" w14:textId="185DAE6E" w:rsidR="0069510E" w:rsidRDefault="00000000">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管理有限公司基金行业高级管理人员变更公告</w:t>
            </w:r>
          </w:p>
        </w:tc>
        <w:tc>
          <w:tcPr>
            <w:tcW w:w="1990" w:type="dxa"/>
            <w:tcBorders>
              <w:top w:val="single" w:sz="4" w:space="0" w:color="auto"/>
              <w:left w:val="single" w:sz="4" w:space="0" w:color="auto"/>
              <w:bottom w:val="single" w:sz="4" w:space="0" w:color="auto"/>
              <w:right w:val="single" w:sz="4" w:space="0" w:color="auto"/>
            </w:tcBorders>
            <w:vAlign w:val="center"/>
          </w:tcPr>
          <w:p w14:paraId="59C782ED" w14:textId="46C22E73" w:rsidR="0069510E" w:rsidRDefault="00000000">
            <w:pPr>
              <w:jc w:val="center"/>
              <w:rPr>
                <w:rFonts w:asciiTheme="minorEastAsia" w:hAnsiTheme="minorEastAsia" w:cs="Arial"/>
                <w:sz w:val="24"/>
                <w:szCs w:val="24"/>
              </w:rPr>
            </w:pPr>
            <w:r>
              <w:rPr>
                <w:rFonts w:hint="eastAsia"/>
                <w:color w:val="000000"/>
                <w:sz w:val="22"/>
              </w:rPr>
              <w:t>2023</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17</w:t>
            </w:r>
            <w:r>
              <w:rPr>
                <w:rFonts w:hint="eastAsia"/>
                <w:color w:val="000000"/>
                <w:sz w:val="22"/>
              </w:rPr>
              <w:t>日</w:t>
            </w:r>
          </w:p>
        </w:tc>
      </w:tr>
      <w:tr w:rsidR="0069510E" w14:paraId="24716C9A"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718E5414" w14:textId="227CBB49" w:rsidR="0069510E" w:rsidRDefault="00000000">
            <w:pPr>
              <w:jc w:val="center"/>
              <w:rPr>
                <w:rFonts w:asciiTheme="minorEastAsia" w:hAnsiTheme="minorEastAsia" w:cs="Arial"/>
                <w:sz w:val="24"/>
                <w:szCs w:val="24"/>
              </w:rPr>
            </w:pPr>
            <w:r>
              <w:rPr>
                <w:rFonts w:hint="eastAsia"/>
                <w:color w:val="000000"/>
                <w:sz w:val="22"/>
              </w:rPr>
              <w:t>6</w:t>
            </w:r>
          </w:p>
        </w:tc>
        <w:tc>
          <w:tcPr>
            <w:tcW w:w="6237" w:type="dxa"/>
            <w:tcBorders>
              <w:top w:val="single" w:sz="4" w:space="0" w:color="auto"/>
              <w:left w:val="single" w:sz="4" w:space="0" w:color="auto"/>
              <w:bottom w:val="single" w:sz="4" w:space="0" w:color="auto"/>
              <w:right w:val="single" w:sz="4" w:space="0" w:color="auto"/>
            </w:tcBorders>
            <w:vAlign w:val="bottom"/>
          </w:tcPr>
          <w:p w14:paraId="7C3C7EF8" w14:textId="26299A44" w:rsidR="0069510E" w:rsidRDefault="00000000">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管理有限公司旗下全部基金</w:t>
            </w:r>
            <w:r>
              <w:rPr>
                <w:rFonts w:hint="eastAsia"/>
                <w:color w:val="000000"/>
                <w:sz w:val="22"/>
              </w:rPr>
              <w:t>2023</w:t>
            </w:r>
            <w:r>
              <w:rPr>
                <w:rFonts w:hint="eastAsia"/>
                <w:color w:val="000000"/>
                <w:sz w:val="22"/>
              </w:rPr>
              <w:t>年第</w:t>
            </w:r>
            <w:r>
              <w:rPr>
                <w:rFonts w:hint="eastAsia"/>
                <w:color w:val="000000"/>
                <w:sz w:val="22"/>
              </w:rPr>
              <w:t>2</w:t>
            </w:r>
            <w:r>
              <w:rPr>
                <w:rFonts w:hint="eastAsia"/>
                <w:color w:val="000000"/>
                <w:sz w:val="22"/>
              </w:rPr>
              <w:t>季度报告提示性公告</w:t>
            </w:r>
          </w:p>
        </w:tc>
        <w:tc>
          <w:tcPr>
            <w:tcW w:w="1990" w:type="dxa"/>
            <w:tcBorders>
              <w:top w:val="single" w:sz="4" w:space="0" w:color="auto"/>
              <w:left w:val="single" w:sz="4" w:space="0" w:color="auto"/>
              <w:bottom w:val="single" w:sz="4" w:space="0" w:color="auto"/>
              <w:right w:val="single" w:sz="4" w:space="0" w:color="auto"/>
            </w:tcBorders>
            <w:vAlign w:val="center"/>
          </w:tcPr>
          <w:p w14:paraId="37DFEC1A" w14:textId="50F2ABE4" w:rsidR="0069510E" w:rsidRDefault="00000000">
            <w:pPr>
              <w:jc w:val="center"/>
              <w:rPr>
                <w:rFonts w:asciiTheme="minorEastAsia" w:hAnsiTheme="minorEastAsia" w:cs="Arial"/>
                <w:sz w:val="24"/>
                <w:szCs w:val="24"/>
              </w:rPr>
            </w:pPr>
            <w:r>
              <w:rPr>
                <w:rFonts w:hint="eastAsia"/>
                <w:color w:val="000000"/>
                <w:sz w:val="22"/>
              </w:rPr>
              <w:t>2023</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21</w:t>
            </w:r>
            <w:r>
              <w:rPr>
                <w:rFonts w:hint="eastAsia"/>
                <w:color w:val="000000"/>
                <w:sz w:val="22"/>
              </w:rPr>
              <w:t>日</w:t>
            </w:r>
          </w:p>
        </w:tc>
      </w:tr>
      <w:tr w:rsidR="0069510E" w14:paraId="5C0F6FF9"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2E600A8A" w14:textId="08B92CF6" w:rsidR="0069510E" w:rsidRDefault="00000000">
            <w:pPr>
              <w:jc w:val="center"/>
              <w:rPr>
                <w:rFonts w:asciiTheme="minorEastAsia" w:hAnsiTheme="minorEastAsia" w:cs="Arial"/>
                <w:sz w:val="24"/>
                <w:szCs w:val="24"/>
              </w:rPr>
            </w:pPr>
            <w:r>
              <w:rPr>
                <w:rFonts w:hint="eastAsia"/>
                <w:color w:val="000000"/>
                <w:sz w:val="22"/>
              </w:rPr>
              <w:t>7</w:t>
            </w:r>
          </w:p>
        </w:tc>
        <w:tc>
          <w:tcPr>
            <w:tcW w:w="6237" w:type="dxa"/>
            <w:tcBorders>
              <w:top w:val="single" w:sz="4" w:space="0" w:color="auto"/>
              <w:left w:val="single" w:sz="4" w:space="0" w:color="auto"/>
              <w:bottom w:val="single" w:sz="4" w:space="0" w:color="auto"/>
              <w:right w:val="single" w:sz="4" w:space="0" w:color="auto"/>
            </w:tcBorders>
            <w:vAlign w:val="bottom"/>
          </w:tcPr>
          <w:p w14:paraId="35812B9F" w14:textId="42FE98C2" w:rsidR="0069510E" w:rsidRDefault="00000000">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管理有限公司旗下全部基金</w:t>
            </w:r>
            <w:r>
              <w:rPr>
                <w:rFonts w:hint="eastAsia"/>
                <w:color w:val="000000"/>
                <w:sz w:val="22"/>
              </w:rPr>
              <w:t>2023</w:t>
            </w:r>
            <w:r>
              <w:rPr>
                <w:rFonts w:hint="eastAsia"/>
                <w:color w:val="000000"/>
                <w:sz w:val="22"/>
              </w:rPr>
              <w:t>年中期报告提示性公告</w:t>
            </w:r>
          </w:p>
        </w:tc>
        <w:tc>
          <w:tcPr>
            <w:tcW w:w="1990" w:type="dxa"/>
            <w:tcBorders>
              <w:top w:val="single" w:sz="4" w:space="0" w:color="auto"/>
              <w:left w:val="single" w:sz="4" w:space="0" w:color="auto"/>
              <w:bottom w:val="single" w:sz="4" w:space="0" w:color="auto"/>
              <w:right w:val="single" w:sz="4" w:space="0" w:color="auto"/>
            </w:tcBorders>
            <w:vAlign w:val="center"/>
          </w:tcPr>
          <w:p w14:paraId="37734449" w14:textId="4739A1E6" w:rsidR="0069510E" w:rsidRDefault="00000000">
            <w:pPr>
              <w:jc w:val="center"/>
              <w:rPr>
                <w:rFonts w:asciiTheme="minorEastAsia" w:hAnsiTheme="minorEastAsia" w:cs="Arial"/>
                <w:sz w:val="24"/>
                <w:szCs w:val="24"/>
              </w:rPr>
            </w:pPr>
            <w:r>
              <w:rPr>
                <w:rFonts w:hint="eastAsia"/>
                <w:color w:val="000000"/>
                <w:sz w:val="22"/>
              </w:rPr>
              <w:t>2023</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31</w:t>
            </w:r>
            <w:r>
              <w:rPr>
                <w:rFonts w:hint="eastAsia"/>
                <w:color w:val="000000"/>
                <w:sz w:val="22"/>
              </w:rPr>
              <w:t>日</w:t>
            </w:r>
          </w:p>
        </w:tc>
      </w:tr>
      <w:tr w:rsidR="0069510E" w14:paraId="25AFF4F6"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574779EC" w14:textId="0904C9E7" w:rsidR="0069510E" w:rsidRDefault="00000000">
            <w:pPr>
              <w:jc w:val="center"/>
              <w:rPr>
                <w:rFonts w:asciiTheme="minorEastAsia" w:hAnsiTheme="minorEastAsia" w:cs="Arial"/>
                <w:sz w:val="24"/>
                <w:szCs w:val="24"/>
              </w:rPr>
            </w:pPr>
            <w:r>
              <w:rPr>
                <w:rFonts w:hint="eastAsia"/>
                <w:color w:val="000000"/>
                <w:sz w:val="22"/>
              </w:rPr>
              <w:t>8</w:t>
            </w:r>
          </w:p>
        </w:tc>
        <w:tc>
          <w:tcPr>
            <w:tcW w:w="6237" w:type="dxa"/>
            <w:tcBorders>
              <w:top w:val="single" w:sz="4" w:space="0" w:color="auto"/>
              <w:left w:val="single" w:sz="4" w:space="0" w:color="auto"/>
              <w:bottom w:val="single" w:sz="4" w:space="0" w:color="auto"/>
              <w:right w:val="single" w:sz="4" w:space="0" w:color="auto"/>
            </w:tcBorders>
            <w:vAlign w:val="bottom"/>
          </w:tcPr>
          <w:p w14:paraId="6C1D4419" w14:textId="17C25220" w:rsidR="0069510E" w:rsidRDefault="00000000">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管理有限公司关于旗下基金新增上海大智慧基金销售有限公司为销售机构、开通基金定期定额投资业务和基金转换业务并参加申购及定期定额投资申购费率优惠活动的公告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39CA6C77" w14:textId="5AD9BF4E" w:rsidR="0069510E" w:rsidRDefault="00000000">
            <w:pPr>
              <w:jc w:val="center"/>
              <w:rPr>
                <w:rFonts w:asciiTheme="minorEastAsia" w:hAnsiTheme="minorEastAsia" w:cs="Arial"/>
                <w:sz w:val="24"/>
                <w:szCs w:val="24"/>
              </w:rPr>
            </w:pPr>
            <w:r>
              <w:rPr>
                <w:rFonts w:hint="eastAsia"/>
                <w:color w:val="000000"/>
                <w:sz w:val="22"/>
              </w:rPr>
              <w:t>2023</w:t>
            </w:r>
            <w:r>
              <w:rPr>
                <w:rFonts w:hint="eastAsia"/>
                <w:color w:val="000000"/>
                <w:sz w:val="22"/>
              </w:rPr>
              <w:t>年</w:t>
            </w:r>
            <w:r>
              <w:rPr>
                <w:rFonts w:hint="eastAsia"/>
                <w:color w:val="000000"/>
                <w:sz w:val="22"/>
              </w:rPr>
              <w:t>9</w:t>
            </w:r>
            <w:r>
              <w:rPr>
                <w:rFonts w:hint="eastAsia"/>
                <w:color w:val="000000"/>
                <w:sz w:val="22"/>
              </w:rPr>
              <w:t>月</w:t>
            </w:r>
            <w:r>
              <w:rPr>
                <w:rFonts w:hint="eastAsia"/>
                <w:color w:val="000000"/>
                <w:sz w:val="22"/>
              </w:rPr>
              <w:t>8</w:t>
            </w:r>
            <w:r>
              <w:rPr>
                <w:rFonts w:hint="eastAsia"/>
                <w:color w:val="000000"/>
                <w:sz w:val="22"/>
              </w:rPr>
              <w:t>日</w:t>
            </w:r>
          </w:p>
        </w:tc>
      </w:tr>
      <w:tr w:rsidR="0069510E" w14:paraId="32B6831A"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6A555223" w14:textId="6E8CEE12" w:rsidR="0069510E" w:rsidRDefault="00000000">
            <w:pPr>
              <w:jc w:val="center"/>
              <w:rPr>
                <w:rFonts w:asciiTheme="minorEastAsia" w:hAnsiTheme="minorEastAsia" w:cs="Arial"/>
                <w:sz w:val="24"/>
                <w:szCs w:val="24"/>
              </w:rPr>
            </w:pPr>
            <w:r>
              <w:rPr>
                <w:rFonts w:hint="eastAsia"/>
                <w:color w:val="000000"/>
                <w:sz w:val="22"/>
              </w:rPr>
              <w:t>9</w:t>
            </w:r>
          </w:p>
        </w:tc>
        <w:tc>
          <w:tcPr>
            <w:tcW w:w="6237" w:type="dxa"/>
            <w:tcBorders>
              <w:top w:val="single" w:sz="4" w:space="0" w:color="auto"/>
              <w:left w:val="single" w:sz="4" w:space="0" w:color="auto"/>
              <w:bottom w:val="single" w:sz="4" w:space="0" w:color="auto"/>
              <w:right w:val="single" w:sz="4" w:space="0" w:color="auto"/>
            </w:tcBorders>
            <w:vAlign w:val="bottom"/>
          </w:tcPr>
          <w:p w14:paraId="663D0192" w14:textId="2F962778" w:rsidR="0069510E" w:rsidRDefault="00000000">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管理有限公司关于旗下基金新增上海华夏财富投资管理有限公司为销售机构、开通基金定期定额投资业务和基金转换业务并参加申购及定期定额投资申购费率优惠活动的公告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4D723DB7" w14:textId="49B925FD" w:rsidR="0069510E" w:rsidRDefault="00000000">
            <w:pPr>
              <w:jc w:val="center"/>
              <w:rPr>
                <w:rFonts w:asciiTheme="minorEastAsia" w:hAnsiTheme="minorEastAsia" w:cs="Arial"/>
                <w:sz w:val="24"/>
                <w:szCs w:val="24"/>
              </w:rPr>
            </w:pPr>
            <w:r>
              <w:rPr>
                <w:rFonts w:hint="eastAsia"/>
                <w:color w:val="000000"/>
                <w:sz w:val="22"/>
              </w:rPr>
              <w:t>2023</w:t>
            </w:r>
            <w:r>
              <w:rPr>
                <w:rFonts w:hint="eastAsia"/>
                <w:color w:val="000000"/>
                <w:sz w:val="22"/>
              </w:rPr>
              <w:t>年</w:t>
            </w:r>
            <w:r>
              <w:rPr>
                <w:rFonts w:hint="eastAsia"/>
                <w:color w:val="000000"/>
                <w:sz w:val="22"/>
              </w:rPr>
              <w:t>10</w:t>
            </w:r>
            <w:r>
              <w:rPr>
                <w:rFonts w:hint="eastAsia"/>
                <w:color w:val="000000"/>
                <w:sz w:val="22"/>
              </w:rPr>
              <w:t>月</w:t>
            </w:r>
            <w:r>
              <w:rPr>
                <w:rFonts w:hint="eastAsia"/>
                <w:color w:val="000000"/>
                <w:sz w:val="22"/>
              </w:rPr>
              <w:t>13</w:t>
            </w:r>
            <w:r>
              <w:rPr>
                <w:rFonts w:hint="eastAsia"/>
                <w:color w:val="000000"/>
                <w:sz w:val="22"/>
              </w:rPr>
              <w:t>日</w:t>
            </w:r>
          </w:p>
        </w:tc>
      </w:tr>
      <w:tr w:rsidR="0069510E" w14:paraId="072D4810"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ED04C52" w14:textId="5EF32B9B" w:rsidR="0069510E" w:rsidRDefault="00000000">
            <w:pPr>
              <w:jc w:val="center"/>
              <w:rPr>
                <w:rFonts w:asciiTheme="minorEastAsia" w:hAnsiTheme="minorEastAsia" w:cs="Arial"/>
                <w:sz w:val="24"/>
                <w:szCs w:val="24"/>
              </w:rPr>
            </w:pPr>
            <w:r>
              <w:rPr>
                <w:rFonts w:hint="eastAsia"/>
                <w:color w:val="000000"/>
                <w:sz w:val="22"/>
              </w:rPr>
              <w:t>10</w:t>
            </w:r>
          </w:p>
        </w:tc>
        <w:tc>
          <w:tcPr>
            <w:tcW w:w="6237" w:type="dxa"/>
            <w:tcBorders>
              <w:top w:val="single" w:sz="4" w:space="0" w:color="auto"/>
              <w:left w:val="single" w:sz="4" w:space="0" w:color="auto"/>
              <w:bottom w:val="single" w:sz="4" w:space="0" w:color="auto"/>
              <w:right w:val="single" w:sz="4" w:space="0" w:color="auto"/>
            </w:tcBorders>
            <w:vAlign w:val="bottom"/>
          </w:tcPr>
          <w:p w14:paraId="380CB164" w14:textId="31DCCB33" w:rsidR="0069510E" w:rsidRDefault="00000000">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管理有限公司旗下全部基金</w:t>
            </w:r>
            <w:r>
              <w:rPr>
                <w:rFonts w:hint="eastAsia"/>
                <w:color w:val="000000"/>
                <w:sz w:val="22"/>
              </w:rPr>
              <w:t>2023</w:t>
            </w:r>
            <w:r>
              <w:rPr>
                <w:rFonts w:hint="eastAsia"/>
                <w:color w:val="000000"/>
                <w:sz w:val="22"/>
              </w:rPr>
              <w:t>年第</w:t>
            </w:r>
            <w:r>
              <w:rPr>
                <w:rFonts w:hint="eastAsia"/>
                <w:color w:val="000000"/>
                <w:sz w:val="22"/>
              </w:rPr>
              <w:t>3</w:t>
            </w:r>
            <w:r>
              <w:rPr>
                <w:rFonts w:hint="eastAsia"/>
                <w:color w:val="000000"/>
                <w:sz w:val="22"/>
              </w:rPr>
              <w:t>季度报告提示性公告</w:t>
            </w:r>
          </w:p>
        </w:tc>
        <w:tc>
          <w:tcPr>
            <w:tcW w:w="1990" w:type="dxa"/>
            <w:tcBorders>
              <w:top w:val="single" w:sz="4" w:space="0" w:color="auto"/>
              <w:left w:val="single" w:sz="4" w:space="0" w:color="auto"/>
              <w:bottom w:val="single" w:sz="4" w:space="0" w:color="auto"/>
              <w:right w:val="single" w:sz="4" w:space="0" w:color="auto"/>
            </w:tcBorders>
            <w:vAlign w:val="center"/>
          </w:tcPr>
          <w:p w14:paraId="59FE2DBB" w14:textId="124AF905" w:rsidR="0069510E" w:rsidRDefault="00000000">
            <w:pPr>
              <w:jc w:val="center"/>
              <w:rPr>
                <w:rFonts w:asciiTheme="minorEastAsia" w:hAnsiTheme="minorEastAsia" w:cs="Arial"/>
                <w:sz w:val="24"/>
                <w:szCs w:val="24"/>
              </w:rPr>
            </w:pPr>
            <w:r>
              <w:rPr>
                <w:rFonts w:hint="eastAsia"/>
                <w:color w:val="000000"/>
                <w:sz w:val="22"/>
              </w:rPr>
              <w:t>2023</w:t>
            </w:r>
            <w:r>
              <w:rPr>
                <w:rFonts w:hint="eastAsia"/>
                <w:color w:val="000000"/>
                <w:sz w:val="22"/>
              </w:rPr>
              <w:t>年</w:t>
            </w:r>
            <w:r>
              <w:rPr>
                <w:rFonts w:hint="eastAsia"/>
                <w:color w:val="000000"/>
                <w:sz w:val="22"/>
              </w:rPr>
              <w:t>10</w:t>
            </w:r>
            <w:r>
              <w:rPr>
                <w:rFonts w:hint="eastAsia"/>
                <w:color w:val="000000"/>
                <w:sz w:val="22"/>
              </w:rPr>
              <w:t>月</w:t>
            </w:r>
            <w:r>
              <w:rPr>
                <w:rFonts w:hint="eastAsia"/>
                <w:color w:val="000000"/>
                <w:sz w:val="22"/>
              </w:rPr>
              <w:t>25</w:t>
            </w:r>
            <w:r>
              <w:rPr>
                <w:rFonts w:hint="eastAsia"/>
                <w:color w:val="000000"/>
                <w:sz w:val="22"/>
              </w:rPr>
              <w:t>日</w:t>
            </w:r>
          </w:p>
        </w:tc>
      </w:tr>
      <w:tr w:rsidR="0069510E" w14:paraId="0205D192"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6F323B37" w14:textId="613FFC72" w:rsidR="0069510E" w:rsidRDefault="00000000">
            <w:pPr>
              <w:jc w:val="center"/>
              <w:rPr>
                <w:rFonts w:asciiTheme="minorEastAsia" w:hAnsiTheme="minorEastAsia" w:cs="Arial"/>
                <w:sz w:val="24"/>
                <w:szCs w:val="24"/>
              </w:rPr>
            </w:pPr>
            <w:r>
              <w:rPr>
                <w:rFonts w:hint="eastAsia"/>
                <w:color w:val="000000"/>
                <w:sz w:val="22"/>
              </w:rPr>
              <w:t>11</w:t>
            </w:r>
          </w:p>
        </w:tc>
        <w:tc>
          <w:tcPr>
            <w:tcW w:w="6237" w:type="dxa"/>
            <w:tcBorders>
              <w:top w:val="single" w:sz="4" w:space="0" w:color="auto"/>
              <w:left w:val="single" w:sz="4" w:space="0" w:color="auto"/>
              <w:bottom w:val="single" w:sz="4" w:space="0" w:color="auto"/>
              <w:right w:val="single" w:sz="4" w:space="0" w:color="auto"/>
            </w:tcBorders>
            <w:vAlign w:val="bottom"/>
          </w:tcPr>
          <w:p w14:paraId="7516B007" w14:textId="6EC49420" w:rsidR="0069510E" w:rsidRDefault="00000000">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管理有限公司关于旗下基金新增上海</w:t>
            </w:r>
            <w:proofErr w:type="gramStart"/>
            <w:r>
              <w:rPr>
                <w:rFonts w:hint="eastAsia"/>
                <w:color w:val="000000"/>
                <w:sz w:val="22"/>
              </w:rPr>
              <w:t>中正达广基金</w:t>
            </w:r>
            <w:proofErr w:type="gramEnd"/>
            <w:r>
              <w:rPr>
                <w:rFonts w:hint="eastAsia"/>
                <w:color w:val="000000"/>
                <w:sz w:val="22"/>
              </w:rPr>
              <w:t>销售有限公司为销售机构、开通基金定期定额投资业务和基金转换业务并参加申购及定期定额投资申购费率优惠活动的公告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026BF0E9" w14:textId="2217C39D" w:rsidR="0069510E" w:rsidRDefault="00000000">
            <w:pPr>
              <w:jc w:val="center"/>
              <w:rPr>
                <w:rFonts w:asciiTheme="minorEastAsia" w:hAnsiTheme="minorEastAsia" w:cs="Arial"/>
                <w:sz w:val="24"/>
                <w:szCs w:val="24"/>
              </w:rPr>
            </w:pPr>
            <w:r>
              <w:rPr>
                <w:rFonts w:hint="eastAsia"/>
                <w:color w:val="000000"/>
                <w:sz w:val="22"/>
              </w:rPr>
              <w:t>2023</w:t>
            </w:r>
            <w:r>
              <w:rPr>
                <w:rFonts w:hint="eastAsia"/>
                <w:color w:val="000000"/>
                <w:sz w:val="22"/>
              </w:rPr>
              <w:t>年</w:t>
            </w:r>
            <w:r>
              <w:rPr>
                <w:rFonts w:hint="eastAsia"/>
                <w:color w:val="000000"/>
                <w:sz w:val="22"/>
              </w:rPr>
              <w:t>11</w:t>
            </w:r>
            <w:r>
              <w:rPr>
                <w:rFonts w:hint="eastAsia"/>
                <w:color w:val="000000"/>
                <w:sz w:val="22"/>
              </w:rPr>
              <w:t>月</w:t>
            </w:r>
            <w:r>
              <w:rPr>
                <w:rFonts w:hint="eastAsia"/>
                <w:color w:val="000000"/>
                <w:sz w:val="22"/>
              </w:rPr>
              <w:t>1</w:t>
            </w:r>
            <w:r>
              <w:rPr>
                <w:rFonts w:hint="eastAsia"/>
                <w:color w:val="000000"/>
                <w:sz w:val="22"/>
              </w:rPr>
              <w:t>日</w:t>
            </w:r>
          </w:p>
        </w:tc>
      </w:tr>
      <w:tr w:rsidR="0069510E" w14:paraId="40D2CDD2"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344586FD" w14:textId="04B82106" w:rsidR="0069510E" w:rsidRDefault="00000000">
            <w:pPr>
              <w:jc w:val="center"/>
              <w:rPr>
                <w:rFonts w:asciiTheme="minorEastAsia" w:hAnsiTheme="minorEastAsia" w:cs="Arial"/>
                <w:sz w:val="24"/>
                <w:szCs w:val="24"/>
              </w:rPr>
            </w:pPr>
            <w:r>
              <w:rPr>
                <w:rFonts w:hint="eastAsia"/>
                <w:color w:val="000000"/>
                <w:sz w:val="22"/>
              </w:rPr>
              <w:t>12</w:t>
            </w:r>
          </w:p>
        </w:tc>
        <w:tc>
          <w:tcPr>
            <w:tcW w:w="6237" w:type="dxa"/>
            <w:tcBorders>
              <w:top w:val="single" w:sz="4" w:space="0" w:color="auto"/>
              <w:left w:val="single" w:sz="4" w:space="0" w:color="auto"/>
              <w:bottom w:val="single" w:sz="4" w:space="0" w:color="auto"/>
              <w:right w:val="single" w:sz="4" w:space="0" w:color="auto"/>
            </w:tcBorders>
            <w:vAlign w:val="bottom"/>
          </w:tcPr>
          <w:p w14:paraId="6A58642E" w14:textId="26D7A57E" w:rsidR="0069510E" w:rsidRDefault="00000000">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管理有限公司关于提醒投资者防范不法分子假冒本公司名义从事诈骗活动的公告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5C082DD3" w14:textId="552AB104" w:rsidR="0069510E" w:rsidRDefault="00000000">
            <w:pPr>
              <w:jc w:val="center"/>
              <w:rPr>
                <w:rFonts w:asciiTheme="minorEastAsia" w:hAnsiTheme="minorEastAsia" w:cs="Arial"/>
                <w:sz w:val="24"/>
                <w:szCs w:val="24"/>
              </w:rPr>
            </w:pPr>
            <w:r>
              <w:rPr>
                <w:rFonts w:hint="eastAsia"/>
                <w:color w:val="000000"/>
                <w:sz w:val="22"/>
              </w:rPr>
              <w:t>2023</w:t>
            </w:r>
            <w:r>
              <w:rPr>
                <w:rFonts w:hint="eastAsia"/>
                <w:color w:val="000000"/>
                <w:sz w:val="22"/>
              </w:rPr>
              <w:t>年</w:t>
            </w:r>
            <w:r>
              <w:rPr>
                <w:rFonts w:hint="eastAsia"/>
                <w:color w:val="000000"/>
                <w:sz w:val="22"/>
              </w:rPr>
              <w:t>11</w:t>
            </w:r>
            <w:r>
              <w:rPr>
                <w:rFonts w:hint="eastAsia"/>
                <w:color w:val="000000"/>
                <w:sz w:val="22"/>
              </w:rPr>
              <w:t>月</w:t>
            </w:r>
            <w:r>
              <w:rPr>
                <w:rFonts w:hint="eastAsia"/>
                <w:color w:val="000000"/>
                <w:sz w:val="22"/>
              </w:rPr>
              <w:t>9</w:t>
            </w:r>
            <w:r>
              <w:rPr>
                <w:rFonts w:hint="eastAsia"/>
                <w:color w:val="000000"/>
                <w:sz w:val="22"/>
              </w:rPr>
              <w:t>日</w:t>
            </w:r>
          </w:p>
        </w:tc>
      </w:tr>
      <w:tr w:rsidR="0069510E" w14:paraId="58B1CF7C"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722EC6C8" w14:textId="61D5C05E" w:rsidR="0069510E" w:rsidRDefault="00000000">
            <w:pPr>
              <w:jc w:val="center"/>
              <w:rPr>
                <w:rFonts w:asciiTheme="minorEastAsia" w:hAnsiTheme="minorEastAsia" w:cs="Arial"/>
                <w:sz w:val="24"/>
                <w:szCs w:val="24"/>
              </w:rPr>
            </w:pPr>
            <w:r>
              <w:rPr>
                <w:rFonts w:hint="eastAsia"/>
                <w:color w:val="000000"/>
                <w:sz w:val="22"/>
              </w:rPr>
              <w:t>13</w:t>
            </w:r>
          </w:p>
        </w:tc>
        <w:tc>
          <w:tcPr>
            <w:tcW w:w="6237" w:type="dxa"/>
            <w:tcBorders>
              <w:top w:val="single" w:sz="4" w:space="0" w:color="auto"/>
              <w:left w:val="single" w:sz="4" w:space="0" w:color="auto"/>
              <w:bottom w:val="single" w:sz="4" w:space="0" w:color="auto"/>
              <w:right w:val="single" w:sz="4" w:space="0" w:color="auto"/>
            </w:tcBorders>
            <w:vAlign w:val="bottom"/>
          </w:tcPr>
          <w:p w14:paraId="078CCA2A" w14:textId="6041AEC9" w:rsidR="0069510E" w:rsidRDefault="00000000">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管理有限公司关于提醒投资者防范不法分子假冒本公司名义从事诈骗活动的公告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3F346920" w14:textId="4A5FC5A1" w:rsidR="0069510E" w:rsidRDefault="00000000">
            <w:pPr>
              <w:jc w:val="center"/>
              <w:rPr>
                <w:rFonts w:asciiTheme="minorEastAsia" w:hAnsiTheme="minorEastAsia" w:cs="Arial"/>
                <w:sz w:val="24"/>
                <w:szCs w:val="24"/>
              </w:rPr>
            </w:pPr>
            <w:r>
              <w:rPr>
                <w:rFonts w:hint="eastAsia"/>
                <w:color w:val="000000"/>
                <w:sz w:val="22"/>
              </w:rPr>
              <w:t>2023</w:t>
            </w:r>
            <w:r>
              <w:rPr>
                <w:rFonts w:hint="eastAsia"/>
                <w:color w:val="000000"/>
                <w:sz w:val="22"/>
              </w:rPr>
              <w:t>年</w:t>
            </w:r>
            <w:r>
              <w:rPr>
                <w:rFonts w:hint="eastAsia"/>
                <w:color w:val="000000"/>
                <w:sz w:val="22"/>
              </w:rPr>
              <w:t>11</w:t>
            </w:r>
            <w:r>
              <w:rPr>
                <w:rFonts w:hint="eastAsia"/>
                <w:color w:val="000000"/>
                <w:sz w:val="22"/>
              </w:rPr>
              <w:t>月</w:t>
            </w:r>
            <w:r>
              <w:rPr>
                <w:rFonts w:hint="eastAsia"/>
                <w:color w:val="000000"/>
                <w:sz w:val="22"/>
              </w:rPr>
              <w:t>14</w:t>
            </w:r>
            <w:r>
              <w:rPr>
                <w:rFonts w:hint="eastAsia"/>
                <w:color w:val="000000"/>
                <w:sz w:val="22"/>
              </w:rPr>
              <w:t>日</w:t>
            </w:r>
          </w:p>
        </w:tc>
      </w:tr>
      <w:tr w:rsidR="0069510E" w14:paraId="0068D8A7"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3871A03D" w14:textId="572DA121" w:rsidR="0069510E" w:rsidRDefault="00000000">
            <w:pPr>
              <w:jc w:val="center"/>
              <w:rPr>
                <w:rFonts w:asciiTheme="minorEastAsia" w:hAnsiTheme="minorEastAsia" w:cs="Arial"/>
                <w:sz w:val="24"/>
                <w:szCs w:val="24"/>
              </w:rPr>
            </w:pPr>
            <w:r>
              <w:rPr>
                <w:rFonts w:hint="eastAsia"/>
                <w:color w:val="000000"/>
                <w:sz w:val="22"/>
              </w:rPr>
              <w:t>14</w:t>
            </w:r>
          </w:p>
        </w:tc>
        <w:tc>
          <w:tcPr>
            <w:tcW w:w="6237" w:type="dxa"/>
            <w:tcBorders>
              <w:top w:val="single" w:sz="4" w:space="0" w:color="auto"/>
              <w:left w:val="single" w:sz="4" w:space="0" w:color="auto"/>
              <w:bottom w:val="single" w:sz="4" w:space="0" w:color="auto"/>
              <w:right w:val="single" w:sz="4" w:space="0" w:color="auto"/>
            </w:tcBorders>
            <w:vAlign w:val="bottom"/>
          </w:tcPr>
          <w:p w14:paraId="7A1D15FB" w14:textId="0C8B618F" w:rsidR="0069510E" w:rsidRDefault="00000000">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管理有限公司关于旗下部分基金新增销售机构、开通基金定期定额投资业务和基金转换业务并参加申购及定期定额投资申购费率优惠活动的公告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48E12582" w14:textId="7F7D17EA" w:rsidR="0069510E" w:rsidRDefault="00000000">
            <w:pPr>
              <w:jc w:val="center"/>
              <w:rPr>
                <w:rFonts w:asciiTheme="minorEastAsia" w:hAnsiTheme="minorEastAsia" w:cs="Arial"/>
                <w:sz w:val="24"/>
                <w:szCs w:val="24"/>
              </w:rPr>
            </w:pPr>
            <w:r>
              <w:rPr>
                <w:rFonts w:hint="eastAsia"/>
                <w:color w:val="000000"/>
                <w:sz w:val="22"/>
              </w:rPr>
              <w:t>2023</w:t>
            </w:r>
            <w:r>
              <w:rPr>
                <w:rFonts w:hint="eastAsia"/>
                <w:color w:val="000000"/>
                <w:sz w:val="22"/>
              </w:rPr>
              <w:t>年</w:t>
            </w:r>
            <w:r>
              <w:rPr>
                <w:rFonts w:hint="eastAsia"/>
                <w:color w:val="000000"/>
                <w:sz w:val="22"/>
              </w:rPr>
              <w:t>11</w:t>
            </w:r>
            <w:r>
              <w:rPr>
                <w:rFonts w:hint="eastAsia"/>
                <w:color w:val="000000"/>
                <w:sz w:val="22"/>
              </w:rPr>
              <w:t>月</w:t>
            </w:r>
            <w:r>
              <w:rPr>
                <w:rFonts w:hint="eastAsia"/>
                <w:color w:val="000000"/>
                <w:sz w:val="22"/>
              </w:rPr>
              <w:t>15</w:t>
            </w:r>
            <w:r>
              <w:rPr>
                <w:rFonts w:hint="eastAsia"/>
                <w:color w:val="000000"/>
                <w:sz w:val="22"/>
              </w:rPr>
              <w:t>日</w:t>
            </w:r>
          </w:p>
        </w:tc>
      </w:tr>
      <w:tr w:rsidR="0069510E" w14:paraId="6E276441"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514C2BC6" w14:textId="7D0B7B7E" w:rsidR="0069510E" w:rsidRDefault="00000000">
            <w:pPr>
              <w:jc w:val="center"/>
              <w:rPr>
                <w:rFonts w:asciiTheme="minorEastAsia" w:hAnsiTheme="minorEastAsia" w:cs="Arial"/>
                <w:sz w:val="24"/>
                <w:szCs w:val="24"/>
              </w:rPr>
            </w:pPr>
            <w:r>
              <w:rPr>
                <w:rFonts w:hint="eastAsia"/>
                <w:color w:val="000000"/>
                <w:sz w:val="22"/>
              </w:rPr>
              <w:t>15</w:t>
            </w:r>
          </w:p>
        </w:tc>
        <w:tc>
          <w:tcPr>
            <w:tcW w:w="6237" w:type="dxa"/>
            <w:tcBorders>
              <w:top w:val="single" w:sz="4" w:space="0" w:color="auto"/>
              <w:left w:val="single" w:sz="4" w:space="0" w:color="auto"/>
              <w:bottom w:val="single" w:sz="4" w:space="0" w:color="auto"/>
              <w:right w:val="single" w:sz="4" w:space="0" w:color="auto"/>
            </w:tcBorders>
            <w:vAlign w:val="bottom"/>
          </w:tcPr>
          <w:p w14:paraId="7238321B" w14:textId="02854390" w:rsidR="0069510E" w:rsidRDefault="00000000">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管理有限公司关于旗下基金</w:t>
            </w:r>
            <w:proofErr w:type="gramStart"/>
            <w:r>
              <w:rPr>
                <w:rFonts w:hint="eastAsia"/>
                <w:color w:val="000000"/>
                <w:sz w:val="22"/>
              </w:rPr>
              <w:t>新增国</w:t>
            </w:r>
            <w:proofErr w:type="gramEnd"/>
            <w:r>
              <w:rPr>
                <w:rFonts w:hint="eastAsia"/>
                <w:color w:val="000000"/>
                <w:sz w:val="22"/>
              </w:rPr>
              <w:t>金证券股份有限公司为销售机构、开通基金定期定额投资业务和基金转换业务并参加申购及定期定额投资申购费率优惠活动的公告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vAlign w:val="center"/>
          </w:tcPr>
          <w:p w14:paraId="70E7229A" w14:textId="3129F9C4" w:rsidR="0069510E" w:rsidRDefault="00000000">
            <w:pPr>
              <w:jc w:val="center"/>
              <w:rPr>
                <w:rFonts w:asciiTheme="minorEastAsia" w:hAnsiTheme="minorEastAsia" w:cs="Arial"/>
                <w:sz w:val="24"/>
                <w:szCs w:val="24"/>
              </w:rPr>
            </w:pPr>
            <w:r>
              <w:rPr>
                <w:rFonts w:hint="eastAsia"/>
                <w:color w:val="000000"/>
                <w:sz w:val="22"/>
              </w:rPr>
              <w:t>2023</w:t>
            </w:r>
            <w:r>
              <w:rPr>
                <w:rFonts w:hint="eastAsia"/>
                <w:color w:val="000000"/>
                <w:sz w:val="22"/>
              </w:rPr>
              <w:t>年</w:t>
            </w:r>
            <w:r>
              <w:rPr>
                <w:rFonts w:hint="eastAsia"/>
                <w:color w:val="000000"/>
                <w:sz w:val="22"/>
              </w:rPr>
              <w:t>11</w:t>
            </w:r>
            <w:r>
              <w:rPr>
                <w:rFonts w:hint="eastAsia"/>
                <w:color w:val="000000"/>
                <w:sz w:val="22"/>
              </w:rPr>
              <w:t>月</w:t>
            </w:r>
            <w:r>
              <w:rPr>
                <w:rFonts w:hint="eastAsia"/>
                <w:color w:val="000000"/>
                <w:sz w:val="22"/>
              </w:rPr>
              <w:t>20</w:t>
            </w:r>
            <w:r>
              <w:rPr>
                <w:rFonts w:hint="eastAsia"/>
                <w:color w:val="000000"/>
                <w:sz w:val="22"/>
              </w:rPr>
              <w:t>日</w:t>
            </w:r>
          </w:p>
        </w:tc>
      </w:tr>
      <w:tr w:rsidR="0069510E" w14:paraId="5A3D130D"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783E0A9F" w14:textId="325F9850" w:rsidR="0069510E" w:rsidRDefault="00000000">
            <w:pPr>
              <w:jc w:val="center"/>
              <w:rPr>
                <w:rFonts w:asciiTheme="minorEastAsia" w:hAnsiTheme="minorEastAsia" w:cs="Arial"/>
                <w:sz w:val="24"/>
                <w:szCs w:val="24"/>
              </w:rPr>
            </w:pPr>
            <w:r>
              <w:rPr>
                <w:rFonts w:hint="eastAsia"/>
                <w:color w:val="000000"/>
                <w:sz w:val="22"/>
              </w:rPr>
              <w:t>16</w:t>
            </w:r>
          </w:p>
        </w:tc>
        <w:tc>
          <w:tcPr>
            <w:tcW w:w="6237" w:type="dxa"/>
            <w:tcBorders>
              <w:top w:val="single" w:sz="4" w:space="0" w:color="auto"/>
              <w:left w:val="single" w:sz="4" w:space="0" w:color="auto"/>
              <w:bottom w:val="single" w:sz="4" w:space="0" w:color="auto"/>
              <w:right w:val="single" w:sz="4" w:space="0" w:color="auto"/>
            </w:tcBorders>
            <w:vAlign w:val="bottom"/>
          </w:tcPr>
          <w:p w14:paraId="7F2A5D16" w14:textId="1863132D" w:rsidR="0069510E" w:rsidRDefault="00000000">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管理有限公司关于督察</w:t>
            </w:r>
            <w:proofErr w:type="gramStart"/>
            <w:r>
              <w:rPr>
                <w:rFonts w:hint="eastAsia"/>
                <w:color w:val="000000"/>
                <w:sz w:val="22"/>
              </w:rPr>
              <w:t>长恢复</w:t>
            </w:r>
            <w:proofErr w:type="gramEnd"/>
            <w:r>
              <w:rPr>
                <w:rFonts w:hint="eastAsia"/>
                <w:color w:val="000000"/>
                <w:sz w:val="22"/>
              </w:rPr>
              <w:t>履行职务的公告</w:t>
            </w:r>
          </w:p>
        </w:tc>
        <w:tc>
          <w:tcPr>
            <w:tcW w:w="1990" w:type="dxa"/>
            <w:tcBorders>
              <w:top w:val="single" w:sz="4" w:space="0" w:color="auto"/>
              <w:left w:val="single" w:sz="4" w:space="0" w:color="auto"/>
              <w:bottom w:val="single" w:sz="4" w:space="0" w:color="auto"/>
              <w:right w:val="single" w:sz="4" w:space="0" w:color="auto"/>
            </w:tcBorders>
            <w:vAlign w:val="center"/>
          </w:tcPr>
          <w:p w14:paraId="1742016B" w14:textId="433CF59C" w:rsidR="0069510E" w:rsidRDefault="00000000">
            <w:pPr>
              <w:jc w:val="center"/>
              <w:rPr>
                <w:rFonts w:asciiTheme="minorEastAsia" w:hAnsiTheme="minorEastAsia" w:cs="Arial"/>
                <w:sz w:val="24"/>
                <w:szCs w:val="24"/>
              </w:rPr>
            </w:pPr>
            <w:r>
              <w:rPr>
                <w:rFonts w:hint="eastAsia"/>
                <w:color w:val="000000"/>
                <w:sz w:val="22"/>
              </w:rPr>
              <w:t>2023</w:t>
            </w:r>
            <w:r>
              <w:rPr>
                <w:rFonts w:hint="eastAsia"/>
                <w:color w:val="000000"/>
                <w:sz w:val="22"/>
              </w:rPr>
              <w:t>年</w:t>
            </w:r>
            <w:r>
              <w:rPr>
                <w:rFonts w:hint="eastAsia"/>
                <w:color w:val="000000"/>
                <w:sz w:val="22"/>
              </w:rPr>
              <w:t>12</w:t>
            </w:r>
            <w:r>
              <w:rPr>
                <w:rFonts w:hint="eastAsia"/>
                <w:color w:val="000000"/>
                <w:sz w:val="22"/>
              </w:rPr>
              <w:t>月</w:t>
            </w:r>
            <w:r>
              <w:rPr>
                <w:rFonts w:hint="eastAsia"/>
                <w:color w:val="000000"/>
                <w:sz w:val="22"/>
              </w:rPr>
              <w:t>12</w:t>
            </w:r>
            <w:r>
              <w:rPr>
                <w:rFonts w:hint="eastAsia"/>
                <w:color w:val="000000"/>
                <w:sz w:val="22"/>
              </w:rPr>
              <w:t>日</w:t>
            </w:r>
          </w:p>
        </w:tc>
      </w:tr>
      <w:tr w:rsidR="0069510E" w14:paraId="6445043B" w14:textId="77777777">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7410C7DD" w14:textId="14A72FFA" w:rsidR="0069510E" w:rsidRDefault="00000000">
            <w:pPr>
              <w:jc w:val="center"/>
              <w:rPr>
                <w:rFonts w:asciiTheme="minorEastAsia" w:hAnsiTheme="minorEastAsia" w:cs="Arial"/>
                <w:sz w:val="24"/>
                <w:szCs w:val="24"/>
              </w:rPr>
            </w:pPr>
            <w:r>
              <w:rPr>
                <w:rFonts w:hint="eastAsia"/>
                <w:color w:val="000000"/>
                <w:sz w:val="22"/>
              </w:rPr>
              <w:t>17</w:t>
            </w:r>
          </w:p>
        </w:tc>
        <w:tc>
          <w:tcPr>
            <w:tcW w:w="6237" w:type="dxa"/>
            <w:tcBorders>
              <w:top w:val="single" w:sz="4" w:space="0" w:color="auto"/>
              <w:left w:val="single" w:sz="4" w:space="0" w:color="auto"/>
              <w:bottom w:val="single" w:sz="4" w:space="0" w:color="auto"/>
              <w:right w:val="single" w:sz="4" w:space="0" w:color="auto"/>
            </w:tcBorders>
            <w:vAlign w:val="bottom"/>
          </w:tcPr>
          <w:p w14:paraId="42D069F0" w14:textId="6CE8362D" w:rsidR="0069510E" w:rsidRDefault="00000000">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管理有限公司关于系统升级维护的公告</w:t>
            </w:r>
          </w:p>
        </w:tc>
        <w:tc>
          <w:tcPr>
            <w:tcW w:w="1990" w:type="dxa"/>
            <w:tcBorders>
              <w:top w:val="single" w:sz="4" w:space="0" w:color="auto"/>
              <w:left w:val="single" w:sz="4" w:space="0" w:color="auto"/>
              <w:bottom w:val="single" w:sz="4" w:space="0" w:color="auto"/>
              <w:right w:val="single" w:sz="4" w:space="0" w:color="auto"/>
            </w:tcBorders>
            <w:vAlign w:val="center"/>
          </w:tcPr>
          <w:p w14:paraId="507CF161" w14:textId="42B84D5D" w:rsidR="0069510E" w:rsidRDefault="00000000">
            <w:pPr>
              <w:jc w:val="center"/>
              <w:rPr>
                <w:rFonts w:asciiTheme="minorEastAsia" w:hAnsiTheme="minorEastAsia" w:cs="Arial"/>
                <w:sz w:val="24"/>
                <w:szCs w:val="24"/>
              </w:rPr>
            </w:pPr>
            <w:r>
              <w:rPr>
                <w:rFonts w:hint="eastAsia"/>
                <w:color w:val="000000"/>
                <w:sz w:val="22"/>
              </w:rPr>
              <w:t>2023</w:t>
            </w:r>
            <w:r>
              <w:rPr>
                <w:rFonts w:hint="eastAsia"/>
                <w:color w:val="000000"/>
                <w:sz w:val="22"/>
              </w:rPr>
              <w:t>年</w:t>
            </w:r>
            <w:r>
              <w:rPr>
                <w:rFonts w:hint="eastAsia"/>
                <w:color w:val="000000"/>
                <w:sz w:val="22"/>
              </w:rPr>
              <w:t>12</w:t>
            </w:r>
            <w:r>
              <w:rPr>
                <w:rFonts w:hint="eastAsia"/>
                <w:color w:val="000000"/>
                <w:sz w:val="22"/>
              </w:rPr>
              <w:t>月</w:t>
            </w:r>
            <w:r>
              <w:rPr>
                <w:rFonts w:hint="eastAsia"/>
                <w:color w:val="000000"/>
                <w:sz w:val="22"/>
              </w:rPr>
              <w:t>14</w:t>
            </w:r>
            <w:r>
              <w:rPr>
                <w:rFonts w:hint="eastAsia"/>
                <w:color w:val="000000"/>
                <w:sz w:val="22"/>
              </w:rPr>
              <w:t>日</w:t>
            </w:r>
          </w:p>
        </w:tc>
      </w:tr>
      <w:tr w:rsidR="0069510E" w14:paraId="1CB6A94A" w14:textId="77777777" w:rsidTr="004A5EC5">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46C03E26" w14:textId="337CBFDA" w:rsidR="0069510E" w:rsidRDefault="00000000">
            <w:pPr>
              <w:jc w:val="center"/>
              <w:rPr>
                <w:rFonts w:asciiTheme="minorEastAsia" w:hAnsiTheme="minorEastAsia" w:cs="Arial"/>
                <w:sz w:val="24"/>
                <w:szCs w:val="24"/>
              </w:rPr>
            </w:pPr>
            <w:r>
              <w:rPr>
                <w:rFonts w:hint="eastAsia"/>
                <w:color w:val="000000"/>
                <w:sz w:val="22"/>
              </w:rPr>
              <w:t>18</w:t>
            </w:r>
          </w:p>
        </w:tc>
        <w:tc>
          <w:tcPr>
            <w:tcW w:w="6237" w:type="dxa"/>
            <w:tcBorders>
              <w:top w:val="single" w:sz="4" w:space="0" w:color="auto"/>
              <w:left w:val="single" w:sz="4" w:space="0" w:color="auto"/>
              <w:bottom w:val="single" w:sz="4" w:space="0" w:color="auto"/>
              <w:right w:val="single" w:sz="4" w:space="0" w:color="auto"/>
            </w:tcBorders>
            <w:vAlign w:val="bottom"/>
          </w:tcPr>
          <w:p w14:paraId="581D152A" w14:textId="53D8EA95" w:rsidR="0069510E" w:rsidRDefault="00000000">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荣福银</w:t>
            </w:r>
            <w:proofErr w:type="gramEnd"/>
            <w:r>
              <w:rPr>
                <w:rFonts w:hint="eastAsia"/>
                <w:color w:val="000000"/>
                <w:sz w:val="22"/>
              </w:rPr>
              <w:t>混合型证券投资</w:t>
            </w:r>
            <w:proofErr w:type="gramStart"/>
            <w:r>
              <w:rPr>
                <w:rFonts w:hint="eastAsia"/>
                <w:color w:val="000000"/>
                <w:sz w:val="22"/>
              </w:rPr>
              <w:t>基金基金</w:t>
            </w:r>
            <w:proofErr w:type="gramEnd"/>
            <w:r>
              <w:rPr>
                <w:rFonts w:hint="eastAsia"/>
                <w:color w:val="000000"/>
                <w:sz w:val="22"/>
              </w:rPr>
              <w:t>经理变更公告</w:t>
            </w:r>
          </w:p>
        </w:tc>
        <w:tc>
          <w:tcPr>
            <w:tcW w:w="1990" w:type="dxa"/>
            <w:tcBorders>
              <w:top w:val="single" w:sz="4" w:space="0" w:color="auto"/>
              <w:left w:val="single" w:sz="4" w:space="0" w:color="auto"/>
              <w:bottom w:val="single" w:sz="4" w:space="0" w:color="auto"/>
              <w:right w:val="single" w:sz="4" w:space="0" w:color="auto"/>
            </w:tcBorders>
          </w:tcPr>
          <w:p w14:paraId="6EC1D288" w14:textId="29F78661" w:rsidR="0069510E" w:rsidRDefault="00000000">
            <w:pPr>
              <w:jc w:val="center"/>
              <w:rPr>
                <w:rFonts w:asciiTheme="minorEastAsia" w:hAnsiTheme="minorEastAsia" w:cs="Arial"/>
                <w:sz w:val="24"/>
                <w:szCs w:val="24"/>
              </w:rPr>
            </w:pPr>
            <w:r>
              <w:rPr>
                <w:color w:val="000000"/>
                <w:sz w:val="22"/>
              </w:rPr>
              <w:t>2024</w:t>
            </w:r>
            <w:r>
              <w:rPr>
                <w:rFonts w:hint="eastAsia"/>
                <w:color w:val="000000"/>
                <w:sz w:val="22"/>
              </w:rPr>
              <w:t>年</w:t>
            </w:r>
            <w:r>
              <w:rPr>
                <w:color w:val="000000"/>
                <w:sz w:val="22"/>
              </w:rPr>
              <w:t>1</w:t>
            </w:r>
            <w:r>
              <w:rPr>
                <w:rFonts w:hint="eastAsia"/>
                <w:color w:val="000000"/>
                <w:sz w:val="22"/>
              </w:rPr>
              <w:t>月</w:t>
            </w:r>
            <w:r>
              <w:rPr>
                <w:color w:val="000000"/>
                <w:sz w:val="22"/>
              </w:rPr>
              <w:t>9</w:t>
            </w:r>
            <w:r>
              <w:rPr>
                <w:rFonts w:hint="eastAsia"/>
                <w:color w:val="000000"/>
                <w:sz w:val="22"/>
              </w:rPr>
              <w:t>日</w:t>
            </w:r>
          </w:p>
        </w:tc>
      </w:tr>
      <w:tr w:rsidR="0069510E" w14:paraId="248818B2" w14:textId="77777777" w:rsidTr="004A5EC5">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2689355B" w14:textId="17EAF488" w:rsidR="0069510E" w:rsidRDefault="00000000">
            <w:pPr>
              <w:jc w:val="center"/>
              <w:rPr>
                <w:rFonts w:asciiTheme="minorEastAsia" w:hAnsiTheme="minorEastAsia" w:cs="Arial"/>
                <w:sz w:val="24"/>
                <w:szCs w:val="24"/>
              </w:rPr>
            </w:pPr>
            <w:r>
              <w:rPr>
                <w:rFonts w:hint="eastAsia"/>
                <w:color w:val="000000"/>
                <w:sz w:val="22"/>
              </w:rPr>
              <w:t>19</w:t>
            </w:r>
          </w:p>
        </w:tc>
        <w:tc>
          <w:tcPr>
            <w:tcW w:w="6237" w:type="dxa"/>
            <w:tcBorders>
              <w:top w:val="single" w:sz="4" w:space="0" w:color="auto"/>
              <w:left w:val="single" w:sz="4" w:space="0" w:color="auto"/>
              <w:bottom w:val="single" w:sz="4" w:space="0" w:color="auto"/>
              <w:right w:val="single" w:sz="4" w:space="0" w:color="auto"/>
            </w:tcBorders>
            <w:vAlign w:val="bottom"/>
          </w:tcPr>
          <w:p w14:paraId="78D0A3BF" w14:textId="2BB3CF36" w:rsidR="0069510E" w:rsidRDefault="00000000">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管理有限公司关于旗下部分公开募集证券投资基金更新招募说明书及产品资料概要的提示性公告</w:t>
            </w:r>
          </w:p>
        </w:tc>
        <w:tc>
          <w:tcPr>
            <w:tcW w:w="1990" w:type="dxa"/>
            <w:tcBorders>
              <w:top w:val="single" w:sz="4" w:space="0" w:color="auto"/>
              <w:left w:val="single" w:sz="4" w:space="0" w:color="auto"/>
              <w:bottom w:val="single" w:sz="4" w:space="0" w:color="auto"/>
              <w:right w:val="single" w:sz="4" w:space="0" w:color="auto"/>
            </w:tcBorders>
          </w:tcPr>
          <w:p w14:paraId="7726BF5C" w14:textId="62296458" w:rsidR="0069510E" w:rsidRDefault="00000000">
            <w:pPr>
              <w:jc w:val="center"/>
              <w:rPr>
                <w:rFonts w:asciiTheme="minorEastAsia" w:hAnsiTheme="minorEastAsia" w:cs="Arial"/>
                <w:sz w:val="24"/>
                <w:szCs w:val="24"/>
              </w:rPr>
            </w:pPr>
            <w:r>
              <w:rPr>
                <w:color w:val="000000"/>
                <w:sz w:val="22"/>
              </w:rPr>
              <w:t>2024</w:t>
            </w:r>
            <w:r>
              <w:rPr>
                <w:rFonts w:hint="eastAsia"/>
                <w:color w:val="000000"/>
                <w:sz w:val="22"/>
              </w:rPr>
              <w:t>年</w:t>
            </w:r>
            <w:r>
              <w:rPr>
                <w:color w:val="000000"/>
                <w:sz w:val="22"/>
              </w:rPr>
              <w:t>1</w:t>
            </w:r>
            <w:r>
              <w:rPr>
                <w:rFonts w:hint="eastAsia"/>
                <w:color w:val="000000"/>
                <w:sz w:val="22"/>
              </w:rPr>
              <w:t>月</w:t>
            </w:r>
            <w:r>
              <w:rPr>
                <w:color w:val="000000"/>
                <w:sz w:val="22"/>
              </w:rPr>
              <w:t>11</w:t>
            </w:r>
            <w:r>
              <w:rPr>
                <w:rFonts w:hint="eastAsia"/>
                <w:color w:val="000000"/>
                <w:sz w:val="22"/>
              </w:rPr>
              <w:t>日</w:t>
            </w:r>
          </w:p>
        </w:tc>
      </w:tr>
      <w:tr w:rsidR="0069510E" w14:paraId="41A1A55F" w14:textId="77777777" w:rsidTr="004A5EC5">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14282A47" w14:textId="68FB6107" w:rsidR="0069510E" w:rsidRDefault="00000000">
            <w:pPr>
              <w:jc w:val="center"/>
              <w:rPr>
                <w:rFonts w:asciiTheme="minorEastAsia" w:hAnsiTheme="minorEastAsia" w:cs="Arial"/>
                <w:sz w:val="24"/>
                <w:szCs w:val="24"/>
              </w:rPr>
            </w:pPr>
            <w:r>
              <w:rPr>
                <w:rFonts w:hint="eastAsia"/>
                <w:color w:val="000000"/>
                <w:sz w:val="22"/>
              </w:rPr>
              <w:lastRenderedPageBreak/>
              <w:t>20</w:t>
            </w:r>
          </w:p>
        </w:tc>
        <w:tc>
          <w:tcPr>
            <w:tcW w:w="6237" w:type="dxa"/>
            <w:tcBorders>
              <w:top w:val="single" w:sz="4" w:space="0" w:color="auto"/>
              <w:left w:val="single" w:sz="4" w:space="0" w:color="auto"/>
              <w:bottom w:val="single" w:sz="4" w:space="0" w:color="auto"/>
              <w:right w:val="single" w:sz="4" w:space="0" w:color="auto"/>
            </w:tcBorders>
            <w:vAlign w:val="bottom"/>
          </w:tcPr>
          <w:p w14:paraId="63EA8F74" w14:textId="0EC63A50" w:rsidR="0069510E" w:rsidRDefault="00000000">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荣福银</w:t>
            </w:r>
            <w:proofErr w:type="gramEnd"/>
            <w:r>
              <w:rPr>
                <w:rFonts w:hint="eastAsia"/>
                <w:color w:val="000000"/>
                <w:sz w:val="22"/>
              </w:rPr>
              <w:t>混合型证券投资</w:t>
            </w:r>
            <w:proofErr w:type="gramStart"/>
            <w:r>
              <w:rPr>
                <w:rFonts w:hint="eastAsia"/>
                <w:color w:val="000000"/>
                <w:sz w:val="22"/>
              </w:rPr>
              <w:t>基金基金</w:t>
            </w:r>
            <w:proofErr w:type="gramEnd"/>
            <w:r>
              <w:rPr>
                <w:rFonts w:hint="eastAsia"/>
                <w:color w:val="000000"/>
                <w:sz w:val="22"/>
              </w:rPr>
              <w:t>经理变更公告</w:t>
            </w:r>
          </w:p>
        </w:tc>
        <w:tc>
          <w:tcPr>
            <w:tcW w:w="1990" w:type="dxa"/>
            <w:tcBorders>
              <w:top w:val="single" w:sz="4" w:space="0" w:color="auto"/>
              <w:left w:val="single" w:sz="4" w:space="0" w:color="auto"/>
              <w:bottom w:val="single" w:sz="4" w:space="0" w:color="auto"/>
              <w:right w:val="single" w:sz="4" w:space="0" w:color="auto"/>
            </w:tcBorders>
          </w:tcPr>
          <w:p w14:paraId="388E2EAE" w14:textId="32A3CC15" w:rsidR="0069510E" w:rsidRDefault="00000000">
            <w:pPr>
              <w:jc w:val="center"/>
              <w:rPr>
                <w:rFonts w:asciiTheme="minorEastAsia" w:hAnsiTheme="minorEastAsia" w:cs="Arial"/>
                <w:sz w:val="24"/>
                <w:szCs w:val="24"/>
              </w:rPr>
            </w:pPr>
            <w:r>
              <w:rPr>
                <w:color w:val="000000"/>
                <w:sz w:val="22"/>
              </w:rPr>
              <w:t>2024</w:t>
            </w:r>
            <w:r>
              <w:rPr>
                <w:rFonts w:hint="eastAsia"/>
                <w:color w:val="000000"/>
                <w:sz w:val="22"/>
              </w:rPr>
              <w:t>年</w:t>
            </w:r>
            <w:r>
              <w:rPr>
                <w:color w:val="000000"/>
                <w:sz w:val="22"/>
              </w:rPr>
              <w:t>1</w:t>
            </w:r>
            <w:r>
              <w:rPr>
                <w:rFonts w:hint="eastAsia"/>
                <w:color w:val="000000"/>
                <w:sz w:val="22"/>
              </w:rPr>
              <w:t>月</w:t>
            </w:r>
            <w:r>
              <w:rPr>
                <w:color w:val="000000"/>
                <w:sz w:val="22"/>
              </w:rPr>
              <w:t>16</w:t>
            </w:r>
            <w:r>
              <w:rPr>
                <w:rFonts w:hint="eastAsia"/>
                <w:color w:val="000000"/>
                <w:sz w:val="22"/>
              </w:rPr>
              <w:t>日</w:t>
            </w:r>
          </w:p>
        </w:tc>
      </w:tr>
      <w:tr w:rsidR="0069510E" w14:paraId="2B7EBBD4" w14:textId="77777777" w:rsidTr="004A5EC5">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71521762" w14:textId="50D904EA" w:rsidR="0069510E" w:rsidRDefault="00000000">
            <w:pPr>
              <w:jc w:val="center"/>
              <w:rPr>
                <w:rFonts w:asciiTheme="minorEastAsia" w:hAnsiTheme="minorEastAsia" w:cs="Arial"/>
                <w:sz w:val="24"/>
                <w:szCs w:val="24"/>
              </w:rPr>
            </w:pPr>
            <w:r>
              <w:rPr>
                <w:rFonts w:hint="eastAsia"/>
                <w:color w:val="000000"/>
                <w:sz w:val="22"/>
              </w:rPr>
              <w:t>21</w:t>
            </w:r>
          </w:p>
        </w:tc>
        <w:tc>
          <w:tcPr>
            <w:tcW w:w="6237" w:type="dxa"/>
            <w:tcBorders>
              <w:top w:val="single" w:sz="4" w:space="0" w:color="auto"/>
              <w:left w:val="single" w:sz="4" w:space="0" w:color="auto"/>
              <w:bottom w:val="single" w:sz="4" w:space="0" w:color="auto"/>
              <w:right w:val="single" w:sz="4" w:space="0" w:color="auto"/>
            </w:tcBorders>
            <w:vAlign w:val="bottom"/>
          </w:tcPr>
          <w:p w14:paraId="7557FDB0" w14:textId="309E6332" w:rsidR="0069510E" w:rsidRDefault="00000000">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荣福银</w:t>
            </w:r>
            <w:proofErr w:type="gramEnd"/>
            <w:r>
              <w:rPr>
                <w:rFonts w:hint="eastAsia"/>
                <w:color w:val="000000"/>
                <w:sz w:val="22"/>
              </w:rPr>
              <w:t>混合型证券投资基金招募说明书更新及产品资料概要更新的提示性公告</w:t>
            </w:r>
          </w:p>
        </w:tc>
        <w:tc>
          <w:tcPr>
            <w:tcW w:w="1990" w:type="dxa"/>
            <w:tcBorders>
              <w:top w:val="single" w:sz="4" w:space="0" w:color="auto"/>
              <w:left w:val="single" w:sz="4" w:space="0" w:color="auto"/>
              <w:bottom w:val="single" w:sz="4" w:space="0" w:color="auto"/>
              <w:right w:val="single" w:sz="4" w:space="0" w:color="auto"/>
            </w:tcBorders>
          </w:tcPr>
          <w:p w14:paraId="4BAC4924" w14:textId="0A57F82E" w:rsidR="0069510E" w:rsidRDefault="00000000">
            <w:pPr>
              <w:jc w:val="center"/>
              <w:rPr>
                <w:rFonts w:asciiTheme="minorEastAsia" w:hAnsiTheme="minorEastAsia" w:cs="Arial"/>
                <w:sz w:val="24"/>
                <w:szCs w:val="24"/>
              </w:rPr>
            </w:pPr>
            <w:r>
              <w:rPr>
                <w:color w:val="000000"/>
                <w:sz w:val="22"/>
              </w:rPr>
              <w:t>2024</w:t>
            </w:r>
            <w:r>
              <w:rPr>
                <w:rFonts w:hint="eastAsia"/>
                <w:color w:val="000000"/>
                <w:sz w:val="22"/>
              </w:rPr>
              <w:t>年</w:t>
            </w:r>
            <w:r>
              <w:rPr>
                <w:color w:val="000000"/>
                <w:sz w:val="22"/>
              </w:rPr>
              <w:t>1</w:t>
            </w:r>
            <w:r>
              <w:rPr>
                <w:rFonts w:hint="eastAsia"/>
                <w:color w:val="000000"/>
                <w:sz w:val="22"/>
              </w:rPr>
              <w:t>月</w:t>
            </w:r>
            <w:r>
              <w:rPr>
                <w:color w:val="000000"/>
                <w:sz w:val="22"/>
              </w:rPr>
              <w:t>18</w:t>
            </w:r>
            <w:r>
              <w:rPr>
                <w:rFonts w:hint="eastAsia"/>
                <w:color w:val="000000"/>
                <w:sz w:val="22"/>
              </w:rPr>
              <w:t>日</w:t>
            </w:r>
          </w:p>
        </w:tc>
      </w:tr>
      <w:tr w:rsidR="0069510E" w14:paraId="52AAF2B3" w14:textId="77777777" w:rsidTr="004A5EC5">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37F86E03" w14:textId="6BD8BA26" w:rsidR="0069510E" w:rsidRDefault="00000000">
            <w:pPr>
              <w:jc w:val="center"/>
              <w:rPr>
                <w:rFonts w:asciiTheme="minorEastAsia" w:hAnsiTheme="minorEastAsia" w:cs="Arial"/>
                <w:sz w:val="24"/>
                <w:szCs w:val="24"/>
              </w:rPr>
            </w:pPr>
            <w:r>
              <w:rPr>
                <w:rFonts w:hint="eastAsia"/>
                <w:color w:val="000000"/>
                <w:sz w:val="22"/>
              </w:rPr>
              <w:t>22</w:t>
            </w:r>
          </w:p>
        </w:tc>
        <w:tc>
          <w:tcPr>
            <w:tcW w:w="6237" w:type="dxa"/>
            <w:tcBorders>
              <w:top w:val="single" w:sz="4" w:space="0" w:color="auto"/>
              <w:left w:val="single" w:sz="4" w:space="0" w:color="auto"/>
              <w:bottom w:val="single" w:sz="4" w:space="0" w:color="auto"/>
              <w:right w:val="single" w:sz="4" w:space="0" w:color="auto"/>
            </w:tcBorders>
            <w:vAlign w:val="bottom"/>
          </w:tcPr>
          <w:p w14:paraId="50A13331" w14:textId="746A41E8" w:rsidR="0069510E" w:rsidRDefault="00000000">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管理有限公司旗下全部基金</w:t>
            </w:r>
            <w:r>
              <w:rPr>
                <w:rFonts w:hint="eastAsia"/>
                <w:color w:val="000000"/>
                <w:sz w:val="22"/>
              </w:rPr>
              <w:t>2023</w:t>
            </w:r>
            <w:r>
              <w:rPr>
                <w:rFonts w:hint="eastAsia"/>
                <w:color w:val="000000"/>
                <w:sz w:val="22"/>
              </w:rPr>
              <w:t>年第</w:t>
            </w:r>
            <w:r>
              <w:rPr>
                <w:rFonts w:hint="eastAsia"/>
                <w:color w:val="000000"/>
                <w:sz w:val="22"/>
              </w:rPr>
              <w:t>4</w:t>
            </w:r>
            <w:r>
              <w:rPr>
                <w:rFonts w:hint="eastAsia"/>
                <w:color w:val="000000"/>
                <w:sz w:val="22"/>
              </w:rPr>
              <w:t>季度报告提示性公告</w:t>
            </w:r>
          </w:p>
        </w:tc>
        <w:tc>
          <w:tcPr>
            <w:tcW w:w="1990" w:type="dxa"/>
            <w:tcBorders>
              <w:top w:val="single" w:sz="4" w:space="0" w:color="auto"/>
              <w:left w:val="single" w:sz="4" w:space="0" w:color="auto"/>
              <w:bottom w:val="single" w:sz="4" w:space="0" w:color="auto"/>
              <w:right w:val="single" w:sz="4" w:space="0" w:color="auto"/>
            </w:tcBorders>
          </w:tcPr>
          <w:p w14:paraId="5335D14A" w14:textId="27416265" w:rsidR="0069510E" w:rsidRDefault="00000000">
            <w:pPr>
              <w:jc w:val="center"/>
              <w:rPr>
                <w:rFonts w:asciiTheme="minorEastAsia" w:hAnsiTheme="minorEastAsia" w:cs="Arial"/>
                <w:sz w:val="24"/>
                <w:szCs w:val="24"/>
              </w:rPr>
            </w:pPr>
            <w:r>
              <w:rPr>
                <w:color w:val="000000"/>
                <w:sz w:val="22"/>
              </w:rPr>
              <w:t>2024</w:t>
            </w:r>
            <w:r>
              <w:rPr>
                <w:rFonts w:hint="eastAsia"/>
                <w:color w:val="000000"/>
                <w:sz w:val="22"/>
              </w:rPr>
              <w:t>年</w:t>
            </w:r>
            <w:r>
              <w:rPr>
                <w:color w:val="000000"/>
                <w:sz w:val="22"/>
              </w:rPr>
              <w:t>1</w:t>
            </w:r>
            <w:r>
              <w:rPr>
                <w:rFonts w:hint="eastAsia"/>
                <w:color w:val="000000"/>
                <w:sz w:val="22"/>
              </w:rPr>
              <w:t>月</w:t>
            </w:r>
            <w:r>
              <w:rPr>
                <w:color w:val="000000"/>
                <w:sz w:val="22"/>
              </w:rPr>
              <w:t>22</w:t>
            </w:r>
            <w:r>
              <w:rPr>
                <w:rFonts w:hint="eastAsia"/>
                <w:color w:val="000000"/>
                <w:sz w:val="22"/>
              </w:rPr>
              <w:t>日</w:t>
            </w:r>
          </w:p>
        </w:tc>
      </w:tr>
      <w:tr w:rsidR="0069510E" w14:paraId="0894680D" w14:textId="77777777" w:rsidTr="004A5EC5">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032DAFAC" w14:textId="126878C9" w:rsidR="0069510E" w:rsidRDefault="00000000">
            <w:pPr>
              <w:jc w:val="center"/>
              <w:rPr>
                <w:rFonts w:asciiTheme="minorEastAsia" w:hAnsiTheme="minorEastAsia" w:cs="Arial"/>
                <w:sz w:val="24"/>
                <w:szCs w:val="24"/>
              </w:rPr>
            </w:pPr>
            <w:r>
              <w:rPr>
                <w:rFonts w:hint="eastAsia"/>
                <w:color w:val="000000"/>
                <w:sz w:val="22"/>
              </w:rPr>
              <w:t>23</w:t>
            </w:r>
          </w:p>
        </w:tc>
        <w:tc>
          <w:tcPr>
            <w:tcW w:w="6237" w:type="dxa"/>
            <w:tcBorders>
              <w:top w:val="single" w:sz="4" w:space="0" w:color="auto"/>
              <w:left w:val="single" w:sz="4" w:space="0" w:color="auto"/>
              <w:bottom w:val="single" w:sz="4" w:space="0" w:color="auto"/>
              <w:right w:val="single" w:sz="4" w:space="0" w:color="auto"/>
            </w:tcBorders>
            <w:vAlign w:val="bottom"/>
          </w:tcPr>
          <w:p w14:paraId="0AB90984" w14:textId="4CEE846C" w:rsidR="0069510E" w:rsidRDefault="00000000">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管理有限公司关于旗下基金新增华西证券股份有限公司为销售机构、开通基金定期定额投资业务和基金转换业务并参加申购及定期定额投资申购费率优惠活动的公告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tcPr>
          <w:p w14:paraId="77AED0FD" w14:textId="4AF5A44B" w:rsidR="0069510E" w:rsidRDefault="00000000">
            <w:pPr>
              <w:jc w:val="center"/>
              <w:rPr>
                <w:rFonts w:asciiTheme="minorEastAsia" w:hAnsiTheme="minorEastAsia" w:cs="Arial"/>
                <w:sz w:val="24"/>
                <w:szCs w:val="24"/>
              </w:rPr>
            </w:pPr>
            <w:r>
              <w:rPr>
                <w:color w:val="000000"/>
                <w:sz w:val="22"/>
              </w:rPr>
              <w:t>2024</w:t>
            </w:r>
            <w:r>
              <w:rPr>
                <w:rFonts w:hint="eastAsia"/>
                <w:color w:val="000000"/>
                <w:sz w:val="22"/>
              </w:rPr>
              <w:t>年</w:t>
            </w:r>
            <w:r>
              <w:rPr>
                <w:color w:val="000000"/>
                <w:sz w:val="22"/>
              </w:rPr>
              <w:t>2</w:t>
            </w:r>
            <w:r>
              <w:rPr>
                <w:rFonts w:hint="eastAsia"/>
                <w:color w:val="000000"/>
                <w:sz w:val="22"/>
              </w:rPr>
              <w:t>月</w:t>
            </w:r>
            <w:r>
              <w:rPr>
                <w:color w:val="000000"/>
                <w:sz w:val="22"/>
              </w:rPr>
              <w:t>22</w:t>
            </w:r>
            <w:r>
              <w:rPr>
                <w:rFonts w:hint="eastAsia"/>
                <w:color w:val="000000"/>
                <w:sz w:val="22"/>
              </w:rPr>
              <w:t>日</w:t>
            </w:r>
          </w:p>
        </w:tc>
      </w:tr>
      <w:tr w:rsidR="0069510E" w14:paraId="5FEAD2ED" w14:textId="77777777" w:rsidTr="004A5EC5">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40685F83" w14:textId="4CACA996" w:rsidR="0069510E" w:rsidRDefault="00000000">
            <w:pPr>
              <w:jc w:val="center"/>
              <w:rPr>
                <w:rFonts w:asciiTheme="minorEastAsia" w:hAnsiTheme="minorEastAsia" w:cs="Arial"/>
                <w:sz w:val="24"/>
                <w:szCs w:val="24"/>
              </w:rPr>
            </w:pPr>
            <w:r>
              <w:rPr>
                <w:rFonts w:hint="eastAsia"/>
                <w:color w:val="000000"/>
                <w:sz w:val="22"/>
              </w:rPr>
              <w:t>24</w:t>
            </w:r>
          </w:p>
        </w:tc>
        <w:tc>
          <w:tcPr>
            <w:tcW w:w="6237" w:type="dxa"/>
            <w:tcBorders>
              <w:top w:val="single" w:sz="4" w:space="0" w:color="auto"/>
              <w:left w:val="single" w:sz="4" w:space="0" w:color="auto"/>
              <w:bottom w:val="single" w:sz="4" w:space="0" w:color="auto"/>
              <w:right w:val="single" w:sz="4" w:space="0" w:color="auto"/>
            </w:tcBorders>
            <w:vAlign w:val="bottom"/>
          </w:tcPr>
          <w:p w14:paraId="7F25058B" w14:textId="16F2BF41" w:rsidR="0069510E" w:rsidRDefault="00000000">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管理有限公司关于董事变更的公告</w:t>
            </w:r>
          </w:p>
        </w:tc>
        <w:tc>
          <w:tcPr>
            <w:tcW w:w="1990" w:type="dxa"/>
            <w:tcBorders>
              <w:top w:val="single" w:sz="4" w:space="0" w:color="auto"/>
              <w:left w:val="single" w:sz="4" w:space="0" w:color="auto"/>
              <w:bottom w:val="single" w:sz="4" w:space="0" w:color="auto"/>
              <w:right w:val="single" w:sz="4" w:space="0" w:color="auto"/>
            </w:tcBorders>
          </w:tcPr>
          <w:p w14:paraId="4A52A759" w14:textId="20AC7DC0" w:rsidR="0069510E" w:rsidRDefault="00000000">
            <w:pPr>
              <w:jc w:val="center"/>
              <w:rPr>
                <w:rFonts w:asciiTheme="minorEastAsia" w:hAnsiTheme="minorEastAsia" w:cs="Arial"/>
                <w:sz w:val="24"/>
                <w:szCs w:val="24"/>
              </w:rPr>
            </w:pPr>
            <w:r>
              <w:rPr>
                <w:color w:val="000000"/>
                <w:sz w:val="22"/>
              </w:rPr>
              <w:t>2024</w:t>
            </w:r>
            <w:r>
              <w:rPr>
                <w:rFonts w:hint="eastAsia"/>
                <w:color w:val="000000"/>
                <w:sz w:val="22"/>
              </w:rPr>
              <w:t>年</w:t>
            </w:r>
            <w:r>
              <w:rPr>
                <w:color w:val="000000"/>
                <w:sz w:val="22"/>
              </w:rPr>
              <w:t>3</w:t>
            </w:r>
            <w:r>
              <w:rPr>
                <w:rFonts w:hint="eastAsia"/>
                <w:color w:val="000000"/>
                <w:sz w:val="22"/>
              </w:rPr>
              <w:t>月</w:t>
            </w:r>
            <w:r>
              <w:rPr>
                <w:color w:val="000000"/>
                <w:sz w:val="22"/>
              </w:rPr>
              <w:t>1</w:t>
            </w:r>
            <w:r>
              <w:rPr>
                <w:rFonts w:hint="eastAsia"/>
                <w:color w:val="000000"/>
                <w:sz w:val="22"/>
              </w:rPr>
              <w:t>日</w:t>
            </w:r>
          </w:p>
        </w:tc>
      </w:tr>
      <w:tr w:rsidR="0069510E" w14:paraId="2FA36708" w14:textId="77777777" w:rsidTr="004A5EC5">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4EAAC6E2" w14:textId="1460F94E" w:rsidR="0069510E" w:rsidRDefault="00000000">
            <w:pPr>
              <w:jc w:val="center"/>
              <w:rPr>
                <w:rFonts w:asciiTheme="minorEastAsia" w:hAnsiTheme="minorEastAsia" w:cs="Arial"/>
                <w:sz w:val="24"/>
                <w:szCs w:val="24"/>
              </w:rPr>
            </w:pPr>
            <w:r>
              <w:rPr>
                <w:rFonts w:hint="eastAsia"/>
                <w:color w:val="000000"/>
                <w:sz w:val="22"/>
              </w:rPr>
              <w:t>25</w:t>
            </w:r>
          </w:p>
        </w:tc>
        <w:tc>
          <w:tcPr>
            <w:tcW w:w="6237" w:type="dxa"/>
            <w:tcBorders>
              <w:top w:val="single" w:sz="4" w:space="0" w:color="auto"/>
              <w:left w:val="single" w:sz="4" w:space="0" w:color="auto"/>
              <w:bottom w:val="single" w:sz="4" w:space="0" w:color="auto"/>
              <w:right w:val="single" w:sz="4" w:space="0" w:color="auto"/>
            </w:tcBorders>
            <w:vAlign w:val="bottom"/>
          </w:tcPr>
          <w:p w14:paraId="089C9E74" w14:textId="6748F4E8" w:rsidR="0069510E" w:rsidRDefault="00000000">
            <w:pPr>
              <w:rPr>
                <w:rFonts w:asciiTheme="minorEastAsia" w:hAnsiTheme="minorEastAsia" w:cs="Arial"/>
                <w:sz w:val="24"/>
                <w:szCs w:val="24"/>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管理有限公司关于提醒投资者持续完善身份信息资料的公告</w:t>
            </w:r>
          </w:p>
        </w:tc>
        <w:tc>
          <w:tcPr>
            <w:tcW w:w="1990" w:type="dxa"/>
            <w:tcBorders>
              <w:top w:val="single" w:sz="4" w:space="0" w:color="auto"/>
              <w:left w:val="single" w:sz="4" w:space="0" w:color="auto"/>
              <w:bottom w:val="single" w:sz="4" w:space="0" w:color="auto"/>
              <w:right w:val="single" w:sz="4" w:space="0" w:color="auto"/>
            </w:tcBorders>
          </w:tcPr>
          <w:p w14:paraId="7B776D27" w14:textId="218EAE8E" w:rsidR="0069510E" w:rsidRDefault="00000000">
            <w:pPr>
              <w:jc w:val="center"/>
              <w:rPr>
                <w:rFonts w:asciiTheme="minorEastAsia" w:hAnsiTheme="minorEastAsia" w:cs="Arial"/>
                <w:sz w:val="24"/>
                <w:szCs w:val="24"/>
              </w:rPr>
            </w:pPr>
            <w:r>
              <w:rPr>
                <w:color w:val="000000"/>
                <w:sz w:val="22"/>
              </w:rPr>
              <w:t>2024</w:t>
            </w:r>
            <w:r>
              <w:rPr>
                <w:rFonts w:hint="eastAsia"/>
                <w:color w:val="000000"/>
                <w:sz w:val="22"/>
              </w:rPr>
              <w:t>年</w:t>
            </w:r>
            <w:r>
              <w:rPr>
                <w:color w:val="000000"/>
                <w:sz w:val="22"/>
              </w:rPr>
              <w:t>3</w:t>
            </w:r>
            <w:r>
              <w:rPr>
                <w:rFonts w:hint="eastAsia"/>
                <w:color w:val="000000"/>
                <w:sz w:val="22"/>
              </w:rPr>
              <w:t>月</w:t>
            </w:r>
            <w:r>
              <w:rPr>
                <w:color w:val="000000"/>
                <w:sz w:val="22"/>
              </w:rPr>
              <w:t>20</w:t>
            </w:r>
            <w:r>
              <w:rPr>
                <w:rFonts w:hint="eastAsia"/>
                <w:color w:val="000000"/>
                <w:sz w:val="22"/>
              </w:rPr>
              <w:t>日</w:t>
            </w:r>
          </w:p>
        </w:tc>
      </w:tr>
      <w:tr w:rsidR="0069510E" w14:paraId="7B594D89" w14:textId="77777777" w:rsidTr="004A5EC5">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2AB46D1B" w14:textId="79CB5480" w:rsidR="0069510E" w:rsidRDefault="00000000">
            <w:pPr>
              <w:jc w:val="center"/>
              <w:rPr>
                <w:rFonts w:asciiTheme="minorEastAsia" w:hAnsiTheme="minorEastAsia" w:cs="Arial"/>
                <w:sz w:val="24"/>
                <w:szCs w:val="24"/>
              </w:rPr>
            </w:pPr>
            <w:r>
              <w:rPr>
                <w:rFonts w:hint="eastAsia"/>
                <w:color w:val="000000"/>
                <w:sz w:val="22"/>
              </w:rPr>
              <w:t>26</w:t>
            </w:r>
          </w:p>
        </w:tc>
        <w:tc>
          <w:tcPr>
            <w:tcW w:w="6237" w:type="dxa"/>
            <w:tcBorders>
              <w:top w:val="single" w:sz="4" w:space="0" w:color="auto"/>
              <w:left w:val="single" w:sz="4" w:space="0" w:color="auto"/>
              <w:bottom w:val="single" w:sz="4" w:space="0" w:color="auto"/>
              <w:right w:val="single" w:sz="4" w:space="0" w:color="auto"/>
            </w:tcBorders>
            <w:vAlign w:val="bottom"/>
          </w:tcPr>
          <w:p w14:paraId="66CA7E6C" w14:textId="3DACC0B1" w:rsidR="0069510E" w:rsidRDefault="00000000">
            <w:pPr>
              <w:rPr>
                <w:color w:val="000000"/>
                <w:sz w:val="22"/>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管理有限公司关于旗下基金新增上海中欧财富基金销售有限公司为销售机构、开通基金定期定额投资业务和基金转换业务并参加申购及定期定额投资申购费率优惠活动的公告</w:t>
            </w:r>
          </w:p>
        </w:tc>
        <w:tc>
          <w:tcPr>
            <w:tcW w:w="1990" w:type="dxa"/>
            <w:tcBorders>
              <w:top w:val="single" w:sz="4" w:space="0" w:color="auto"/>
              <w:left w:val="single" w:sz="4" w:space="0" w:color="auto"/>
              <w:bottom w:val="single" w:sz="4" w:space="0" w:color="auto"/>
              <w:right w:val="single" w:sz="4" w:space="0" w:color="auto"/>
            </w:tcBorders>
          </w:tcPr>
          <w:p w14:paraId="0160D85E" w14:textId="4F534348" w:rsidR="0069510E" w:rsidRDefault="00000000">
            <w:pPr>
              <w:jc w:val="center"/>
              <w:rPr>
                <w:color w:val="000000"/>
                <w:sz w:val="22"/>
              </w:rPr>
            </w:pPr>
            <w:r>
              <w:rPr>
                <w:color w:val="000000"/>
                <w:sz w:val="22"/>
              </w:rPr>
              <w:t>2024</w:t>
            </w:r>
            <w:r>
              <w:rPr>
                <w:rFonts w:hint="eastAsia"/>
                <w:color w:val="000000"/>
                <w:sz w:val="22"/>
              </w:rPr>
              <w:t>年</w:t>
            </w:r>
            <w:r>
              <w:rPr>
                <w:color w:val="000000"/>
                <w:sz w:val="22"/>
              </w:rPr>
              <w:t>3</w:t>
            </w:r>
            <w:r>
              <w:rPr>
                <w:rFonts w:hint="eastAsia"/>
                <w:color w:val="000000"/>
                <w:sz w:val="22"/>
              </w:rPr>
              <w:t>月</w:t>
            </w:r>
            <w:r>
              <w:rPr>
                <w:color w:val="000000"/>
                <w:sz w:val="22"/>
              </w:rPr>
              <w:t>29</w:t>
            </w:r>
            <w:r>
              <w:rPr>
                <w:rFonts w:hint="eastAsia"/>
                <w:color w:val="000000"/>
                <w:sz w:val="22"/>
              </w:rPr>
              <w:t>日</w:t>
            </w:r>
          </w:p>
        </w:tc>
      </w:tr>
      <w:tr w:rsidR="0069510E" w14:paraId="2422230C" w14:textId="77777777" w:rsidTr="004A5EC5">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2C00743D" w14:textId="4848F41A" w:rsidR="0069510E" w:rsidRDefault="00000000">
            <w:pPr>
              <w:jc w:val="center"/>
              <w:rPr>
                <w:rFonts w:asciiTheme="minorEastAsia" w:hAnsiTheme="minorEastAsia" w:cs="Arial"/>
                <w:sz w:val="24"/>
                <w:szCs w:val="24"/>
              </w:rPr>
            </w:pPr>
            <w:r>
              <w:rPr>
                <w:rFonts w:hint="eastAsia"/>
                <w:color w:val="000000"/>
                <w:sz w:val="22"/>
              </w:rPr>
              <w:t>27</w:t>
            </w:r>
          </w:p>
        </w:tc>
        <w:tc>
          <w:tcPr>
            <w:tcW w:w="6237" w:type="dxa"/>
            <w:tcBorders>
              <w:top w:val="single" w:sz="4" w:space="0" w:color="auto"/>
              <w:left w:val="single" w:sz="4" w:space="0" w:color="auto"/>
              <w:bottom w:val="single" w:sz="4" w:space="0" w:color="auto"/>
              <w:right w:val="single" w:sz="4" w:space="0" w:color="auto"/>
            </w:tcBorders>
            <w:vAlign w:val="bottom"/>
          </w:tcPr>
          <w:p w14:paraId="287803BB" w14:textId="31C96635" w:rsidR="0069510E" w:rsidRDefault="00000000">
            <w:pPr>
              <w:rPr>
                <w:color w:val="000000"/>
                <w:sz w:val="22"/>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管理有限公司旗下全部基金</w:t>
            </w:r>
            <w:r>
              <w:rPr>
                <w:rFonts w:hint="eastAsia"/>
                <w:color w:val="000000"/>
                <w:sz w:val="22"/>
              </w:rPr>
              <w:t>2023</w:t>
            </w:r>
            <w:r>
              <w:rPr>
                <w:rFonts w:hint="eastAsia"/>
                <w:color w:val="000000"/>
                <w:sz w:val="22"/>
              </w:rPr>
              <w:t>年年度报告提示性公告</w:t>
            </w:r>
          </w:p>
        </w:tc>
        <w:tc>
          <w:tcPr>
            <w:tcW w:w="1990" w:type="dxa"/>
            <w:tcBorders>
              <w:top w:val="single" w:sz="4" w:space="0" w:color="auto"/>
              <w:left w:val="single" w:sz="4" w:space="0" w:color="auto"/>
              <w:bottom w:val="single" w:sz="4" w:space="0" w:color="auto"/>
              <w:right w:val="single" w:sz="4" w:space="0" w:color="auto"/>
            </w:tcBorders>
          </w:tcPr>
          <w:p w14:paraId="1F33DFEC" w14:textId="2A3F5066" w:rsidR="0069510E" w:rsidRDefault="00000000">
            <w:pPr>
              <w:jc w:val="center"/>
              <w:rPr>
                <w:color w:val="000000"/>
                <w:sz w:val="22"/>
              </w:rPr>
            </w:pPr>
            <w:r>
              <w:rPr>
                <w:color w:val="000000"/>
                <w:sz w:val="22"/>
              </w:rPr>
              <w:t>2024</w:t>
            </w:r>
            <w:r>
              <w:rPr>
                <w:rFonts w:hint="eastAsia"/>
                <w:color w:val="000000"/>
                <w:sz w:val="22"/>
              </w:rPr>
              <w:t>年</w:t>
            </w:r>
            <w:r>
              <w:rPr>
                <w:color w:val="000000"/>
                <w:sz w:val="22"/>
              </w:rPr>
              <w:t>3</w:t>
            </w:r>
            <w:r>
              <w:rPr>
                <w:rFonts w:hint="eastAsia"/>
                <w:color w:val="000000"/>
                <w:sz w:val="22"/>
              </w:rPr>
              <w:t>月</w:t>
            </w:r>
            <w:r>
              <w:rPr>
                <w:color w:val="000000"/>
                <w:sz w:val="22"/>
              </w:rPr>
              <w:t>30</w:t>
            </w:r>
            <w:r>
              <w:rPr>
                <w:rFonts w:hint="eastAsia"/>
                <w:color w:val="000000"/>
                <w:sz w:val="22"/>
              </w:rPr>
              <w:t>日</w:t>
            </w:r>
          </w:p>
        </w:tc>
      </w:tr>
      <w:tr w:rsidR="0069510E" w14:paraId="286F1BD9" w14:textId="77777777" w:rsidTr="004A5EC5">
        <w:trPr>
          <w:trHeight w:val="382"/>
        </w:trPr>
        <w:tc>
          <w:tcPr>
            <w:tcW w:w="817" w:type="dxa"/>
            <w:tcBorders>
              <w:top w:val="single" w:sz="4" w:space="0" w:color="auto"/>
              <w:left w:val="single" w:sz="4" w:space="0" w:color="auto"/>
              <w:bottom w:val="single" w:sz="4" w:space="0" w:color="auto"/>
              <w:right w:val="single" w:sz="4" w:space="0" w:color="auto"/>
            </w:tcBorders>
            <w:vAlign w:val="center"/>
          </w:tcPr>
          <w:p w14:paraId="4CA753AF" w14:textId="59FC3165" w:rsidR="0069510E" w:rsidRDefault="00000000">
            <w:pPr>
              <w:jc w:val="center"/>
              <w:rPr>
                <w:rFonts w:asciiTheme="minorEastAsia" w:hAnsiTheme="minorEastAsia" w:cs="Arial"/>
                <w:sz w:val="24"/>
                <w:szCs w:val="24"/>
              </w:rPr>
            </w:pPr>
            <w:r>
              <w:rPr>
                <w:rFonts w:hint="eastAsia"/>
                <w:color w:val="000000"/>
                <w:sz w:val="22"/>
              </w:rPr>
              <w:t>28</w:t>
            </w:r>
          </w:p>
        </w:tc>
        <w:tc>
          <w:tcPr>
            <w:tcW w:w="6237" w:type="dxa"/>
            <w:tcBorders>
              <w:top w:val="single" w:sz="4" w:space="0" w:color="auto"/>
              <w:left w:val="single" w:sz="4" w:space="0" w:color="auto"/>
              <w:bottom w:val="single" w:sz="4" w:space="0" w:color="auto"/>
              <w:right w:val="single" w:sz="4" w:space="0" w:color="auto"/>
            </w:tcBorders>
            <w:vAlign w:val="bottom"/>
          </w:tcPr>
          <w:p w14:paraId="4A422FA0" w14:textId="75E01BDF" w:rsidR="0069510E" w:rsidRDefault="00000000">
            <w:pPr>
              <w:rPr>
                <w:color w:val="000000"/>
                <w:sz w:val="22"/>
              </w:rPr>
            </w:pPr>
            <w:r>
              <w:rPr>
                <w:rFonts w:hint="eastAsia"/>
                <w:color w:val="000000"/>
                <w:sz w:val="22"/>
              </w:rPr>
              <w:t>富</w:t>
            </w:r>
            <w:proofErr w:type="gramStart"/>
            <w:r>
              <w:rPr>
                <w:rFonts w:hint="eastAsia"/>
                <w:color w:val="000000"/>
                <w:sz w:val="22"/>
              </w:rPr>
              <w:t>荣基金</w:t>
            </w:r>
            <w:proofErr w:type="gramEnd"/>
            <w:r>
              <w:rPr>
                <w:rFonts w:hint="eastAsia"/>
                <w:color w:val="000000"/>
                <w:sz w:val="22"/>
              </w:rPr>
              <w:t>管理有限公司旗下全部基金</w:t>
            </w:r>
            <w:r>
              <w:rPr>
                <w:rFonts w:hint="eastAsia"/>
                <w:color w:val="000000"/>
                <w:sz w:val="22"/>
              </w:rPr>
              <w:t>2024</w:t>
            </w:r>
            <w:r>
              <w:rPr>
                <w:rFonts w:hint="eastAsia"/>
                <w:color w:val="000000"/>
                <w:sz w:val="22"/>
              </w:rPr>
              <w:t>年第</w:t>
            </w:r>
            <w:r>
              <w:rPr>
                <w:rFonts w:hint="eastAsia"/>
                <w:color w:val="000000"/>
                <w:sz w:val="22"/>
              </w:rPr>
              <w:t>1</w:t>
            </w:r>
            <w:r>
              <w:rPr>
                <w:rFonts w:hint="eastAsia"/>
                <w:color w:val="000000"/>
                <w:sz w:val="22"/>
              </w:rPr>
              <w:t>季度报告提示性公告</w:t>
            </w:r>
          </w:p>
        </w:tc>
        <w:tc>
          <w:tcPr>
            <w:tcW w:w="1990" w:type="dxa"/>
            <w:tcBorders>
              <w:top w:val="single" w:sz="4" w:space="0" w:color="auto"/>
              <w:left w:val="single" w:sz="4" w:space="0" w:color="auto"/>
              <w:bottom w:val="single" w:sz="4" w:space="0" w:color="auto"/>
              <w:right w:val="single" w:sz="4" w:space="0" w:color="auto"/>
            </w:tcBorders>
          </w:tcPr>
          <w:p w14:paraId="6829D8CD" w14:textId="283D79B6" w:rsidR="0069510E" w:rsidRDefault="00000000">
            <w:pPr>
              <w:jc w:val="center"/>
              <w:rPr>
                <w:color w:val="000000"/>
                <w:sz w:val="22"/>
              </w:rPr>
            </w:pPr>
            <w:r>
              <w:rPr>
                <w:color w:val="000000"/>
                <w:sz w:val="22"/>
              </w:rPr>
              <w:t>2024</w:t>
            </w:r>
            <w:r>
              <w:rPr>
                <w:rFonts w:hint="eastAsia"/>
                <w:color w:val="000000"/>
                <w:sz w:val="22"/>
              </w:rPr>
              <w:t>年</w:t>
            </w:r>
            <w:r>
              <w:rPr>
                <w:color w:val="000000"/>
                <w:sz w:val="22"/>
              </w:rPr>
              <w:t>4</w:t>
            </w:r>
            <w:r>
              <w:rPr>
                <w:rFonts w:hint="eastAsia"/>
                <w:color w:val="000000"/>
                <w:sz w:val="22"/>
              </w:rPr>
              <w:t>月</w:t>
            </w:r>
            <w:r>
              <w:rPr>
                <w:color w:val="000000"/>
                <w:sz w:val="22"/>
              </w:rPr>
              <w:t>22</w:t>
            </w:r>
            <w:r>
              <w:rPr>
                <w:rFonts w:hint="eastAsia"/>
                <w:color w:val="000000"/>
                <w:sz w:val="22"/>
              </w:rPr>
              <w:t>日</w:t>
            </w:r>
          </w:p>
        </w:tc>
      </w:tr>
    </w:tbl>
    <w:p w14:paraId="512C1266" w14:textId="77777777" w:rsidR="0069510E" w:rsidRDefault="0069510E"/>
    <w:p w14:paraId="22CAA2B5" w14:textId="77777777" w:rsidR="0069510E" w:rsidRDefault="0069510E">
      <w:pPr>
        <w:spacing w:line="360" w:lineRule="auto"/>
        <w:ind w:firstLineChars="200" w:firstLine="480"/>
        <w:rPr>
          <w:rFonts w:asciiTheme="minorEastAsia" w:hAnsiTheme="minorEastAsia" w:cs="Arial"/>
          <w:sz w:val="24"/>
          <w:szCs w:val="24"/>
        </w:rPr>
        <w:sectPr w:rsidR="0069510E">
          <w:headerReference w:type="even" r:id="rId60"/>
          <w:headerReference w:type="default" r:id="rId61"/>
          <w:footerReference w:type="default" r:id="rId62"/>
          <w:headerReference w:type="first" r:id="rId63"/>
          <w:pgSz w:w="11906" w:h="16838"/>
          <w:pgMar w:top="1440" w:right="1800" w:bottom="1440" w:left="1800" w:header="851" w:footer="992" w:gutter="0"/>
          <w:pgNumType w:chapStyle="1"/>
          <w:cols w:space="720"/>
          <w:docGrid w:type="lines" w:linePitch="312"/>
        </w:sectPr>
      </w:pPr>
    </w:p>
    <w:p w14:paraId="52D0B073" w14:textId="77777777" w:rsidR="0069510E" w:rsidRDefault="00000000">
      <w:pPr>
        <w:pStyle w:val="1"/>
        <w:jc w:val="center"/>
        <w:rPr>
          <w:sz w:val="30"/>
          <w:szCs w:val="30"/>
        </w:rPr>
      </w:pPr>
      <w:bookmarkStart w:id="462" w:name="_Toc214873622"/>
      <w:bookmarkStart w:id="463" w:name="_Toc68266309"/>
      <w:bookmarkStart w:id="464" w:name="_Toc136963823"/>
      <w:bookmarkStart w:id="465" w:name="_Toc416264556"/>
      <w:bookmarkStart w:id="466" w:name="_Toc263092329"/>
      <w:bookmarkStart w:id="467" w:name="_Toc530223198"/>
      <w:bookmarkEnd w:id="430"/>
      <w:bookmarkEnd w:id="431"/>
      <w:bookmarkEnd w:id="432"/>
      <w:bookmarkEnd w:id="433"/>
      <w:bookmarkEnd w:id="434"/>
      <w:bookmarkEnd w:id="435"/>
      <w:r>
        <w:rPr>
          <w:rFonts w:hint="eastAsia"/>
          <w:sz w:val="30"/>
          <w:szCs w:val="30"/>
        </w:rPr>
        <w:lastRenderedPageBreak/>
        <w:t>第二十三部分</w:t>
      </w:r>
      <w:r>
        <w:rPr>
          <w:sz w:val="30"/>
          <w:szCs w:val="30"/>
        </w:rPr>
        <w:t xml:space="preserve">  </w:t>
      </w:r>
      <w:r>
        <w:rPr>
          <w:rFonts w:hint="eastAsia"/>
          <w:sz w:val="30"/>
          <w:szCs w:val="30"/>
        </w:rPr>
        <w:t>招募说明书存放及查阅方式</w:t>
      </w:r>
      <w:bookmarkEnd w:id="462"/>
      <w:bookmarkEnd w:id="463"/>
      <w:bookmarkEnd w:id="464"/>
      <w:bookmarkEnd w:id="465"/>
      <w:bookmarkEnd w:id="466"/>
      <w:bookmarkEnd w:id="467"/>
    </w:p>
    <w:p w14:paraId="2B0E1C8C" w14:textId="77777777" w:rsidR="0069510E"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5769E87F" w14:textId="77777777" w:rsidR="0069510E"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t>
      </w:r>
      <w:r>
        <w:rPr>
          <w:rFonts w:asciiTheme="minorEastAsia" w:hAnsiTheme="minorEastAsia" w:cs="Arial"/>
          <w:kern w:val="0"/>
          <w:sz w:val="24"/>
          <w:szCs w:val="24"/>
        </w:rPr>
        <w:t>www.furamc.com.cn）查阅和下载招募说明书。</w:t>
      </w:r>
    </w:p>
    <w:p w14:paraId="15092E79" w14:textId="77777777" w:rsidR="0069510E" w:rsidRDefault="0069510E">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69510E">
          <w:headerReference w:type="even" r:id="rId64"/>
          <w:headerReference w:type="default" r:id="rId65"/>
          <w:headerReference w:type="first" r:id="rId66"/>
          <w:pgSz w:w="11906" w:h="16838"/>
          <w:pgMar w:top="1440" w:right="1800" w:bottom="1440" w:left="1800" w:header="851" w:footer="992" w:gutter="0"/>
          <w:cols w:space="425"/>
          <w:docGrid w:type="lines" w:linePitch="312"/>
        </w:sectPr>
      </w:pPr>
      <w:bookmarkStart w:id="468" w:name="_Toc416268879"/>
      <w:bookmarkStart w:id="469" w:name="_Toc263092330"/>
    </w:p>
    <w:p w14:paraId="1C48A5BC" w14:textId="77777777" w:rsidR="0069510E" w:rsidRDefault="00000000">
      <w:pPr>
        <w:pStyle w:val="1"/>
        <w:jc w:val="center"/>
      </w:pPr>
      <w:bookmarkStart w:id="470" w:name="_Toc68266310"/>
      <w:bookmarkStart w:id="471" w:name="_Toc136963824"/>
      <w:bookmarkEnd w:id="61"/>
      <w:bookmarkEnd w:id="62"/>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68"/>
      <w:bookmarkEnd w:id="469"/>
      <w:r>
        <w:rPr>
          <w:rFonts w:hint="eastAsia"/>
          <w:sz w:val="30"/>
          <w:szCs w:val="30"/>
        </w:rPr>
        <w:lastRenderedPageBreak/>
        <w:t>第二十四部分</w:t>
      </w:r>
      <w:r>
        <w:rPr>
          <w:sz w:val="30"/>
          <w:szCs w:val="30"/>
        </w:rPr>
        <w:t xml:space="preserve">  </w:t>
      </w:r>
      <w:r>
        <w:rPr>
          <w:rFonts w:hint="eastAsia"/>
          <w:sz w:val="30"/>
          <w:szCs w:val="30"/>
        </w:rPr>
        <w:t>备查文件</w:t>
      </w:r>
      <w:bookmarkEnd w:id="470"/>
      <w:bookmarkEnd w:id="471"/>
    </w:p>
    <w:p w14:paraId="2A0AE59B" w14:textId="77777777" w:rsidR="0069510E"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7F1729A5" w14:textId="77777777" w:rsidR="0069510E"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w:t>
      </w:r>
      <w:proofErr w:type="gramStart"/>
      <w:r>
        <w:rPr>
          <w:rFonts w:asciiTheme="minorEastAsia" w:hAnsiTheme="minorEastAsia" w:cs="Arial"/>
          <w:kern w:val="0"/>
          <w:sz w:val="24"/>
          <w:szCs w:val="24"/>
        </w:rPr>
        <w:t>荣福银</w:t>
      </w:r>
      <w:proofErr w:type="gramEnd"/>
      <w:r>
        <w:rPr>
          <w:rFonts w:asciiTheme="minorEastAsia" w:hAnsiTheme="minorEastAsia" w:cs="Arial"/>
          <w:kern w:val="0"/>
          <w:sz w:val="24"/>
          <w:szCs w:val="24"/>
        </w:rPr>
        <w:t>混合型证券投资基金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36A5A3F1" w14:textId="77777777" w:rsidR="0069510E"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（二）《富荣福银混合型证券投资基金基金合同》 </w:t>
      </w:r>
    </w:p>
    <w:p w14:paraId="0B8F17EA" w14:textId="77777777" w:rsidR="0069510E"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（三）《富荣福银混合型证券投资基金托管协议》 </w:t>
      </w:r>
    </w:p>
    <w:p w14:paraId="0B952ACD" w14:textId="77777777" w:rsidR="0069510E"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7497B630" w14:textId="77777777" w:rsidR="0069510E"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7B3546B8" w14:textId="77777777" w:rsidR="0069510E"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w:t>
      </w:r>
      <w:proofErr w:type="gramStart"/>
      <w:r>
        <w:rPr>
          <w:rFonts w:asciiTheme="minorEastAsia" w:hAnsiTheme="minorEastAsia" w:cs="Arial"/>
          <w:kern w:val="0"/>
          <w:sz w:val="24"/>
          <w:szCs w:val="24"/>
        </w:rPr>
        <w:t>荣福银</w:t>
      </w:r>
      <w:proofErr w:type="gramEnd"/>
      <w:r>
        <w:rPr>
          <w:rFonts w:asciiTheme="minorEastAsia" w:hAnsiTheme="minorEastAsia" w:cs="Arial"/>
          <w:kern w:val="0"/>
          <w:sz w:val="24"/>
          <w:szCs w:val="24"/>
        </w:rPr>
        <w:t>混合型证券投资基金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45E707A4" w14:textId="77777777" w:rsidR="0069510E"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4B1CEFBA" w14:textId="77777777" w:rsidR="0069510E"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3025818C" w14:textId="77777777" w:rsidR="0069510E" w:rsidRDefault="0069510E">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29E79C92" w14:textId="77777777" w:rsidR="0069510E" w:rsidRDefault="0069510E">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356E562C" w14:textId="77777777" w:rsidR="0069510E" w:rsidRDefault="0069510E">
      <w:pPr>
        <w:widowControl/>
        <w:adjustRightInd w:val="0"/>
        <w:snapToGrid w:val="0"/>
        <w:spacing w:line="360" w:lineRule="auto"/>
        <w:ind w:rightChars="-85" w:right="-178" w:firstLineChars="200" w:firstLine="420"/>
        <w:rPr>
          <w:rFonts w:ascii="Arial" w:eastAsia="宋体" w:hAnsi="Arial" w:cs="Arial"/>
          <w:kern w:val="0"/>
          <w:szCs w:val="21"/>
        </w:rPr>
      </w:pPr>
    </w:p>
    <w:p w14:paraId="64EC943F" w14:textId="77777777" w:rsidR="0069510E" w:rsidRDefault="0069510E">
      <w:pPr>
        <w:widowControl/>
        <w:adjustRightInd w:val="0"/>
        <w:snapToGrid w:val="0"/>
        <w:spacing w:line="360" w:lineRule="auto"/>
        <w:ind w:rightChars="-85" w:right="-178" w:firstLineChars="200" w:firstLine="420"/>
        <w:rPr>
          <w:rFonts w:ascii="Arial" w:eastAsia="宋体" w:hAnsi="Arial" w:cs="Arial"/>
          <w:kern w:val="0"/>
          <w:szCs w:val="21"/>
        </w:rPr>
      </w:pPr>
    </w:p>
    <w:p w14:paraId="630032EA" w14:textId="77777777" w:rsidR="0069510E" w:rsidRDefault="0069510E">
      <w:pPr>
        <w:widowControl/>
        <w:adjustRightInd w:val="0"/>
        <w:snapToGrid w:val="0"/>
        <w:spacing w:line="360" w:lineRule="auto"/>
        <w:ind w:rightChars="-85" w:right="-178" w:firstLineChars="200" w:firstLine="420"/>
        <w:rPr>
          <w:rFonts w:ascii="Arial" w:eastAsia="宋体" w:hAnsi="Arial" w:cs="Arial"/>
          <w:kern w:val="0"/>
          <w:szCs w:val="21"/>
        </w:rPr>
      </w:pPr>
    </w:p>
    <w:p w14:paraId="19AE28C8" w14:textId="77777777" w:rsidR="0069510E" w:rsidRDefault="0069510E">
      <w:pPr>
        <w:widowControl/>
        <w:adjustRightInd w:val="0"/>
        <w:snapToGrid w:val="0"/>
        <w:spacing w:line="360" w:lineRule="auto"/>
        <w:ind w:rightChars="-85" w:right="-178" w:firstLineChars="200" w:firstLine="420"/>
        <w:rPr>
          <w:rFonts w:ascii="Arial" w:eastAsia="宋体" w:hAnsi="Arial" w:cs="Arial"/>
          <w:kern w:val="0"/>
          <w:szCs w:val="21"/>
        </w:rPr>
      </w:pPr>
    </w:p>
    <w:p w14:paraId="495F381A" w14:textId="77777777" w:rsidR="0069510E" w:rsidRDefault="0069510E">
      <w:pPr>
        <w:widowControl/>
        <w:adjustRightInd w:val="0"/>
        <w:snapToGrid w:val="0"/>
        <w:spacing w:line="360" w:lineRule="auto"/>
        <w:ind w:rightChars="-85" w:right="-178" w:firstLineChars="200" w:firstLine="420"/>
        <w:rPr>
          <w:rFonts w:ascii="Arial" w:eastAsia="宋体" w:hAnsi="Arial" w:cs="Arial"/>
          <w:kern w:val="0"/>
          <w:szCs w:val="21"/>
        </w:rPr>
      </w:pPr>
    </w:p>
    <w:p w14:paraId="64F8272B" w14:textId="77777777" w:rsidR="0069510E" w:rsidRDefault="0069510E">
      <w:pPr>
        <w:widowControl/>
        <w:adjustRightInd w:val="0"/>
        <w:snapToGrid w:val="0"/>
        <w:spacing w:line="360" w:lineRule="auto"/>
        <w:ind w:rightChars="-85" w:right="-178" w:firstLineChars="200" w:firstLine="420"/>
        <w:rPr>
          <w:rFonts w:ascii="Arial" w:eastAsia="宋体" w:hAnsi="Arial" w:cs="Arial"/>
          <w:kern w:val="0"/>
          <w:szCs w:val="21"/>
        </w:rPr>
      </w:pPr>
    </w:p>
    <w:p w14:paraId="1F0381C7" w14:textId="77777777" w:rsidR="0069510E" w:rsidRDefault="0069510E">
      <w:pPr>
        <w:widowControl/>
        <w:adjustRightInd w:val="0"/>
        <w:snapToGrid w:val="0"/>
        <w:spacing w:line="360" w:lineRule="auto"/>
        <w:ind w:rightChars="-85" w:right="-178" w:firstLineChars="200" w:firstLine="420"/>
        <w:rPr>
          <w:rFonts w:ascii="Arial" w:eastAsia="宋体" w:hAnsi="Arial" w:cs="Arial"/>
          <w:kern w:val="0"/>
          <w:szCs w:val="21"/>
        </w:rPr>
      </w:pPr>
    </w:p>
    <w:p w14:paraId="64966B02" w14:textId="77777777" w:rsidR="0069510E" w:rsidRDefault="0069510E">
      <w:pPr>
        <w:widowControl/>
        <w:adjustRightInd w:val="0"/>
        <w:snapToGrid w:val="0"/>
        <w:spacing w:line="360" w:lineRule="auto"/>
        <w:ind w:rightChars="-85" w:right="-178" w:firstLineChars="200" w:firstLine="420"/>
        <w:rPr>
          <w:rFonts w:ascii="Arial" w:eastAsia="宋体" w:hAnsi="Arial" w:cs="Arial"/>
          <w:kern w:val="0"/>
          <w:szCs w:val="21"/>
        </w:rPr>
      </w:pPr>
    </w:p>
    <w:p w14:paraId="79942302" w14:textId="77777777" w:rsidR="0069510E" w:rsidRDefault="0069510E">
      <w:pPr>
        <w:widowControl/>
        <w:adjustRightInd w:val="0"/>
        <w:snapToGrid w:val="0"/>
        <w:spacing w:line="360" w:lineRule="auto"/>
        <w:ind w:rightChars="-85" w:right="-178" w:firstLineChars="200" w:firstLine="420"/>
        <w:rPr>
          <w:rFonts w:ascii="Arial" w:eastAsia="宋体" w:hAnsi="Arial" w:cs="Arial"/>
          <w:kern w:val="0"/>
          <w:szCs w:val="21"/>
        </w:rPr>
      </w:pPr>
    </w:p>
    <w:p w14:paraId="43100A86" w14:textId="77777777" w:rsidR="0069510E" w:rsidRDefault="0069510E">
      <w:pPr>
        <w:widowControl/>
        <w:adjustRightInd w:val="0"/>
        <w:snapToGrid w:val="0"/>
        <w:spacing w:line="360" w:lineRule="auto"/>
        <w:ind w:rightChars="-85" w:right="-178" w:firstLineChars="200" w:firstLine="420"/>
        <w:rPr>
          <w:rFonts w:ascii="Arial" w:eastAsia="宋体" w:hAnsi="Arial" w:cs="Arial"/>
          <w:kern w:val="0"/>
          <w:szCs w:val="21"/>
        </w:rPr>
      </w:pPr>
    </w:p>
    <w:p w14:paraId="597087D3" w14:textId="77777777" w:rsidR="0069510E" w:rsidRDefault="00000000">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 xml:space="preserve">管理有限公司 </w:t>
      </w:r>
    </w:p>
    <w:p w14:paraId="4D179EFD" w14:textId="729120EB" w:rsidR="0069510E" w:rsidRDefault="00000000">
      <w:pPr>
        <w:widowControl/>
        <w:adjustRightInd w:val="0"/>
        <w:snapToGrid w:val="0"/>
        <w:spacing w:line="360" w:lineRule="auto"/>
        <w:ind w:rightChars="-85" w:right="-178" w:firstLineChars="2700" w:firstLine="6480"/>
      </w:pPr>
      <w:r>
        <w:rPr>
          <w:rFonts w:asciiTheme="minorEastAsia" w:hAnsiTheme="minorEastAsia" w:cs="Arial" w:hint="eastAsia"/>
          <w:kern w:val="0"/>
          <w:sz w:val="24"/>
          <w:szCs w:val="24"/>
        </w:rPr>
        <w:t>202</w:t>
      </w:r>
      <w:r>
        <w:rPr>
          <w:rFonts w:asciiTheme="minorEastAsia" w:hAnsiTheme="minorEastAsia" w:cs="Arial"/>
          <w:kern w:val="0"/>
          <w:sz w:val="24"/>
          <w:szCs w:val="24"/>
        </w:rPr>
        <w:t>4</w:t>
      </w:r>
      <w:r>
        <w:rPr>
          <w:rFonts w:asciiTheme="minorEastAsia" w:hAnsiTheme="minorEastAsia" w:cs="Arial" w:hint="eastAsia"/>
          <w:kern w:val="0"/>
          <w:sz w:val="24"/>
          <w:szCs w:val="24"/>
        </w:rPr>
        <w:t>年6月7日</w:t>
      </w:r>
    </w:p>
    <w:sectPr w:rsidR="0069510E">
      <w:headerReference w:type="even" r:id="rId67"/>
      <w:headerReference w:type="default" r:id="rId68"/>
      <w:footerReference w:type="default" r:id="rId69"/>
      <w:headerReference w:type="first" r:id="rId70"/>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74F312" w14:textId="77777777" w:rsidR="00251E21" w:rsidRDefault="00251E21">
      <w:r>
        <w:separator/>
      </w:r>
    </w:p>
  </w:endnote>
  <w:endnote w:type="continuationSeparator" w:id="0">
    <w:p w14:paraId="49FC7F53" w14:textId="77777777" w:rsidR="00251E21" w:rsidRDefault="00251E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微软雅黑"/>
    <w:charset w:val="86"/>
    <w:family w:val="auto"/>
    <w:pitch w:val="default"/>
    <w:sig w:usb0="00000000" w:usb1="00000000" w:usb2="00000000" w:usb3="00000000" w:csb0="00040000"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6794151"/>
    </w:sdtPr>
    <w:sdtContent>
      <w:p w14:paraId="43FC8F3B" w14:textId="77777777" w:rsidR="0069510E"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3</w:t>
        </w:r>
        <w:r>
          <w:rPr>
            <w:lang w:val="zh-CN"/>
          </w:rPr>
          <w:fldChar w:fldCharType="end"/>
        </w:r>
      </w:p>
    </w:sdtContent>
  </w:sdt>
  <w:p w14:paraId="4B0F93B7" w14:textId="77777777" w:rsidR="0069510E" w:rsidRDefault="0069510E">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82390005"/>
    </w:sdtPr>
    <w:sdtContent>
      <w:p w14:paraId="23C5C3A9" w14:textId="77777777" w:rsidR="0069510E"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4</w:t>
        </w:r>
        <w:r>
          <w:rPr>
            <w:lang w:val="zh-CN"/>
          </w:rPr>
          <w:fldChar w:fldCharType="end"/>
        </w:r>
      </w:p>
    </w:sdtContent>
  </w:sdt>
  <w:p w14:paraId="74EFEA61" w14:textId="77777777" w:rsidR="0069510E" w:rsidRDefault="0069510E">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15157458"/>
    </w:sdtPr>
    <w:sdtContent>
      <w:p w14:paraId="50E4B807" w14:textId="77777777" w:rsidR="0069510E"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9</w:t>
        </w:r>
        <w:r>
          <w:rPr>
            <w:lang w:val="zh-CN"/>
          </w:rPr>
          <w:fldChar w:fldCharType="end"/>
        </w:r>
      </w:p>
    </w:sdtContent>
  </w:sdt>
  <w:p w14:paraId="7174B457" w14:textId="77777777" w:rsidR="0069510E" w:rsidRDefault="0069510E">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526527"/>
    </w:sdtPr>
    <w:sdtContent>
      <w:p w14:paraId="168AE727" w14:textId="77777777" w:rsidR="0069510E"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1</w:t>
        </w:r>
        <w:r>
          <w:rPr>
            <w:lang w:val="zh-CN"/>
          </w:rPr>
          <w:t>4</w:t>
        </w:r>
        <w:r>
          <w:rPr>
            <w:lang w:val="zh-CN"/>
          </w:rPr>
          <w:fldChar w:fldCharType="end"/>
        </w:r>
      </w:p>
    </w:sdtContent>
  </w:sdt>
  <w:p w14:paraId="69D272D2" w14:textId="77777777" w:rsidR="0069510E" w:rsidRDefault="0069510E">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56205945"/>
    </w:sdtPr>
    <w:sdtContent>
      <w:p w14:paraId="5DA447E5" w14:textId="77777777" w:rsidR="0069510E"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29</w:t>
        </w:r>
        <w:r>
          <w:rPr>
            <w:lang w:val="zh-CN"/>
          </w:rPr>
          <w:fldChar w:fldCharType="end"/>
        </w:r>
      </w:p>
    </w:sdtContent>
  </w:sdt>
  <w:p w14:paraId="02670B64" w14:textId="77777777" w:rsidR="0069510E" w:rsidRDefault="0069510E">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32165260"/>
    </w:sdtPr>
    <w:sdtContent>
      <w:p w14:paraId="1FC523E6" w14:textId="77777777" w:rsidR="0069510E"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3</w:t>
        </w:r>
        <w:r>
          <w:rPr>
            <w:lang w:val="zh-CN"/>
          </w:rPr>
          <w:t>0</w:t>
        </w:r>
        <w:r>
          <w:rPr>
            <w:lang w:val="zh-CN"/>
          </w:rPr>
          <w:fldChar w:fldCharType="end"/>
        </w:r>
      </w:p>
    </w:sdtContent>
  </w:sdt>
  <w:p w14:paraId="68FEE9E5" w14:textId="77777777" w:rsidR="0069510E" w:rsidRDefault="0069510E">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06333424"/>
    </w:sdtPr>
    <w:sdtContent>
      <w:p w14:paraId="1690C399" w14:textId="77777777" w:rsidR="0069510E"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31</w:t>
        </w:r>
        <w:r>
          <w:rPr>
            <w:lang w:val="zh-CN"/>
          </w:rPr>
          <w:fldChar w:fldCharType="end"/>
        </w:r>
      </w:p>
    </w:sdtContent>
  </w:sdt>
  <w:p w14:paraId="4AAC9368" w14:textId="77777777" w:rsidR="0069510E" w:rsidRDefault="0069510E">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799211" w14:textId="77777777" w:rsidR="0069510E" w:rsidRDefault="00000000">
    <w:pPr>
      <w:pStyle w:val="af0"/>
      <w:jc w:val="center"/>
    </w:pPr>
    <w:r>
      <w:fldChar w:fldCharType="begin"/>
    </w:r>
    <w:r>
      <w:instrText xml:space="preserve"> PAGE   \* MERGEFORMAT </w:instrText>
    </w:r>
    <w:r>
      <w:fldChar w:fldCharType="separate"/>
    </w:r>
    <w:r>
      <w:rPr>
        <w:lang w:val="zh-CN"/>
      </w:rPr>
      <w:t>8</w:t>
    </w:r>
    <w:r>
      <w:rPr>
        <w:lang w:val="zh-CN"/>
      </w:rPr>
      <w:t>0</w:t>
    </w:r>
    <w:r>
      <w:rPr>
        <w:lang w:val="zh-CN"/>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BBAF4A" w14:textId="77777777" w:rsidR="0069510E" w:rsidRDefault="00000000">
    <w:pPr>
      <w:pStyle w:val="af0"/>
      <w:jc w:val="center"/>
    </w:pPr>
    <w:r>
      <w:fldChar w:fldCharType="begin"/>
    </w:r>
    <w:r>
      <w:instrText xml:space="preserve"> PAGE   \* MERGEFORMAT </w:instrText>
    </w:r>
    <w:r>
      <w:fldChar w:fldCharType="separate"/>
    </w:r>
    <w:r>
      <w:rPr>
        <w:lang w:val="zh-CN"/>
      </w:rPr>
      <w:t>33</w:t>
    </w:r>
    <w:r>
      <w:rPr>
        <w:lang w:val="zh-CN"/>
      </w:rPr>
      <w:fldChar w:fldCharType="end"/>
    </w:r>
  </w:p>
  <w:p w14:paraId="0440964F" w14:textId="77777777" w:rsidR="0069510E" w:rsidRDefault="0069510E">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51766251"/>
    </w:sdtPr>
    <w:sdtContent>
      <w:p w14:paraId="185D5B9F" w14:textId="77777777" w:rsidR="0069510E"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8</w:t>
        </w:r>
        <w:r>
          <w:rPr>
            <w:lang w:val="zh-CN"/>
          </w:rPr>
          <w:t>5</w:t>
        </w:r>
        <w:r>
          <w:rPr>
            <w:lang w:val="zh-CN"/>
          </w:rPr>
          <w:fldChar w:fldCharType="end"/>
        </w:r>
      </w:p>
    </w:sdtContent>
  </w:sdt>
  <w:p w14:paraId="50909783" w14:textId="77777777" w:rsidR="0069510E" w:rsidRDefault="0069510E">
    <w:pPr>
      <w:pStyle w:val="af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37500172"/>
    </w:sdtPr>
    <w:sdtContent>
      <w:p w14:paraId="5ABDD2B8" w14:textId="77777777" w:rsidR="0069510E"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132</w:t>
        </w:r>
        <w:r>
          <w:rPr>
            <w:lang w:val="zh-CN"/>
          </w:rPr>
          <w:fldChar w:fldCharType="end"/>
        </w:r>
      </w:p>
    </w:sdtContent>
  </w:sdt>
  <w:p w14:paraId="3F49BF86" w14:textId="77777777" w:rsidR="0069510E" w:rsidRDefault="0069510E">
    <w:pPr>
      <w:pStyle w:val="af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80066568"/>
      <w:docPartObj>
        <w:docPartGallery w:val="AutoText"/>
      </w:docPartObj>
    </w:sdtPr>
    <w:sdtContent>
      <w:p w14:paraId="78527D39" w14:textId="77777777" w:rsidR="0069510E" w:rsidRDefault="00000000">
        <w:pPr>
          <w:pStyle w:val="af0"/>
          <w:jc w:val="center"/>
        </w:pPr>
        <w:r>
          <w:fldChar w:fldCharType="begin"/>
        </w:r>
        <w:r>
          <w:instrText>PAGE   \* MERGEFORMAT</w:instrText>
        </w:r>
        <w:r>
          <w:fldChar w:fldCharType="separate"/>
        </w:r>
        <w:r>
          <w:rPr>
            <w:lang w:val="zh-CN"/>
          </w:rPr>
          <w:t>13</w:t>
        </w:r>
        <w:r>
          <w:rPr>
            <w:lang w:val="zh-CN"/>
          </w:rPr>
          <w:t>3</w:t>
        </w:r>
        <w:r>
          <w:fldChar w:fldCharType="end"/>
        </w:r>
      </w:p>
    </w:sdtContent>
  </w:sdt>
  <w:p w14:paraId="0F9AF770" w14:textId="77777777" w:rsidR="0069510E" w:rsidRDefault="0069510E">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3E2CBBB" w14:textId="77777777" w:rsidR="00251E21" w:rsidRDefault="00251E21">
      <w:r>
        <w:separator/>
      </w:r>
    </w:p>
  </w:footnote>
  <w:footnote w:type="continuationSeparator" w:id="0">
    <w:p w14:paraId="0A281976" w14:textId="77777777" w:rsidR="00251E21" w:rsidRDefault="00251E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861C5F" w14:textId="77777777" w:rsidR="0069510E" w:rsidRDefault="00000000">
    <w:r>
      <w:pict w14:anchorId="5096461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75" type="#_x0000_t75" style="position:absolute;left:0;text-align:left;margin-left:0;margin-top:0;width:222.75pt;height:315.75pt;z-index:251660288;mso-position-horizontal:center;mso-position-horizontal-relative:page;mso-position-vertical:center;mso-position-vertical-relative:page">
          <v:imagedata r:id="rId1" o:title=""/>
          <o:lock v:ext="edit" aspectratio="f"/>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3BFEBF" w14:textId="1BD71C9E" w:rsidR="0069510E" w:rsidRDefault="00000000">
    <w:pPr>
      <w:pStyle w:val="af2"/>
      <w:jc w:val="both"/>
    </w:pPr>
    <w:proofErr w:type="gramStart"/>
    <w:r>
      <w:rPr>
        <w:rFonts w:ascii="Arial" w:hAnsi="Arial" w:cs="Arial" w:hint="eastAsia"/>
        <w:szCs w:val="21"/>
      </w:rPr>
      <w:t>富荣福银混合型</w:t>
    </w:r>
    <w:proofErr w:type="gramEnd"/>
    <w:r>
      <w:rPr>
        <w:rFonts w:ascii="Arial" w:hAnsi="Arial" w:cs="Arial" w:hint="eastAsia"/>
        <w:szCs w:val="21"/>
      </w:rPr>
      <w:t>证券投资基金更新的</w:t>
    </w:r>
    <w:r>
      <w:rPr>
        <w:rFonts w:hint="eastAsia"/>
      </w:rPr>
      <w:t>招募说明书（</w:t>
    </w:r>
    <w:r>
      <w:rPr>
        <w:rFonts w:hint="eastAsia"/>
      </w:rPr>
      <w:t>2024</w:t>
    </w:r>
    <w:r>
      <w:rPr>
        <w:rFonts w:hint="eastAsia"/>
      </w:rPr>
      <w:t>年第</w:t>
    </w:r>
    <w:r>
      <w:rPr>
        <w:rFonts w:hint="eastAsia"/>
      </w:rPr>
      <w:t>3</w:t>
    </w:r>
    <w:r>
      <w:rPr>
        <w:rFonts w:hint="eastAsia"/>
      </w:rPr>
      <w:t>号）</w:t>
    </w:r>
  </w:p>
  <w:p w14:paraId="23A88888" w14:textId="77777777" w:rsidR="0069510E" w:rsidRDefault="00000000">
    <w:r>
      <w:pict w14:anchorId="300CB02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74" type="#_x0000_t75" style="position:absolute;left:0;text-align:left;margin-left:0;margin-top:0;width:222.75pt;height:315.75pt;z-index:251659264;mso-position-horizontal:center;mso-position-horizontal-relative:page;mso-position-vertical:center;mso-position-vertical-relative:page">
          <v:imagedata r:id="rId1" o:title=""/>
          <o:lock v:ext="edit" aspectratio="f"/>
          <w10:wrap anchorx="page" anchory="pag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D4CC00" w14:textId="77777777" w:rsidR="0069510E" w:rsidRDefault="0069510E">
    <w:pPr>
      <w:pStyle w:val="af2"/>
      <w:jc w:val="both"/>
    </w:pPr>
  </w:p>
  <w:p w14:paraId="5AA2E428" w14:textId="77777777" w:rsidR="0069510E" w:rsidRDefault="00000000">
    <w:r>
      <w:pict w14:anchorId="71CFD94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73" type="#_x0000_t75" style="position:absolute;left:0;text-align:left;margin-left:0;margin-top:0;width:222.75pt;height:315.75pt;z-index:251658240;mso-position-horizontal:center;mso-position-horizontal-relative:page;mso-position-vertical:center;mso-position-vertical-relative:page">
          <v:imagedata r:id="rId1" o:title=""/>
          <o:lock v:ext="edit" aspectratio="f"/>
          <w10:wrap anchorx="page" anchory="pag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C6AF7C" w14:textId="77777777" w:rsidR="0069510E" w:rsidRDefault="00000000">
    <w:r>
      <w:pict w14:anchorId="4DCE9F2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78" type="#_x0000_t75" style="position:absolute;left:0;text-align:left;margin-left:0;margin-top:0;width:222.75pt;height:315.75pt;z-index:251663360;mso-position-horizontal:center;mso-position-horizontal-relative:page;mso-position-vertical:center;mso-position-vertical-relative:page">
          <v:imagedata r:id="rId1" o:title=""/>
          <o:lock v:ext="edit" aspectratio="f"/>
          <w10:wrap anchorx="page" anchory="page"/>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61F924" w14:textId="77777777" w:rsidR="0069510E" w:rsidRDefault="00000000">
    <w:r>
      <w:pict w14:anchorId="0ABD784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76" type="#_x0000_t75" style="position:absolute;left:0;text-align:left;margin-left:0;margin-top:0;width:222.75pt;height:315.75pt;z-index:251661312;mso-position-horizontal:center;mso-position-horizontal-relative:page;mso-position-vertical:center;mso-position-vertical-relative:page">
          <v:imagedata r:id="rId1" o:title=""/>
          <o:lock v:ext="edit" aspectratio="f"/>
          <w10:wrap anchorx="page" anchory="page"/>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0D95CB" w14:textId="77777777" w:rsidR="0069510E" w:rsidRDefault="00000000">
    <w:r>
      <w:pict w14:anchorId="21BB5FE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77" type="#_x0000_t75" style="position:absolute;left:0;text-align:left;margin-left:0;margin-top:0;width:222.75pt;height:315.75pt;z-index:251662336;mso-position-horizontal:center;mso-position-horizontal-relative:page;mso-position-vertical:center;mso-position-vertical-relative:page">
          <v:imagedata r:id="rId1" o:title=""/>
          <o:lock v:ext="edit" aspectratio="f"/>
          <w10:wrap anchorx="page" anchory="pag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0FF05A" w14:textId="77777777" w:rsidR="0069510E" w:rsidRDefault="00000000">
    <w:r>
      <w:pict w14:anchorId="2C5C132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1" type="#_x0000_t75" style="position:absolute;left:0;text-align:left;margin-left:0;margin-top:0;width:222.75pt;height:315.75pt;z-index:251666432;mso-position-horizontal:center;mso-position-horizontal-relative:page;mso-position-vertical:center;mso-position-vertical-relative:page">
          <v:imagedata r:id="rId1" o:title=""/>
          <o:lock v:ext="edit" aspectratio="f"/>
          <w10:wrap anchorx="page" anchory="page"/>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999FF1" w14:textId="77777777" w:rsidR="0069510E" w:rsidRDefault="00000000">
    <w:r>
      <w:pict w14:anchorId="6357123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79" type="#_x0000_t75" style="position:absolute;left:0;text-align:left;margin-left:0;margin-top:0;width:222.75pt;height:315.75pt;z-index:251664384;mso-position-horizontal:center;mso-position-horizontal-relative:page;mso-position-vertical:center;mso-position-vertical-relative:page">
          <v:imagedata r:id="rId1" o:title=""/>
          <o:lock v:ext="edit" aspectratio="f"/>
          <w10:wrap anchorx="page" anchory="page"/>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4B0C15" w14:textId="77777777" w:rsidR="0069510E" w:rsidRDefault="00000000">
    <w:r>
      <w:pict w14:anchorId="1E627C0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0" type="#_x0000_t75" style="position:absolute;left:0;text-align:left;margin-left:0;margin-top:0;width:222.75pt;height:315.75pt;z-index:251665408;mso-position-horizontal:center;mso-position-horizontal-relative:page;mso-position-vertical:center;mso-position-vertical-relative:page">
          <v:imagedata r:id="rId1" o:title=""/>
          <o:lock v:ext="edit" aspectratio="f"/>
          <w10:wrap anchorx="page" anchory="page"/>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203EC7" w14:textId="77777777" w:rsidR="0069510E" w:rsidRDefault="00000000">
    <w:r>
      <w:pict w14:anchorId="433E082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4" type="#_x0000_t75" style="position:absolute;left:0;text-align:left;margin-left:0;margin-top:0;width:222.75pt;height:315.75pt;z-index:251669504;mso-position-horizontal:center;mso-position-horizontal-relative:page;mso-position-vertical:center;mso-position-vertical-relative:page">
          <v:imagedata r:id="rId1" o:title=""/>
          <o:lock v:ext="edit" aspectratio="f"/>
          <w10:wrap anchorx="page" anchory="page"/>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0B333F" w14:textId="77777777" w:rsidR="0069510E" w:rsidRDefault="00000000">
    <w:r>
      <w:pict w14:anchorId="3DCB2BD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2" type="#_x0000_t75" style="position:absolute;left:0;text-align:left;margin-left:0;margin-top:0;width:222.75pt;height:315.75pt;z-index:251667456;mso-position-horizontal:center;mso-position-horizontal-relative:page;mso-position-vertical:center;mso-position-vertical-relative:page">
          <v:imagedata r:id="rId1" o:title=""/>
          <o:lock v:ext="edit" aspectratio="f"/>
          <w10:wrap anchorx="page" anchory="page"/>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4777C8" w14:textId="77777777" w:rsidR="0069510E" w:rsidRDefault="00000000">
    <w:r>
      <w:pict w14:anchorId="365E8E8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3" type="#_x0000_t75" style="position:absolute;left:0;text-align:left;margin-left:0;margin-top:0;width:222.75pt;height:315.75pt;z-index:251668480;mso-position-horizontal:center;mso-position-horizontal-relative:page;mso-position-vertical:center;mso-position-vertical-relative:page">
          <v:imagedata r:id="rId1" o:title=""/>
          <o:lock v:ext="edit" aspectratio="f"/>
          <w10:wrap anchorx="page" anchory="page"/>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001344" w14:textId="77777777" w:rsidR="0069510E" w:rsidRDefault="00000000">
    <w:r>
      <w:pict w14:anchorId="648DE72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7" type="#_x0000_t75" style="position:absolute;left:0;text-align:left;margin-left:0;margin-top:0;width:222.75pt;height:315.75pt;z-index:251672576;mso-position-horizontal:center;mso-position-horizontal-relative:page;mso-position-vertical:center;mso-position-vertical-relative:page">
          <v:imagedata r:id="rId1" o:title=""/>
          <o:lock v:ext="edit" aspectratio="f"/>
          <w10:wrap anchorx="page" anchory="page"/>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8CF422" w14:textId="77777777" w:rsidR="0069510E" w:rsidRDefault="00000000">
    <w:r>
      <w:pict w14:anchorId="32EA439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5" type="#_x0000_t75" style="position:absolute;left:0;text-align:left;margin-left:0;margin-top:0;width:222.75pt;height:315.75pt;z-index:251670528;mso-position-horizontal:center;mso-position-horizontal-relative:page;mso-position-vertical:center;mso-position-vertical-relative:page">
          <v:imagedata r:id="rId1" o:title=""/>
          <o:lock v:ext="edit" aspectratio="f"/>
          <w10:wrap anchorx="page" anchory="page"/>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4EF478" w14:textId="77777777" w:rsidR="0069510E" w:rsidRDefault="00000000">
    <w:r>
      <w:pict w14:anchorId="602F27E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6" type="#_x0000_t75" style="position:absolute;left:0;text-align:left;margin-left:0;margin-top:0;width:222.75pt;height:315.75pt;z-index:251671552;mso-position-horizontal:center;mso-position-horizontal-relative:page;mso-position-vertical:center;mso-position-vertical-relative:page">
          <v:imagedata r:id="rId1" o:title=""/>
          <o:lock v:ext="edit" aspectratio="f"/>
          <w10:wrap anchorx="page" anchory="page"/>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4C6F42" w14:textId="77777777" w:rsidR="0069510E" w:rsidRDefault="00000000">
    <w:r>
      <w:pict w14:anchorId="0C1AD06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0" type="#_x0000_t75" style="position:absolute;left:0;text-align:left;margin-left:0;margin-top:0;width:222.75pt;height:315.75pt;z-index:251675648;mso-position-horizontal:center;mso-position-horizontal-relative:page;mso-position-vertical:center;mso-position-vertical-relative:page">
          <v:imagedata r:id="rId1" o:title=""/>
          <o:lock v:ext="edit" aspectratio="f"/>
          <w10:wrap anchorx="page" anchory="page"/>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F6AB1F" w14:textId="77777777" w:rsidR="0069510E" w:rsidRDefault="00000000">
    <w:r>
      <w:pict w14:anchorId="7BB94F6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8" type="#_x0000_t75" style="position:absolute;left:0;text-align:left;margin-left:0;margin-top:0;width:222.75pt;height:315.75pt;z-index:251673600;mso-position-horizontal:center;mso-position-horizontal-relative:page;mso-position-vertical:center;mso-position-vertical-relative:page">
          <v:imagedata r:id="rId1" o:title=""/>
          <o:lock v:ext="edit" aspectratio="f"/>
          <w10:wrap anchorx="page" anchory="page"/>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BF6D01" w14:textId="77777777" w:rsidR="0069510E" w:rsidRDefault="00000000">
    <w:r>
      <w:pict w14:anchorId="0F2778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89" type="#_x0000_t75" style="position:absolute;left:0;text-align:left;margin-left:0;margin-top:0;width:222.75pt;height:315.75pt;z-index:251674624;mso-position-horizontal:center;mso-position-horizontal-relative:page;mso-position-vertical:center;mso-position-vertical-relative:page">
          <v:imagedata r:id="rId1" o:title=""/>
          <o:lock v:ext="edit" aspectratio="f"/>
          <w10:wrap anchorx="page" anchory="page"/>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F8A695" w14:textId="77777777" w:rsidR="0069510E" w:rsidRDefault="00000000">
    <w:r>
      <w:pict w14:anchorId="784AC5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3" type="#_x0000_t75" style="position:absolute;left:0;text-align:left;margin-left:0;margin-top:0;width:222.75pt;height:315.75pt;z-index:251678720;mso-position-horizontal:center;mso-position-horizontal-relative:page;mso-position-vertical:center;mso-position-vertical-relative:page">
          <v:imagedata r:id="rId1" o:title=""/>
          <o:lock v:ext="edit" aspectratio="f"/>
          <w10:wrap anchorx="page" anchory="page"/>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5D668F" w14:textId="77777777" w:rsidR="0069510E" w:rsidRDefault="00000000">
    <w:r>
      <w:pict w14:anchorId="6775548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1" type="#_x0000_t75" style="position:absolute;left:0;text-align:left;margin-left:0;margin-top:0;width:222.75pt;height:315.75pt;z-index:251676672;mso-position-horizontal:center;mso-position-horizontal-relative:page;mso-position-vertical:center;mso-position-vertical-relative:page">
          <v:imagedata r:id="rId1" o:title=""/>
          <o:lock v:ext="edit" aspectratio="f"/>
          <w10:wrap anchorx="page" anchory="page"/>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AB83FF" w14:textId="77777777" w:rsidR="0069510E" w:rsidRDefault="00000000">
    <w:r>
      <w:pict w14:anchorId="1B3918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2" type="#_x0000_t75" style="position:absolute;left:0;text-align:left;margin-left:0;margin-top:0;width:222.75pt;height:315.75pt;z-index:251677696;mso-position-horizontal:center;mso-position-horizontal-relative:page;mso-position-vertical:center;mso-position-vertical-relative:page">
          <v:imagedata r:id="rId1" o:title=""/>
          <o:lock v:ext="edit" aspectratio="f"/>
          <w10:wrap anchorx="page" anchory="page"/>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E29FB0" w14:textId="77777777" w:rsidR="0069510E" w:rsidRDefault="00000000">
    <w:r>
      <w:pict w14:anchorId="78700B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6" type="#_x0000_t75" style="position:absolute;left:0;text-align:left;margin-left:0;margin-top:0;width:222.75pt;height:315.75pt;z-index:251681792;mso-position-horizontal:center;mso-position-horizontal-relative:page;mso-position-vertical:center;mso-position-vertical-relative:page">
          <v:imagedata r:id="rId1" o:title=""/>
          <o:lock v:ext="edit" aspectratio="f"/>
          <w10:wrap anchorx="page" anchory="page"/>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8DA972" w14:textId="77777777" w:rsidR="0069510E" w:rsidRDefault="00000000">
    <w:r>
      <w:pict w14:anchorId="7D7246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4" type="#_x0000_t75" style="position:absolute;left:0;text-align:left;margin-left:0;margin-top:0;width:222.75pt;height:315.75pt;z-index:251679744;mso-position-horizontal:center;mso-position-horizontal-relative:page;mso-position-vertical:center;mso-position-vertical-relative:page">
          <v:imagedata r:id="rId1" o:title=""/>
          <o:lock v:ext="edit" aspectratio="f"/>
          <w10:wrap anchorx="page" anchory="page"/>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AD5BAC" w14:textId="77777777" w:rsidR="0069510E" w:rsidRDefault="00000000">
    <w:r>
      <w:pict w14:anchorId="23F4A19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5" type="#_x0000_t75" style="position:absolute;left:0;text-align:left;margin-left:0;margin-top:0;width:222.75pt;height:315.75pt;z-index:251680768;mso-position-horizontal:center;mso-position-horizontal-relative:page;mso-position-vertical:center;mso-position-vertical-relative:page">
          <v:imagedata r:id="rId1" o:title=""/>
          <o:lock v:ext="edit" aspectratio="f"/>
          <w10:wrap anchorx="page" anchory="page"/>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54650D" w14:textId="77777777" w:rsidR="0069510E" w:rsidRDefault="00000000">
    <w:r>
      <w:pict w14:anchorId="7AE879E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9" type="#_x0000_t75" style="position:absolute;left:0;text-align:left;margin-left:0;margin-top:0;width:222.75pt;height:315.75pt;z-index:251684864;mso-position-horizontal:center;mso-position-horizontal-relative:page;mso-position-vertical:center;mso-position-vertical-relative:page">
          <v:imagedata r:id="rId1" o:title=""/>
          <o:lock v:ext="edit" aspectratio="f"/>
          <w10:wrap anchorx="page" anchory="page"/>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4ED523" w14:textId="77777777" w:rsidR="0069510E" w:rsidRDefault="00000000">
    <w:r>
      <w:pict w14:anchorId="439A18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7" type="#_x0000_t75" style="position:absolute;left:0;text-align:left;margin-left:0;margin-top:0;width:222.75pt;height:315.75pt;z-index:251682816;mso-position-horizontal:center;mso-position-horizontal-relative:page;mso-position-vertical:center;mso-position-vertical-relative:page">
          <v:imagedata r:id="rId1" o:title=""/>
          <o:lock v:ext="edit" aspectratio="f"/>
          <w10:wrap anchorx="page" anchory="page"/>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477DDBE" w14:textId="77777777" w:rsidR="0069510E" w:rsidRDefault="00000000">
    <w:r>
      <w:pict w14:anchorId="09AD57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98" type="#_x0000_t75" style="position:absolute;left:0;text-align:left;margin-left:0;margin-top:0;width:222.75pt;height:315.75pt;z-index:251683840;mso-position-horizontal:center;mso-position-horizontal-relative:page;mso-position-vertical:center;mso-position-vertical-relative:page">
          <v:imagedata r:id="rId1" o:title=""/>
          <o:lock v:ext="edit" aspectratio="f"/>
          <w10:wrap anchorx="page" anchory="page"/>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236DA0" w14:textId="77777777" w:rsidR="0069510E" w:rsidRDefault="00000000">
    <w:r>
      <w:pict w14:anchorId="5A06A27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2" type="#_x0000_t75" style="position:absolute;left:0;text-align:left;margin-left:0;margin-top:0;width:222.75pt;height:315.75pt;z-index:251687936;mso-position-horizontal:center;mso-position-horizontal-relative:page;mso-position-vertical:center;mso-position-vertical-relative:page">
          <v:imagedata r:id="rId1" o:title=""/>
          <o:lock v:ext="edit" aspectratio="f"/>
          <w10:wrap anchorx="page" anchory="page"/>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97EA16" w14:textId="77777777" w:rsidR="0069510E" w:rsidRDefault="00000000">
    <w:r>
      <w:pict w14:anchorId="4B944C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0" type="#_x0000_t75" style="position:absolute;left:0;text-align:left;margin-left:0;margin-top:0;width:222.75pt;height:315.75pt;z-index:251685888;mso-position-horizontal:center;mso-position-horizontal-relative:page;mso-position-vertical:center;mso-position-vertical-relative:page">
          <v:imagedata r:id="rId1" o:title=""/>
          <o:lock v:ext="edit" aspectratio="f"/>
          <w10:wrap anchorx="page" anchory="page"/>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74AD3C" w14:textId="77777777" w:rsidR="0069510E" w:rsidRDefault="00000000">
    <w:r>
      <w:pict w14:anchorId="134138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1" type="#_x0000_t75" style="position:absolute;left:0;text-align:left;margin-left:0;margin-top:0;width:222.75pt;height:315.75pt;z-index:251686912;mso-position-horizontal:center;mso-position-horizontal-relative:page;mso-position-vertical:center;mso-position-vertical-relative:page">
          <v:imagedata r:id="rId1" o:title=""/>
          <o:lock v:ext="edit" aspectratio="f"/>
          <w10:wrap anchorx="page" anchory="page"/>
        </v:shape>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F92304" w14:textId="77777777" w:rsidR="0069510E" w:rsidRDefault="00000000">
    <w:r>
      <w:pict w14:anchorId="4815651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5" type="#_x0000_t75" style="position:absolute;left:0;text-align:left;margin-left:0;margin-top:0;width:222.75pt;height:315.75pt;z-index:251691008;mso-position-horizontal:center;mso-position-horizontal-relative:page;mso-position-vertical:center;mso-position-vertical-relative:page">
          <v:imagedata r:id="rId1" o:title=""/>
          <o:lock v:ext="edit" aspectratio="f"/>
          <w10:wrap anchorx="page" anchory="page"/>
        </v:shape>
      </w:pic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6FEB3F" w14:textId="77777777" w:rsidR="0069510E" w:rsidRDefault="00000000">
    <w:r>
      <w:pict w14:anchorId="77D3695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3" type="#_x0000_t75" style="position:absolute;left:0;text-align:left;margin-left:0;margin-top:0;width:222.75pt;height:315.75pt;z-index:251688960;mso-position-horizontal:center;mso-position-horizontal-relative:page;mso-position-vertical:center;mso-position-vertical-relative:page">
          <v:imagedata r:id="rId1" o:title=""/>
          <o:lock v:ext="edit" aspectratio="f"/>
          <w10:wrap anchorx="page" anchory="page"/>
        </v:shape>
      </w:pic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7593E8" w14:textId="77777777" w:rsidR="0069510E" w:rsidRDefault="00000000">
    <w:r>
      <w:pict w14:anchorId="047DD8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4" type="#_x0000_t75" style="position:absolute;left:0;text-align:left;margin-left:0;margin-top:0;width:222.75pt;height:315.75pt;z-index:251689984;mso-position-horizontal:center;mso-position-horizontal-relative:page;mso-position-vertical:center;mso-position-vertical-relative:page">
          <v:imagedata r:id="rId1" o:title=""/>
          <o:lock v:ext="edit" aspectratio="f"/>
          <w10:wrap anchorx="page" anchory="page"/>
        </v:shape>
      </w:pic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9FCED9" w14:textId="77777777" w:rsidR="0069510E" w:rsidRDefault="00000000">
    <w:r>
      <w:pict w14:anchorId="6AD428E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8" type="#_x0000_t75" style="position:absolute;left:0;text-align:left;margin-left:0;margin-top:0;width:222.75pt;height:315.75pt;z-index:251694080;mso-position-horizontal:center;mso-position-horizontal-relative:page;mso-position-vertical:center;mso-position-vertical-relative:page">
          <v:imagedata r:id="rId1" o:title=""/>
          <o:lock v:ext="edit" aspectratio="f"/>
          <w10:wrap anchorx="page" anchory="page"/>
        </v:shape>
      </w:pic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5B70B8" w14:textId="77777777" w:rsidR="0069510E" w:rsidRDefault="00000000">
    <w:r>
      <w:pict w14:anchorId="6832FD6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6" type="#_x0000_t75" style="position:absolute;left:0;text-align:left;margin-left:0;margin-top:0;width:222.75pt;height:315.75pt;z-index:251692032;mso-position-horizontal:center;mso-position-horizontal-relative:page;mso-position-vertical:center;mso-position-vertical-relative:page">
          <v:imagedata r:id="rId1" o:title=""/>
          <o:lock v:ext="edit" aspectratio="f"/>
          <w10:wrap anchorx="page" anchory="page"/>
        </v:shape>
      </w:pic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99FE5F" w14:textId="77777777" w:rsidR="0069510E" w:rsidRDefault="00000000">
    <w:r>
      <w:pict w14:anchorId="072FB1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7" type="#_x0000_t75" style="position:absolute;left:0;text-align:left;margin-left:0;margin-top:0;width:222.75pt;height:315.75pt;z-index:251693056;mso-position-horizontal:center;mso-position-horizontal-relative:page;mso-position-vertical:center;mso-position-vertical-relative:page">
          <v:imagedata r:id="rId1" o:title=""/>
          <o:lock v:ext="edit" aspectratio="f"/>
          <w10:wrap anchorx="page" anchory="page"/>
        </v:shape>
      </w:pic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862243" w14:textId="77777777" w:rsidR="0069510E" w:rsidRDefault="00000000">
    <w:r>
      <w:pict w14:anchorId="4BB4BE1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11" type="#_x0000_t75" style="position:absolute;left:0;text-align:left;margin-left:0;margin-top:0;width:222.75pt;height:315.75pt;z-index:251697152;mso-position-horizontal:center;mso-position-horizontal-relative:page;mso-position-vertical:center;mso-position-vertical-relative:page">
          <v:imagedata r:id="rId1" o:title=""/>
          <o:lock v:ext="edit" aspectratio="f"/>
          <w10:wrap anchorx="page" anchory="page"/>
        </v:shape>
      </w:pic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7F5537" w14:textId="77777777" w:rsidR="0069510E" w:rsidRDefault="00000000">
    <w:r>
      <w:pict w14:anchorId="6FED48C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09" type="#_x0000_t75" style="position:absolute;left:0;text-align:left;margin-left:0;margin-top:0;width:222.75pt;height:315.75pt;z-index:251695104;mso-position-horizontal:center;mso-position-horizontal-relative:page;mso-position-vertical:center;mso-position-vertical-relative:page">
          <v:imagedata r:id="rId1" o:title=""/>
          <o:lock v:ext="edit" aspectratio="f"/>
          <w10:wrap anchorx="page" anchory="page"/>
        </v:shape>
      </w:pic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C13B91" w14:textId="77777777" w:rsidR="0069510E" w:rsidRDefault="00000000">
    <w:r>
      <w:pict w14:anchorId="7D0CEA2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10" type="#_x0000_t75" style="position:absolute;left:0;text-align:left;margin-left:0;margin-top:0;width:222.75pt;height:315.75pt;z-index:251696128;mso-position-horizontal:center;mso-position-horizontal-relative:page;mso-position-vertical:center;mso-position-vertical-relative:page">
          <v:imagedata r:id="rId1" o:title=""/>
          <o:lock v:ext="edit" aspectratio="f"/>
          <w10:wrap anchorx="page" anchory="page"/>
        </v:shape>
      </w:pic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6A1FA1" w14:textId="77777777" w:rsidR="0069510E" w:rsidRDefault="00000000">
    <w:r>
      <w:pict w14:anchorId="737EE1E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14" type="#_x0000_t75" style="position:absolute;left:0;text-align:left;margin-left:0;margin-top:0;width:222.75pt;height:315.75pt;z-index:251700224;mso-position-horizontal:center;mso-position-horizontal-relative:page;mso-position-vertical:center;mso-position-vertical-relative:page">
          <v:imagedata r:id="rId1" o:title=""/>
          <o:lock v:ext="edit" aspectratio="f"/>
          <w10:wrap anchorx="page" anchory="page"/>
        </v:shape>
      </w:pic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4CB31D7" w14:textId="77777777" w:rsidR="0069510E" w:rsidRDefault="00000000">
    <w:r>
      <w:pict w14:anchorId="65AD6D1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12" type="#_x0000_t75" style="position:absolute;left:0;text-align:left;margin-left:0;margin-top:0;width:222.75pt;height:315.75pt;z-index:251698176;mso-position-horizontal:center;mso-position-horizontal-relative:page;mso-position-vertical:center;mso-position-vertical-relative:page">
          <v:imagedata r:id="rId1" o:title=""/>
          <o:lock v:ext="edit" aspectratio="f"/>
          <w10:wrap anchorx="page" anchory="page"/>
        </v:shape>
      </w:pic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CADCD8" w14:textId="77777777" w:rsidR="0069510E" w:rsidRDefault="00000000">
    <w:r>
      <w:pict w14:anchorId="493F66F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113" type="#_x0000_t75" style="position:absolute;left:0;text-align:left;margin-left:0;margin-top:0;width:222.75pt;height:315.75pt;z-index:251699200;mso-position-horizontal:center;mso-position-horizontal-relative:page;mso-position-vertical:center;mso-position-vertical-relative:page">
          <v:imagedata r:id="rId1" o:title=""/>
          <o:lock v:ext="edit" aspectratio="f"/>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5615095"/>
    <w:multiLevelType w:val="multilevel"/>
    <w:tmpl w:val="15615095"/>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338847417">
    <w:abstractNumId w:val="0"/>
  </w:num>
  <w:num w:numId="2" w16cid:durableId="1889762779">
    <w:abstractNumId w:val="1"/>
  </w:num>
  <w:num w:numId="3" w16cid:durableId="80053375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115"/>
    <o:shapelayout v:ext="edit">
      <o:idmap v:ext="edit" data="1,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510E"/>
    <w:rsid w:val="001C4CE2"/>
    <w:rsid w:val="0022553B"/>
    <w:rsid w:val="00251E21"/>
    <w:rsid w:val="004A5EC5"/>
    <w:rsid w:val="00630A7C"/>
    <w:rsid w:val="0069510E"/>
    <w:rsid w:val="00AB1175"/>
    <w:rsid w:val="00B65583"/>
    <w:rsid w:val="00BC03F3"/>
    <w:rsid w:val="00C624F6"/>
    <w:rsid w:val="00D569BC"/>
    <w:rsid w:val="00EC782F"/>
    <w:rsid w:val="00F97E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115"/>
    <o:shapelayout v:ext="edit">
      <o:idmap v:ext="edit" data="2"/>
    </o:shapelayout>
  </w:shapeDefaults>
  <w:decimalSymbol w:val="."/>
  <w:listSeparator w:val=","/>
  <w14:docId w14:val="77FB64C4"/>
  <w15:docId w15:val="{12095AAA-2A28-4467-B7D6-8E3E39B68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qFormat/>
    <w:pPr>
      <w:spacing w:after="120"/>
      <w:ind w:leftChars="200" w:left="420"/>
    </w:p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rPr>
      <w:b/>
    </w:rPr>
  </w:style>
  <w:style w:type="table" w:styleId="afa">
    <w:name w:val="Table Grid"/>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uiPriority w:val="99"/>
    <w:unhideWhenUsed/>
    <w:qFormat/>
    <w:rPr>
      <w:color w:val="0000FF"/>
      <w:u w:val="single"/>
    </w:rPr>
  </w:style>
  <w:style w:type="character" w:styleId="afd">
    <w:name w:val="annotation reference"/>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character" w:customStyle="1" w:styleId="ab">
    <w:name w:val="正文文本缩进 字符"/>
    <w:basedOn w:val="a0"/>
    <w:link w:val="aa"/>
    <w:uiPriority w:val="99"/>
    <w:semiHidden/>
    <w:qFormat/>
  </w:style>
  <w:style w:type="paragraph" w:customStyle="1" w:styleId="zhangjiep">
    <w:name w:val="zhangjie_p"/>
    <w:basedOn w:val="a"/>
    <w:qFormat/>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qFormat/>
    <w:rPr>
      <w:rFonts w:asciiTheme="minorHAnsi" w:eastAsiaTheme="minorEastAsia" w:hAnsiTheme="minorHAnsi" w:cstheme="minorBidi"/>
      <w:kern w:val="2"/>
      <w:sz w:val="21"/>
      <w:szCs w:val="22"/>
    </w:rPr>
  </w:style>
  <w:style w:type="paragraph" w:customStyle="1" w:styleId="33">
    <w:name w:val="修订3"/>
    <w:hidden/>
    <w:uiPriority w:val="99"/>
    <w:unhideWhenUsed/>
    <w:qFormat/>
    <w:rPr>
      <w:rFonts w:asciiTheme="minorHAnsi" w:eastAsiaTheme="minorEastAsia" w:hAnsiTheme="minorHAnsi" w:cstheme="minorBidi"/>
      <w:kern w:val="2"/>
      <w:sz w:val="21"/>
      <w:szCs w:val="22"/>
    </w:rPr>
  </w:style>
  <w:style w:type="paragraph" w:customStyle="1" w:styleId="4">
    <w:name w:val="修订4"/>
    <w:hidden/>
    <w:uiPriority w:val="99"/>
    <w:semiHidden/>
    <w:qFormat/>
    <w:rPr>
      <w:rFonts w:asciiTheme="minorHAnsi" w:eastAsiaTheme="minorEastAsia" w:hAnsiTheme="minorHAnsi" w:cstheme="minorBidi"/>
      <w:kern w:val="2"/>
      <w:sz w:val="21"/>
      <w:szCs w:val="22"/>
    </w:rPr>
  </w:style>
  <w:style w:type="character" w:customStyle="1" w:styleId="12">
    <w:name w:val="批注文字 字符1"/>
    <w:basedOn w:val="a0"/>
    <w:qFormat/>
    <w:locked/>
    <w:rPr>
      <w:kern w:val="2"/>
      <w:sz w:val="21"/>
    </w:rPr>
  </w:style>
  <w:style w:type="table" w:customStyle="1" w:styleId="13">
    <w:name w:val="网格型1"/>
    <w:basedOn w:val="a1"/>
    <w:qFormat/>
    <w:rPr>
      <w:rFonts w:asciiTheme="minorHAnsi" w:eastAsiaTheme="minorEastAsia" w:hAnsiTheme="minorHAnsi" w:cstheme="minorBid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f2">
    <w:name w:val="合同正文"/>
    <w:basedOn w:val="a"/>
    <w:qFormat/>
    <w:pPr>
      <w:spacing w:line="360" w:lineRule="auto"/>
      <w:ind w:firstLineChars="200" w:firstLine="200"/>
    </w:pPr>
    <w:rPr>
      <w:bCs/>
      <w:sz w:val="24"/>
    </w:rPr>
  </w:style>
  <w:style w:type="paragraph" w:styleId="aff3">
    <w:name w:val="Revision"/>
    <w:hidden/>
    <w:uiPriority w:val="99"/>
    <w:unhideWhenUsed/>
    <w:rsid w:val="004A5EC5"/>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26" Type="http://schemas.openxmlformats.org/officeDocument/2006/relationships/header" Target="header16.xml"/><Relationship Id="rId21" Type="http://schemas.openxmlformats.org/officeDocument/2006/relationships/header" Target="header12.xml"/><Relationship Id="rId42" Type="http://schemas.openxmlformats.org/officeDocument/2006/relationships/header" Target="header23.xml"/><Relationship Id="rId47" Type="http://schemas.openxmlformats.org/officeDocument/2006/relationships/footer" Target="footer7.xml"/><Relationship Id="rId63" Type="http://schemas.openxmlformats.org/officeDocument/2006/relationships/header" Target="header36.xml"/><Relationship Id="rId68" Type="http://schemas.openxmlformats.org/officeDocument/2006/relationships/header" Target="header41.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8.xml"/><Relationship Id="rId29" Type="http://schemas.openxmlformats.org/officeDocument/2006/relationships/header" Target="header18.xml"/><Relationship Id="rId11" Type="http://schemas.openxmlformats.org/officeDocument/2006/relationships/header" Target="header3.xml"/><Relationship Id="rId24" Type="http://schemas.openxmlformats.org/officeDocument/2006/relationships/footer" Target="footer3.xml"/><Relationship Id="rId32" Type="http://schemas.openxmlformats.org/officeDocument/2006/relationships/hyperlink" Target="http://www.vstonewealth.com" TargetMode="External"/><Relationship Id="rId37" Type="http://schemas.openxmlformats.org/officeDocument/2006/relationships/header" Target="header19.xml"/><Relationship Id="rId40" Type="http://schemas.openxmlformats.org/officeDocument/2006/relationships/header" Target="header21.xml"/><Relationship Id="rId45" Type="http://schemas.openxmlformats.org/officeDocument/2006/relationships/header" Target="header25.xml"/><Relationship Id="rId53" Type="http://schemas.openxmlformats.org/officeDocument/2006/relationships/footer" Target="footer8.xml"/><Relationship Id="rId58" Type="http://schemas.openxmlformats.org/officeDocument/2006/relationships/footer" Target="footer10.xml"/><Relationship Id="rId66" Type="http://schemas.openxmlformats.org/officeDocument/2006/relationships/header" Target="header39.xml"/><Relationship Id="rId5" Type="http://schemas.openxmlformats.org/officeDocument/2006/relationships/webSettings" Target="webSettings.xml"/><Relationship Id="rId61" Type="http://schemas.openxmlformats.org/officeDocument/2006/relationships/header" Target="header35.xml"/><Relationship Id="rId19" Type="http://schemas.openxmlformats.org/officeDocument/2006/relationships/header" Target="header11.xml"/><Relationship Id="rId14" Type="http://schemas.openxmlformats.org/officeDocument/2006/relationships/header" Target="header6.xml"/><Relationship Id="rId22" Type="http://schemas.openxmlformats.org/officeDocument/2006/relationships/header" Target="header13.xml"/><Relationship Id="rId27" Type="http://schemas.openxmlformats.org/officeDocument/2006/relationships/header" Target="header17.xml"/><Relationship Id="rId30" Type="http://schemas.openxmlformats.org/officeDocument/2006/relationships/hyperlink" Target="http://www.jiyufund.com.cn/" TargetMode="External"/><Relationship Id="rId35" Type="http://schemas.openxmlformats.org/officeDocument/2006/relationships/hyperlink" Target="http://www.txfund.com" TargetMode="External"/><Relationship Id="rId43" Type="http://schemas.openxmlformats.org/officeDocument/2006/relationships/footer" Target="footer6.xml"/><Relationship Id="rId48" Type="http://schemas.openxmlformats.org/officeDocument/2006/relationships/header" Target="header27.xml"/><Relationship Id="rId56" Type="http://schemas.openxmlformats.org/officeDocument/2006/relationships/header" Target="header31.xml"/><Relationship Id="rId64" Type="http://schemas.openxmlformats.org/officeDocument/2006/relationships/header" Target="header37.xml"/><Relationship Id="rId69" Type="http://schemas.openxmlformats.org/officeDocument/2006/relationships/footer" Target="footer12.xml"/><Relationship Id="rId8" Type="http://schemas.openxmlformats.org/officeDocument/2006/relationships/header" Target="header1.xml"/><Relationship Id="rId51" Type="http://schemas.openxmlformats.org/officeDocument/2006/relationships/header" Target="header28.xm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eader" Target="header4.xml"/><Relationship Id="rId17" Type="http://schemas.openxmlformats.org/officeDocument/2006/relationships/header" Target="header9.xml"/><Relationship Id="rId25" Type="http://schemas.openxmlformats.org/officeDocument/2006/relationships/header" Target="header15.xml"/><Relationship Id="rId33" Type="http://schemas.openxmlformats.org/officeDocument/2006/relationships/hyperlink" Target="http://www.taixincf.com" TargetMode="External"/><Relationship Id="rId38" Type="http://schemas.openxmlformats.org/officeDocument/2006/relationships/header" Target="header20.xml"/><Relationship Id="rId46" Type="http://schemas.openxmlformats.org/officeDocument/2006/relationships/header" Target="header26.xml"/><Relationship Id="rId59" Type="http://schemas.openxmlformats.org/officeDocument/2006/relationships/header" Target="header33.xml"/><Relationship Id="rId67" Type="http://schemas.openxmlformats.org/officeDocument/2006/relationships/header" Target="header40.xml"/><Relationship Id="rId20" Type="http://schemas.openxmlformats.org/officeDocument/2006/relationships/footer" Target="footer2.xml"/><Relationship Id="rId41" Type="http://schemas.openxmlformats.org/officeDocument/2006/relationships/header" Target="header22.xml"/><Relationship Id="rId54" Type="http://schemas.openxmlformats.org/officeDocument/2006/relationships/header" Target="header30.xml"/><Relationship Id="rId62" Type="http://schemas.openxmlformats.org/officeDocument/2006/relationships/footer" Target="footer11.xml"/><Relationship Id="rId70" Type="http://schemas.openxmlformats.org/officeDocument/2006/relationships/header" Target="header4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7.xml"/><Relationship Id="rId23" Type="http://schemas.openxmlformats.org/officeDocument/2006/relationships/header" Target="header14.xml"/><Relationship Id="rId28" Type="http://schemas.openxmlformats.org/officeDocument/2006/relationships/footer" Target="footer4.xml"/><Relationship Id="rId36" Type="http://schemas.openxmlformats.org/officeDocument/2006/relationships/hyperlink" Target="http://www.licaike.com" TargetMode="External"/><Relationship Id="rId49" Type="http://schemas.openxmlformats.org/officeDocument/2006/relationships/image" Target="media/image2.jpeg"/><Relationship Id="rId57" Type="http://schemas.openxmlformats.org/officeDocument/2006/relationships/header" Target="header32.xml"/><Relationship Id="rId10" Type="http://schemas.openxmlformats.org/officeDocument/2006/relationships/footer" Target="footer1.xml"/><Relationship Id="rId31" Type="http://schemas.openxmlformats.org/officeDocument/2006/relationships/hyperlink" Target="http://www.5ifund.com" TargetMode="External"/><Relationship Id="rId44" Type="http://schemas.openxmlformats.org/officeDocument/2006/relationships/header" Target="header24.xml"/><Relationship Id="rId52" Type="http://schemas.openxmlformats.org/officeDocument/2006/relationships/header" Target="header29.xml"/><Relationship Id="rId60" Type="http://schemas.openxmlformats.org/officeDocument/2006/relationships/header" Target="header34.xml"/><Relationship Id="rId65" Type="http://schemas.openxmlformats.org/officeDocument/2006/relationships/header" Target="header38.xml"/><Relationship Id="rId4" Type="http://schemas.openxmlformats.org/officeDocument/2006/relationships/settings" Target="settings.xml"/><Relationship Id="rId9" Type="http://schemas.openxmlformats.org/officeDocument/2006/relationships/header" Target="header2.xml"/><Relationship Id="rId13" Type="http://schemas.openxmlformats.org/officeDocument/2006/relationships/header" Target="header5.xml"/><Relationship Id="rId18" Type="http://schemas.openxmlformats.org/officeDocument/2006/relationships/header" Target="header10.xml"/><Relationship Id="rId39" Type="http://schemas.openxmlformats.org/officeDocument/2006/relationships/footer" Target="footer5.xml"/><Relationship Id="rId34" Type="http://schemas.openxmlformats.org/officeDocument/2006/relationships/hyperlink" Target="http://www.puyifund.com" TargetMode="External"/><Relationship Id="rId50" Type="http://schemas.openxmlformats.org/officeDocument/2006/relationships/image" Target="media/image3.jpeg"/><Relationship Id="rId55" Type="http://schemas.openxmlformats.org/officeDocument/2006/relationships/footer" Target="footer9.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1" Type="http://schemas.openxmlformats.org/officeDocument/2006/relationships/image" Target="media/image1.png"/></Relationships>
</file>

<file path=word/_rels/header8.xml.rels><?xml version="1.0" encoding="UTF-8" standalone="yes"?>
<Relationships xmlns="http://schemas.openxmlformats.org/package/2006/relationships"><Relationship Id="rId1" Type="http://schemas.openxmlformats.org/officeDocument/2006/relationships/image" Target="media/image1.png"/></Relationships>
</file>

<file path=word/_rels/header9.xml.rels><?xml version="1.0" encoding="UTF-8" standalone="yes"?>
<Relationships xmlns="http://schemas.openxmlformats.org/package/2006/relationships"><Relationship Id="rId1" Type="http://schemas.openxmlformats.org/officeDocument/2006/relationships/image" Target="media/image1.png"/></Relationships>
</file>

<file path=word/_rels/header10.xml.rels><?xml version="1.0" encoding="UTF-8" standalone="yes"?>
<Relationships xmlns="http://schemas.openxmlformats.org/package/2006/relationships"><Relationship Id="rId1" Type="http://schemas.openxmlformats.org/officeDocument/2006/relationships/image" Target="media/image1.png"/></Relationships>
</file>

<file path=word/_rels/header11.xml.rels><?xml version="1.0" encoding="UTF-8" standalone="yes"?>
<Relationships xmlns="http://schemas.openxmlformats.org/package/2006/relationships"><Relationship Id="rId1" Type="http://schemas.openxmlformats.org/officeDocument/2006/relationships/image" Target="media/image1.png"/></Relationships>
</file>

<file path=word/_rels/header12.xml.rels><?xml version="1.0" encoding="UTF-8" standalone="yes"?>
<Relationships xmlns="http://schemas.openxmlformats.org/package/2006/relationships"><Relationship Id="rId1" Type="http://schemas.openxmlformats.org/officeDocument/2006/relationships/image" Target="media/image1.png"/></Relationships>
</file>

<file path=word/_rels/header13.xml.rels><?xml version="1.0" encoding="UTF-8" standalone="yes"?>
<Relationships xmlns="http://schemas.openxmlformats.org/package/2006/relationships"><Relationship Id="rId1" Type="http://schemas.openxmlformats.org/officeDocument/2006/relationships/image" Target="media/image1.png"/></Relationships>
</file>

<file path=word/_rels/header14.xml.rels><?xml version="1.0" encoding="UTF-8" standalone="yes"?>
<Relationships xmlns="http://schemas.openxmlformats.org/package/2006/relationships"><Relationship Id="rId1" Type="http://schemas.openxmlformats.org/officeDocument/2006/relationships/image" Target="media/image1.png"/></Relationships>
</file>

<file path=word/_rels/header15.xml.rels><?xml version="1.0" encoding="UTF-8" standalone="yes"?>
<Relationships xmlns="http://schemas.openxmlformats.org/package/2006/relationships"><Relationship Id="rId1" Type="http://schemas.openxmlformats.org/officeDocument/2006/relationships/image" Target="media/image1.png"/></Relationships>
</file>

<file path=word/_rels/header16.xml.rels><?xml version="1.0" encoding="UTF-8" standalone="yes"?>
<Relationships xmlns="http://schemas.openxmlformats.org/package/2006/relationships"><Relationship Id="rId1" Type="http://schemas.openxmlformats.org/officeDocument/2006/relationships/image" Target="media/image1.png"/></Relationships>
</file>

<file path=word/_rels/header17.xml.rels><?xml version="1.0" encoding="UTF-8" standalone="yes"?>
<Relationships xmlns="http://schemas.openxmlformats.org/package/2006/relationships"><Relationship Id="rId1" Type="http://schemas.openxmlformats.org/officeDocument/2006/relationships/image" Target="media/image1.png"/></Relationships>
</file>

<file path=word/_rels/header18.xml.rels><?xml version="1.0" encoding="UTF-8" standalone="yes"?>
<Relationships xmlns="http://schemas.openxmlformats.org/package/2006/relationships"><Relationship Id="rId1" Type="http://schemas.openxmlformats.org/officeDocument/2006/relationships/image" Target="media/image1.png"/></Relationships>
</file>

<file path=word/_rels/header19.xml.rels><?xml version="1.0" encoding="UTF-8" standalone="yes"?>
<Relationships xmlns="http://schemas.openxmlformats.org/package/2006/relationships"><Relationship Id="rId1" Type="http://schemas.openxmlformats.org/officeDocument/2006/relationships/image" Target="media/image1.png"/></Relationships>
</file>

<file path=word/_rels/header20.xml.rels><?xml version="1.0" encoding="UTF-8" standalone="yes"?>
<Relationships xmlns="http://schemas.openxmlformats.org/package/2006/relationships"><Relationship Id="rId1" Type="http://schemas.openxmlformats.org/officeDocument/2006/relationships/image" Target="media/image1.png"/></Relationships>
</file>

<file path=word/_rels/header21.xml.rels><?xml version="1.0" encoding="UTF-8" standalone="yes"?>
<Relationships xmlns="http://schemas.openxmlformats.org/package/2006/relationships"><Relationship Id="rId1" Type="http://schemas.openxmlformats.org/officeDocument/2006/relationships/image" Target="media/image1.png"/></Relationships>
</file>

<file path=word/_rels/header22.xml.rels><?xml version="1.0" encoding="UTF-8" standalone="yes"?>
<Relationships xmlns="http://schemas.openxmlformats.org/package/2006/relationships"><Relationship Id="rId1" Type="http://schemas.openxmlformats.org/officeDocument/2006/relationships/image" Target="media/image1.png"/></Relationships>
</file>

<file path=word/_rels/header23.xml.rels><?xml version="1.0" encoding="UTF-8" standalone="yes"?>
<Relationships xmlns="http://schemas.openxmlformats.org/package/2006/relationships"><Relationship Id="rId1" Type="http://schemas.openxmlformats.org/officeDocument/2006/relationships/image" Target="media/image1.png"/></Relationships>
</file>

<file path=word/_rels/header24.xml.rels><?xml version="1.0" encoding="UTF-8" standalone="yes"?>
<Relationships xmlns="http://schemas.openxmlformats.org/package/2006/relationships"><Relationship Id="rId1" Type="http://schemas.openxmlformats.org/officeDocument/2006/relationships/image" Target="media/image1.png"/></Relationships>
</file>

<file path=word/_rels/header25.xml.rels><?xml version="1.0" encoding="UTF-8" standalone="yes"?>
<Relationships xmlns="http://schemas.openxmlformats.org/package/2006/relationships"><Relationship Id="rId1" Type="http://schemas.openxmlformats.org/officeDocument/2006/relationships/image" Target="media/image1.png"/></Relationships>
</file>

<file path=word/_rels/header26.xml.rels><?xml version="1.0" encoding="UTF-8" standalone="yes"?>
<Relationships xmlns="http://schemas.openxmlformats.org/package/2006/relationships"><Relationship Id="rId1" Type="http://schemas.openxmlformats.org/officeDocument/2006/relationships/image" Target="media/image1.png"/></Relationships>
</file>

<file path=word/_rels/header27.xml.rels><?xml version="1.0" encoding="UTF-8" standalone="yes"?>
<Relationships xmlns="http://schemas.openxmlformats.org/package/2006/relationships"><Relationship Id="rId1" Type="http://schemas.openxmlformats.org/officeDocument/2006/relationships/image" Target="media/image1.png"/></Relationships>
</file>

<file path=word/_rels/header28.xml.rels><?xml version="1.0" encoding="UTF-8" standalone="yes"?>
<Relationships xmlns="http://schemas.openxmlformats.org/package/2006/relationships"><Relationship Id="rId1" Type="http://schemas.openxmlformats.org/officeDocument/2006/relationships/image" Target="media/image1.png"/></Relationships>
</file>

<file path=word/_rels/header29.xml.rels><?xml version="1.0" encoding="UTF-8" standalone="yes"?>
<Relationships xmlns="http://schemas.openxmlformats.org/package/2006/relationships"><Relationship Id="rId1" Type="http://schemas.openxmlformats.org/officeDocument/2006/relationships/image" Target="media/image1.png"/></Relationships>
</file>

<file path=word/_rels/header30.xml.rels><?xml version="1.0" encoding="UTF-8" standalone="yes"?>
<Relationships xmlns="http://schemas.openxmlformats.org/package/2006/relationships"><Relationship Id="rId1" Type="http://schemas.openxmlformats.org/officeDocument/2006/relationships/image" Target="media/image1.png"/></Relationships>
</file>

<file path=word/_rels/header31.xml.rels><?xml version="1.0" encoding="UTF-8" standalone="yes"?>
<Relationships xmlns="http://schemas.openxmlformats.org/package/2006/relationships"><Relationship Id="rId1" Type="http://schemas.openxmlformats.org/officeDocument/2006/relationships/image" Target="media/image1.png"/></Relationships>
</file>

<file path=word/_rels/header32.xml.rels><?xml version="1.0" encoding="UTF-8" standalone="yes"?>
<Relationships xmlns="http://schemas.openxmlformats.org/package/2006/relationships"><Relationship Id="rId1" Type="http://schemas.openxmlformats.org/officeDocument/2006/relationships/image" Target="media/image1.png"/></Relationships>
</file>

<file path=word/_rels/header33.xml.rels><?xml version="1.0" encoding="UTF-8" standalone="yes"?>
<Relationships xmlns="http://schemas.openxmlformats.org/package/2006/relationships"><Relationship Id="rId1" Type="http://schemas.openxmlformats.org/officeDocument/2006/relationships/image" Target="media/image1.png"/></Relationships>
</file>

<file path=word/_rels/header34.xml.rels><?xml version="1.0" encoding="UTF-8" standalone="yes"?>
<Relationships xmlns="http://schemas.openxmlformats.org/package/2006/relationships"><Relationship Id="rId1" Type="http://schemas.openxmlformats.org/officeDocument/2006/relationships/image" Target="media/image1.png"/></Relationships>
</file>

<file path=word/_rels/header35.xml.rels><?xml version="1.0" encoding="UTF-8" standalone="yes"?>
<Relationships xmlns="http://schemas.openxmlformats.org/package/2006/relationships"><Relationship Id="rId1" Type="http://schemas.openxmlformats.org/officeDocument/2006/relationships/image" Target="media/image1.png"/></Relationships>
</file>

<file path=word/_rels/header36.xml.rels><?xml version="1.0" encoding="UTF-8" standalone="yes"?>
<Relationships xmlns="http://schemas.openxmlformats.org/package/2006/relationships"><Relationship Id="rId1" Type="http://schemas.openxmlformats.org/officeDocument/2006/relationships/image" Target="media/image1.png"/></Relationships>
</file>

<file path=word/_rels/header37.xml.rels><?xml version="1.0" encoding="UTF-8" standalone="yes"?>
<Relationships xmlns="http://schemas.openxmlformats.org/package/2006/relationships"><Relationship Id="rId1" Type="http://schemas.openxmlformats.org/officeDocument/2006/relationships/image" Target="media/image1.png"/></Relationships>
</file>

<file path=word/_rels/header38.xml.rels><?xml version="1.0" encoding="UTF-8" standalone="yes"?>
<Relationships xmlns="http://schemas.openxmlformats.org/package/2006/relationships"><Relationship Id="rId1" Type="http://schemas.openxmlformats.org/officeDocument/2006/relationships/image" Target="media/image1.png"/></Relationships>
</file>

<file path=word/_rels/header39.xml.rels><?xml version="1.0" encoding="UTF-8" standalone="yes"?>
<Relationships xmlns="http://schemas.openxmlformats.org/package/2006/relationships"><Relationship Id="rId1" Type="http://schemas.openxmlformats.org/officeDocument/2006/relationships/image" Target="media/image1.png"/></Relationships>
</file>

<file path=word/_rels/header40.xml.rels><?xml version="1.0" encoding="UTF-8" standalone="yes"?>
<Relationships xmlns="http://schemas.openxmlformats.org/package/2006/relationships"><Relationship Id="rId1" Type="http://schemas.openxmlformats.org/officeDocument/2006/relationships/image" Target="media/image1.png"/></Relationships>
</file>

<file path=word/_rels/header41.xml.rels><?xml version="1.0" encoding="UTF-8" standalone="yes"?>
<Relationships xmlns="http://schemas.openxmlformats.org/package/2006/relationships"><Relationship Id="rId1" Type="http://schemas.openxmlformats.org/officeDocument/2006/relationships/image" Target="media/image1.png"/></Relationships>
</file>

<file path=word/_rels/header4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B5ADE5-9417-4A6C-8F1B-5DD2C2F695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135</Pages>
  <Words>14798</Words>
  <Characters>84351</Characters>
  <Application>Microsoft Office Word</Application>
  <DocSecurity>0</DocSecurity>
  <Lines>702</Lines>
  <Paragraphs>197</Paragraphs>
  <ScaleCrop>false</ScaleCrop>
  <Company/>
  <LinksUpToDate>false</LinksUpToDate>
  <CharactersWithSpaces>98952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fanrouchun</dc:creator>
  <cp:lastModifiedBy>徐铮</cp:lastModifiedBy>
  <cp:revision>93</cp:revision>
  <cp:lastPrinted>2021-04-09T08:45:00Z</cp:lastPrinted>
  <dcterms:created xsi:type="dcterms:W3CDTF">2024-01-15T05:49:00Z</dcterms:created>
  <dcterms:modified xsi:type="dcterms:W3CDTF">2024-06-04T01:19:00Z</dcterms:modified>
  <cp:contentStatus>国泰君安证券股份有限公司*Re: 【财务数据核对无误】Re: [警告: 附件未经安全扫描，请慎重打开]【烦请复核】富荣福银招募说明书及产品资料概要*heyilei027106@gtjas.com*xuzheng@furamc.com.cn * * *2024-05-30 20:25:44;</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09234245F9C34C7CBC17F3C3F6D648E7</vt:lpwstr>
  </property>
  <property fmtid="{D5CDD505-2E9C-101B-9397-08002B2CF9AE}" pid="3" name="KSOProductBuildVer">
    <vt:lpwstr>2052-11.8.2.12094</vt:lpwstr>
  </property>
</Properties>
</file>