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国泰君安证券股份有限公司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国泰君安证券股份有限公司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国泰君安</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17</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国泰君安</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国泰君安</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国泰君安</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国泰君安</w:t>
      </w:r>
      <w:r>
        <w:rPr>
          <w:rFonts w:hint="eastAsia" w:ascii="宋体" w:hAnsi="宋体" w:eastAsia="宋体" w:cs="Calibri"/>
          <w:color w:val="000000"/>
          <w:kern w:val="0"/>
          <w:szCs w:val="21"/>
        </w:rPr>
        <w:t>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100754CE">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w:t>
      </w:r>
      <w:r>
        <w:rPr>
          <w:rFonts w:hint="eastAsia" w:ascii="宋体" w:hAnsi="宋体" w:eastAsia="宋体" w:cs="Calibri"/>
          <w:color w:val="000000"/>
          <w:kern w:val="0"/>
          <w:szCs w:val="21"/>
          <w:highlight w:val="none"/>
        </w:rPr>
        <w:t>富荣福康混合型证券投资基金（基金代码：A类005104、C类005105）；</w:t>
      </w:r>
    </w:p>
    <w:p w14:paraId="501C4251">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2</w:t>
      </w:r>
      <w:r>
        <w:rPr>
          <w:rFonts w:hint="eastAsia" w:ascii="宋体" w:hAnsi="宋体" w:eastAsia="宋体" w:cs="Calibri"/>
          <w:color w:val="000000"/>
          <w:kern w:val="0"/>
          <w:szCs w:val="21"/>
          <w:highlight w:val="none"/>
        </w:rPr>
        <w:t>）富荣福鑫灵活配置混合型证券投资基金（基金代码：A类004794、C类004795）；</w:t>
      </w:r>
    </w:p>
    <w:p w14:paraId="717748BE">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3</w:t>
      </w:r>
      <w:r>
        <w:rPr>
          <w:rFonts w:hint="eastAsia" w:ascii="宋体" w:hAnsi="宋体" w:eastAsia="宋体" w:cs="Calibri"/>
          <w:color w:val="000000"/>
          <w:kern w:val="0"/>
          <w:szCs w:val="21"/>
          <w:highlight w:val="none"/>
        </w:rPr>
        <w:t>）富荣富乾债券型证券投资基金（基金代码：A类004792、C类004793）；</w:t>
      </w:r>
    </w:p>
    <w:p w14:paraId="373A486B">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4</w:t>
      </w:r>
      <w:r>
        <w:rPr>
          <w:rFonts w:hint="eastAsia" w:ascii="宋体" w:hAnsi="宋体" w:eastAsia="宋体" w:cs="Calibri"/>
          <w:color w:val="000000"/>
          <w:kern w:val="0"/>
          <w:szCs w:val="21"/>
          <w:highlight w:val="none"/>
        </w:rPr>
        <w:t>）富荣富祥纯债债券型证券投资基金（基金代码：A类003999、C类021394）；</w:t>
      </w:r>
    </w:p>
    <w:p w14:paraId="71ED2C30">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5</w:t>
      </w:r>
      <w:r>
        <w:rPr>
          <w:rFonts w:hint="eastAsia" w:ascii="宋体" w:hAnsi="宋体" w:eastAsia="宋体" w:cs="Calibri"/>
          <w:color w:val="000000"/>
          <w:kern w:val="0"/>
          <w:szCs w:val="21"/>
          <w:highlight w:val="none"/>
        </w:rPr>
        <w:t>）富荣富兴纯债债券型证券投资基金（基金代码：A类004441</w:t>
      </w:r>
      <w:r>
        <w:rPr>
          <w:rFonts w:hint="eastAsia" w:ascii="宋体" w:hAnsi="宋体" w:eastAsia="宋体" w:cs="Calibri"/>
          <w:color w:val="000000"/>
          <w:kern w:val="0"/>
          <w:szCs w:val="21"/>
          <w:highlight w:val="none"/>
          <w:lang w:eastAsia="zh-CN"/>
        </w:rPr>
        <w:t>、</w:t>
      </w:r>
      <w:r>
        <w:rPr>
          <w:rFonts w:hint="eastAsia" w:ascii="宋体" w:hAnsi="宋体" w:eastAsia="宋体" w:cs="Calibri"/>
          <w:color w:val="000000"/>
          <w:kern w:val="0"/>
          <w:szCs w:val="21"/>
          <w:highlight w:val="none"/>
        </w:rPr>
        <w:t>C类021917）；</w:t>
      </w:r>
    </w:p>
    <w:p w14:paraId="0A58B512">
      <w:pPr>
        <w:widowControl/>
        <w:shd w:val="clear" w:color="auto" w:fill="FFFFFF"/>
        <w:spacing w:line="360" w:lineRule="auto"/>
        <w:ind w:firstLine="480"/>
        <w:jc w:val="left"/>
        <w:rPr>
          <w:rFonts w:ascii="宋体" w:hAnsi="宋体" w:eastAsia="宋体" w:cs="Calibri"/>
          <w:color w:val="000000"/>
          <w:kern w:val="0"/>
          <w:szCs w:val="21"/>
          <w:highlight w:val="none"/>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6</w:t>
      </w:r>
      <w:r>
        <w:rPr>
          <w:rFonts w:hint="eastAsia" w:ascii="宋体" w:hAnsi="宋体" w:eastAsia="宋体" w:cs="Calibri"/>
          <w:color w:val="000000"/>
          <w:kern w:val="0"/>
          <w:szCs w:val="21"/>
          <w:highlight w:val="none"/>
        </w:rPr>
        <w:t>）富荣富开1-3年国开债纯债债券型证券投资基金（基金代码：A类006488、C类007907）；</w:t>
      </w:r>
    </w:p>
    <w:p w14:paraId="45B43C5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highlight w:val="none"/>
        </w:rPr>
        <w:t>（</w:t>
      </w:r>
      <w:r>
        <w:rPr>
          <w:rFonts w:hint="eastAsia" w:ascii="宋体" w:hAnsi="宋体" w:eastAsia="宋体" w:cs="Calibri"/>
          <w:color w:val="000000"/>
          <w:kern w:val="0"/>
          <w:szCs w:val="21"/>
          <w:highlight w:val="none"/>
          <w:lang w:val="en-US" w:eastAsia="zh-CN"/>
        </w:rPr>
        <w:t>7</w:t>
      </w:r>
      <w:r>
        <w:rPr>
          <w:rFonts w:hint="eastAsia" w:ascii="宋体" w:hAnsi="宋体" w:eastAsia="宋体" w:cs="Calibri"/>
          <w:color w:val="000000"/>
          <w:kern w:val="0"/>
          <w:szCs w:val="21"/>
          <w:highlight w:val="none"/>
        </w:rPr>
        <w:t>）富荣中短</w:t>
      </w:r>
      <w:r>
        <w:rPr>
          <w:rFonts w:hint="eastAsia" w:ascii="宋体" w:hAnsi="宋体" w:eastAsia="宋体" w:cs="Calibri"/>
          <w:color w:val="000000"/>
          <w:kern w:val="0"/>
          <w:szCs w:val="21"/>
        </w:rPr>
        <w:t>债债券型证券投资基金（基金代码：A类013520、C类013521）</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国泰君安证券股份有限公司</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客户服务电话：95521</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网址：www.gtja.com</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lang w:eastAsia="zh-CN"/>
        </w:rPr>
        <w:t>国泰君安</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三</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十七</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A7F6677"/>
    <w:rsid w:val="6C160B26"/>
    <w:rsid w:val="70BA3EAB"/>
    <w:rsid w:val="782A06EE"/>
    <w:rsid w:val="799E7C8D"/>
    <w:rsid w:val="79B9217A"/>
    <w:rsid w:val="7EF918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1708</Words>
  <Characters>1943</Characters>
  <Lines>15</Lines>
  <Paragraphs>4</Paragraphs>
  <TotalTime>98</TotalTime>
  <ScaleCrop>false</ScaleCrop>
  <LinksUpToDate>false</LinksUpToDate>
  <CharactersWithSpaces>1948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刘五月</cp:lastModifiedBy>
  <dcterms:modified xsi:type="dcterms:W3CDTF">2025-03-11T08:25:35Z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eyJoZGlkIjoiNzk1ZDdmZTkxYTc4Njg1OTczNGFlZDIwMDVlZGYwMjEiLCJ1c2VySWQiOiIzMDA3OTY4OCJ9</vt:lpwstr>
  </property>
</Properties>
</file>