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9CE145" w14:textId="77777777" w:rsidR="00267E85" w:rsidRDefault="006A43CC">
      <w:pPr>
        <w:pStyle w:val="2"/>
        <w:tabs>
          <w:tab w:val="left" w:pos="4364"/>
          <w:tab w:val="right" w:pos="10204"/>
        </w:tabs>
        <w:jc w:val="center"/>
        <w:rPr>
          <w:rFonts w:ascii="思源黑体 CN Bold" w:eastAsia="思源黑体 CN Bold" w:hAnsi="思源黑体 CN Bold" w:cs="Times New Roman" w:hint="eastAsia"/>
          <w:b/>
          <w:color w:val="FA842D"/>
          <w:kern w:val="0"/>
          <w:sz w:val="24"/>
          <w:szCs w:val="18"/>
        </w:rPr>
      </w:pPr>
      <w:bookmarkStart w:id="0" w:name="_Hlk182226954"/>
      <w:r>
        <w:rPr>
          <w:rFonts w:ascii="思源黑体 CN Bold" w:eastAsia="思源黑体 CN Bold" w:hAnsi="思源黑体 CN Bold" w:cs="Times New Roman" w:hint="eastAsia"/>
          <w:b/>
          <w:color w:val="FA842D"/>
          <w:kern w:val="0"/>
          <w:sz w:val="24"/>
          <w:szCs w:val="18"/>
        </w:rPr>
        <w:t>富荣权益： 关注“两会”政策指引，权益市场回暖</w:t>
      </w:r>
    </w:p>
    <w:p w14:paraId="327ACBAA" w14:textId="77777777" w:rsidR="00267E85" w:rsidRDefault="006A43CC">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hint="eastAsia"/>
          <w:b/>
          <w:bCs/>
          <w:sz w:val="22"/>
          <w:szCs w:val="24"/>
        </w:rPr>
        <w:t>一</w:t>
      </w:r>
      <w:r>
        <w:rPr>
          <w:rFonts w:ascii="思源黑体 CN Light" w:eastAsia="思源黑体 CN Light" w:hAnsi="思源黑体 CN Light" w:cs="Times New Roman"/>
          <w:b/>
          <w:bCs/>
          <w:sz w:val="22"/>
          <w:szCs w:val="24"/>
        </w:rPr>
        <w:t>、</w:t>
      </w:r>
      <w:r>
        <w:rPr>
          <w:rFonts w:ascii="思源黑体 CN Light" w:eastAsia="思源黑体 CN Light" w:hAnsi="思源黑体 CN Light" w:cs="Times New Roman" w:hint="eastAsia"/>
          <w:b/>
          <w:bCs/>
          <w:sz w:val="22"/>
          <w:szCs w:val="24"/>
        </w:rPr>
        <w:t>权益</w:t>
      </w:r>
      <w:proofErr w:type="gramStart"/>
      <w:r>
        <w:rPr>
          <w:rFonts w:ascii="思源黑体 CN Light" w:eastAsia="思源黑体 CN Light" w:hAnsi="思源黑体 CN Light" w:cs="Times New Roman"/>
          <w:b/>
          <w:bCs/>
          <w:sz w:val="22"/>
          <w:szCs w:val="24"/>
        </w:rPr>
        <w:t>市场</w:t>
      </w:r>
      <w:r>
        <w:rPr>
          <w:rFonts w:ascii="思源黑体 CN Light" w:eastAsia="思源黑体 CN Light" w:hAnsi="思源黑体 CN Light" w:cs="Times New Roman" w:hint="eastAsia"/>
          <w:b/>
          <w:bCs/>
          <w:sz w:val="22"/>
          <w:szCs w:val="24"/>
        </w:rPr>
        <w:t>周度表现</w:t>
      </w:r>
      <w:proofErr w:type="gramEnd"/>
    </w:p>
    <w:p w14:paraId="2BE40A0E" w14:textId="77777777" w:rsidR="00267E85" w:rsidRDefault="006A43CC">
      <w:pPr>
        <w:ind w:firstLineChars="200" w:firstLine="420"/>
        <w:jc w:val="left"/>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上周（2025年3月3日至2025年3月7日，下同）权益市场主要指数全部上涨。其中，中证1000（+3.79%）涨幅最大；</w:t>
      </w:r>
      <w:proofErr w:type="gramStart"/>
      <w:r>
        <w:rPr>
          <w:rFonts w:ascii="思源黑体 CN Light" w:eastAsia="思源黑体 CN Light" w:hAnsi="思源黑体 CN Light" w:cs="Times New Roman" w:hint="eastAsia"/>
          <w:color w:val="000000" w:themeColor="text1"/>
          <w:sz w:val="21"/>
          <w:szCs w:val="20"/>
        </w:rPr>
        <w:t>科创</w:t>
      </w:r>
      <w:proofErr w:type="gramEnd"/>
      <w:r>
        <w:rPr>
          <w:rFonts w:ascii="思源黑体 CN Light" w:eastAsia="思源黑体 CN Light" w:hAnsi="思源黑体 CN Light" w:cs="Times New Roman" w:hint="eastAsia"/>
          <w:color w:val="000000" w:themeColor="text1"/>
          <w:sz w:val="21"/>
          <w:szCs w:val="20"/>
        </w:rPr>
        <w:t>50（+2.67%）、中证500（+2.63%）、创成长（+2.34%）、深证成指（+2.19%）、上证50（+1.63%）、创业板指（+1.61%）、上证指数（+1.56%）、沪深300（+1.39%）、创业板50（+1.03%）紧随其后。</w:t>
      </w:r>
    </w:p>
    <w:p w14:paraId="666297FF" w14:textId="4E38B568" w:rsidR="00267E85" w:rsidRDefault="006A43CC">
      <w:pPr>
        <w:ind w:firstLineChars="200" w:firstLine="428"/>
        <w:jc w:val="left"/>
        <w:rPr>
          <w:rFonts w:ascii="思源黑体 CN Light" w:eastAsia="思源黑体 CN Light" w:hAnsi="思源黑体 CN Light" w:hint="eastAsia"/>
          <w:sz w:val="21"/>
          <w:szCs w:val="20"/>
        </w:rPr>
      </w:pPr>
      <w:r>
        <w:rPr>
          <w:rFonts w:ascii="思源黑体 CN Light" w:eastAsia="思源黑体 CN Light" w:hAnsi="思源黑体 CN Light" w:cs="Times New Roman"/>
          <w:b/>
          <w:sz w:val="21"/>
          <w:szCs w:val="20"/>
        </w:rPr>
        <w:t>图：主要</w:t>
      </w:r>
      <w:proofErr w:type="gramStart"/>
      <w:r>
        <w:rPr>
          <w:rFonts w:ascii="思源黑体 CN Light" w:eastAsia="思源黑体 CN Light" w:hAnsi="思源黑体 CN Light" w:cs="Times New Roman"/>
          <w:b/>
          <w:sz w:val="21"/>
          <w:szCs w:val="20"/>
        </w:rPr>
        <w:t>股指</w:t>
      </w:r>
      <w:r>
        <w:rPr>
          <w:rFonts w:ascii="思源黑体 CN Light" w:eastAsia="思源黑体 CN Light" w:hAnsi="思源黑体 CN Light" w:cs="Times New Roman" w:hint="eastAsia"/>
          <w:b/>
          <w:sz w:val="21"/>
          <w:szCs w:val="20"/>
        </w:rPr>
        <w:t>周度</w:t>
      </w:r>
      <w:proofErr w:type="gramEnd"/>
      <w:r>
        <w:rPr>
          <w:rFonts w:ascii="思源黑体 CN Light" w:eastAsia="思源黑体 CN Light" w:hAnsi="思源黑体 CN Light" w:cs="Times New Roman" w:hint="eastAsia"/>
          <w:b/>
          <w:sz w:val="21"/>
          <w:szCs w:val="20"/>
        </w:rPr>
        <w:t>/月度</w:t>
      </w:r>
      <w:r>
        <w:rPr>
          <w:rFonts w:ascii="思源黑体 CN Light" w:eastAsia="思源黑体 CN Light" w:hAnsi="思源黑体 CN Light" w:cs="Times New Roman"/>
          <w:b/>
          <w:sz w:val="21"/>
          <w:szCs w:val="20"/>
        </w:rPr>
        <w:t>涨跌幅（单位：%）</w:t>
      </w:r>
      <w:r w:rsidR="004F408D">
        <w:rPr>
          <w:rFonts w:ascii="思源黑体 CN Light" w:eastAsia="思源黑体 CN Light" w:hAnsi="思源黑体 CN Light" w:hint="eastAsia"/>
          <w:noProof/>
          <w:sz w:val="21"/>
          <w:szCs w:val="20"/>
        </w:rPr>
        <w:drawing>
          <wp:inline distT="0" distB="0" distL="0" distR="0" wp14:anchorId="70943FC1" wp14:editId="17BAADE9">
            <wp:extent cx="6479540" cy="3852545"/>
            <wp:effectExtent l="0" t="0" r="0" b="0"/>
            <wp:docPr id="1365065779" name="图片 1"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065779" name="图片 1" descr="图表, 条形图&#10;&#10;AI 生成的内容可能不正确。"/>
                    <pic:cNvPicPr/>
                  </pic:nvPicPr>
                  <pic:blipFill>
                    <a:blip r:embed="rId6">
                      <a:extLst>
                        <a:ext uri="{28A0092B-C50C-407E-A947-70E740481C1C}">
                          <a14:useLocalDpi xmlns:a14="http://schemas.microsoft.com/office/drawing/2010/main" val="0"/>
                        </a:ext>
                      </a:extLst>
                    </a:blip>
                    <a:stretch>
                      <a:fillRect/>
                    </a:stretch>
                  </pic:blipFill>
                  <pic:spPr>
                    <a:xfrm>
                      <a:off x="0" y="0"/>
                      <a:ext cx="6479540" cy="3852545"/>
                    </a:xfrm>
                    <a:prstGeom prst="rect">
                      <a:avLst/>
                    </a:prstGeom>
                  </pic:spPr>
                </pic:pic>
              </a:graphicData>
            </a:graphic>
          </wp:inline>
        </w:drawing>
      </w:r>
    </w:p>
    <w:p w14:paraId="6F6DF477" w14:textId="77777777" w:rsidR="00267E85" w:rsidRDefault="006A43CC">
      <w:pPr>
        <w:pStyle w:val="af4"/>
        <w:ind w:firstLine="260"/>
        <w:rPr>
          <w:rFonts w:ascii="思源黑体 CN Light" w:eastAsia="思源黑体 CN Light" w:hAnsi="思源黑体 CN Light" w:cs="Times New Roman" w:hint="eastAsia"/>
          <w:sz w:val="13"/>
          <w:szCs w:val="20"/>
        </w:rPr>
      </w:pPr>
      <w:r>
        <w:rPr>
          <w:rFonts w:ascii="思源黑体 CN Light" w:eastAsia="思源黑体 CN Light" w:hAnsi="思源黑体 CN Light" w:cs="Times New Roman"/>
          <w:sz w:val="13"/>
          <w:szCs w:val="20"/>
        </w:rPr>
        <w:t>数据来源：wind，富</w:t>
      </w:r>
      <w:proofErr w:type="gramStart"/>
      <w:r>
        <w:rPr>
          <w:rFonts w:ascii="思源黑体 CN Light" w:eastAsia="思源黑体 CN Light" w:hAnsi="思源黑体 CN Light" w:cs="Times New Roman"/>
          <w:sz w:val="13"/>
          <w:szCs w:val="20"/>
        </w:rPr>
        <w:t>荣基金</w:t>
      </w:r>
      <w:proofErr w:type="gramEnd"/>
      <w:r>
        <w:rPr>
          <w:rFonts w:ascii="思源黑体 CN Light" w:eastAsia="思源黑体 CN Light" w:hAnsi="思源黑体 CN Light" w:cs="Times New Roman"/>
          <w:sz w:val="13"/>
          <w:szCs w:val="20"/>
        </w:rPr>
        <w:t>管理有限公司</w:t>
      </w:r>
      <w:r>
        <w:rPr>
          <w:rFonts w:ascii="思源黑体 CN Light" w:eastAsia="思源黑体 CN Light" w:hAnsi="思源黑体 CN Light" w:cs="Times New Roman" w:hint="eastAsia"/>
          <w:sz w:val="13"/>
          <w:szCs w:val="20"/>
        </w:rPr>
        <w:t>；周涨跌</w:t>
      </w:r>
      <w:proofErr w:type="gramStart"/>
      <w:r>
        <w:rPr>
          <w:rFonts w:ascii="思源黑体 CN Light" w:eastAsia="思源黑体 CN Light" w:hAnsi="思源黑体 CN Light" w:cs="Times New Roman" w:hint="eastAsia"/>
          <w:sz w:val="13"/>
          <w:szCs w:val="20"/>
        </w:rPr>
        <w:t>幅统计</w:t>
      </w:r>
      <w:proofErr w:type="gramEnd"/>
      <w:r>
        <w:rPr>
          <w:rFonts w:ascii="思源黑体 CN Light" w:eastAsia="思源黑体 CN Light" w:hAnsi="思源黑体 CN Light" w:cs="Times New Roman" w:hint="eastAsia"/>
          <w:sz w:val="13"/>
          <w:szCs w:val="20"/>
        </w:rPr>
        <w:t>区间：20250303-20250307；月涨跌</w:t>
      </w:r>
      <w:proofErr w:type="gramStart"/>
      <w:r>
        <w:rPr>
          <w:rFonts w:ascii="思源黑体 CN Light" w:eastAsia="思源黑体 CN Light" w:hAnsi="思源黑体 CN Light" w:cs="Times New Roman" w:hint="eastAsia"/>
          <w:sz w:val="13"/>
          <w:szCs w:val="20"/>
        </w:rPr>
        <w:t>幅统计</w:t>
      </w:r>
      <w:proofErr w:type="gramEnd"/>
      <w:r>
        <w:rPr>
          <w:rFonts w:ascii="思源黑体 CN Light" w:eastAsia="思源黑体 CN Light" w:hAnsi="思源黑体 CN Light" w:cs="Times New Roman" w:hint="eastAsia"/>
          <w:sz w:val="13"/>
          <w:szCs w:val="20"/>
        </w:rPr>
        <w:t>区间：20250303-20250307</w:t>
      </w:r>
    </w:p>
    <w:p w14:paraId="68486979" w14:textId="77777777" w:rsidR="00267E85" w:rsidRDefault="006A43CC">
      <w:pPr>
        <w:ind w:firstLineChars="200" w:firstLine="420"/>
        <w:jc w:val="left"/>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上周各行业的涨跌</w:t>
      </w:r>
      <w:proofErr w:type="gramStart"/>
      <w:r>
        <w:rPr>
          <w:rFonts w:ascii="思源黑体 CN Light" w:eastAsia="思源黑体 CN Light" w:hAnsi="思源黑体 CN Light" w:cs="Times New Roman" w:hint="eastAsia"/>
          <w:color w:val="000000" w:themeColor="text1"/>
          <w:sz w:val="21"/>
          <w:szCs w:val="20"/>
        </w:rPr>
        <w:t>幅表现</w:t>
      </w:r>
      <w:proofErr w:type="gramEnd"/>
      <w:r>
        <w:rPr>
          <w:rFonts w:ascii="思源黑体 CN Light" w:eastAsia="思源黑体 CN Light" w:hAnsi="思源黑体 CN Light" w:cs="Times New Roman" w:hint="eastAsia"/>
          <w:color w:val="000000" w:themeColor="text1"/>
          <w:sz w:val="21"/>
          <w:szCs w:val="20"/>
        </w:rPr>
        <w:t>有所分化，其中</w:t>
      </w:r>
      <w:proofErr w:type="gramStart"/>
      <w:r>
        <w:rPr>
          <w:rFonts w:ascii="思源黑体 CN Light" w:eastAsia="思源黑体 CN Light" w:hAnsi="思源黑体 CN Light" w:cs="Times New Roman" w:hint="eastAsia"/>
          <w:color w:val="000000" w:themeColor="text1"/>
          <w:sz w:val="21"/>
          <w:szCs w:val="20"/>
        </w:rPr>
        <w:t>申万行业</w:t>
      </w:r>
      <w:proofErr w:type="gramEnd"/>
      <w:r>
        <w:rPr>
          <w:rFonts w:ascii="思源黑体 CN Light" w:eastAsia="思源黑体 CN Light" w:hAnsi="思源黑体 CN Light" w:cs="Times New Roman" w:hint="eastAsia"/>
          <w:color w:val="000000" w:themeColor="text1"/>
          <w:sz w:val="21"/>
          <w:szCs w:val="20"/>
        </w:rPr>
        <w:t>指数中，有色金属（+7.08%）、国防军工（+6.96%）、计算机（+6.74%）等</w:t>
      </w:r>
      <w:proofErr w:type="gramStart"/>
      <w:r>
        <w:rPr>
          <w:rFonts w:ascii="思源黑体 CN Light" w:eastAsia="思源黑体 CN Light" w:hAnsi="思源黑体 CN Light" w:cs="Times New Roman" w:hint="eastAsia"/>
          <w:color w:val="000000" w:themeColor="text1"/>
          <w:sz w:val="21"/>
          <w:szCs w:val="20"/>
        </w:rPr>
        <w:t>行业涨幅</w:t>
      </w:r>
      <w:proofErr w:type="gramEnd"/>
      <w:r>
        <w:rPr>
          <w:rFonts w:ascii="思源黑体 CN Light" w:eastAsia="思源黑体 CN Light" w:hAnsi="思源黑体 CN Light" w:cs="Times New Roman" w:hint="eastAsia"/>
          <w:color w:val="000000" w:themeColor="text1"/>
          <w:sz w:val="21"/>
          <w:szCs w:val="20"/>
        </w:rPr>
        <w:t>较大，房地产（-0.91%）、综合（-1.03%）、石油石化（-1.49%）等行业跌幅较大。</w:t>
      </w:r>
    </w:p>
    <w:p w14:paraId="3D0324B1" w14:textId="77777777" w:rsidR="00267E85" w:rsidRDefault="006A43CC">
      <w:pPr>
        <w:ind w:firstLineChars="200" w:firstLine="428"/>
        <w:jc w:val="left"/>
        <w:rPr>
          <w:rFonts w:ascii="思源黑体 CN Light" w:eastAsia="思源黑体 CN Light" w:hAnsi="思源黑体 CN Light" w:hint="eastAsia"/>
          <w:sz w:val="21"/>
          <w:szCs w:val="20"/>
        </w:rPr>
      </w:pPr>
      <w:r>
        <w:rPr>
          <w:rFonts w:ascii="思源黑体 CN Light" w:eastAsia="思源黑体 CN Light" w:hAnsi="思源黑体 CN Light" w:cs="Times New Roman"/>
          <w:b/>
          <w:sz w:val="21"/>
          <w:szCs w:val="20"/>
        </w:rPr>
        <w:t>图：</w:t>
      </w:r>
      <w:proofErr w:type="gramStart"/>
      <w:r>
        <w:rPr>
          <w:rFonts w:ascii="思源黑体 CN Light" w:eastAsia="思源黑体 CN Light" w:hAnsi="思源黑体 CN Light" w:cs="Times New Roman"/>
          <w:b/>
          <w:sz w:val="21"/>
          <w:szCs w:val="20"/>
        </w:rPr>
        <w:t>申万一级行业周涨跌</w:t>
      </w:r>
      <w:proofErr w:type="gramEnd"/>
      <w:r>
        <w:rPr>
          <w:rFonts w:ascii="思源黑体 CN Light" w:eastAsia="思源黑体 CN Light" w:hAnsi="思源黑体 CN Light" w:cs="Times New Roman"/>
          <w:b/>
          <w:sz w:val="21"/>
          <w:szCs w:val="20"/>
        </w:rPr>
        <w:t>幅（单位：%）</w:t>
      </w:r>
      <w:r>
        <w:rPr>
          <w:rFonts w:ascii="思源黑体 CN Light" w:eastAsia="思源黑体 CN Light" w:hAnsi="思源黑体 CN Light" w:cs="Times New Roman"/>
          <w:b/>
          <w:noProof/>
          <w:sz w:val="21"/>
          <w:szCs w:val="20"/>
        </w:rPr>
        <w:lastRenderedPageBreak/>
        <w:drawing>
          <wp:inline distT="0" distB="0" distL="0" distR="0" wp14:anchorId="63F44BAA" wp14:editId="2E07A974">
            <wp:extent cx="6479540" cy="3623945"/>
            <wp:effectExtent l="0" t="0" r="0" b="0"/>
            <wp:docPr id="9" name="图片 8"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图表&#10;&#10;AI 生成的内容可能不正确。"/>
                    <pic:cNvPicPr>
                      <a:picLocks noChangeAspect="1"/>
                    </pic:cNvPicPr>
                  </pic:nvPicPr>
                  <pic:blipFill>
                    <a:blip r:embed="rId7"/>
                    <a:stretch>
                      <a:fillRect/>
                    </a:stretch>
                  </pic:blipFill>
                  <pic:spPr>
                    <a:xfrm>
                      <a:off x="0" y="0"/>
                      <a:ext cx="6479540" cy="3623945"/>
                    </a:xfrm>
                    <a:prstGeom prst="rect">
                      <a:avLst/>
                    </a:prstGeom>
                  </pic:spPr>
                </pic:pic>
              </a:graphicData>
            </a:graphic>
          </wp:inline>
        </w:drawing>
      </w:r>
    </w:p>
    <w:p w14:paraId="3CA37D0F" w14:textId="77777777" w:rsidR="00267E85" w:rsidRDefault="006A43CC">
      <w:pPr>
        <w:pStyle w:val="af4"/>
        <w:ind w:firstLine="260"/>
        <w:rPr>
          <w:rFonts w:ascii="思源黑体 CN Light" w:eastAsia="思源黑体 CN Light" w:hAnsi="思源黑体 CN Light" w:cs="Times New Roman" w:hint="eastAsia"/>
          <w:sz w:val="13"/>
          <w:szCs w:val="20"/>
        </w:rPr>
      </w:pPr>
      <w:r>
        <w:rPr>
          <w:rFonts w:ascii="思源黑体 CN Light" w:eastAsia="思源黑体 CN Light" w:hAnsi="思源黑体 CN Light" w:cs="Times New Roman"/>
          <w:sz w:val="13"/>
          <w:szCs w:val="20"/>
        </w:rPr>
        <w:t>数据来源：wind，富荣基金管理有限公司</w:t>
      </w:r>
      <w:r>
        <w:rPr>
          <w:rFonts w:ascii="思源黑体 CN Light" w:eastAsia="思源黑体 CN Light" w:hAnsi="思源黑体 CN Light" w:cs="Times New Roman" w:hint="eastAsia"/>
          <w:sz w:val="13"/>
          <w:szCs w:val="20"/>
        </w:rPr>
        <w:t>；统计区间：20250303-20250307</w:t>
      </w:r>
    </w:p>
    <w:p w14:paraId="67016B5C" w14:textId="77777777" w:rsidR="00267E85" w:rsidRDefault="00267E85">
      <w:pPr>
        <w:pStyle w:val="2"/>
        <w:tabs>
          <w:tab w:val="left" w:pos="4364"/>
          <w:tab w:val="right" w:pos="10204"/>
        </w:tabs>
        <w:rPr>
          <w:rFonts w:ascii="思源黑体 CN Light" w:eastAsia="思源黑体 CN Light" w:hAnsi="思源黑体 CN Light" w:cs="Times New Roman" w:hint="eastAsia"/>
          <w:color w:val="000000"/>
          <w:sz w:val="21"/>
          <w:szCs w:val="20"/>
          <w:shd w:val="clear" w:color="auto" w:fill="FFFFFF"/>
        </w:rPr>
      </w:pPr>
    </w:p>
    <w:p w14:paraId="3C808A21" w14:textId="77777777" w:rsidR="00267E85" w:rsidRDefault="006A43CC">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hint="eastAsia"/>
          <w:b/>
          <w:bCs/>
          <w:sz w:val="22"/>
          <w:szCs w:val="24"/>
        </w:rPr>
        <w:t>二、有色金属行业点评与展望</w:t>
      </w:r>
    </w:p>
    <w:p w14:paraId="2A3FE86F" w14:textId="77777777" w:rsidR="00267E85" w:rsidRDefault="006A43CC">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bookmarkStart w:id="1" w:name="_Hlk140420797"/>
      <w:r>
        <w:rPr>
          <w:rFonts w:ascii="思源黑体 CN Light" w:eastAsia="思源黑体 CN Light" w:hAnsi="思源黑体 CN Light" w:cs="Times New Roman" w:hint="eastAsia"/>
          <w:color w:val="000000" w:themeColor="text1"/>
          <w:sz w:val="21"/>
          <w:szCs w:val="20"/>
        </w:rPr>
        <w:t>上周，申万有色金属指数涨幅达到7.08%，在申万</w:t>
      </w:r>
      <w:proofErr w:type="gramStart"/>
      <w:r>
        <w:rPr>
          <w:rFonts w:ascii="思源黑体 CN Light" w:eastAsia="思源黑体 CN Light" w:hAnsi="思源黑体 CN Light" w:cs="Times New Roman" w:hint="eastAsia"/>
          <w:color w:val="000000" w:themeColor="text1"/>
          <w:sz w:val="21"/>
          <w:szCs w:val="20"/>
        </w:rPr>
        <w:t>31个一级行业</w:t>
      </w:r>
      <w:proofErr w:type="gramEnd"/>
      <w:r>
        <w:rPr>
          <w:rFonts w:ascii="思源黑体 CN Light" w:eastAsia="思源黑体 CN Light" w:hAnsi="思源黑体 CN Light" w:cs="Times New Roman" w:hint="eastAsia"/>
          <w:color w:val="000000" w:themeColor="text1"/>
          <w:sz w:val="21"/>
          <w:szCs w:val="20"/>
        </w:rPr>
        <w:t>中排名第一。3月以来，随着下游开工旺季的来临，各类有色金属品种均进入涨价通道，其中钴、锑等小金属的价格涨幅较为突出，成为市场关注的热点。</w:t>
      </w:r>
    </w:p>
    <w:p w14:paraId="70C4B8FF" w14:textId="77777777" w:rsidR="00267E85" w:rsidRDefault="006A43CC">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在工业金属领域，宏观层面多空因素交织。一方面，海外贸易摩擦加剧，美国对加、墨两国实施报复性关税，引发市场避险情绪升温；另一方面，美国就业数据大幅走弱，美元疲软在一定程度上支撑了有色金属价格。与此同时，国内两会提出2025年GDP增长5%左右的目标，并强调稳楼市、股市，整体宏观氛围向好。</w:t>
      </w:r>
      <w:bookmarkStart w:id="2" w:name="OLE_LINK1"/>
    </w:p>
    <w:p w14:paraId="45FA0433" w14:textId="77777777" w:rsidR="00267E85" w:rsidRDefault="006A43CC">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具体来看，铜的供应</w:t>
      </w:r>
      <w:proofErr w:type="gramStart"/>
      <w:r>
        <w:rPr>
          <w:rFonts w:ascii="思源黑体 CN Light" w:eastAsia="思源黑体 CN Light" w:hAnsi="思源黑体 CN Light" w:cs="Times New Roman" w:hint="eastAsia"/>
          <w:color w:val="000000" w:themeColor="text1"/>
          <w:sz w:val="21"/>
          <w:szCs w:val="20"/>
        </w:rPr>
        <w:t>端情况</w:t>
      </w:r>
      <w:proofErr w:type="gramEnd"/>
      <w:r>
        <w:rPr>
          <w:rFonts w:ascii="思源黑体 CN Light" w:eastAsia="思源黑体 CN Light" w:hAnsi="思源黑体 CN Light" w:cs="Times New Roman" w:hint="eastAsia"/>
          <w:color w:val="000000" w:themeColor="text1"/>
          <w:sz w:val="21"/>
          <w:szCs w:val="20"/>
        </w:rPr>
        <w:t>较为严峻。上周SMM进口铜精矿指数报-15.3美元/吨，</w:t>
      </w:r>
      <w:proofErr w:type="gramStart"/>
      <w:r>
        <w:rPr>
          <w:rFonts w:ascii="思源黑体 CN Light" w:eastAsia="思源黑体 CN Light" w:hAnsi="思源黑体 CN Light" w:cs="Times New Roman" w:hint="eastAsia"/>
          <w:color w:val="000000" w:themeColor="text1"/>
          <w:sz w:val="21"/>
          <w:szCs w:val="20"/>
        </w:rPr>
        <w:t>周度环</w:t>
      </w:r>
      <w:proofErr w:type="gramEnd"/>
      <w:r>
        <w:rPr>
          <w:rFonts w:ascii="思源黑体 CN Light" w:eastAsia="思源黑体 CN Light" w:hAnsi="思源黑体 CN Light" w:cs="Times New Roman" w:hint="eastAsia"/>
          <w:color w:val="000000" w:themeColor="text1"/>
          <w:sz w:val="21"/>
          <w:szCs w:val="20"/>
        </w:rPr>
        <w:t>比减少1.4美元/吨，铜冶炼厂盈利能力进一步恶化。但在需求方面，国内铜线</w:t>
      </w:r>
      <w:proofErr w:type="gramStart"/>
      <w:r>
        <w:rPr>
          <w:rFonts w:ascii="思源黑体 CN Light" w:eastAsia="思源黑体 CN Light" w:hAnsi="思源黑体 CN Light" w:cs="Times New Roman" w:hint="eastAsia"/>
          <w:color w:val="000000" w:themeColor="text1"/>
          <w:sz w:val="21"/>
          <w:szCs w:val="20"/>
        </w:rPr>
        <w:t>缆</w:t>
      </w:r>
      <w:proofErr w:type="gramEnd"/>
      <w:r>
        <w:rPr>
          <w:rFonts w:ascii="思源黑体 CN Light" w:eastAsia="思源黑体 CN Light" w:hAnsi="思源黑体 CN Light" w:cs="Times New Roman" w:hint="eastAsia"/>
          <w:color w:val="000000" w:themeColor="text1"/>
          <w:sz w:val="21"/>
          <w:szCs w:val="20"/>
        </w:rPr>
        <w:t>企业开工率72.63%，环比增长8.31个百分点，订单略有好转，显示出一定的需求韧性。</w:t>
      </w:r>
    </w:p>
    <w:p w14:paraId="237FF238" w14:textId="77777777" w:rsidR="00267E85" w:rsidRDefault="006A43CC">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铝的情况也呈现出类似的分化台式。在供应端方面，氧化铝基本面维持小幅过剩格局，现货价格短期或维持</w:t>
      </w:r>
      <w:r>
        <w:rPr>
          <w:rFonts w:ascii="思源黑体 CN Light" w:eastAsia="思源黑体 CN Light" w:hAnsi="思源黑体 CN Light" w:cs="Times New Roman" w:hint="eastAsia"/>
          <w:color w:val="000000" w:themeColor="text1"/>
          <w:sz w:val="21"/>
          <w:szCs w:val="20"/>
        </w:rPr>
        <w:lastRenderedPageBreak/>
        <w:t>偏弱运行。但在需求端，型材行业开工率</w:t>
      </w:r>
      <w:proofErr w:type="gramStart"/>
      <w:r>
        <w:rPr>
          <w:rFonts w:ascii="思源黑体 CN Light" w:eastAsia="思源黑体 CN Light" w:hAnsi="思源黑体 CN Light" w:cs="Times New Roman" w:hint="eastAsia"/>
          <w:color w:val="000000" w:themeColor="text1"/>
          <w:sz w:val="21"/>
          <w:szCs w:val="20"/>
        </w:rPr>
        <w:t>环比提2个</w:t>
      </w:r>
      <w:proofErr w:type="gramEnd"/>
      <w:r>
        <w:rPr>
          <w:rFonts w:ascii="思源黑体 CN Light" w:eastAsia="思源黑体 CN Light" w:hAnsi="思源黑体 CN Light" w:cs="Times New Roman" w:hint="eastAsia"/>
          <w:color w:val="000000" w:themeColor="text1"/>
          <w:sz w:val="21"/>
          <w:szCs w:val="20"/>
        </w:rPr>
        <w:t>百分点至54.5%，且3C领域呈现出良好的增长前景。</w:t>
      </w:r>
      <w:bookmarkEnd w:id="2"/>
      <w:r>
        <w:rPr>
          <w:rFonts w:ascii="思源黑体 CN Light" w:eastAsia="思源黑体 CN Light" w:hAnsi="思源黑体 CN Light" w:cs="Times New Roman" w:hint="eastAsia"/>
          <w:color w:val="000000" w:themeColor="text1"/>
          <w:sz w:val="21"/>
          <w:szCs w:val="20"/>
        </w:rPr>
        <w:t>此外，SMM统计显示上周</w:t>
      </w:r>
      <w:proofErr w:type="gramStart"/>
      <w:r>
        <w:rPr>
          <w:rFonts w:ascii="思源黑体 CN Light" w:eastAsia="思源黑体 CN Light" w:hAnsi="思源黑体 CN Light" w:cs="Times New Roman" w:hint="eastAsia"/>
          <w:color w:val="000000" w:themeColor="text1"/>
          <w:sz w:val="21"/>
          <w:szCs w:val="20"/>
        </w:rPr>
        <w:t>铝去库</w:t>
      </w:r>
      <w:proofErr w:type="gramEnd"/>
      <w:r>
        <w:rPr>
          <w:rFonts w:ascii="思源黑体 CN Light" w:eastAsia="思源黑体 CN Light" w:hAnsi="思源黑体 CN Light" w:cs="Times New Roman" w:hint="eastAsia"/>
          <w:color w:val="000000" w:themeColor="text1"/>
          <w:sz w:val="21"/>
          <w:szCs w:val="20"/>
        </w:rPr>
        <w:t>1.5万吨，市场正密切关注消费复苏力度对去</w:t>
      </w:r>
      <w:proofErr w:type="gramStart"/>
      <w:r>
        <w:rPr>
          <w:rFonts w:ascii="思源黑体 CN Light" w:eastAsia="思源黑体 CN Light" w:hAnsi="思源黑体 CN Light" w:cs="Times New Roman" w:hint="eastAsia"/>
          <w:color w:val="000000" w:themeColor="text1"/>
          <w:sz w:val="21"/>
          <w:szCs w:val="20"/>
        </w:rPr>
        <w:t>库进程</w:t>
      </w:r>
      <w:proofErr w:type="gramEnd"/>
      <w:r>
        <w:rPr>
          <w:rFonts w:ascii="思源黑体 CN Light" w:eastAsia="思源黑体 CN Light" w:hAnsi="思源黑体 CN Light" w:cs="Times New Roman" w:hint="eastAsia"/>
          <w:color w:val="000000" w:themeColor="text1"/>
          <w:sz w:val="21"/>
          <w:szCs w:val="20"/>
        </w:rPr>
        <w:t>的实际支撑效果。</w:t>
      </w:r>
    </w:p>
    <w:p w14:paraId="7E7C1213" w14:textId="1FF61615" w:rsidR="00267E85" w:rsidRDefault="006A43CC">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在小金属板块，钴和</w:t>
      </w:r>
      <w:proofErr w:type="gramStart"/>
      <w:r>
        <w:rPr>
          <w:rFonts w:ascii="思源黑体 CN Light" w:eastAsia="思源黑体 CN Light" w:hAnsi="思源黑体 CN Light" w:cs="Times New Roman" w:hint="eastAsia"/>
          <w:color w:val="000000" w:themeColor="text1"/>
          <w:sz w:val="21"/>
          <w:szCs w:val="20"/>
        </w:rPr>
        <w:t>锑的</w:t>
      </w:r>
      <w:proofErr w:type="gramEnd"/>
      <w:r>
        <w:rPr>
          <w:rFonts w:ascii="思源黑体 CN Light" w:eastAsia="思源黑体 CN Light" w:hAnsi="思源黑体 CN Light" w:cs="Times New Roman" w:hint="eastAsia"/>
          <w:color w:val="000000" w:themeColor="text1"/>
          <w:sz w:val="21"/>
          <w:szCs w:val="20"/>
        </w:rPr>
        <w:t>表现尤为引人注目。</w:t>
      </w:r>
      <w:proofErr w:type="gramStart"/>
      <w:r>
        <w:rPr>
          <w:rFonts w:ascii="思源黑体 CN Light" w:eastAsia="思源黑体 CN Light" w:hAnsi="思源黑体 CN Light" w:cs="Times New Roman" w:hint="eastAsia"/>
          <w:color w:val="000000" w:themeColor="text1"/>
          <w:sz w:val="21"/>
          <w:szCs w:val="20"/>
        </w:rPr>
        <w:t>钴</w:t>
      </w:r>
      <w:proofErr w:type="gramEnd"/>
      <w:r>
        <w:rPr>
          <w:rFonts w:ascii="思源黑体 CN Light" w:eastAsia="思源黑体 CN Light" w:hAnsi="思源黑体 CN Light" w:cs="Times New Roman" w:hint="eastAsia"/>
          <w:color w:val="000000" w:themeColor="text1"/>
          <w:sz w:val="21"/>
          <w:szCs w:val="20"/>
        </w:rPr>
        <w:t>持续受刚果金影响，由于市场</w:t>
      </w:r>
      <w:proofErr w:type="gramStart"/>
      <w:r>
        <w:rPr>
          <w:rFonts w:ascii="思源黑体 CN Light" w:eastAsia="思源黑体 CN Light" w:hAnsi="思源黑体 CN Light" w:cs="Times New Roman" w:hint="eastAsia"/>
          <w:color w:val="000000" w:themeColor="text1"/>
          <w:sz w:val="21"/>
          <w:szCs w:val="20"/>
        </w:rPr>
        <w:t>盼涨情绪</w:t>
      </w:r>
      <w:proofErr w:type="gramEnd"/>
      <w:r>
        <w:rPr>
          <w:rFonts w:ascii="思源黑体 CN Light" w:eastAsia="思源黑体 CN Light" w:hAnsi="思源黑体 CN Light" w:cs="Times New Roman" w:hint="eastAsia"/>
          <w:color w:val="000000" w:themeColor="text1"/>
          <w:sz w:val="21"/>
          <w:szCs w:val="20"/>
        </w:rPr>
        <w:t>较重，电解</w:t>
      </w:r>
      <w:proofErr w:type="gramStart"/>
      <w:r>
        <w:rPr>
          <w:rFonts w:ascii="思源黑体 CN Light" w:eastAsia="思源黑体 CN Light" w:hAnsi="思源黑体 CN Light" w:cs="Times New Roman" w:hint="eastAsia"/>
          <w:color w:val="000000" w:themeColor="text1"/>
          <w:sz w:val="21"/>
          <w:szCs w:val="20"/>
        </w:rPr>
        <w:t>钴</w:t>
      </w:r>
      <w:proofErr w:type="gramEnd"/>
      <w:r>
        <w:rPr>
          <w:rFonts w:ascii="思源黑体 CN Light" w:eastAsia="思源黑体 CN Light" w:hAnsi="思源黑体 CN Light" w:cs="Times New Roman" w:hint="eastAsia"/>
          <w:color w:val="000000" w:themeColor="text1"/>
          <w:sz w:val="21"/>
          <w:szCs w:val="20"/>
        </w:rPr>
        <w:t>冶炼</w:t>
      </w:r>
      <w:proofErr w:type="gramStart"/>
      <w:r>
        <w:rPr>
          <w:rFonts w:ascii="思源黑体 CN Light" w:eastAsia="思源黑体 CN Light" w:hAnsi="思源黑体 CN Light" w:cs="Times New Roman" w:hint="eastAsia"/>
          <w:color w:val="000000" w:themeColor="text1"/>
          <w:sz w:val="21"/>
          <w:szCs w:val="20"/>
        </w:rPr>
        <w:t>厂捂货</w:t>
      </w:r>
      <w:proofErr w:type="gramEnd"/>
      <w:r>
        <w:rPr>
          <w:rFonts w:ascii="思源黑体 CN Light" w:eastAsia="思源黑体 CN Light" w:hAnsi="思源黑体 CN Light" w:cs="Times New Roman" w:hint="eastAsia"/>
          <w:color w:val="000000" w:themeColor="text1"/>
          <w:sz w:val="21"/>
          <w:szCs w:val="20"/>
        </w:rPr>
        <w:t>惜售心态强烈，导致钴盐库存处于较低区间。随着市场情绪的持续发酵，锑</w:t>
      </w:r>
      <w:proofErr w:type="gramStart"/>
      <w:r>
        <w:rPr>
          <w:rFonts w:ascii="思源黑体 CN Light" w:eastAsia="思源黑体 CN Light" w:hAnsi="思源黑体 CN Light" w:cs="Times New Roman" w:hint="eastAsia"/>
          <w:color w:val="000000" w:themeColor="text1"/>
          <w:sz w:val="21"/>
          <w:szCs w:val="20"/>
        </w:rPr>
        <w:t>询</w:t>
      </w:r>
      <w:proofErr w:type="gramEnd"/>
      <w:r>
        <w:rPr>
          <w:rFonts w:ascii="思源黑体 CN Light" w:eastAsia="思源黑体 CN Light" w:hAnsi="思源黑体 CN Light" w:cs="Times New Roman" w:hint="eastAsia"/>
          <w:color w:val="000000" w:themeColor="text1"/>
          <w:sz w:val="21"/>
          <w:szCs w:val="20"/>
        </w:rPr>
        <w:t>单数量不断增加，高价成交逐步增多，推动现货价格持续攀升。国内价格的上涨，</w:t>
      </w:r>
      <w:proofErr w:type="gramStart"/>
      <w:r>
        <w:rPr>
          <w:rFonts w:ascii="思源黑体 CN Light" w:eastAsia="思源黑体 CN Light" w:hAnsi="思源黑体 CN Light" w:cs="Times New Roman" w:hint="eastAsia"/>
          <w:color w:val="000000" w:themeColor="text1"/>
          <w:sz w:val="21"/>
          <w:szCs w:val="20"/>
        </w:rPr>
        <w:t>系出口</w:t>
      </w:r>
      <w:proofErr w:type="gramEnd"/>
      <w:r>
        <w:rPr>
          <w:rFonts w:ascii="思源黑体 CN Light" w:eastAsia="思源黑体 CN Light" w:hAnsi="思源黑体 CN Light" w:cs="Times New Roman" w:hint="eastAsia"/>
          <w:color w:val="000000" w:themeColor="text1"/>
          <w:sz w:val="21"/>
          <w:szCs w:val="20"/>
        </w:rPr>
        <w:t>逐步恢复至较高基数，叠加进口锑矿定价机制逐步调整、国内进口矿有所下降。在内需方面，光伏玻璃行业在抢装预期下，</w:t>
      </w:r>
      <w:proofErr w:type="gramStart"/>
      <w:r>
        <w:rPr>
          <w:rFonts w:ascii="思源黑体 CN Light" w:eastAsia="思源黑体 CN Light" w:hAnsi="思源黑体 CN Light" w:cs="Times New Roman" w:hint="eastAsia"/>
          <w:color w:val="000000" w:themeColor="text1"/>
          <w:sz w:val="21"/>
          <w:szCs w:val="20"/>
        </w:rPr>
        <w:t>周度产量</w:t>
      </w:r>
      <w:proofErr w:type="gramEnd"/>
      <w:r>
        <w:rPr>
          <w:rFonts w:ascii="思源黑体 CN Light" w:eastAsia="思源黑体 CN Light" w:hAnsi="思源黑体 CN Light" w:cs="Times New Roman" w:hint="eastAsia"/>
          <w:color w:val="000000" w:themeColor="text1"/>
          <w:sz w:val="21"/>
          <w:szCs w:val="20"/>
        </w:rPr>
        <w:t>连续四周环比正增长，库存亦连续去库。原料逐步紧张与内外需改善形成共振，报价大幅提升，</w:t>
      </w:r>
      <w:r w:rsidR="00ED46BC">
        <w:rPr>
          <w:rFonts w:ascii="思源黑体 CN Light" w:eastAsia="思源黑体 CN Light" w:hAnsi="思源黑体 CN Light" w:cs="Times New Roman" w:hint="eastAsia"/>
          <w:color w:val="000000" w:themeColor="text1"/>
          <w:sz w:val="21"/>
          <w:szCs w:val="20"/>
        </w:rPr>
        <w:t>价格</w:t>
      </w:r>
      <w:r>
        <w:rPr>
          <w:rFonts w:ascii="思源黑体 CN Light" w:eastAsia="思源黑体 CN Light" w:hAnsi="思源黑体 CN Light" w:cs="Times New Roman" w:hint="eastAsia"/>
          <w:color w:val="000000" w:themeColor="text1"/>
          <w:sz w:val="21"/>
          <w:szCs w:val="20"/>
        </w:rPr>
        <w:t>上涨迅速。</w:t>
      </w:r>
    </w:p>
    <w:p w14:paraId="78CE6AE5" w14:textId="77777777" w:rsidR="00267E85" w:rsidRDefault="006A43CC">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展望未来，随着“金三银四”传统旺季的推进，有色金属市场有望持续保持强劲表现。今年电解铝产能临近天花板，其价格的主升浪行情仍有望超市场预期。全球锑矿供应或步入下行通道，且在海外价格显著高于国内价格的情况下，</w:t>
      </w:r>
      <w:proofErr w:type="gramStart"/>
      <w:r>
        <w:rPr>
          <w:rFonts w:ascii="思源黑体 CN Light" w:eastAsia="思源黑体 CN Light" w:hAnsi="思源黑体 CN Light" w:cs="Times New Roman" w:hint="eastAsia"/>
          <w:color w:val="000000" w:themeColor="text1"/>
          <w:sz w:val="21"/>
          <w:szCs w:val="20"/>
        </w:rPr>
        <w:t>存量俄矿</w:t>
      </w:r>
      <w:proofErr w:type="gramEnd"/>
      <w:r>
        <w:rPr>
          <w:rFonts w:ascii="思源黑体 CN Light" w:eastAsia="思源黑体 CN Light" w:hAnsi="思源黑体 CN Light" w:cs="Times New Roman" w:hint="eastAsia"/>
          <w:color w:val="000000" w:themeColor="text1"/>
          <w:sz w:val="21"/>
          <w:szCs w:val="20"/>
        </w:rPr>
        <w:t>潜在的造成集中冲击的概率亦较小，全球</w:t>
      </w:r>
      <w:proofErr w:type="gramStart"/>
      <w:r>
        <w:rPr>
          <w:rFonts w:ascii="思源黑体 CN Light" w:eastAsia="思源黑体 CN Light" w:hAnsi="思源黑体 CN Light" w:cs="Times New Roman" w:hint="eastAsia"/>
          <w:color w:val="000000" w:themeColor="text1"/>
          <w:sz w:val="21"/>
          <w:szCs w:val="20"/>
        </w:rPr>
        <w:t>锑</w:t>
      </w:r>
      <w:proofErr w:type="gramEnd"/>
      <w:r>
        <w:rPr>
          <w:rFonts w:ascii="思源黑体 CN Light" w:eastAsia="思源黑体 CN Light" w:hAnsi="思源黑体 CN Light" w:cs="Times New Roman" w:hint="eastAsia"/>
          <w:color w:val="000000" w:themeColor="text1"/>
          <w:sz w:val="21"/>
          <w:szCs w:val="20"/>
        </w:rPr>
        <w:t>供需有望持续向好。在出口逐步恢复、进口显著缩减的背景下，叠加下游光伏抢装和玻璃涨价的大趋势，</w:t>
      </w:r>
      <w:proofErr w:type="gramStart"/>
      <w:r>
        <w:rPr>
          <w:rFonts w:ascii="思源黑体 CN Light" w:eastAsia="思源黑体 CN Light" w:hAnsi="思源黑体 CN Light" w:cs="Times New Roman" w:hint="eastAsia"/>
          <w:color w:val="000000" w:themeColor="text1"/>
          <w:sz w:val="21"/>
          <w:szCs w:val="20"/>
        </w:rPr>
        <w:t>锑作为</w:t>
      </w:r>
      <w:proofErr w:type="gramEnd"/>
      <w:r>
        <w:rPr>
          <w:rFonts w:ascii="思源黑体 CN Light" w:eastAsia="思源黑体 CN Light" w:hAnsi="思源黑体 CN Light" w:cs="Times New Roman" w:hint="eastAsia"/>
          <w:color w:val="000000" w:themeColor="text1"/>
          <w:sz w:val="21"/>
          <w:szCs w:val="20"/>
        </w:rPr>
        <w:t>玻璃辅料或拥有较高的顺价空间。</w:t>
      </w:r>
      <w:proofErr w:type="gramStart"/>
      <w:r>
        <w:rPr>
          <w:rFonts w:ascii="思源黑体 CN Light" w:eastAsia="思源黑体 CN Light" w:hAnsi="思源黑体 CN Light" w:cs="Times New Roman" w:hint="eastAsia"/>
          <w:color w:val="000000" w:themeColor="text1"/>
          <w:sz w:val="21"/>
          <w:szCs w:val="20"/>
        </w:rPr>
        <w:t>锑在创</w:t>
      </w:r>
      <w:proofErr w:type="gramEnd"/>
      <w:r>
        <w:rPr>
          <w:rFonts w:ascii="思源黑体 CN Light" w:eastAsia="思源黑体 CN Light" w:hAnsi="思源黑体 CN Light" w:cs="Times New Roman" w:hint="eastAsia"/>
          <w:color w:val="000000" w:themeColor="text1"/>
          <w:sz w:val="21"/>
          <w:szCs w:val="20"/>
        </w:rPr>
        <w:t>历史新高后，价格仍有望超预期。</w:t>
      </w:r>
    </w:p>
    <w:p w14:paraId="21E7C71C" w14:textId="77777777" w:rsidR="00267E85" w:rsidRDefault="00267E85">
      <w:pPr>
        <w:tabs>
          <w:tab w:val="left" w:pos="5594"/>
        </w:tabs>
        <w:ind w:firstLineChars="200" w:firstLine="420"/>
        <w:rPr>
          <w:rFonts w:ascii="思源黑体 CN Light" w:eastAsia="思源黑体 CN Light" w:hAnsi="思源黑体 CN Light" w:cs="Times New Roman" w:hint="eastAsia"/>
          <w:color w:val="000000"/>
          <w:sz w:val="21"/>
          <w:szCs w:val="20"/>
          <w:shd w:val="clear" w:color="auto" w:fill="FFFFFF"/>
        </w:rPr>
      </w:pPr>
    </w:p>
    <w:bookmarkEnd w:id="1"/>
    <w:p w14:paraId="53CE30A6" w14:textId="77777777" w:rsidR="00267E85" w:rsidRDefault="006A43CC">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b/>
          <w:bCs/>
          <w:sz w:val="22"/>
          <w:szCs w:val="24"/>
        </w:rPr>
        <w:t>三、本周展望</w:t>
      </w:r>
    </w:p>
    <w:p w14:paraId="282D21FA" w14:textId="77777777" w:rsidR="00267E85" w:rsidRDefault="006A43CC">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上周权益市场情绪回暖，各大指数普涨。从行业结构上来看，有色、军工、计算机等板块涨幅靠前，地产、综合、石油石化等板块则相对疲软。</w:t>
      </w:r>
    </w:p>
    <w:p w14:paraId="667D4D35" w14:textId="77777777" w:rsidR="00267E85" w:rsidRDefault="006A43CC">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2025年“两会”于上周召开，从《政府工作报告》对总量的定调来看，整体符合市场预期。报告明确指出， 2025年GDP增长目标为5%左右，赤字率设定为4%。货币政策基调延续“适度宽松”，并提到将</w:t>
      </w:r>
      <w:proofErr w:type="gramStart"/>
      <w:r>
        <w:rPr>
          <w:rFonts w:ascii="思源黑体 CN Light" w:eastAsia="思源黑体 CN Light" w:hAnsi="思源黑体 CN Light" w:cs="Times New Roman" w:hint="eastAsia"/>
          <w:color w:val="000000"/>
          <w:sz w:val="21"/>
          <w:szCs w:val="20"/>
          <w:shd w:val="clear" w:color="auto" w:fill="FFFFFF"/>
        </w:rPr>
        <w:t>适时降准降息</w:t>
      </w:r>
      <w:proofErr w:type="gramEnd"/>
      <w:r>
        <w:rPr>
          <w:rFonts w:ascii="思源黑体 CN Light" w:eastAsia="思源黑体 CN Light" w:hAnsi="思源黑体 CN Light" w:cs="Times New Roman" w:hint="eastAsia"/>
          <w:color w:val="000000"/>
          <w:sz w:val="21"/>
          <w:szCs w:val="20"/>
          <w:shd w:val="clear" w:color="auto" w:fill="FFFFFF"/>
        </w:rPr>
        <w:t>，以保持流动性充裕。在政策结构方面，消费和科技位列十大工作重点的前两位，后续预计将有更多消费和科技领域的政策细则持续出台。</w:t>
      </w:r>
    </w:p>
    <w:p w14:paraId="7007DED7" w14:textId="2D930919" w:rsidR="00267E85" w:rsidRDefault="006A43CC">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整体来看，“两会”在政策端的内容符合市场预期，延续了持续提振经济的态势，同时也留有余力以对</w:t>
      </w:r>
      <w:proofErr w:type="gramStart"/>
      <w:r>
        <w:rPr>
          <w:rFonts w:ascii="思源黑体 CN Light" w:eastAsia="思源黑体 CN Light" w:hAnsi="思源黑体 CN Light" w:cs="Times New Roman" w:hint="eastAsia"/>
          <w:color w:val="000000"/>
          <w:sz w:val="21"/>
          <w:szCs w:val="20"/>
          <w:shd w:val="clear" w:color="auto" w:fill="FFFFFF"/>
        </w:rPr>
        <w:t>冲海外</w:t>
      </w:r>
      <w:proofErr w:type="gramEnd"/>
      <w:r>
        <w:rPr>
          <w:rFonts w:ascii="思源黑体 CN Light" w:eastAsia="思源黑体 CN Light" w:hAnsi="思源黑体 CN Light" w:cs="Times New Roman" w:hint="eastAsia"/>
          <w:color w:val="000000"/>
          <w:sz w:val="21"/>
          <w:szCs w:val="20"/>
          <w:shd w:val="clear" w:color="auto" w:fill="FFFFFF"/>
        </w:rPr>
        <w:t>政策的不确定性。总量政策的转向以及宏观经济的底部企稳，为市场创造了整体向好的大环境。中国科技成长</w:t>
      </w:r>
      <w:r>
        <w:rPr>
          <w:rFonts w:ascii="思源黑体 CN Light" w:eastAsia="思源黑体 CN Light" w:hAnsi="思源黑体 CN Light" w:cs="Times New Roman" w:hint="eastAsia"/>
          <w:color w:val="000000"/>
          <w:sz w:val="21"/>
          <w:szCs w:val="20"/>
          <w:shd w:val="clear" w:color="auto" w:fill="FFFFFF"/>
        </w:rPr>
        <w:lastRenderedPageBreak/>
        <w:t>带来的资产重估逻辑仍在持续演绎，我们看好市场在中期维度上的向上趋势。在展望弹性的同时，</w:t>
      </w:r>
      <w:proofErr w:type="gramStart"/>
      <w:r>
        <w:rPr>
          <w:rFonts w:ascii="思源黑体 CN Light" w:eastAsia="思源黑体 CN Light" w:hAnsi="思源黑体 CN Light" w:cs="Times New Roman" w:hint="eastAsia"/>
          <w:color w:val="000000"/>
          <w:sz w:val="21"/>
          <w:szCs w:val="20"/>
          <w:shd w:val="clear" w:color="auto" w:fill="FFFFFF"/>
        </w:rPr>
        <w:t>当下要</w:t>
      </w:r>
      <w:proofErr w:type="gramEnd"/>
      <w:r>
        <w:rPr>
          <w:rFonts w:ascii="思源黑体 CN Light" w:eastAsia="思源黑体 CN Light" w:hAnsi="思源黑体 CN Light" w:cs="Times New Roman" w:hint="eastAsia"/>
          <w:color w:val="000000"/>
          <w:sz w:val="21"/>
          <w:szCs w:val="20"/>
          <w:shd w:val="clear" w:color="auto" w:fill="FFFFFF"/>
        </w:rPr>
        <w:t>注重未来一到两个季度有产业进展或者业绩落地的公司。</w:t>
      </w:r>
    </w:p>
    <w:p w14:paraId="78FCD038" w14:textId="77777777" w:rsidR="00267E85" w:rsidRDefault="006A43CC">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hint="eastAsia"/>
          <w:color w:val="000000"/>
          <w:sz w:val="21"/>
          <w:szCs w:val="20"/>
          <w:shd w:val="clear" w:color="auto" w:fill="FFFFFF"/>
        </w:rPr>
        <w:t>行业重点关注：1、成长赛道，如国产AI产业链、半导体、医药等板块；2、底部区间有拐点预期板块，如证券、电新、消费等。</w:t>
      </w:r>
    </w:p>
    <w:p w14:paraId="15CCE6C3" w14:textId="77777777" w:rsidR="00267E85" w:rsidRDefault="006A43CC">
      <w:pPr>
        <w:ind w:firstLineChars="200" w:firstLine="428"/>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b/>
          <w:bCs/>
          <w:sz w:val="21"/>
          <w:szCs w:val="24"/>
        </w:rPr>
        <w:t>风险提示</w:t>
      </w:r>
      <w:r>
        <w:rPr>
          <w:rFonts w:ascii="思源黑体 CN Light" w:eastAsia="思源黑体 CN Light" w:hAnsi="思源黑体 CN Light" w:cs="Times New Roman" w:hint="eastAsia"/>
          <w:b/>
          <w:bCs/>
          <w:sz w:val="21"/>
          <w:szCs w:val="24"/>
        </w:rPr>
        <w:t>：</w:t>
      </w:r>
    </w:p>
    <w:p w14:paraId="70BD8866" w14:textId="77777777" w:rsidR="00267E85" w:rsidRDefault="006A43CC">
      <w:pPr>
        <w:ind w:firstLineChars="200" w:firstLine="420"/>
        <w:rPr>
          <w:rFonts w:ascii="思源黑体 CN Light" w:eastAsia="思源黑体 CN Light" w:hAnsi="思源黑体 CN Light" w:cs="Times New Roman" w:hint="eastAsia"/>
          <w:color w:val="000000"/>
          <w:sz w:val="21"/>
          <w:szCs w:val="20"/>
          <w:shd w:val="clear" w:color="auto" w:fill="FFFFFF"/>
        </w:rPr>
      </w:pPr>
      <w:r>
        <w:rPr>
          <w:rFonts w:ascii="思源黑体 CN Light" w:eastAsia="思源黑体 CN Light" w:hAnsi="思源黑体 CN Light" w:cs="Times New Roman"/>
          <w:color w:val="000000"/>
          <w:sz w:val="21"/>
          <w:szCs w:val="20"/>
          <w:shd w:val="clear" w:color="auto" w:fill="FFFFFF"/>
        </w:rPr>
        <w:t>1、宏观经济超预期下行；</w:t>
      </w:r>
      <w:r>
        <w:rPr>
          <w:rFonts w:ascii="思源黑体 CN Light" w:eastAsia="思源黑体 CN Light" w:hAnsi="思源黑体 CN Light" w:cs="Times New Roman" w:hint="eastAsia"/>
          <w:color w:val="000000"/>
          <w:sz w:val="21"/>
          <w:szCs w:val="20"/>
          <w:shd w:val="clear" w:color="auto" w:fill="FFFFFF"/>
        </w:rPr>
        <w:t>2</w:t>
      </w:r>
      <w:r>
        <w:rPr>
          <w:rFonts w:ascii="思源黑体 CN Light" w:eastAsia="思源黑体 CN Light" w:hAnsi="思源黑体 CN Light" w:cs="Times New Roman"/>
          <w:color w:val="000000"/>
          <w:sz w:val="21"/>
          <w:szCs w:val="20"/>
          <w:shd w:val="clear" w:color="auto" w:fill="FFFFFF"/>
        </w:rPr>
        <w:t>、上市公司业绩大幅下滑；</w:t>
      </w:r>
      <w:r>
        <w:rPr>
          <w:rFonts w:ascii="思源黑体 CN Light" w:eastAsia="思源黑体 CN Light" w:hAnsi="思源黑体 CN Light" w:cs="Times New Roman" w:hint="eastAsia"/>
          <w:color w:val="000000"/>
          <w:sz w:val="21"/>
          <w:szCs w:val="20"/>
          <w:shd w:val="clear" w:color="auto" w:fill="FFFFFF"/>
        </w:rPr>
        <w:t>3</w:t>
      </w:r>
      <w:r>
        <w:rPr>
          <w:rFonts w:ascii="思源黑体 CN Light" w:eastAsia="思源黑体 CN Light" w:hAnsi="思源黑体 CN Light" w:cs="Times New Roman"/>
          <w:color w:val="000000"/>
          <w:sz w:val="21"/>
          <w:szCs w:val="20"/>
          <w:shd w:val="clear" w:color="auto" w:fill="FFFFFF"/>
        </w:rPr>
        <w:t>、政策不及预期</w:t>
      </w:r>
      <w:r>
        <w:rPr>
          <w:rFonts w:ascii="思源黑体 CN Light" w:eastAsia="思源黑体 CN Light" w:hAnsi="思源黑体 CN Light" w:cs="Times New Roman" w:hint="eastAsia"/>
          <w:color w:val="000000"/>
          <w:sz w:val="21"/>
          <w:szCs w:val="20"/>
          <w:shd w:val="clear" w:color="auto" w:fill="FFFFFF"/>
        </w:rPr>
        <w:t>。</w:t>
      </w:r>
    </w:p>
    <w:p w14:paraId="3226AEC9" w14:textId="77777777" w:rsidR="00267E85" w:rsidRDefault="00267E85">
      <w:pPr>
        <w:rPr>
          <w:rFonts w:ascii="思源黑体 CN Light" w:eastAsia="思源黑体 CN Light" w:hAnsi="思源黑体 CN Light" w:cs="Times New Roman" w:hint="eastAsia"/>
          <w:color w:val="000000"/>
          <w:sz w:val="21"/>
          <w:szCs w:val="20"/>
          <w:shd w:val="clear" w:color="auto" w:fill="FFFFFF"/>
        </w:rPr>
      </w:pPr>
    </w:p>
    <w:p w14:paraId="110C2712" w14:textId="77777777" w:rsidR="00267E85" w:rsidRDefault="00267E85">
      <w:pPr>
        <w:pStyle w:val="af4"/>
        <w:ind w:firstLineChars="0" w:firstLine="0"/>
        <w:rPr>
          <w:rFonts w:ascii="思源黑体 CN Light" w:eastAsia="思源黑体 CN Light" w:hAnsi="思源黑体 CN Light" w:cs="Times New Roman" w:hint="eastAsia"/>
          <w:sz w:val="20"/>
          <w:szCs w:val="20"/>
        </w:rPr>
      </w:pPr>
    </w:p>
    <w:p w14:paraId="1A438D0C" w14:textId="77777777" w:rsidR="00267E85" w:rsidRDefault="006A43CC">
      <w:pPr>
        <w:ind w:firstLineChars="200" w:firstLine="360"/>
        <w:rPr>
          <w:rFonts w:hint="eastAsia"/>
        </w:rPr>
      </w:pPr>
      <w:r>
        <w:rPr>
          <w:rFonts w:ascii="思源黑体 CN Light" w:eastAsia="思源黑体 CN Light" w:hAnsi="思源黑体 CN Light" w:hint="eastAsia"/>
          <w:sz w:val="18"/>
          <w:szCs w:val="15"/>
        </w:rPr>
        <w:t>风险提示：</w:t>
      </w:r>
      <w:r>
        <w:rPr>
          <w:rFonts w:ascii="思源黑体 CN Light" w:eastAsia="思源黑体 CN Light" w:hAnsi="思源黑体 CN Light"/>
          <w:sz w:val="18"/>
          <w:szCs w:val="15"/>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w:t>
      </w:r>
      <w:proofErr w:type="gramStart"/>
      <w:r>
        <w:rPr>
          <w:rFonts w:ascii="思源黑体 CN Light" w:eastAsia="思源黑体 CN Light" w:hAnsi="思源黑体 CN Light"/>
          <w:sz w:val="18"/>
          <w:szCs w:val="15"/>
        </w:rPr>
        <w:t>作出</w:t>
      </w:r>
      <w:proofErr w:type="gramEnd"/>
      <w:r>
        <w:rPr>
          <w:rFonts w:ascii="思源黑体 CN Light" w:eastAsia="思源黑体 CN Light" w:hAnsi="思源黑体 CN Light"/>
          <w:sz w:val="18"/>
          <w:szCs w:val="15"/>
        </w:rPr>
        <w:t>调整。2、本材料中的资料、观点和预测等仅供参考，在任何时候均不构成对任何人的个人推荐。市场有风险，投资需谨慎。</w:t>
      </w:r>
      <w:bookmarkEnd w:id="0"/>
    </w:p>
    <w:p w14:paraId="2C86BEFB" w14:textId="77777777" w:rsidR="00267E85" w:rsidRDefault="00267E85">
      <w:pPr>
        <w:rPr>
          <w:rFonts w:hint="eastAsia"/>
        </w:rPr>
      </w:pPr>
    </w:p>
    <w:p w14:paraId="485970CF" w14:textId="77777777" w:rsidR="00267E85" w:rsidRDefault="00267E85">
      <w:pPr>
        <w:rPr>
          <w:rFonts w:hint="eastAsia"/>
        </w:rPr>
      </w:pPr>
    </w:p>
    <w:sectPr w:rsidR="00267E85">
      <w:headerReference w:type="default" r:id="rId8"/>
      <w:footerReference w:type="default" r:id="rId9"/>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EA415C" w14:textId="77777777" w:rsidR="00D52973" w:rsidRDefault="00D52973">
      <w:pPr>
        <w:spacing w:line="240" w:lineRule="auto"/>
        <w:rPr>
          <w:rFonts w:hint="eastAsia"/>
        </w:rPr>
      </w:pPr>
      <w:r>
        <w:separator/>
      </w:r>
    </w:p>
  </w:endnote>
  <w:endnote w:type="continuationSeparator" w:id="0">
    <w:p w14:paraId="4D4C7DB2" w14:textId="77777777" w:rsidR="00D52973" w:rsidRDefault="00D52973">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8375F5" w14:textId="77777777" w:rsidR="00267E85" w:rsidRDefault="006A43CC">
    <w:pPr>
      <w:pStyle w:val="a5"/>
      <w:tabs>
        <w:tab w:val="center" w:pos="5102"/>
        <w:tab w:val="left" w:pos="6847"/>
      </w:tabs>
      <w:rPr>
        <w:rFonts w:hint="eastAsia"/>
      </w:rPr>
    </w:pPr>
    <w:r>
      <w:tab/>
    </w:r>
    <w:r>
      <w:tab/>
    </w:r>
    <w:sdt>
      <w:sdtPr>
        <w:id w:val="1107850672"/>
      </w:sdtPr>
      <w:sdtContent>
        <w:sdt>
          <w:sdtPr>
            <w:id w:val="1728636285"/>
          </w:sdt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72541C">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72541C">
              <w:rPr>
                <w:b/>
                <w:bCs/>
                <w:noProof/>
              </w:rPr>
              <w:t>4</w:t>
            </w:r>
            <w:r>
              <w:rPr>
                <w:b/>
                <w:bCs/>
                <w:sz w:val="24"/>
                <w:szCs w:val="24"/>
              </w:rPr>
              <w:fldChar w:fldCharType="end"/>
            </w:r>
          </w:sdtContent>
        </w:sdt>
      </w:sdtContent>
    </w:sdt>
    <w:r>
      <w:tab/>
    </w:r>
  </w:p>
  <w:p w14:paraId="6E50FDAF" w14:textId="77777777" w:rsidR="00267E85" w:rsidRDefault="00267E85">
    <w:pPr>
      <w:pStyle w:val="a5"/>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C83F46" w14:textId="77777777" w:rsidR="00D52973" w:rsidRDefault="00D52973">
      <w:pPr>
        <w:rPr>
          <w:rFonts w:hint="eastAsia"/>
        </w:rPr>
      </w:pPr>
      <w:r>
        <w:separator/>
      </w:r>
    </w:p>
  </w:footnote>
  <w:footnote w:type="continuationSeparator" w:id="0">
    <w:p w14:paraId="67572B46" w14:textId="77777777" w:rsidR="00D52973" w:rsidRDefault="00D52973">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e"/>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267E85" w14:paraId="387CFF3D" w14:textId="77777777">
      <w:trPr>
        <w:trHeight w:val="424"/>
      </w:trPr>
      <w:tc>
        <w:tcPr>
          <w:tcW w:w="3652" w:type="dxa"/>
          <w:shd w:val="clear" w:color="auto" w:fill="F3F3F3"/>
          <w:vAlign w:val="center"/>
        </w:tcPr>
        <w:p w14:paraId="34071710" w14:textId="77777777" w:rsidR="00267E85" w:rsidRDefault="006A43CC">
          <w:pPr>
            <w:pStyle w:val="a7"/>
            <w:pBdr>
              <w:bottom w:val="none" w:sz="0" w:space="0" w:color="auto"/>
            </w:pBdr>
            <w:jc w:val="right"/>
            <w:rPr>
              <w:kern w:val="0"/>
            </w:rPr>
          </w:pPr>
          <w:r>
            <w:rPr>
              <w:rFonts w:hint="eastAsia"/>
              <w:kern w:val="0"/>
            </w:rPr>
            <w:t>证券研究报告</w:t>
          </w:r>
        </w:p>
      </w:tc>
      <w:tc>
        <w:tcPr>
          <w:tcW w:w="284" w:type="dxa"/>
          <w:shd w:val="clear" w:color="auto" w:fill="C3E2F4"/>
        </w:tcPr>
        <w:p w14:paraId="0F0C88AC" w14:textId="77777777" w:rsidR="00267E85" w:rsidRDefault="00267E85">
          <w:pPr>
            <w:pStyle w:val="a7"/>
            <w:pBdr>
              <w:bottom w:val="none" w:sz="0" w:space="0" w:color="auto"/>
            </w:pBdr>
            <w:jc w:val="left"/>
            <w:rPr>
              <w:kern w:val="0"/>
            </w:rPr>
          </w:pPr>
        </w:p>
      </w:tc>
      <w:tc>
        <w:tcPr>
          <w:tcW w:w="2335" w:type="dxa"/>
          <w:shd w:val="clear" w:color="auto" w:fill="013F98"/>
          <w:vAlign w:val="center"/>
        </w:tcPr>
        <w:p w14:paraId="6EE3E960" w14:textId="77777777" w:rsidR="00267E85" w:rsidRDefault="006A43CC">
          <w:pPr>
            <w:pStyle w:val="a7"/>
            <w:pBdr>
              <w:bottom w:val="none" w:sz="0" w:space="0" w:color="auto"/>
            </w:pBdr>
            <w:rPr>
              <w:kern w:val="0"/>
            </w:rPr>
          </w:pPr>
          <w:r>
            <w:rPr>
              <w:rFonts w:hint="eastAsia"/>
              <w:kern w:val="0"/>
            </w:rPr>
            <w:t>权益周报</w:t>
          </w:r>
        </w:p>
      </w:tc>
    </w:tr>
  </w:tbl>
  <w:p w14:paraId="2E588846" w14:textId="77777777" w:rsidR="00267E85" w:rsidRDefault="006A43CC">
    <w:pPr>
      <w:pStyle w:val="a7"/>
      <w:pBdr>
        <w:bottom w:val="single" w:sz="6" w:space="0" w:color="auto"/>
      </w:pBdr>
      <w:tabs>
        <w:tab w:val="clear" w:pos="4153"/>
        <w:tab w:val="clear" w:pos="8306"/>
        <w:tab w:val="left" w:pos="4673"/>
        <w:tab w:val="left" w:pos="8341"/>
      </w:tabs>
      <w:ind w:leftChars="-337" w:left="-809" w:rightChars="-770" w:right="-1848" w:firstLineChars="300" w:firstLine="540"/>
      <w:jc w:val="left"/>
      <w:rPr>
        <w:rFonts w:hint="eastAsia"/>
      </w:rPr>
    </w:pPr>
    <w:r>
      <w:rPr>
        <w:noProof/>
      </w:rPr>
      <w:drawing>
        <wp:inline distT="0" distB="0" distL="0" distR="0" wp14:anchorId="318DEE26" wp14:editId="2CF5E3A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F51C9"/>
    <w:rsid w:val="00003C70"/>
    <w:rsid w:val="00044E32"/>
    <w:rsid w:val="00267E85"/>
    <w:rsid w:val="002F63B0"/>
    <w:rsid w:val="003F0AE8"/>
    <w:rsid w:val="004143E0"/>
    <w:rsid w:val="004F408D"/>
    <w:rsid w:val="005F51C9"/>
    <w:rsid w:val="00607497"/>
    <w:rsid w:val="006A43CC"/>
    <w:rsid w:val="0072541C"/>
    <w:rsid w:val="00852735"/>
    <w:rsid w:val="009D321F"/>
    <w:rsid w:val="00C53BE0"/>
    <w:rsid w:val="00D52973"/>
    <w:rsid w:val="00DC607E"/>
    <w:rsid w:val="00E74BE2"/>
    <w:rsid w:val="00ED46BC"/>
    <w:rsid w:val="00F2297D"/>
    <w:rsid w:val="00F514A1"/>
    <w:rsid w:val="08F61B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05DACA"/>
  <w15:docId w15:val="{F14A6086-FF0F-4762-959E-33D15B0347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0"/>
    <w:uiPriority w:val="9"/>
    <w:qFormat/>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unhideWhenUsed/>
    <w:qFormat/>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pPr>
      <w:keepNext/>
      <w:keepLines/>
      <w:spacing w:before="80" w:after="40" w:line="278" w:lineRule="auto"/>
      <w:jc w:val="left"/>
      <w:outlineLvl w:val="4"/>
    </w:pPr>
    <w:rPr>
      <w:rFonts w:cstheme="majorBidi"/>
      <w:color w:val="0F4761" w:themeColor="accent1" w:themeShade="BF"/>
      <w:szCs w:val="24"/>
      <w14:ligatures w14:val="standardContextual"/>
    </w:rPr>
  </w:style>
  <w:style w:type="paragraph" w:styleId="6">
    <w:name w:val="heading 6"/>
    <w:basedOn w:val="a"/>
    <w:next w:val="a"/>
    <w:link w:val="60"/>
    <w:uiPriority w:val="9"/>
    <w:semiHidden/>
    <w:unhideWhenUsed/>
    <w:qFormat/>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pPr>
      <w:jc w:val="left"/>
    </w:p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Subtitle"/>
    <w:basedOn w:val="a"/>
    <w:next w:val="a"/>
    <w:link w:val="aa"/>
    <w:uiPriority w:val="11"/>
    <w:qFormat/>
    <w:p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paragraph" w:styleId="ab">
    <w:name w:val="Normal (Web)"/>
    <w:basedOn w:val="a"/>
    <w:uiPriority w:val="99"/>
    <w:semiHidden/>
    <w:unhideWhenUsed/>
    <w:qFormat/>
    <w:rPr>
      <w:rFonts w:ascii="Times New Roman" w:hAnsi="Times New Roman" w:cs="Times New Roman"/>
      <w:szCs w:val="24"/>
    </w:rPr>
  </w:style>
  <w:style w:type="paragraph" w:styleId="ac">
    <w:name w:val="Title"/>
    <w:basedOn w:val="a"/>
    <w:next w:val="a"/>
    <w:link w:val="ad"/>
    <w:uiPriority w:val="10"/>
    <w:qFormat/>
    <w:pPr>
      <w:spacing w:after="80" w:line="240" w:lineRule="auto"/>
      <w:contextualSpacing/>
      <w:jc w:val="center"/>
    </w:pPr>
    <w:rPr>
      <w:rFonts w:asciiTheme="majorHAnsi" w:eastAsiaTheme="majorEastAsia" w:hAnsiTheme="majorHAnsi" w:cstheme="majorBidi"/>
      <w:spacing w:val="-10"/>
      <w:kern w:val="28"/>
      <w:sz w:val="56"/>
      <w:szCs w:val="56"/>
      <w14:ligatures w14:val="standardContextual"/>
    </w:rPr>
  </w:style>
  <w:style w:type="table" w:styleId="ae">
    <w:name w:val="Table Grid"/>
    <w:basedOn w:val="a1"/>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rPr>
      <w:rFonts w:cstheme="majorBidi"/>
      <w:color w:val="0F4761" w:themeColor="accent1" w:themeShade="BF"/>
      <w:sz w:val="24"/>
    </w:rPr>
  </w:style>
  <w:style w:type="character" w:customStyle="1" w:styleId="60">
    <w:name w:val="标题 6 字符"/>
    <w:basedOn w:val="a0"/>
    <w:link w:val="6"/>
    <w:uiPriority w:val="9"/>
    <w:semiHidden/>
    <w:rPr>
      <w:rFonts w:cstheme="majorBidi"/>
      <w:b/>
      <w:bCs/>
      <w:color w:val="0F4761" w:themeColor="accent1" w:themeShade="BF"/>
    </w:rPr>
  </w:style>
  <w:style w:type="character" w:customStyle="1" w:styleId="70">
    <w:name w:val="标题 7 字符"/>
    <w:basedOn w:val="a0"/>
    <w:link w:val="7"/>
    <w:uiPriority w:val="9"/>
    <w:semiHidden/>
    <w:rPr>
      <w:rFonts w:cstheme="majorBidi"/>
      <w:b/>
      <w:bCs/>
      <w:color w:val="595959" w:themeColor="text1" w:themeTint="A6"/>
    </w:rPr>
  </w:style>
  <w:style w:type="character" w:customStyle="1" w:styleId="80">
    <w:name w:val="标题 8 字符"/>
    <w:basedOn w:val="a0"/>
    <w:link w:val="8"/>
    <w:uiPriority w:val="9"/>
    <w:semiHidden/>
    <w:rPr>
      <w:rFonts w:cstheme="majorBidi"/>
      <w:color w:val="595959" w:themeColor="text1" w:themeTint="A6"/>
    </w:rPr>
  </w:style>
  <w:style w:type="character" w:customStyle="1" w:styleId="90">
    <w:name w:val="标题 9 字符"/>
    <w:basedOn w:val="a0"/>
    <w:link w:val="9"/>
    <w:uiPriority w:val="9"/>
    <w:semiHidden/>
    <w:rPr>
      <w:rFonts w:eastAsiaTheme="majorEastAsia" w:cstheme="majorBidi"/>
      <w:color w:val="595959" w:themeColor="text1" w:themeTint="A6"/>
    </w:rPr>
  </w:style>
  <w:style w:type="character" w:customStyle="1" w:styleId="ad">
    <w:name w:val="标题 字符"/>
    <w:basedOn w:val="a0"/>
    <w:link w:val="ac"/>
    <w:uiPriority w:val="10"/>
    <w:rPr>
      <w:rFonts w:asciiTheme="majorHAnsi" w:eastAsiaTheme="majorEastAsia" w:hAnsiTheme="majorHAnsi" w:cstheme="majorBidi"/>
      <w:spacing w:val="-10"/>
      <w:kern w:val="28"/>
      <w:sz w:val="56"/>
      <w:szCs w:val="56"/>
    </w:rPr>
  </w:style>
  <w:style w:type="character" w:customStyle="1" w:styleId="aa">
    <w:name w:val="副标题 字符"/>
    <w:basedOn w:val="a0"/>
    <w:link w:val="a9"/>
    <w:uiPriority w:val="11"/>
    <w:qFormat/>
    <w:rPr>
      <w:rFonts w:asciiTheme="majorHAnsi" w:eastAsiaTheme="majorEastAsia" w:hAnsiTheme="majorHAnsi" w:cstheme="majorBidi"/>
      <w:color w:val="595959" w:themeColor="text1" w:themeTint="A6"/>
      <w:spacing w:val="15"/>
      <w:sz w:val="28"/>
      <w:szCs w:val="28"/>
    </w:rPr>
  </w:style>
  <w:style w:type="paragraph" w:styleId="af">
    <w:name w:val="Quote"/>
    <w:basedOn w:val="a"/>
    <w:next w:val="a"/>
    <w:link w:val="af0"/>
    <w:uiPriority w:val="29"/>
    <w:qFormat/>
    <w:pPr>
      <w:spacing w:before="160" w:after="160" w:line="278" w:lineRule="auto"/>
      <w:jc w:val="center"/>
    </w:pPr>
    <w:rPr>
      <w:i/>
      <w:iCs/>
      <w:color w:val="404040" w:themeColor="text1" w:themeTint="BF"/>
      <w:sz w:val="22"/>
      <w:szCs w:val="24"/>
      <w14:ligatures w14:val="standardContextual"/>
    </w:rPr>
  </w:style>
  <w:style w:type="character" w:customStyle="1" w:styleId="af0">
    <w:name w:val="引用 字符"/>
    <w:basedOn w:val="a0"/>
    <w:link w:val="af"/>
    <w:uiPriority w:val="29"/>
    <w:qFormat/>
    <w:rPr>
      <w:i/>
      <w:iCs/>
      <w:color w:val="404040" w:themeColor="text1" w:themeTint="BF"/>
    </w:rPr>
  </w:style>
  <w:style w:type="paragraph" w:styleId="af1">
    <w:name w:val="List Paragraph"/>
    <w:basedOn w:val="a"/>
    <w:uiPriority w:val="34"/>
    <w:qFormat/>
    <w:pPr>
      <w:spacing w:after="160" w:line="278" w:lineRule="auto"/>
      <w:ind w:left="720"/>
      <w:contextualSpacing/>
      <w:jc w:val="left"/>
    </w:pPr>
    <w:rPr>
      <w:sz w:val="22"/>
      <w:szCs w:val="24"/>
      <w14:ligatures w14:val="standardContextual"/>
    </w:rPr>
  </w:style>
  <w:style w:type="character" w:customStyle="1" w:styleId="11">
    <w:name w:val="明显强调1"/>
    <w:basedOn w:val="a0"/>
    <w:uiPriority w:val="21"/>
    <w:qFormat/>
    <w:rPr>
      <w:i/>
      <w:iCs/>
      <w:color w:val="0F4761" w:themeColor="accent1" w:themeShade="BF"/>
    </w:rPr>
  </w:style>
  <w:style w:type="paragraph" w:styleId="af2">
    <w:name w:val="Intense Quote"/>
    <w:basedOn w:val="a"/>
    <w:next w:val="a"/>
    <w:link w:val="af3"/>
    <w:uiPriority w:val="30"/>
    <w:qFormat/>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af3">
    <w:name w:val="明显引用 字符"/>
    <w:basedOn w:val="a0"/>
    <w:link w:val="af2"/>
    <w:uiPriority w:val="30"/>
    <w:qFormat/>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6">
    <w:name w:val="页脚 字符"/>
    <w:basedOn w:val="a0"/>
    <w:link w:val="a5"/>
    <w:uiPriority w:val="99"/>
    <w:qFormat/>
    <w:rPr>
      <w:sz w:val="18"/>
      <w:szCs w:val="18"/>
      <w14:ligatures w14:val="none"/>
    </w:rPr>
  </w:style>
  <w:style w:type="character" w:customStyle="1" w:styleId="a8">
    <w:name w:val="页眉 字符"/>
    <w:basedOn w:val="a0"/>
    <w:link w:val="a7"/>
    <w:uiPriority w:val="99"/>
    <w:qFormat/>
    <w:rPr>
      <w:sz w:val="18"/>
      <w:szCs w:val="18"/>
      <w14:ligatures w14:val="none"/>
    </w:rPr>
  </w:style>
  <w:style w:type="paragraph" w:styleId="af4">
    <w:name w:val="No Spacing"/>
    <w:basedOn w:val="ab"/>
    <w:link w:val="af5"/>
    <w:uiPriority w:val="1"/>
    <w:qFormat/>
    <w:pPr>
      <w:widowControl/>
      <w:shd w:val="clear" w:color="auto" w:fill="FFFFFF"/>
      <w:ind w:firstLineChars="200" w:firstLine="200"/>
      <w:jc w:val="left"/>
    </w:pPr>
    <w:rPr>
      <w:rFonts w:asciiTheme="minorHAnsi" w:hAnsiTheme="minorHAnsi" w:cstheme="minorBidi"/>
      <w:kern w:val="0"/>
      <w:szCs w:val="22"/>
    </w:rPr>
  </w:style>
  <w:style w:type="character" w:customStyle="1" w:styleId="af5">
    <w:name w:val="无间隔 字符"/>
    <w:basedOn w:val="a0"/>
    <w:link w:val="af4"/>
    <w:uiPriority w:val="1"/>
    <w:qFormat/>
    <w:rPr>
      <w:kern w:val="0"/>
      <w:sz w:val="24"/>
      <w:szCs w:val="22"/>
      <w:shd w:val="clear" w:color="auto" w:fill="FFFFFF"/>
      <w14:ligatures w14:val="none"/>
    </w:rPr>
  </w:style>
  <w:style w:type="character" w:styleId="af6">
    <w:name w:val="annotation reference"/>
    <w:basedOn w:val="a0"/>
    <w:uiPriority w:val="99"/>
    <w:semiHidden/>
    <w:unhideWhenUsed/>
    <w:rPr>
      <w:sz w:val="21"/>
      <w:szCs w:val="21"/>
    </w:rPr>
  </w:style>
  <w:style w:type="paragraph" w:styleId="af7">
    <w:name w:val="Balloon Text"/>
    <w:basedOn w:val="a"/>
    <w:link w:val="af8"/>
    <w:uiPriority w:val="99"/>
    <w:semiHidden/>
    <w:unhideWhenUsed/>
    <w:rsid w:val="0072541C"/>
    <w:pPr>
      <w:spacing w:line="240" w:lineRule="auto"/>
    </w:pPr>
    <w:rPr>
      <w:sz w:val="18"/>
      <w:szCs w:val="18"/>
    </w:rPr>
  </w:style>
  <w:style w:type="character" w:customStyle="1" w:styleId="af8">
    <w:name w:val="批注框文本 字符"/>
    <w:basedOn w:val="a0"/>
    <w:link w:val="af7"/>
    <w:uiPriority w:val="99"/>
    <w:semiHidden/>
    <w:rsid w:val="0072541C"/>
    <w:rPr>
      <w:kern w:val="2"/>
      <w:sz w:val="18"/>
      <w:szCs w:val="18"/>
    </w:rPr>
  </w:style>
  <w:style w:type="paragraph" w:styleId="af9">
    <w:name w:val="annotation subject"/>
    <w:basedOn w:val="a3"/>
    <w:next w:val="a3"/>
    <w:link w:val="afa"/>
    <w:uiPriority w:val="99"/>
    <w:semiHidden/>
    <w:unhideWhenUsed/>
    <w:rsid w:val="0072541C"/>
    <w:rPr>
      <w:b/>
      <w:bCs/>
    </w:rPr>
  </w:style>
  <w:style w:type="character" w:customStyle="1" w:styleId="a4">
    <w:name w:val="批注文字 字符"/>
    <w:basedOn w:val="a0"/>
    <w:link w:val="a3"/>
    <w:uiPriority w:val="99"/>
    <w:semiHidden/>
    <w:rsid w:val="0072541C"/>
    <w:rPr>
      <w:kern w:val="2"/>
      <w:sz w:val="24"/>
      <w:szCs w:val="22"/>
    </w:rPr>
  </w:style>
  <w:style w:type="character" w:customStyle="1" w:styleId="afa">
    <w:name w:val="批注主题 字符"/>
    <w:basedOn w:val="a4"/>
    <w:link w:val="af9"/>
    <w:uiPriority w:val="99"/>
    <w:semiHidden/>
    <w:rsid w:val="0072541C"/>
    <w:rPr>
      <w:b/>
      <w:bCs/>
      <w:kern w:val="2"/>
      <w:sz w:val="24"/>
      <w:szCs w:val="22"/>
    </w:rPr>
  </w:style>
  <w:style w:type="paragraph" w:styleId="afb">
    <w:name w:val="Revision"/>
    <w:hidden/>
    <w:uiPriority w:val="99"/>
    <w:unhideWhenUsed/>
    <w:rsid w:val="00ED46BC"/>
    <w:rPr>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4</Pages>
  <Words>321</Words>
  <Characters>1834</Characters>
  <Application>Microsoft Office Word</Application>
  <DocSecurity>0</DocSecurity>
  <Lines>15</Lines>
  <Paragraphs>4</Paragraphs>
  <ScaleCrop>false</ScaleCrop>
  <Company/>
  <LinksUpToDate>false</LinksUpToDate>
  <CharactersWithSpaces>2151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4</cp:revision>
  <dcterms:created xsi:type="dcterms:W3CDTF">2025-03-10T08:32:00Z</dcterms:created>
  <dcterms:modified xsi:type="dcterms:W3CDTF">2025-03-10T09:28:00Z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2052-12.1.0.20305</vt:lpwstr>
  </property>
  <property fmtid="{D5CDD505-2E9C-101B-9397-08002B2CF9AE}" pid="4" name="ICV">
    <vt:lpwstr>257BC71773D54E8C8B3BB419A66438CF_12</vt:lpwstr>
  </property>
</Properties>
</file>