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872472" w14:textId="77777777" w:rsidR="00230A63" w:rsidRDefault="00C82E95">
      <w:pPr>
        <w:jc w:val="center"/>
        <w:rPr>
          <w:rFonts w:ascii="思源黑体 CN Bold" w:eastAsia="思源黑体 CN Bold" w:hAnsi="思源黑体 CN Bold" w:hint="eastAsia"/>
          <w:b/>
          <w:bCs/>
          <w:sz w:val="28"/>
          <w:szCs w:val="28"/>
        </w:rPr>
      </w:pPr>
      <w:r>
        <w:rPr>
          <w:rFonts w:ascii="思源黑体 CN Bold" w:eastAsia="思源黑体 CN Bold" w:hAnsi="思源黑体 CN Bold" w:hint="eastAsia"/>
          <w:b/>
          <w:bCs/>
          <w:sz w:val="28"/>
          <w:szCs w:val="28"/>
        </w:rPr>
        <w:t>富</w:t>
      </w:r>
      <w:proofErr w:type="gramStart"/>
      <w:r>
        <w:rPr>
          <w:rFonts w:ascii="思源黑体 CN Bold" w:eastAsia="思源黑体 CN Bold" w:hAnsi="思源黑体 CN Bold" w:hint="eastAsia"/>
          <w:b/>
          <w:bCs/>
          <w:sz w:val="28"/>
          <w:szCs w:val="28"/>
        </w:rPr>
        <w:t>荣固收</w:t>
      </w:r>
      <w:proofErr w:type="gramEnd"/>
      <w:r>
        <w:rPr>
          <w:rFonts w:ascii="思源黑体 CN Bold" w:eastAsia="思源黑体 CN Bold" w:hAnsi="思源黑体 CN Bold" w:hint="eastAsia"/>
          <w:b/>
          <w:bCs/>
          <w:sz w:val="28"/>
          <w:szCs w:val="28"/>
        </w:rPr>
        <w:t>：债市或已有配置性价比</w:t>
      </w:r>
    </w:p>
    <w:p w14:paraId="258E1517" w14:textId="77777777" w:rsidR="00230A63" w:rsidRDefault="00C82E95">
      <w:pPr>
        <w:rPr>
          <w:rFonts w:ascii="思源黑体 CN Light" w:eastAsia="思源黑体 CN Light" w:hAnsi="思源黑体 CN Light" w:hint="eastAsia"/>
          <w:szCs w:val="21"/>
        </w:rPr>
      </w:pPr>
      <w:r>
        <w:rPr>
          <w:rFonts w:ascii="思源黑体 CN Light" w:eastAsia="思源黑体 CN Light" w:hAnsi="思源黑体 CN Light" w:hint="eastAsia"/>
          <w:szCs w:val="21"/>
        </w:rPr>
        <w:t>观点：</w:t>
      </w:r>
      <w:bookmarkStart w:id="0" w:name="_Toc134985519"/>
    </w:p>
    <w:p w14:paraId="56CBC781" w14:textId="77777777"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上周（</w:t>
      </w:r>
      <w:r>
        <w:rPr>
          <w:rFonts w:ascii="思源黑体 CN Light" w:eastAsia="思源黑体 CN Light" w:hAnsi="思源黑体 CN Light" w:cs="Times New Roman" w:hint="eastAsia"/>
          <w:color w:val="000000" w:themeColor="text1"/>
          <w:szCs w:val="20"/>
        </w:rPr>
        <w:t>2025年3月10日至2025年3月14日，下同</w:t>
      </w:r>
      <w:r>
        <w:rPr>
          <w:rFonts w:ascii="思源黑体 CN Light" w:eastAsia="思源黑体 CN Light" w:hAnsi="思源黑体 CN Light" w:cs="Times New Roman" w:hint="eastAsia"/>
          <w:szCs w:val="21"/>
        </w:rPr>
        <w:t>）债市宽幅震荡和高波动，博弈激烈，利率债收益率短下长上，长</w:t>
      </w:r>
      <w:proofErr w:type="gramStart"/>
      <w:r>
        <w:rPr>
          <w:rFonts w:ascii="思源黑体 CN Light" w:eastAsia="思源黑体 CN Light" w:hAnsi="思源黑体 CN Light" w:cs="Times New Roman" w:hint="eastAsia"/>
          <w:szCs w:val="21"/>
        </w:rPr>
        <w:t>端利率</w:t>
      </w:r>
      <w:proofErr w:type="gramEnd"/>
      <w:r>
        <w:rPr>
          <w:rFonts w:ascii="思源黑体 CN Light" w:eastAsia="思源黑体 CN Light" w:hAnsi="思源黑体 CN Light" w:cs="Times New Roman" w:hint="eastAsia"/>
          <w:szCs w:val="21"/>
        </w:rPr>
        <w:t>回调10BP左右。</w:t>
      </w:r>
      <w:proofErr w:type="gramStart"/>
      <w:r>
        <w:rPr>
          <w:rFonts w:ascii="思源黑体 CN Light" w:eastAsia="思源黑体 CN Light" w:hAnsi="思源黑体 CN Light" w:cs="Times New Roman" w:hint="eastAsia"/>
          <w:szCs w:val="21"/>
        </w:rPr>
        <w:t>一</w:t>
      </w:r>
      <w:proofErr w:type="gramEnd"/>
      <w:r>
        <w:rPr>
          <w:rFonts w:ascii="思源黑体 CN Light" w:eastAsia="思源黑体 CN Light" w:hAnsi="思源黑体 CN Light" w:cs="Times New Roman" w:hint="eastAsia"/>
          <w:szCs w:val="21"/>
        </w:rPr>
        <w:t>季末前后，利率或开启震荡下行，尤其是短</w:t>
      </w:r>
      <w:proofErr w:type="gramStart"/>
      <w:r>
        <w:rPr>
          <w:rFonts w:ascii="思源黑体 CN Light" w:eastAsia="思源黑体 CN Light" w:hAnsi="思源黑体 CN Light" w:cs="Times New Roman" w:hint="eastAsia"/>
          <w:szCs w:val="21"/>
        </w:rPr>
        <w:t>端利率</w:t>
      </w:r>
      <w:proofErr w:type="gramEnd"/>
      <w:r>
        <w:rPr>
          <w:rFonts w:ascii="思源黑体 CN Light" w:eastAsia="思源黑体 CN Light" w:hAnsi="思源黑体 CN Light" w:cs="Times New Roman" w:hint="eastAsia"/>
          <w:szCs w:val="21"/>
        </w:rPr>
        <w:t>下行空间可能较大。</w:t>
      </w:r>
    </w:p>
    <w:p w14:paraId="62B189E3" w14:textId="4D5BB2D4"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当前债券市场整体估值处于较为舒适的区间，尤其是1年期以内的信用债或已处于右侧交易区间，未来进一步下行的概率较大。但需继续关注</w:t>
      </w:r>
      <w:proofErr w:type="gramStart"/>
      <w:r>
        <w:rPr>
          <w:rFonts w:ascii="思源黑体 CN Light" w:eastAsia="思源黑体 CN Light" w:hAnsi="思源黑体 CN Light" w:cs="Times New Roman" w:hint="eastAsia"/>
          <w:szCs w:val="21"/>
        </w:rPr>
        <w:t>隔夜资金</w:t>
      </w:r>
      <w:proofErr w:type="gramEnd"/>
      <w:r>
        <w:rPr>
          <w:rFonts w:ascii="思源黑体 CN Light" w:eastAsia="思源黑体 CN Light" w:hAnsi="思源黑体 CN Light" w:cs="Times New Roman" w:hint="eastAsia"/>
          <w:szCs w:val="21"/>
        </w:rPr>
        <w:t>价格的走势，目前</w:t>
      </w:r>
      <w:proofErr w:type="gramStart"/>
      <w:r>
        <w:rPr>
          <w:rFonts w:ascii="思源黑体 CN Light" w:eastAsia="思源黑体 CN Light" w:hAnsi="思源黑体 CN Light" w:cs="Times New Roman" w:hint="eastAsia"/>
          <w:szCs w:val="21"/>
        </w:rPr>
        <w:t>隔夜资金</w:t>
      </w:r>
      <w:proofErr w:type="gramEnd"/>
      <w:r>
        <w:rPr>
          <w:rFonts w:ascii="思源黑体 CN Light" w:eastAsia="思源黑体 CN Light" w:hAnsi="思源黑体 CN Light" w:cs="Times New Roman" w:hint="eastAsia"/>
          <w:szCs w:val="21"/>
        </w:rPr>
        <w:t>价格基本维持在1.77%-1.81%的水平。尽管在</w:t>
      </w:r>
      <w:proofErr w:type="gramStart"/>
      <w:r>
        <w:rPr>
          <w:rFonts w:ascii="思源黑体 CN Light" w:eastAsia="思源黑体 CN Light" w:hAnsi="思源黑体 CN Light" w:cs="Times New Roman" w:hint="eastAsia"/>
          <w:szCs w:val="21"/>
        </w:rPr>
        <w:t>临近税</w:t>
      </w:r>
      <w:proofErr w:type="gramEnd"/>
      <w:r>
        <w:rPr>
          <w:rFonts w:ascii="思源黑体 CN Light" w:eastAsia="思源黑体 CN Light" w:hAnsi="思源黑体 CN Light" w:cs="Times New Roman" w:hint="eastAsia"/>
          <w:szCs w:val="21"/>
        </w:rPr>
        <w:t>期的短期阶段，</w:t>
      </w:r>
      <w:proofErr w:type="gramStart"/>
      <w:r>
        <w:rPr>
          <w:rFonts w:ascii="思源黑体 CN Light" w:eastAsia="思源黑体 CN Light" w:hAnsi="思源黑体 CN Light" w:cs="Times New Roman" w:hint="eastAsia"/>
          <w:szCs w:val="21"/>
        </w:rPr>
        <w:t>隔夜资金</w:t>
      </w:r>
      <w:proofErr w:type="gramEnd"/>
      <w:r>
        <w:rPr>
          <w:rFonts w:ascii="思源黑体 CN Light" w:eastAsia="思源黑体 CN Light" w:hAnsi="思源黑体 CN Light" w:cs="Times New Roman" w:hint="eastAsia"/>
          <w:szCs w:val="21"/>
        </w:rPr>
        <w:t>价格可能出现一定波动，但这种波动大概率不会改变债券市场整体的性价比及趋势性表现。长端及超长端债券市场表现尚不稳定，但已逐步展现出一定的性价比。从中长期视角来看，利率整体下行的趋势较为明确。短期内需要关注的主要风险因素是股票市场的波动，其可能对债市产生一定的影响。</w:t>
      </w:r>
    </w:p>
    <w:p w14:paraId="5003A421" w14:textId="77777777" w:rsidR="00230A63" w:rsidRDefault="00C82E95">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1</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热点追踪</w:t>
      </w:r>
    </w:p>
    <w:p w14:paraId="36BC5796" w14:textId="373D902C"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央行公布的最新金融数据显示，</w:t>
      </w:r>
      <w:r w:rsidR="00013915">
        <w:rPr>
          <w:rFonts w:ascii="思源黑体 CN Light" w:eastAsia="思源黑体 CN Light" w:hAnsi="思源黑体 CN Light" w:cs="Times New Roman" w:hint="eastAsia"/>
          <w:szCs w:val="21"/>
        </w:rPr>
        <w:t>我</w:t>
      </w:r>
      <w:r>
        <w:rPr>
          <w:rFonts w:ascii="思源黑体 CN Light" w:eastAsia="思源黑体 CN Light" w:hAnsi="思源黑体 CN Light" w:cs="Times New Roman" w:hint="eastAsia"/>
          <w:szCs w:val="21"/>
        </w:rPr>
        <w:t>国1-2月社会融资规模增量累计为9.29</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元，比2024年同期多1.32</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元。前两个月人民币贷款增加6.14</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元；2月末，本外币贷款余额265.6</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元，同比增长6.8%；2月末人民币贷款余额261.78</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元，同比增长7.3%。2月末，M1同比增长0.1%，前值0.4%。M2同比增长7.0%，前值7.0%，市场预期7.0%。</w:t>
      </w:r>
    </w:p>
    <w:p w14:paraId="7278E7E9" w14:textId="77439BD6"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数据基本符合预期，政府债券加速发行是支撑社会融资规模增长的主要原因，2月用于化解地方债务的置换债券发行近8000亿元。该数据超过2024年全年的三分之一，比今年1月发行量高出6000亿元以上。另外，企业债券净融资较快增长也对社会融资规模有一定支撑作用。</w:t>
      </w:r>
    </w:p>
    <w:p w14:paraId="2365CE5B" w14:textId="77777777"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lastRenderedPageBreak/>
        <w:t>对于贷款，2月是贷款小月，数据符合预期。2月新增信贷规模同比少增，其中票据融资同比多增，存在票据冲量现象，融资需求较弱。企业、居民的信贷意愿偏弱，且居民提前还贷意愿依然较高。</w:t>
      </w:r>
    </w:p>
    <w:p w14:paraId="13AA4484" w14:textId="77777777"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剔除春节效应影响，M1弱于季节性增长。2月居民较上月持平、企业存款增速小幅改善，2月M1增速回落可能反映了实体部门定存比例有所上行。对于M2，企业存款增速的改善或得益于化</w:t>
      </w:r>
      <w:proofErr w:type="gramStart"/>
      <w:r>
        <w:rPr>
          <w:rFonts w:ascii="思源黑体 CN Light" w:eastAsia="思源黑体 CN Light" w:hAnsi="思源黑体 CN Light" w:cs="Times New Roman" w:hint="eastAsia"/>
          <w:szCs w:val="21"/>
        </w:rPr>
        <w:t>债政策</w:t>
      </w:r>
      <w:proofErr w:type="gramEnd"/>
      <w:r>
        <w:rPr>
          <w:rFonts w:ascii="思源黑体 CN Light" w:eastAsia="思源黑体 CN Light" w:hAnsi="思源黑体 CN Light" w:cs="Times New Roman" w:hint="eastAsia"/>
          <w:szCs w:val="21"/>
        </w:rPr>
        <w:t>的推进。尽管2月财政存款增长整体符合季节性，2月</w:t>
      </w:r>
      <w:proofErr w:type="gramStart"/>
      <w:r>
        <w:rPr>
          <w:rFonts w:ascii="思源黑体 CN Light" w:eastAsia="思源黑体 CN Light" w:hAnsi="思源黑体 CN Light" w:cs="Times New Roman" w:hint="eastAsia"/>
          <w:szCs w:val="21"/>
        </w:rPr>
        <w:t>政府债净融资</w:t>
      </w:r>
      <w:proofErr w:type="gramEnd"/>
      <w:r>
        <w:rPr>
          <w:rFonts w:ascii="思源黑体 CN Light" w:eastAsia="思源黑体 CN Light" w:hAnsi="思源黑体 CN Light" w:cs="Times New Roman" w:hint="eastAsia"/>
          <w:szCs w:val="21"/>
        </w:rPr>
        <w:t>规模约为1.6</w:t>
      </w:r>
      <w:proofErr w:type="gramStart"/>
      <w:r>
        <w:rPr>
          <w:rFonts w:ascii="思源黑体 CN Light" w:eastAsia="思源黑体 CN Light" w:hAnsi="思源黑体 CN Light" w:cs="Times New Roman" w:hint="eastAsia"/>
          <w:szCs w:val="21"/>
        </w:rPr>
        <w:t>万亿</w:t>
      </w:r>
      <w:proofErr w:type="gramEnd"/>
      <w:r>
        <w:rPr>
          <w:rFonts w:ascii="思源黑体 CN Light" w:eastAsia="思源黑体 CN Light" w:hAnsi="思源黑体 CN Light" w:cs="Times New Roman" w:hint="eastAsia"/>
          <w:szCs w:val="21"/>
        </w:rPr>
        <w:t>元，为有历史以来2月</w:t>
      </w:r>
      <w:proofErr w:type="gramStart"/>
      <w:r>
        <w:rPr>
          <w:rFonts w:ascii="思源黑体 CN Light" w:eastAsia="思源黑体 CN Light" w:hAnsi="思源黑体 CN Light" w:cs="Times New Roman" w:hint="eastAsia"/>
          <w:szCs w:val="21"/>
        </w:rPr>
        <w:t>政府债净融资</w:t>
      </w:r>
      <w:proofErr w:type="gramEnd"/>
      <w:r>
        <w:rPr>
          <w:rFonts w:ascii="思源黑体 CN Light" w:eastAsia="思源黑体 CN Light" w:hAnsi="思源黑体 CN Light" w:cs="Times New Roman" w:hint="eastAsia"/>
          <w:szCs w:val="21"/>
        </w:rPr>
        <w:t>最高规模，2月财政支出规模也较以往更高，化</w:t>
      </w:r>
      <w:proofErr w:type="gramStart"/>
      <w:r>
        <w:rPr>
          <w:rFonts w:ascii="思源黑体 CN Light" w:eastAsia="思源黑体 CN Light" w:hAnsi="思源黑体 CN Light" w:cs="Times New Roman" w:hint="eastAsia"/>
          <w:szCs w:val="21"/>
        </w:rPr>
        <w:t>债政策</w:t>
      </w:r>
      <w:proofErr w:type="gramEnd"/>
      <w:r>
        <w:rPr>
          <w:rFonts w:ascii="思源黑体 CN Light" w:eastAsia="思源黑体 CN Light" w:hAnsi="思源黑体 CN Light" w:cs="Times New Roman" w:hint="eastAsia"/>
          <w:szCs w:val="21"/>
        </w:rPr>
        <w:t>继续改善企业流动性。</w:t>
      </w:r>
    </w:p>
    <w:p w14:paraId="06132C10" w14:textId="77777777" w:rsidR="00230A63" w:rsidRDefault="00C82E95">
      <w:pPr>
        <w:spacing w:line="288" w:lineRule="auto"/>
        <w:ind w:firstLineChars="200" w:firstLine="420"/>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2月末，M1与M2剪刀差为6.9个百分点，较上月末扩大0.3个百分点，剪刀差连续两个月走扩，实体经济部</w:t>
      </w:r>
      <w:proofErr w:type="gramStart"/>
      <w:r>
        <w:rPr>
          <w:rFonts w:ascii="思源黑体 CN Light" w:eastAsia="思源黑体 CN Light" w:hAnsi="思源黑体 CN Light" w:cs="Times New Roman" w:hint="eastAsia"/>
          <w:szCs w:val="21"/>
        </w:rPr>
        <w:t>门信心</w:t>
      </w:r>
      <w:proofErr w:type="gramEnd"/>
      <w:r>
        <w:rPr>
          <w:rFonts w:ascii="思源黑体 CN Light" w:eastAsia="思源黑体 CN Light" w:hAnsi="思源黑体 CN Light" w:cs="Times New Roman" w:hint="eastAsia"/>
          <w:szCs w:val="21"/>
        </w:rPr>
        <w:t>仍有待进一步提振。</w:t>
      </w:r>
    </w:p>
    <w:p w14:paraId="288E0674" w14:textId="77777777" w:rsidR="00230A63" w:rsidRDefault="00C82E95">
      <w:pPr>
        <w:pStyle w:val="1"/>
        <w:tabs>
          <w:tab w:val="left" w:pos="6289"/>
        </w:tabs>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t>2、上周</w:t>
      </w:r>
      <w:r>
        <w:rPr>
          <w:rFonts w:ascii="思源黑体 CN Light" w:eastAsia="思源黑体 CN Light" w:hAnsi="思源黑体 CN Light" w:cs="Arial"/>
          <w:sz w:val="36"/>
          <w:szCs w:val="36"/>
        </w:rPr>
        <w:t>高频数据</w:t>
      </w:r>
      <w:bookmarkEnd w:id="0"/>
    </w:p>
    <w:p w14:paraId="6B9A6329" w14:textId="5C6C0841" w:rsidR="00230A63" w:rsidRDefault="00C82E95">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从高频数据看经济小幅改善。基建资金到位速度放缓，或对后续形成工作量有一定影响，地产销售中一、二手房的分化仍在持续，基建和地产建设进度均偏慢。进出口方面，港口表现有所分化。生产方面，钢铁行业持续改善，煤电和石化行业震荡下行。物价方面，水泥价格上涨，蔬菜、农产品略有上涨。布油、原油价格小幅回涨。</w:t>
      </w:r>
    </w:p>
    <w:p w14:paraId="1CDAFFA0" w14:textId="77777777" w:rsidR="00230A63" w:rsidRDefault="00C82E95">
      <w:pPr>
        <w:spacing w:line="288" w:lineRule="auto"/>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hint="eastAsia"/>
          <w:szCs w:val="21"/>
        </w:rPr>
        <w:t>美元上周走弱，其他非美货币涨跌互现。截至3月14日，美元指数下行0.15%，在岸人民币涨0.13%，日元跌0.40%，</w:t>
      </w:r>
      <w:proofErr w:type="gramStart"/>
      <w:r>
        <w:rPr>
          <w:rFonts w:ascii="思源黑体 CN Light" w:eastAsia="思源黑体 CN Light" w:hAnsi="思源黑体 CN Light" w:cs="Times New Roman" w:hint="eastAsia"/>
          <w:szCs w:val="21"/>
        </w:rPr>
        <w:t>瑞郎跌</w:t>
      </w:r>
      <w:proofErr w:type="gramEnd"/>
      <w:r>
        <w:rPr>
          <w:rFonts w:ascii="思源黑体 CN Light" w:eastAsia="思源黑体 CN Light" w:hAnsi="思源黑体 CN Light" w:cs="Times New Roman" w:hint="eastAsia"/>
          <w:szCs w:val="21"/>
        </w:rPr>
        <w:t>0.60%，欧元涨0.44%，澳元涨0.31%，英镑涨0.10%。</w:t>
      </w:r>
    </w:p>
    <w:p w14:paraId="188D6DFA" w14:textId="77777777" w:rsidR="00230A63" w:rsidRDefault="00C82E95">
      <w:pPr>
        <w:spacing w:line="288" w:lineRule="auto"/>
        <w:ind w:firstLineChars="200" w:firstLine="408"/>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图一：主要货币变化率</w:t>
      </w:r>
    </w:p>
    <w:p w14:paraId="04C0C2ED" w14:textId="77777777" w:rsidR="00230A63" w:rsidRDefault="00C82E95">
      <w:pPr>
        <w:spacing w:line="360" w:lineRule="auto"/>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noProof/>
          <w:szCs w:val="21"/>
        </w:rPr>
        <w:lastRenderedPageBreak/>
        <w:drawing>
          <wp:inline distT="0" distB="0" distL="0" distR="0" wp14:anchorId="25F1180F" wp14:editId="2D34B7D0">
            <wp:extent cx="5274310" cy="2117090"/>
            <wp:effectExtent l="0" t="0" r="2540" b="0"/>
            <wp:docPr id="10" name="图片 9" descr="图表&#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图表&#10;&#10;AI 生成的内容可能不正确。"/>
                    <pic:cNvPicPr>
                      <a:picLocks noChangeAspect="1"/>
                    </pic:cNvPicPr>
                  </pic:nvPicPr>
                  <pic:blipFill>
                    <a:blip r:embed="rId6"/>
                    <a:stretch>
                      <a:fillRect/>
                    </a:stretch>
                  </pic:blipFill>
                  <pic:spPr>
                    <a:xfrm>
                      <a:off x="0" y="0"/>
                      <a:ext cx="5274310" cy="2117090"/>
                    </a:xfrm>
                    <a:prstGeom prst="rect">
                      <a:avLst/>
                    </a:prstGeom>
                  </pic:spPr>
                </pic:pic>
              </a:graphicData>
            </a:graphic>
          </wp:inline>
        </w:drawing>
      </w:r>
    </w:p>
    <w:p w14:paraId="7202ACED" w14:textId="77777777" w:rsidR="00230A63" w:rsidRDefault="00C82E95">
      <w:pPr>
        <w:spacing w:line="360"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数据来源：wind，富荣基金；统计区间：20250310-20250314</w:t>
      </w:r>
    </w:p>
    <w:p w14:paraId="6BB0EE17" w14:textId="77777777" w:rsidR="00230A63" w:rsidRDefault="00C82E95">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表</w:t>
      </w:r>
      <w:proofErr w:type="gramStart"/>
      <w:r>
        <w:rPr>
          <w:rFonts w:ascii="思源黑体 CN Light" w:eastAsia="思源黑体 CN Light" w:hAnsi="思源黑体 CN Light" w:cs="Times New Roman" w:hint="eastAsia"/>
          <w:b/>
          <w:color w:val="000000"/>
          <w:kern w:val="0"/>
          <w:sz w:val="20"/>
          <w:szCs w:val="20"/>
        </w:rPr>
        <w:t>一</w:t>
      </w:r>
      <w:proofErr w:type="gramEnd"/>
      <w:r>
        <w:rPr>
          <w:rFonts w:ascii="思源黑体 CN Light" w:eastAsia="思源黑体 CN Light" w:hAnsi="思源黑体 CN Light" w:cs="Times New Roman" w:hint="eastAsia"/>
          <w:b/>
          <w:color w:val="000000"/>
          <w:kern w:val="0"/>
          <w:sz w:val="20"/>
          <w:szCs w:val="20"/>
        </w:rPr>
        <w:t>：高频数据汇总</w:t>
      </w:r>
      <w:bookmarkStart w:id="1" w:name="_Toc134985520"/>
    </w:p>
    <w:p w14:paraId="7DAADB11" w14:textId="77777777" w:rsidR="00230A63" w:rsidRDefault="00C82E95">
      <w:pPr>
        <w:spacing w:line="360" w:lineRule="auto"/>
        <w:rPr>
          <w:rFonts w:hint="eastAsia"/>
        </w:rPr>
      </w:pPr>
      <w:r>
        <w:rPr>
          <w:noProof/>
        </w:rPr>
        <w:drawing>
          <wp:inline distT="0" distB="0" distL="0" distR="0" wp14:anchorId="5A7C8186" wp14:editId="7581DF26">
            <wp:extent cx="5274310" cy="5234940"/>
            <wp:effectExtent l="0" t="0" r="2540" b="3810"/>
            <wp:docPr id="9" name="图片 8" descr="表格&#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descr="表格&#10;&#10;AI 生成的内容可能不正确。"/>
                    <pic:cNvPicPr>
                      <a:picLocks noChangeAspect="1"/>
                    </pic:cNvPicPr>
                  </pic:nvPicPr>
                  <pic:blipFill>
                    <a:blip r:embed="rId7"/>
                    <a:stretch>
                      <a:fillRect/>
                    </a:stretch>
                  </pic:blipFill>
                  <pic:spPr>
                    <a:xfrm>
                      <a:off x="0" y="0"/>
                      <a:ext cx="5274310" cy="5234940"/>
                    </a:xfrm>
                    <a:prstGeom prst="rect">
                      <a:avLst/>
                    </a:prstGeom>
                  </pic:spPr>
                </pic:pic>
              </a:graphicData>
            </a:graphic>
          </wp:inline>
        </w:drawing>
      </w:r>
    </w:p>
    <w:p w14:paraId="1EA31EFA" w14:textId="77777777" w:rsidR="00230A63" w:rsidRDefault="00C82E95">
      <w:pPr>
        <w:spacing w:line="360"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数据来源：wind，富荣基金；统计区间：20250310-20250314</w:t>
      </w:r>
    </w:p>
    <w:p w14:paraId="72E823C6" w14:textId="77777777" w:rsidR="00230A63" w:rsidRDefault="00C82E95">
      <w:pPr>
        <w:pStyle w:val="1"/>
        <w:spacing w:line="360" w:lineRule="auto"/>
        <w:rPr>
          <w:rFonts w:ascii="思源黑体 CN Light" w:eastAsia="思源黑体 CN Light" w:hAnsi="思源黑体 CN Light" w:cs="Arial" w:hint="eastAsia"/>
          <w:sz w:val="36"/>
          <w:szCs w:val="36"/>
        </w:rPr>
      </w:pPr>
      <w:r>
        <w:rPr>
          <w:rFonts w:ascii="思源黑体 CN Light" w:eastAsia="思源黑体 CN Light" w:hAnsi="思源黑体 CN Light" w:cs="Arial" w:hint="eastAsia"/>
          <w:sz w:val="36"/>
          <w:szCs w:val="36"/>
        </w:rPr>
        <w:lastRenderedPageBreak/>
        <w:t>3</w:t>
      </w:r>
      <w:r>
        <w:rPr>
          <w:rFonts w:ascii="思源黑体 CN Light" w:eastAsia="思源黑体 CN Light" w:hAnsi="思源黑体 CN Light" w:cs="Arial"/>
          <w:sz w:val="36"/>
          <w:szCs w:val="36"/>
        </w:rPr>
        <w:t>、</w:t>
      </w:r>
      <w:r>
        <w:rPr>
          <w:rFonts w:ascii="思源黑体 CN Light" w:eastAsia="思源黑体 CN Light" w:hAnsi="思源黑体 CN Light" w:cs="Arial" w:hint="eastAsia"/>
          <w:sz w:val="36"/>
          <w:szCs w:val="36"/>
        </w:rPr>
        <w:t>上周</w:t>
      </w:r>
      <w:r>
        <w:rPr>
          <w:rFonts w:ascii="思源黑体 CN Light" w:eastAsia="思源黑体 CN Light" w:hAnsi="思源黑体 CN Light" w:cs="Arial"/>
          <w:sz w:val="36"/>
          <w:szCs w:val="36"/>
        </w:rPr>
        <w:t>债券市场</w:t>
      </w:r>
      <w:bookmarkEnd w:id="1"/>
    </w:p>
    <w:p w14:paraId="4EB163A8" w14:textId="77777777" w:rsidR="00230A63" w:rsidRDefault="00C82E95">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上周资金整体平衡，隔夜价格多在1.7%-1.8%。</w:t>
      </w:r>
      <w:r>
        <w:rPr>
          <w:rFonts w:ascii="思源黑体 CN Light" w:eastAsia="思源黑体 CN Light" w:hAnsi="思源黑体 CN Light" w:cs="Times New Roman" w:hint="eastAsia"/>
          <w:sz w:val="22"/>
          <w:szCs w:val="21"/>
          <w14:ligatures w14:val="standardContextual"/>
        </w:rPr>
        <w:t>DR001上行0.6BP至1.80%，DR007上行0.55BP至1.81%，R001上行0.85BP至1.81%，R007上行2.50BP至1.83%。CD:1M下行4.07BP至2.004%，CD:3M下行10BP至1.955%，CD:6M下行8.52BP至1.96%，CD:1Y下行7BP至1.955%。</w:t>
      </w:r>
    </w:p>
    <w:p w14:paraId="06490046" w14:textId="77777777" w:rsidR="00230A63" w:rsidRDefault="00C82E95">
      <w:pPr>
        <w:spacing w:line="288" w:lineRule="auto"/>
        <w:ind w:firstLineChars="200" w:firstLine="449"/>
        <w:jc w:val="left"/>
        <w:rPr>
          <w:rFonts w:ascii="思源黑体 CN Light" w:eastAsia="思源黑体 CN Light" w:hAnsi="思源黑体 CN Light" w:cs="Times New Roman" w:hint="eastAsia"/>
          <w:b/>
          <w:bCs/>
          <w:sz w:val="22"/>
          <w:szCs w:val="21"/>
          <w14:ligatures w14:val="standardContextual"/>
        </w:rPr>
      </w:pPr>
      <w:r>
        <w:rPr>
          <w:rFonts w:ascii="思源黑体 CN Light" w:eastAsia="思源黑体 CN Light" w:hAnsi="思源黑体 CN Light" w:cs="Times New Roman" w:hint="eastAsia"/>
          <w:b/>
          <w:bCs/>
          <w:sz w:val="22"/>
          <w:szCs w:val="21"/>
          <w14:ligatures w14:val="standardContextual"/>
        </w:rPr>
        <w:t>资金整体不紧，利率债</w:t>
      </w:r>
      <w:proofErr w:type="gramStart"/>
      <w:r>
        <w:rPr>
          <w:rFonts w:ascii="思源黑体 CN Light" w:eastAsia="思源黑体 CN Light" w:hAnsi="思源黑体 CN Light" w:cs="Times New Roman" w:hint="eastAsia"/>
          <w:b/>
          <w:bCs/>
          <w:sz w:val="22"/>
          <w:szCs w:val="21"/>
          <w14:ligatures w14:val="standardContextual"/>
        </w:rPr>
        <w:t>短端企稳</w:t>
      </w:r>
      <w:proofErr w:type="gramEnd"/>
      <w:r>
        <w:rPr>
          <w:rFonts w:ascii="思源黑体 CN Light" w:eastAsia="思源黑体 CN Light" w:hAnsi="思源黑体 CN Light" w:cs="Times New Roman" w:hint="eastAsia"/>
          <w:b/>
          <w:bCs/>
          <w:sz w:val="22"/>
          <w:szCs w:val="21"/>
          <w14:ligatures w14:val="standardContextual"/>
        </w:rPr>
        <w:t>，长端震荡偏弱。</w:t>
      </w:r>
      <w:r>
        <w:rPr>
          <w:rFonts w:ascii="思源黑体 CN Light" w:eastAsia="思源黑体 CN Light" w:hAnsi="思源黑体 CN Light" w:cs="Times New Roman" w:hint="eastAsia"/>
          <w:sz w:val="22"/>
          <w:szCs w:val="21"/>
          <w14:ligatures w14:val="standardContextual"/>
        </w:rPr>
        <w:t>1Y、5Y、10Y、30Y国债收益率分别较前一周变动+0.82BP、-2.56BP、+3.15BP、+6.5BP至1.5629%、1.6416%、1.8317%、2.04%，资金整体不紧，上周存单下行较多，银行负债压力有所企稳，利率债短</w:t>
      </w:r>
      <w:proofErr w:type="gramStart"/>
      <w:r>
        <w:rPr>
          <w:rFonts w:ascii="思源黑体 CN Light" w:eastAsia="思源黑体 CN Light" w:hAnsi="思源黑体 CN Light" w:cs="Times New Roman" w:hint="eastAsia"/>
          <w:sz w:val="22"/>
          <w:szCs w:val="21"/>
          <w14:ligatures w14:val="standardContextual"/>
        </w:rPr>
        <w:t>端走势</w:t>
      </w:r>
      <w:proofErr w:type="gramEnd"/>
      <w:r>
        <w:rPr>
          <w:rFonts w:ascii="思源黑体 CN Light" w:eastAsia="思源黑体 CN Light" w:hAnsi="思源黑体 CN Light" w:cs="Times New Roman" w:hint="eastAsia"/>
          <w:sz w:val="22"/>
          <w:szCs w:val="21"/>
          <w14:ligatures w14:val="standardContextual"/>
        </w:rPr>
        <w:t>较好，上周股债跷跷板效应明显，长端及超长</w:t>
      </w:r>
      <w:proofErr w:type="gramStart"/>
      <w:r>
        <w:rPr>
          <w:rFonts w:ascii="思源黑体 CN Light" w:eastAsia="思源黑体 CN Light" w:hAnsi="思源黑体 CN Light" w:cs="Times New Roman" w:hint="eastAsia"/>
          <w:sz w:val="22"/>
          <w:szCs w:val="21"/>
          <w14:ligatures w14:val="standardContextual"/>
        </w:rPr>
        <w:t>端走势</w:t>
      </w:r>
      <w:proofErr w:type="gramEnd"/>
      <w:r>
        <w:rPr>
          <w:rFonts w:ascii="思源黑体 CN Light" w:eastAsia="思源黑体 CN Light" w:hAnsi="思源黑体 CN Light" w:cs="Times New Roman" w:hint="eastAsia"/>
          <w:sz w:val="22"/>
          <w:szCs w:val="21"/>
          <w14:ligatures w14:val="standardContextual"/>
        </w:rPr>
        <w:t>偏弱，呈宽幅震荡走势。</w:t>
      </w:r>
    </w:p>
    <w:p w14:paraId="399C218C" w14:textId="77777777" w:rsidR="00230A63" w:rsidRDefault="00C82E95">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图二：资金面变化</w:t>
      </w:r>
    </w:p>
    <w:p w14:paraId="35BFC077" w14:textId="77777777" w:rsidR="00230A63" w:rsidRDefault="00C82E95">
      <w:pPr>
        <w:ind w:firstLineChars="200" w:firstLine="420"/>
        <w:jc w:val="left"/>
        <w:rPr>
          <w:rFonts w:ascii="思源黑体 CN Light" w:eastAsia="思源黑体 CN Light" w:hAnsi="思源黑体 CN Light" w:cs="Times New Roman" w:hint="eastAsia"/>
          <w:szCs w:val="21"/>
        </w:rPr>
      </w:pPr>
      <w:r>
        <w:rPr>
          <w:rFonts w:ascii="思源黑体 CN Light" w:eastAsia="思源黑体 CN Light" w:hAnsi="思源黑体 CN Light" w:cs="Times New Roman"/>
          <w:noProof/>
          <w:szCs w:val="21"/>
        </w:rPr>
        <w:drawing>
          <wp:inline distT="0" distB="0" distL="0" distR="0" wp14:anchorId="125A9D1C" wp14:editId="3949E8A7">
            <wp:extent cx="5274310" cy="3388995"/>
            <wp:effectExtent l="0" t="0" r="2540" b="1905"/>
            <wp:docPr id="12" name="图片 11" descr="图表, 折线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图表, 折线图&#10;&#10;AI 生成的内容可能不正确。"/>
                    <pic:cNvPicPr>
                      <a:picLocks noChangeAspect="1"/>
                    </pic:cNvPicPr>
                  </pic:nvPicPr>
                  <pic:blipFill>
                    <a:blip r:embed="rId8"/>
                    <a:stretch>
                      <a:fillRect/>
                    </a:stretch>
                  </pic:blipFill>
                  <pic:spPr>
                    <a:xfrm>
                      <a:off x="0" y="0"/>
                      <a:ext cx="5274310" cy="3388995"/>
                    </a:xfrm>
                    <a:prstGeom prst="rect">
                      <a:avLst/>
                    </a:prstGeom>
                  </pic:spPr>
                </pic:pic>
              </a:graphicData>
            </a:graphic>
          </wp:inline>
        </w:drawing>
      </w:r>
    </w:p>
    <w:p w14:paraId="18476F72" w14:textId="77777777" w:rsidR="00230A63" w:rsidRDefault="00C82E95">
      <w:pPr>
        <w:spacing w:line="360"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数据来源：wind，富荣基金；统计区间：20250310-20250314</w:t>
      </w:r>
    </w:p>
    <w:p w14:paraId="078B3691" w14:textId="77777777" w:rsidR="00230A63" w:rsidRDefault="00C82E95">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图三：</w:t>
      </w:r>
      <w:proofErr w:type="gramStart"/>
      <w:r>
        <w:rPr>
          <w:rFonts w:ascii="思源黑体 CN Light" w:eastAsia="思源黑体 CN Light" w:hAnsi="思源黑体 CN Light" w:cs="Times New Roman" w:hint="eastAsia"/>
          <w:b/>
          <w:color w:val="000000"/>
          <w:kern w:val="0"/>
          <w:sz w:val="20"/>
          <w:szCs w:val="20"/>
        </w:rPr>
        <w:t>国债周度</w:t>
      </w:r>
      <w:proofErr w:type="gramEnd"/>
      <w:r>
        <w:rPr>
          <w:rFonts w:ascii="思源黑体 CN Light" w:eastAsia="思源黑体 CN Light" w:hAnsi="思源黑体 CN Light" w:cs="Times New Roman" w:hint="eastAsia"/>
          <w:b/>
          <w:color w:val="000000"/>
          <w:kern w:val="0"/>
          <w:sz w:val="20"/>
          <w:szCs w:val="20"/>
        </w:rPr>
        <w:t>变化</w:t>
      </w:r>
      <w:r>
        <w:rPr>
          <w:rFonts w:ascii="思源黑体 CN Light" w:eastAsia="思源黑体 CN Light" w:hAnsi="思源黑体 CN Light" w:cs="Times New Roman"/>
          <w:b/>
          <w:noProof/>
          <w:color w:val="000000"/>
          <w:kern w:val="0"/>
          <w:sz w:val="20"/>
          <w:szCs w:val="20"/>
        </w:rPr>
        <w:lastRenderedPageBreak/>
        <w:drawing>
          <wp:inline distT="0" distB="0" distL="0" distR="0" wp14:anchorId="636F3252" wp14:editId="3BEA63F5">
            <wp:extent cx="5274310" cy="3487420"/>
            <wp:effectExtent l="0" t="0" r="2540" b="0"/>
            <wp:docPr id="11"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0" descr="图表, 瀑布图&#10;&#10;AI 生成的内容可能不正确。"/>
                    <pic:cNvPicPr>
                      <a:picLocks noChangeAspect="1"/>
                    </pic:cNvPicPr>
                  </pic:nvPicPr>
                  <pic:blipFill>
                    <a:blip r:embed="rId9"/>
                    <a:stretch>
                      <a:fillRect/>
                    </a:stretch>
                  </pic:blipFill>
                  <pic:spPr>
                    <a:xfrm>
                      <a:off x="0" y="0"/>
                      <a:ext cx="5274310" cy="348742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数据来源：wind，富荣基金；统计区间：20250310-20250314</w:t>
      </w:r>
    </w:p>
    <w:p w14:paraId="02B91D77" w14:textId="7D59CD51" w:rsidR="00230A63" w:rsidRDefault="00C82E95">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经济主题记者会后市场对央行普降预期收敛，收益率向上调整触发基金赎回情绪。央行强调“择机”降准，货币政策数量型工具到期及存单到期量偏大的情况下，银行体系或仍有一定压力。</w:t>
      </w:r>
    </w:p>
    <w:p w14:paraId="12AC07F8" w14:textId="550C41BF" w:rsidR="00230A63" w:rsidRDefault="00C82E95">
      <w:pPr>
        <w:spacing w:line="288" w:lineRule="auto"/>
        <w:ind w:firstLineChars="200" w:firstLine="440"/>
        <w:jc w:val="left"/>
        <w:rPr>
          <w:rFonts w:ascii="思源黑体 CN Light" w:eastAsia="思源黑体 CN Light" w:hAnsi="思源黑体 CN Light" w:cs="Times New Roman" w:hint="eastAsia"/>
          <w:sz w:val="22"/>
          <w:szCs w:val="21"/>
          <w14:ligatures w14:val="standardContextual"/>
        </w:rPr>
      </w:pPr>
      <w:r>
        <w:rPr>
          <w:rFonts w:ascii="思源黑体 CN Light" w:eastAsia="思源黑体 CN Light" w:hAnsi="思源黑体 CN Light" w:cs="Times New Roman" w:hint="eastAsia"/>
          <w:sz w:val="22"/>
          <w:szCs w:val="21"/>
          <w14:ligatures w14:val="standardContextual"/>
        </w:rPr>
        <w:t>信用债收益率走势分化，短</w:t>
      </w:r>
      <w:proofErr w:type="gramStart"/>
      <w:r>
        <w:rPr>
          <w:rFonts w:ascii="思源黑体 CN Light" w:eastAsia="思源黑体 CN Light" w:hAnsi="思源黑体 CN Light" w:cs="Times New Roman" w:hint="eastAsia"/>
          <w:sz w:val="22"/>
          <w:szCs w:val="21"/>
          <w14:ligatures w14:val="standardContextual"/>
        </w:rPr>
        <w:t>端出现</w:t>
      </w:r>
      <w:proofErr w:type="gramEnd"/>
      <w:r>
        <w:rPr>
          <w:rFonts w:ascii="思源黑体 CN Light" w:eastAsia="思源黑体 CN Light" w:hAnsi="思源黑体 CN Light" w:cs="Times New Roman" w:hint="eastAsia"/>
          <w:sz w:val="22"/>
          <w:szCs w:val="21"/>
          <w14:ligatures w14:val="standardContextual"/>
        </w:rPr>
        <w:t>企稳迹象，中长</w:t>
      </w:r>
      <w:proofErr w:type="gramStart"/>
      <w:r>
        <w:rPr>
          <w:rFonts w:ascii="思源黑体 CN Light" w:eastAsia="思源黑体 CN Light" w:hAnsi="思源黑体 CN Light" w:cs="Times New Roman" w:hint="eastAsia"/>
          <w:sz w:val="22"/>
          <w:szCs w:val="21"/>
          <w14:ligatures w14:val="standardContextual"/>
        </w:rPr>
        <w:t>端表现</w:t>
      </w:r>
      <w:proofErr w:type="gramEnd"/>
      <w:r>
        <w:rPr>
          <w:rFonts w:ascii="思源黑体 CN Light" w:eastAsia="思源黑体 CN Light" w:hAnsi="思源黑体 CN Light" w:cs="Times New Roman" w:hint="eastAsia"/>
          <w:sz w:val="22"/>
          <w:szCs w:val="21"/>
          <w14:ligatures w14:val="standardContextual"/>
        </w:rPr>
        <w:t>相对较弱。1-2Y、3Y隐含评级AAA品种</w:t>
      </w:r>
      <w:proofErr w:type="gramStart"/>
      <w:r>
        <w:rPr>
          <w:rFonts w:ascii="思源黑体 CN Light" w:eastAsia="思源黑体 CN Light" w:hAnsi="思源黑体 CN Light" w:cs="Times New Roman" w:hint="eastAsia"/>
          <w:sz w:val="22"/>
          <w:szCs w:val="21"/>
          <w14:ligatures w14:val="standardContextual"/>
        </w:rPr>
        <w:t>中短票收益率</w:t>
      </w:r>
      <w:proofErr w:type="gramEnd"/>
      <w:r>
        <w:rPr>
          <w:rFonts w:ascii="思源黑体 CN Light" w:eastAsia="思源黑体 CN Light" w:hAnsi="思源黑体 CN Light" w:cs="Times New Roman" w:hint="eastAsia"/>
          <w:sz w:val="22"/>
          <w:szCs w:val="21"/>
          <w14:ligatures w14:val="standardContextual"/>
        </w:rPr>
        <w:t>下行1-4BP，其余各品种收益率普遍上行1-9BP。利差同样走势分化，除1Y品种利差收窄3-4BP，15Y品种利差收窄1BP以外，其余各品种利差</w:t>
      </w:r>
      <w:proofErr w:type="gramStart"/>
      <w:r>
        <w:rPr>
          <w:rFonts w:ascii="思源黑体 CN Light" w:eastAsia="思源黑体 CN Light" w:hAnsi="思源黑体 CN Light" w:cs="Times New Roman" w:hint="eastAsia"/>
          <w:sz w:val="22"/>
          <w:szCs w:val="21"/>
          <w14:ligatures w14:val="standardContextual"/>
        </w:rPr>
        <w:t>普遍走阔</w:t>
      </w:r>
      <w:proofErr w:type="gramEnd"/>
      <w:r>
        <w:rPr>
          <w:rFonts w:ascii="思源黑体 CN Light" w:eastAsia="思源黑体 CN Light" w:hAnsi="思源黑体 CN Light" w:cs="Times New Roman" w:hint="eastAsia"/>
          <w:sz w:val="22"/>
          <w:szCs w:val="21"/>
          <w14:ligatures w14:val="standardContextual"/>
        </w:rPr>
        <w:t>2-9BP。</w:t>
      </w:r>
    </w:p>
    <w:p w14:paraId="6CBA6F3D" w14:textId="77777777" w:rsidR="00230A63" w:rsidRDefault="00C82E95">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hint="eastAsia"/>
          <w:b/>
          <w:color w:val="000000"/>
          <w:kern w:val="0"/>
          <w:sz w:val="20"/>
          <w:szCs w:val="20"/>
        </w:rPr>
        <w:t>图四：信用债收益率变化</w:t>
      </w:r>
    </w:p>
    <w:p w14:paraId="474A6634" w14:textId="77777777" w:rsidR="00230A63" w:rsidRDefault="00C82E95">
      <w:pPr>
        <w:spacing w:line="288" w:lineRule="auto"/>
        <w:jc w:val="left"/>
        <w:rPr>
          <w:rFonts w:ascii="思源黑体 CN Light" w:eastAsia="思源黑体 CN Light" w:hAnsi="思源黑体 CN Light" w:cs="Times New Roman" w:hint="eastAsia"/>
          <w:b/>
          <w:color w:val="000000"/>
          <w:kern w:val="0"/>
          <w:sz w:val="20"/>
          <w:szCs w:val="20"/>
        </w:rPr>
      </w:pPr>
      <w:r>
        <w:rPr>
          <w:rFonts w:ascii="思源黑体 CN Light" w:eastAsia="思源黑体 CN Light" w:hAnsi="思源黑体 CN Light" w:cs="Times New Roman"/>
          <w:b/>
          <w:noProof/>
          <w:color w:val="000000"/>
          <w:kern w:val="0"/>
          <w:sz w:val="20"/>
          <w:szCs w:val="20"/>
        </w:rPr>
        <w:lastRenderedPageBreak/>
        <w:drawing>
          <wp:inline distT="0" distB="0" distL="0" distR="0" wp14:anchorId="2A09849F" wp14:editId="4A31A0B4">
            <wp:extent cx="5274310" cy="2545080"/>
            <wp:effectExtent l="0" t="0" r="2540" b="7620"/>
            <wp:docPr id="962493284" name="图片 10"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493284" name="图片 10" descr="图表, 瀑布图&#10;&#10;AI 生成的内容可能不正确。"/>
                    <pic:cNvPicPr>
                      <a:picLocks noChangeAspect="1"/>
                    </pic:cNvPicPr>
                  </pic:nvPicPr>
                  <pic:blipFill>
                    <a:blip r:embed="rId10"/>
                    <a:stretch>
                      <a:fillRect/>
                    </a:stretch>
                  </pic:blipFill>
                  <pic:spPr>
                    <a:xfrm>
                      <a:off x="0" y="0"/>
                      <a:ext cx="5274310" cy="2545080"/>
                    </a:xfrm>
                    <a:prstGeom prst="rect">
                      <a:avLst/>
                    </a:prstGeom>
                  </pic:spPr>
                </pic:pic>
              </a:graphicData>
            </a:graphic>
          </wp:inline>
        </w:drawing>
      </w:r>
    </w:p>
    <w:p w14:paraId="0C3FBA3A" w14:textId="77777777" w:rsidR="00230A63" w:rsidRDefault="00C82E95">
      <w:pPr>
        <w:spacing w:line="360" w:lineRule="auto"/>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sz w:val="16"/>
          <w:szCs w:val="16"/>
        </w:rPr>
        <w:t>数据来源：wind，富荣基金；统计区间：20250310-20250314</w:t>
      </w:r>
    </w:p>
    <w:p w14:paraId="03D7F4AD" w14:textId="77777777" w:rsidR="00230A63" w:rsidRDefault="00C82E95">
      <w:pPr>
        <w:spacing w:line="288" w:lineRule="auto"/>
        <w:jc w:val="left"/>
        <w:rPr>
          <w:rFonts w:ascii="思源黑体 CN Light" w:eastAsia="思源黑体 CN Light" w:hAnsi="思源黑体 CN Light" w:cs="Times New Roman" w:hint="eastAsia"/>
          <w:sz w:val="16"/>
          <w:szCs w:val="16"/>
        </w:rPr>
      </w:pPr>
      <w:r>
        <w:rPr>
          <w:rFonts w:ascii="思源黑体 CN Light" w:eastAsia="思源黑体 CN Light" w:hAnsi="思源黑体 CN Light" w:cs="Times New Roman" w:hint="eastAsia"/>
          <w:b/>
          <w:color w:val="000000"/>
          <w:kern w:val="0"/>
          <w:sz w:val="20"/>
          <w:szCs w:val="20"/>
        </w:rPr>
        <w:t>图五：信用利差变化</w:t>
      </w:r>
      <w:r>
        <w:rPr>
          <w:rFonts w:ascii="思源黑体 CN Light" w:eastAsia="思源黑体 CN Light" w:hAnsi="思源黑体 CN Light" w:cs="Times New Roman"/>
          <w:b/>
          <w:noProof/>
          <w:color w:val="000000"/>
          <w:kern w:val="0"/>
          <w:sz w:val="20"/>
          <w:szCs w:val="20"/>
        </w:rPr>
        <w:drawing>
          <wp:inline distT="0" distB="0" distL="0" distR="0" wp14:anchorId="6CEEE42B" wp14:editId="23B42A1A">
            <wp:extent cx="5274310" cy="2205990"/>
            <wp:effectExtent l="0" t="0" r="2540" b="3810"/>
            <wp:docPr id="2085988452" name="图片 11" descr="图表, 瀑布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988452" name="图片 11" descr="图表, 瀑布图&#10;&#10;AI 生成的内容可能不正确。"/>
                    <pic:cNvPicPr>
                      <a:picLocks noChangeAspect="1"/>
                    </pic:cNvPicPr>
                  </pic:nvPicPr>
                  <pic:blipFill>
                    <a:blip r:embed="rId11"/>
                    <a:stretch>
                      <a:fillRect/>
                    </a:stretch>
                  </pic:blipFill>
                  <pic:spPr>
                    <a:xfrm>
                      <a:off x="0" y="0"/>
                      <a:ext cx="5274310" cy="2205990"/>
                    </a:xfrm>
                    <a:prstGeom prst="rect">
                      <a:avLst/>
                    </a:prstGeom>
                  </pic:spPr>
                </pic:pic>
              </a:graphicData>
            </a:graphic>
          </wp:inline>
        </w:drawing>
      </w:r>
      <w:r>
        <w:rPr>
          <w:rFonts w:ascii="思源黑体 CN Light" w:eastAsia="思源黑体 CN Light" w:hAnsi="思源黑体 CN Light" w:cs="Times New Roman" w:hint="eastAsia"/>
          <w:sz w:val="16"/>
          <w:szCs w:val="16"/>
        </w:rPr>
        <w:t>数据来源：wind，富荣基金；统计区间：20250310-20250314</w:t>
      </w:r>
    </w:p>
    <w:p w14:paraId="0ED24DC5" w14:textId="77777777" w:rsidR="00230A63" w:rsidRDefault="00230A63">
      <w:pPr>
        <w:ind w:firstLineChars="200" w:firstLine="400"/>
        <w:rPr>
          <w:rFonts w:ascii="思源黑体 CN Light" w:eastAsia="思源黑体 CN Light" w:hAnsi="思源黑体 CN Light" w:hint="eastAsia"/>
          <w:sz w:val="20"/>
          <w:szCs w:val="20"/>
        </w:rPr>
      </w:pPr>
    </w:p>
    <w:p w14:paraId="34FE2588" w14:textId="77777777" w:rsidR="00230A63" w:rsidRDefault="00C82E95">
      <w:pPr>
        <w:ind w:firstLineChars="200" w:firstLine="400"/>
        <w:rPr>
          <w:rFonts w:ascii="思源黑体 CN Light" w:eastAsia="思源黑体 CN Light" w:hAnsi="思源黑体 CN Light" w:cs="Times New Roman" w:hint="eastAsia"/>
          <w:sz w:val="20"/>
          <w:szCs w:val="20"/>
        </w:rPr>
      </w:pPr>
      <w:r>
        <w:rPr>
          <w:rFonts w:ascii="思源黑体 CN Light" w:eastAsia="思源黑体 CN Light" w:hAnsi="思源黑体 CN Light" w:hint="eastAsia"/>
          <w:sz w:val="20"/>
          <w:szCs w:val="20"/>
        </w:rPr>
        <w:t>风险提示：</w:t>
      </w:r>
    </w:p>
    <w:p w14:paraId="12857BF5" w14:textId="5F22E4F1" w:rsidR="00230A63" w:rsidRDefault="00C82E95">
      <w:pPr>
        <w:rPr>
          <w:rFonts w:hint="eastAsia"/>
        </w:rPr>
      </w:pPr>
      <w:r>
        <w:rPr>
          <w:rFonts w:ascii="思源黑体 CN Light" w:eastAsia="思源黑体 CN Light" w:hAnsi="思源黑体 CN Light"/>
          <w:sz w:val="20"/>
          <w:szCs w:val="20"/>
        </w:rPr>
        <w:t>1、本材料中的信息均来源于我们认为可靠的已公开资料和合作客户的研究成果，但本公司及研究人员对这些信息的准确性和完整性不作任何保证，也不保证本材料所包含的信息或建议在本材料发出后不会发生任何变更，且本材料仅反映发布时的资料、观点和预测，可能在随后会</w:t>
      </w:r>
      <w:proofErr w:type="gramStart"/>
      <w:r>
        <w:rPr>
          <w:rFonts w:ascii="思源黑体 CN Light" w:eastAsia="思源黑体 CN Light" w:hAnsi="思源黑体 CN Light"/>
          <w:sz w:val="20"/>
          <w:szCs w:val="20"/>
        </w:rPr>
        <w:t>作出</w:t>
      </w:r>
      <w:proofErr w:type="gramEnd"/>
      <w:r>
        <w:rPr>
          <w:rFonts w:ascii="思源黑体 CN Light" w:eastAsia="思源黑体 CN Light" w:hAnsi="思源黑体 CN Light"/>
          <w:sz w:val="20"/>
          <w:szCs w:val="20"/>
        </w:rPr>
        <w:t>调整。2、本材料中的资料、观点和预测等仅供参考，在任何时候均不构成对任何人的个人推荐。市场有风险，投资需谨慎。</w:t>
      </w:r>
    </w:p>
    <w:sectPr w:rsidR="00230A6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EF5327" w14:textId="77777777" w:rsidR="00CD5CA0" w:rsidRDefault="00CD5CA0">
      <w:pPr>
        <w:rPr>
          <w:rFonts w:hint="eastAsia"/>
        </w:rPr>
      </w:pPr>
      <w:r>
        <w:separator/>
      </w:r>
    </w:p>
  </w:endnote>
  <w:endnote w:type="continuationSeparator" w:id="0">
    <w:p w14:paraId="2BBB2730" w14:textId="77777777" w:rsidR="00CD5CA0" w:rsidRDefault="00CD5CA0">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思源黑体 CN Bold">
    <w:altName w:val="黑体"/>
    <w:panose1 w:val="020B0800000000000000"/>
    <w:charset w:val="86"/>
    <w:family w:val="swiss"/>
    <w:notTrueType/>
    <w:pitch w:val="variable"/>
    <w:sig w:usb0="20000207" w:usb1="2ADF3C10" w:usb2="00000016" w:usb3="00000000" w:csb0="00060107" w:csb1="00000000"/>
  </w:font>
  <w:font w:name="思源黑体 CN Light">
    <w:altName w:val="黑体"/>
    <w:panose1 w:val="020B0300000000000000"/>
    <w:charset w:val="86"/>
    <w:family w:val="swiss"/>
    <w:notTrueType/>
    <w:pitch w:val="variable"/>
    <w:sig w:usb0="20000207" w:usb1="2ADF3C10" w:usb2="00000016" w:usb3="00000000" w:csb0="0006010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2A264" w14:textId="77777777" w:rsidR="00CD5CA0" w:rsidRDefault="00CD5CA0">
      <w:pPr>
        <w:rPr>
          <w:rFonts w:hint="eastAsia"/>
        </w:rPr>
      </w:pPr>
      <w:r>
        <w:separator/>
      </w:r>
    </w:p>
  </w:footnote>
  <w:footnote w:type="continuationSeparator" w:id="0">
    <w:p w14:paraId="7D44558B" w14:textId="77777777" w:rsidR="00CD5CA0" w:rsidRDefault="00CD5CA0">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46307"/>
    <w:rsid w:val="00013915"/>
    <w:rsid w:val="00091E5B"/>
    <w:rsid w:val="00146307"/>
    <w:rsid w:val="00230A63"/>
    <w:rsid w:val="002F63B0"/>
    <w:rsid w:val="00431CF1"/>
    <w:rsid w:val="0060265A"/>
    <w:rsid w:val="00766B82"/>
    <w:rsid w:val="00852735"/>
    <w:rsid w:val="00C7133D"/>
    <w:rsid w:val="00C82E95"/>
    <w:rsid w:val="00CD5CA0"/>
    <w:rsid w:val="00D80DED"/>
    <w:rsid w:val="00DF1720"/>
    <w:rsid w:val="00EF2D9E"/>
    <w:rsid w:val="3108040C"/>
    <w:rsid w:val="51996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5868CB"/>
  <w15:docId w15:val="{27C8844A-002B-4E12-A187-BDC9BBD28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line="278" w:lineRule="auto"/>
      <w:jc w:val="left"/>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pPr>
      <w:keepNext/>
      <w:keepLines/>
      <w:spacing w:before="160" w:after="80" w:line="278" w:lineRule="auto"/>
      <w:jc w:val="left"/>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pPr>
      <w:keepNext/>
      <w:keepLines/>
      <w:spacing w:before="160" w:after="80" w:line="278" w:lineRule="auto"/>
      <w:jc w:val="left"/>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pPr>
      <w:keepNext/>
      <w:keepLines/>
      <w:spacing w:before="80" w:after="40" w:line="278" w:lineRule="auto"/>
      <w:jc w:val="left"/>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pPr>
      <w:keepNext/>
      <w:keepLines/>
      <w:spacing w:before="80" w:after="40" w:line="278" w:lineRule="auto"/>
      <w:jc w:val="left"/>
      <w:outlineLvl w:val="4"/>
    </w:pPr>
    <w:rPr>
      <w:rFonts w:cstheme="majorBidi"/>
      <w:color w:val="0F4761" w:themeColor="accent1" w:themeShade="BF"/>
      <w:sz w:val="24"/>
      <w:szCs w:val="24"/>
      <w14:ligatures w14:val="standardContextual"/>
    </w:rPr>
  </w:style>
  <w:style w:type="paragraph" w:styleId="6">
    <w:name w:val="heading 6"/>
    <w:basedOn w:val="a"/>
    <w:next w:val="a"/>
    <w:link w:val="60"/>
    <w:uiPriority w:val="9"/>
    <w:semiHidden/>
    <w:unhideWhenUsed/>
    <w:qFormat/>
    <w:pPr>
      <w:keepNext/>
      <w:keepLines/>
      <w:spacing w:before="40" w:line="278" w:lineRule="auto"/>
      <w:jc w:val="left"/>
      <w:outlineLvl w:val="5"/>
    </w:pPr>
    <w:rPr>
      <w:rFonts w:cstheme="majorBidi"/>
      <w:b/>
      <w:bCs/>
      <w:color w:val="0F4761" w:themeColor="accent1" w:themeShade="BF"/>
      <w:sz w:val="22"/>
      <w:szCs w:val="24"/>
      <w14:ligatures w14:val="standardContextual"/>
    </w:rPr>
  </w:style>
  <w:style w:type="paragraph" w:styleId="7">
    <w:name w:val="heading 7"/>
    <w:basedOn w:val="a"/>
    <w:next w:val="a"/>
    <w:link w:val="70"/>
    <w:uiPriority w:val="9"/>
    <w:semiHidden/>
    <w:unhideWhenUsed/>
    <w:qFormat/>
    <w:pPr>
      <w:keepNext/>
      <w:keepLines/>
      <w:spacing w:before="40" w:line="278" w:lineRule="auto"/>
      <w:jc w:val="left"/>
      <w:outlineLvl w:val="6"/>
    </w:pPr>
    <w:rPr>
      <w:rFonts w:cstheme="majorBidi"/>
      <w:b/>
      <w:bCs/>
      <w:color w:val="595959" w:themeColor="text1" w:themeTint="A6"/>
      <w:sz w:val="22"/>
      <w:szCs w:val="24"/>
      <w14:ligatures w14:val="standardContextual"/>
    </w:rPr>
  </w:style>
  <w:style w:type="paragraph" w:styleId="8">
    <w:name w:val="heading 8"/>
    <w:basedOn w:val="a"/>
    <w:next w:val="a"/>
    <w:link w:val="80"/>
    <w:uiPriority w:val="9"/>
    <w:semiHidden/>
    <w:unhideWhenUsed/>
    <w:qFormat/>
    <w:pPr>
      <w:keepNext/>
      <w:keepLines/>
      <w:spacing w:line="278" w:lineRule="auto"/>
      <w:jc w:val="left"/>
      <w:outlineLvl w:val="7"/>
    </w:pPr>
    <w:rPr>
      <w:rFonts w:cstheme="majorBidi"/>
      <w:color w:val="595959" w:themeColor="text1" w:themeTint="A6"/>
      <w:sz w:val="22"/>
      <w:szCs w:val="24"/>
      <w14:ligatures w14:val="standardContextual"/>
    </w:rPr>
  </w:style>
  <w:style w:type="paragraph" w:styleId="9">
    <w:name w:val="heading 9"/>
    <w:basedOn w:val="a"/>
    <w:next w:val="a"/>
    <w:link w:val="90"/>
    <w:uiPriority w:val="9"/>
    <w:semiHidden/>
    <w:unhideWhenUsed/>
    <w:qFormat/>
    <w:pPr>
      <w:keepNext/>
      <w:keepLines/>
      <w:spacing w:line="278" w:lineRule="auto"/>
      <w:jc w:val="left"/>
      <w:outlineLvl w:val="8"/>
    </w:pPr>
    <w:rPr>
      <w:rFonts w:eastAsiaTheme="majorEastAsia" w:cstheme="majorBidi"/>
      <w:color w:val="595959" w:themeColor="text1" w:themeTint="A6"/>
      <w:sz w:val="22"/>
      <w:szCs w:val="24"/>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Subtitle"/>
    <w:basedOn w:val="a"/>
    <w:next w:val="a"/>
    <w:link w:val="a5"/>
    <w:uiPriority w:val="11"/>
    <w:qFormat/>
    <w:pPr>
      <w:spacing w:after="160" w:line="278" w:lineRule="auto"/>
      <w:jc w:val="center"/>
    </w:pPr>
    <w:rPr>
      <w:rFonts w:asciiTheme="majorHAnsi" w:eastAsiaTheme="majorEastAsia" w:hAnsiTheme="majorHAnsi" w:cstheme="majorBidi"/>
      <w:color w:val="595959" w:themeColor="text1" w:themeTint="A6"/>
      <w:spacing w:val="15"/>
      <w:sz w:val="28"/>
      <w:szCs w:val="28"/>
      <w14:ligatures w14:val="standardContextual"/>
    </w:rPr>
  </w:style>
  <w:style w:type="paragraph" w:styleId="a6">
    <w:name w:val="Title"/>
    <w:basedOn w:val="a"/>
    <w:next w:val="a"/>
    <w:link w:val="a7"/>
    <w:uiPriority w:val="10"/>
    <w:qFormat/>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rPr>
  </w:style>
  <w:style w:type="character" w:customStyle="1" w:styleId="60">
    <w:name w:val="标题 6 字符"/>
    <w:basedOn w:val="a0"/>
    <w:link w:val="6"/>
    <w:uiPriority w:val="9"/>
    <w:semiHidden/>
    <w:rPr>
      <w:rFonts w:cstheme="majorBidi"/>
      <w:b/>
      <w:bCs/>
      <w:color w:val="0F4761" w:themeColor="accent1" w:themeShade="BF"/>
    </w:rPr>
  </w:style>
  <w:style w:type="character" w:customStyle="1" w:styleId="70">
    <w:name w:val="标题 7 字符"/>
    <w:basedOn w:val="a0"/>
    <w:link w:val="7"/>
    <w:uiPriority w:val="9"/>
    <w:semiHidden/>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rPr>
      <w:rFonts w:eastAsiaTheme="majorEastAsia" w:cstheme="majorBidi"/>
      <w:color w:val="595959" w:themeColor="text1" w:themeTint="A6"/>
    </w:rPr>
  </w:style>
  <w:style w:type="character" w:customStyle="1" w:styleId="a7">
    <w:name w:val="标题 字符"/>
    <w:basedOn w:val="a0"/>
    <w:link w:val="a6"/>
    <w:uiPriority w:val="10"/>
    <w:qFormat/>
    <w:rPr>
      <w:rFonts w:asciiTheme="majorHAnsi" w:eastAsiaTheme="majorEastAsia" w:hAnsiTheme="majorHAnsi" w:cstheme="majorBidi"/>
      <w:spacing w:val="-10"/>
      <w:kern w:val="28"/>
      <w:sz w:val="56"/>
      <w:szCs w:val="56"/>
    </w:rPr>
  </w:style>
  <w:style w:type="character" w:customStyle="1" w:styleId="a5">
    <w:name w:val="副标题 字符"/>
    <w:basedOn w:val="a0"/>
    <w:link w:val="a4"/>
    <w:uiPriority w:val="11"/>
    <w:qFormat/>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pPr>
      <w:spacing w:before="160" w:after="160" w:line="278" w:lineRule="auto"/>
      <w:jc w:val="center"/>
    </w:pPr>
    <w:rPr>
      <w:i/>
      <w:iCs/>
      <w:color w:val="404040" w:themeColor="text1" w:themeTint="BF"/>
      <w:sz w:val="22"/>
      <w:szCs w:val="24"/>
      <w14:ligatures w14:val="standardContextual"/>
    </w:rPr>
  </w:style>
  <w:style w:type="character" w:customStyle="1" w:styleId="a9">
    <w:name w:val="引用 字符"/>
    <w:basedOn w:val="a0"/>
    <w:link w:val="a8"/>
    <w:uiPriority w:val="29"/>
    <w:rPr>
      <w:i/>
      <w:iCs/>
      <w:color w:val="404040" w:themeColor="text1" w:themeTint="BF"/>
    </w:rPr>
  </w:style>
  <w:style w:type="paragraph" w:styleId="aa">
    <w:name w:val="List Paragraph"/>
    <w:basedOn w:val="a"/>
    <w:uiPriority w:val="34"/>
    <w:qFormat/>
    <w:pPr>
      <w:spacing w:after="160" w:line="278" w:lineRule="auto"/>
      <w:ind w:left="720"/>
      <w:contextualSpacing/>
      <w:jc w:val="left"/>
    </w:pPr>
    <w:rPr>
      <w:sz w:val="22"/>
      <w:szCs w:val="24"/>
      <w14:ligatures w14:val="standardContextual"/>
    </w:rPr>
  </w:style>
  <w:style w:type="character" w:customStyle="1" w:styleId="11">
    <w:name w:val="明显强调1"/>
    <w:basedOn w:val="a0"/>
    <w:uiPriority w:val="21"/>
    <w:qFormat/>
    <w:rPr>
      <w:i/>
      <w:iCs/>
      <w:color w:val="0F4761" w:themeColor="accent1" w:themeShade="BF"/>
    </w:rPr>
  </w:style>
  <w:style w:type="paragraph" w:styleId="ab">
    <w:name w:val="Intense Quote"/>
    <w:basedOn w:val="a"/>
    <w:next w:val="a"/>
    <w:link w:val="ac"/>
    <w:uiPriority w:val="30"/>
    <w:qFormat/>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2"/>
      <w:szCs w:val="24"/>
      <w14:ligatures w14:val="standardContextual"/>
    </w:rPr>
  </w:style>
  <w:style w:type="character" w:customStyle="1" w:styleId="ac">
    <w:name w:val="明显引用 字符"/>
    <w:basedOn w:val="a0"/>
    <w:link w:val="ab"/>
    <w:uiPriority w:val="30"/>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styleId="ad">
    <w:name w:val="annotation reference"/>
    <w:basedOn w:val="a0"/>
    <w:uiPriority w:val="99"/>
    <w:semiHidden/>
    <w:unhideWhenUsed/>
    <w:rPr>
      <w:sz w:val="21"/>
      <w:szCs w:val="21"/>
    </w:rPr>
  </w:style>
  <w:style w:type="paragraph" w:styleId="ae">
    <w:name w:val="Balloon Text"/>
    <w:basedOn w:val="a"/>
    <w:link w:val="af"/>
    <w:uiPriority w:val="99"/>
    <w:semiHidden/>
    <w:unhideWhenUsed/>
    <w:rsid w:val="00D80DED"/>
    <w:rPr>
      <w:sz w:val="18"/>
      <w:szCs w:val="18"/>
    </w:rPr>
  </w:style>
  <w:style w:type="character" w:customStyle="1" w:styleId="af">
    <w:name w:val="批注框文本 字符"/>
    <w:basedOn w:val="a0"/>
    <w:link w:val="ae"/>
    <w:uiPriority w:val="99"/>
    <w:semiHidden/>
    <w:rsid w:val="00D80DED"/>
    <w:rPr>
      <w:kern w:val="2"/>
      <w:sz w:val="18"/>
      <w:szCs w:val="18"/>
    </w:rPr>
  </w:style>
  <w:style w:type="paragraph" w:styleId="af0">
    <w:name w:val="header"/>
    <w:basedOn w:val="a"/>
    <w:link w:val="af1"/>
    <w:uiPriority w:val="99"/>
    <w:unhideWhenUsed/>
    <w:rsid w:val="00D80DED"/>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rsid w:val="00D80DED"/>
    <w:rPr>
      <w:kern w:val="2"/>
      <w:sz w:val="18"/>
      <w:szCs w:val="18"/>
    </w:rPr>
  </w:style>
  <w:style w:type="paragraph" w:styleId="af2">
    <w:name w:val="footer"/>
    <w:basedOn w:val="a"/>
    <w:link w:val="af3"/>
    <w:uiPriority w:val="99"/>
    <w:unhideWhenUsed/>
    <w:rsid w:val="00D80DED"/>
    <w:pPr>
      <w:tabs>
        <w:tab w:val="center" w:pos="4153"/>
        <w:tab w:val="right" w:pos="8306"/>
      </w:tabs>
      <w:snapToGrid w:val="0"/>
      <w:jc w:val="left"/>
    </w:pPr>
    <w:rPr>
      <w:sz w:val="18"/>
      <w:szCs w:val="18"/>
    </w:rPr>
  </w:style>
  <w:style w:type="character" w:customStyle="1" w:styleId="af3">
    <w:name w:val="页脚 字符"/>
    <w:basedOn w:val="a0"/>
    <w:link w:val="af2"/>
    <w:uiPriority w:val="99"/>
    <w:rsid w:val="00D80DED"/>
    <w:rPr>
      <w:kern w:val="2"/>
      <w:sz w:val="18"/>
      <w:szCs w:val="18"/>
    </w:rPr>
  </w:style>
  <w:style w:type="paragraph" w:styleId="af4">
    <w:name w:val="Revision"/>
    <w:hidden/>
    <w:uiPriority w:val="99"/>
    <w:unhideWhenUsed/>
    <w:rsid w:val="00C7133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6</Pages>
  <Words>349</Words>
  <Characters>1993</Characters>
  <Application>Microsoft Office Word</Application>
  <DocSecurity>0</DocSecurity>
  <Lines>16</Lines>
  <Paragraphs>4</Paragraphs>
  <ScaleCrop>false</ScaleCrop>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叶蕊</dc:creator>
  <cp:lastModifiedBy>叶蕊</cp:lastModifiedBy>
  <cp:revision>4</cp:revision>
  <dcterms:created xsi:type="dcterms:W3CDTF">2025-03-17T06:37:00Z</dcterms:created>
  <dcterms:modified xsi:type="dcterms:W3CDTF">2025-03-17T08:19:00Z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eyJoZGlkIjoiYWEyZTA3M2M5N2Q0MmQwMWJkYjAxYzAyY2RhYmU3MjYiLCJ1c2VySWQiOiIxNTIwODY1NzQwIn0=</vt:lpwstr>
  </property>
  <property fmtid="{D5CDD505-2E9C-101B-9397-08002B2CF9AE}" pid="3" name="KSOProductBuildVer">
    <vt:lpwstr>2052-12.1.0.20305</vt:lpwstr>
  </property>
  <property fmtid="{D5CDD505-2E9C-101B-9397-08002B2CF9AE}" pid="4" name="ICV">
    <vt:lpwstr>95B57AEFBCFD4B93B957784122366853_12</vt:lpwstr>
  </property>
</Properties>
</file>