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B579A" w14:textId="77777777" w:rsidR="0083773F" w:rsidRDefault="00000000">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：资金贵而不紧，债市震荡偏弱</w:t>
      </w:r>
    </w:p>
    <w:p w14:paraId="45ACA721" w14:textId="77777777" w:rsidR="0083773F" w:rsidRDefault="00000000">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2B1CFA04" w14:textId="77777777" w:rsidR="0083773F"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2025年3月17日至2025年3月21日，下同</w:t>
      </w:r>
      <w:r>
        <w:rPr>
          <w:rFonts w:ascii="思源黑体 CN Light" w:eastAsia="思源黑体 CN Light" w:hAnsi="思源黑体 CN Light" w:cs="Times New Roman" w:hint="eastAsia"/>
          <w:szCs w:val="21"/>
        </w:rPr>
        <w:t>）债市先抑后扬，资金面波动和预期差修正构成交易主线，10Y国债收益率自1.9%回落至1.8%附近。</w:t>
      </w:r>
    </w:p>
    <w:p w14:paraId="5BA4DD68" w14:textId="66A77974" w:rsidR="0083773F"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当前债市利率水平或成为市场阶段性比较一致性的点位，收益率向上空间压力不大，但下行破位可能需要形成新的要素激发。根据人民银行货币政策委员会2025年Q1货币政策例会，货币政策总量型宽松可能还需要等待，结构性工具或成为货币宽松的重要抓手。季末资金或延续“贵而不紧”的状态，</w:t>
      </w:r>
      <w:r w:rsidR="00E14C72">
        <w:rPr>
          <w:rFonts w:ascii="思源黑体 CN Light" w:eastAsia="思源黑体 CN Light" w:hAnsi="思源黑体 CN Light" w:cs="Times New Roman" w:hint="eastAsia"/>
          <w:szCs w:val="21"/>
        </w:rPr>
        <w:t>债市</w:t>
      </w:r>
      <w:r w:rsidR="001B54BA">
        <w:rPr>
          <w:rFonts w:ascii="思源黑体 CN Light" w:eastAsia="思源黑体 CN Light" w:hAnsi="思源黑体 CN Light" w:cs="Times New Roman" w:hint="eastAsia"/>
          <w:szCs w:val="21"/>
        </w:rPr>
        <w:t>将</w:t>
      </w:r>
      <w:proofErr w:type="gramStart"/>
      <w:r w:rsidR="001B54BA">
        <w:rPr>
          <w:rFonts w:ascii="思源黑体 CN Light" w:eastAsia="思源黑体 CN Light" w:hAnsi="思源黑体 CN Light" w:cs="Times New Roman" w:hint="eastAsia"/>
          <w:szCs w:val="21"/>
        </w:rPr>
        <w:t>继续股</w:t>
      </w:r>
      <w:proofErr w:type="gramEnd"/>
      <w:r w:rsidR="001B54BA">
        <w:rPr>
          <w:rFonts w:ascii="思源黑体 CN Light" w:eastAsia="思源黑体 CN Light" w:hAnsi="思源黑体 CN Light" w:cs="Times New Roman" w:hint="eastAsia"/>
          <w:szCs w:val="21"/>
        </w:rPr>
        <w:t>债跷跷板效应，</w:t>
      </w:r>
      <w:r w:rsidR="001B54BA">
        <w:rPr>
          <w:rFonts w:ascii="思源黑体 CN Light" w:eastAsia="思源黑体 CN Light" w:hAnsi="思源黑体 CN Light" w:cs="Times New Roman" w:hint="eastAsia"/>
          <w:szCs w:val="21"/>
        </w:rPr>
        <w:t>或</w:t>
      </w:r>
      <w:r>
        <w:rPr>
          <w:rFonts w:ascii="思源黑体 CN Light" w:eastAsia="思源黑体 CN Light" w:hAnsi="思源黑体 CN Light" w:cs="Times New Roman" w:hint="eastAsia"/>
          <w:szCs w:val="21"/>
        </w:rPr>
        <w:t>呈现震荡行情，进入到阶段性观测区间。</w:t>
      </w:r>
    </w:p>
    <w:p w14:paraId="5ECED1A5" w14:textId="77777777" w:rsidR="0083773F" w:rsidRDefault="0000000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热点追踪</w:t>
      </w:r>
    </w:p>
    <w:p w14:paraId="78DC754B" w14:textId="77777777" w:rsidR="0083773F"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国家统计局数据显示，1-2月规模以上工业增加值同比实际增长5.9%。从环比看，2月份，规模以上工业增加值比上月增长0.51%；1-2月社会消费品零售总额83731亿元，同比增长4.0%；1-2月全国房地产开发同比下降9.8%，降幅比上年全年收窄0.8个百分点；1-2月固定资产投资同比增长4.1%；1-2月份全国城镇调查失业率平均值为5.3%。EPMI显著上行，3月EPMI环比上行10.6个百分点至59.6%，创2019年以来同期次高点。</w:t>
      </w:r>
    </w:p>
    <w:p w14:paraId="1090A969" w14:textId="77777777" w:rsidR="0083773F"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整体来看，经济各方面均呈现向好的态势，但仍需依赖政策发力和外需支撑，内生动能如消费、民间投资等仍有待改善。</w:t>
      </w:r>
      <w:proofErr w:type="gramStart"/>
      <w:r>
        <w:rPr>
          <w:rFonts w:ascii="思源黑体 CN Light" w:eastAsia="思源黑体 CN Light" w:hAnsi="思源黑体 CN Light" w:cs="Times New Roman" w:hint="eastAsia"/>
          <w:szCs w:val="21"/>
        </w:rPr>
        <w:t>尽管社零增速</w:t>
      </w:r>
      <w:proofErr w:type="gramEnd"/>
      <w:r>
        <w:rPr>
          <w:rFonts w:ascii="思源黑体 CN Light" w:eastAsia="思源黑体 CN Light" w:hAnsi="思源黑体 CN Light" w:cs="Times New Roman" w:hint="eastAsia"/>
          <w:szCs w:val="21"/>
        </w:rPr>
        <w:t>低于预期，但工业增加值和固定资产投资增速均好于预期，显示生产活动强于消费需求。高技术产业和文化产品消费表现突出，财政支出提前发力，基建投资增速上行。</w:t>
      </w:r>
    </w:p>
    <w:p w14:paraId="121C8E3A" w14:textId="77777777" w:rsidR="0083773F" w:rsidRDefault="00000000">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EPMI新兴产业景气度大幅提升。10.6pct的环比上行幅度处于正常年份（剔除2020-2021年）3月环比的上限，季节性表现较好。景气水平持续偏低的状况也得到明显改善，</w:t>
      </w:r>
      <w:r>
        <w:rPr>
          <w:rFonts w:ascii="思源黑体 CN Light" w:eastAsia="思源黑体 CN Light" w:hAnsi="思源黑体 CN Light" w:cs="Times New Roman" w:hint="eastAsia"/>
          <w:szCs w:val="21"/>
        </w:rPr>
        <w:lastRenderedPageBreak/>
        <w:t>59.6%的景气值创下2019年以来同期次高点，仅次于2021年3月。中观</w:t>
      </w:r>
      <w:proofErr w:type="gramStart"/>
      <w:r>
        <w:rPr>
          <w:rFonts w:ascii="思源黑体 CN Light" w:eastAsia="思源黑体 CN Light" w:hAnsi="思源黑体 CN Light" w:cs="Times New Roman" w:hint="eastAsia"/>
          <w:szCs w:val="21"/>
        </w:rPr>
        <w:t>景气面</w:t>
      </w:r>
      <w:proofErr w:type="gramEnd"/>
      <w:r>
        <w:rPr>
          <w:rFonts w:ascii="思源黑体 CN Light" w:eastAsia="思源黑体 CN Light" w:hAnsi="思源黑体 CN Light" w:cs="Times New Roman" w:hint="eastAsia"/>
          <w:szCs w:val="21"/>
        </w:rPr>
        <w:t>也同步改善，7大细分行业均回升至景气扩张区间。</w:t>
      </w:r>
    </w:p>
    <w:p w14:paraId="17B1F35D" w14:textId="77777777" w:rsidR="0083773F" w:rsidRDefault="00000000">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2、上周</w:t>
      </w:r>
      <w:r>
        <w:rPr>
          <w:rFonts w:ascii="思源黑体 CN Light" w:eastAsia="思源黑体 CN Light" w:hAnsi="思源黑体 CN Light" w:cs="Arial"/>
          <w:sz w:val="36"/>
          <w:szCs w:val="36"/>
        </w:rPr>
        <w:t>高频数据</w:t>
      </w:r>
      <w:bookmarkEnd w:id="0"/>
    </w:p>
    <w:p w14:paraId="6D5285FC" w14:textId="77777777" w:rsidR="0083773F"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上周高频数据</w:t>
      </w:r>
      <w:proofErr w:type="gramStart"/>
      <w:r>
        <w:rPr>
          <w:rFonts w:ascii="思源黑体 CN Light" w:eastAsia="思源黑体 CN Light" w:hAnsi="思源黑体 CN Light" w:cs="Times New Roman" w:hint="eastAsia"/>
          <w:szCs w:val="21"/>
        </w:rPr>
        <w:t>看整体</w:t>
      </w:r>
      <w:proofErr w:type="gramEnd"/>
      <w:r>
        <w:rPr>
          <w:rFonts w:ascii="思源黑体 CN Light" w:eastAsia="思源黑体 CN Light" w:hAnsi="思源黑体 CN Light" w:cs="Times New Roman" w:hint="eastAsia"/>
          <w:szCs w:val="21"/>
        </w:rPr>
        <w:t>涨势尚可，尽管需求仍然偏弱。30大中城市商品房成交面积上升，但上升幅度减弱，房地产成交动能可能减弱。玻璃期货、水泥价格上升，上涨幅度趋缓；进出口相关指数中，CCFI综合指数、SCFI综合指数、CICFI综合指数下降，波罗的海干散货指数、宁波出口集装箱运价指数上升。生产较为平稳，全国</w:t>
      </w:r>
      <w:proofErr w:type="gramStart"/>
      <w:r>
        <w:rPr>
          <w:rFonts w:ascii="思源黑体 CN Light" w:eastAsia="思源黑体 CN Light" w:hAnsi="思源黑体 CN Light" w:cs="Times New Roman" w:hint="eastAsia"/>
          <w:szCs w:val="21"/>
        </w:rPr>
        <w:t>主要钢企高炉</w:t>
      </w:r>
      <w:proofErr w:type="gramEnd"/>
      <w:r>
        <w:rPr>
          <w:rFonts w:ascii="思源黑体 CN Light" w:eastAsia="思源黑体 CN Light" w:hAnsi="思源黑体 CN Light" w:cs="Times New Roman" w:hint="eastAsia"/>
          <w:szCs w:val="21"/>
        </w:rPr>
        <w:t>开工率较上周上升，螺纹钢全国主要钢厂开工率较上周基本持平。物价方面，猪肉平均批发价微升，重点监测水果和蔬菜价格有升有降；油价由跌转涨，</w:t>
      </w:r>
      <w:proofErr w:type="gramStart"/>
      <w:r>
        <w:rPr>
          <w:rFonts w:ascii="思源黑体 CN Light" w:eastAsia="思源黑体 CN Light" w:hAnsi="思源黑体 CN Light" w:cs="Times New Roman" w:hint="eastAsia"/>
          <w:szCs w:val="21"/>
        </w:rPr>
        <w:t>铜价格</w:t>
      </w:r>
      <w:proofErr w:type="gramEnd"/>
      <w:r>
        <w:rPr>
          <w:rFonts w:ascii="思源黑体 CN Light" w:eastAsia="思源黑体 CN Light" w:hAnsi="思源黑体 CN Light" w:cs="Times New Roman" w:hint="eastAsia"/>
          <w:szCs w:val="21"/>
        </w:rPr>
        <w:t>也在上涨。</w:t>
      </w:r>
    </w:p>
    <w:p w14:paraId="334DD8E5" w14:textId="7D36926C" w:rsidR="0083773F" w:rsidRDefault="00000000">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美元上周走强，截至3月21日，美元指数上行0.40%，在岸人民币跌0.28%，日元跌0.46%，</w:t>
      </w:r>
      <w:proofErr w:type="gramStart"/>
      <w:r>
        <w:rPr>
          <w:rFonts w:ascii="思源黑体 CN Light" w:eastAsia="思源黑体 CN Light" w:hAnsi="思源黑体 CN Light" w:cs="Times New Roman" w:hint="eastAsia"/>
          <w:szCs w:val="21"/>
        </w:rPr>
        <w:t>瑞郎涨</w:t>
      </w:r>
      <w:proofErr w:type="gramEnd"/>
      <w:r w:rsidR="00E14C72">
        <w:rPr>
          <w:rFonts w:ascii="思源黑体 CN Light" w:eastAsia="思源黑体 CN Light" w:hAnsi="思源黑体 CN Light" w:cs="Times New Roman" w:hint="eastAsia"/>
          <w:szCs w:val="21"/>
        </w:rPr>
        <w:t>0.</w:t>
      </w:r>
      <w:r>
        <w:rPr>
          <w:rFonts w:ascii="思源黑体 CN Light" w:eastAsia="思源黑体 CN Light" w:hAnsi="思源黑体 CN Light" w:cs="Times New Roman" w:hint="eastAsia"/>
          <w:szCs w:val="21"/>
        </w:rPr>
        <w:t>21%，欧元跌0.59%，澳元跌0.</w:t>
      </w:r>
      <w:r w:rsidR="00E14C72">
        <w:rPr>
          <w:rFonts w:ascii="思源黑体 CN Light" w:eastAsia="思源黑体 CN Light" w:hAnsi="思源黑体 CN Light" w:cs="Times New Roman" w:hint="eastAsia"/>
          <w:szCs w:val="21"/>
        </w:rPr>
        <w:t>86</w:t>
      </w:r>
      <w:r>
        <w:rPr>
          <w:rFonts w:ascii="思源黑体 CN Light" w:eastAsia="思源黑体 CN Light" w:hAnsi="思源黑体 CN Light" w:cs="Times New Roman" w:hint="eastAsia"/>
          <w:szCs w:val="21"/>
        </w:rPr>
        <w:t>%，英镑跌0.15%。</w:t>
      </w:r>
    </w:p>
    <w:p w14:paraId="4C86A919" w14:textId="77777777" w:rsidR="0083773F"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图一：主要货币变化率</w:t>
      </w:r>
    </w:p>
    <w:p w14:paraId="0126F74E" w14:textId="77777777" w:rsidR="0083773F" w:rsidRDefault="00000000">
      <w:pPr>
        <w:spacing w:line="360"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noProof/>
          <w:szCs w:val="21"/>
        </w:rPr>
        <w:drawing>
          <wp:inline distT="0" distB="0" distL="0" distR="0" wp14:anchorId="4EA7E45E" wp14:editId="19F0CC75">
            <wp:extent cx="5274310" cy="2117090"/>
            <wp:effectExtent l="0" t="0" r="2540" b="0"/>
            <wp:docPr id="9" name="图片 8"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 条形图&#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数据来源：wind，富荣基金；统计区间：20250317-20250321</w:t>
      </w:r>
    </w:p>
    <w:p w14:paraId="4EEA0B2E" w14:textId="77777777" w:rsidR="0083773F"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表</w:t>
      </w:r>
      <w:proofErr w:type="gramStart"/>
      <w:r>
        <w:rPr>
          <w:rFonts w:ascii="思源黑体 CN Light" w:eastAsia="思源黑体 CN Light" w:hAnsi="思源黑体 CN Light" w:cs="Times New Roman" w:hint="eastAsia"/>
          <w:b/>
          <w:color w:val="000000"/>
          <w:kern w:val="0"/>
          <w:sz w:val="20"/>
          <w:szCs w:val="20"/>
        </w:rPr>
        <w:t>一</w:t>
      </w:r>
      <w:proofErr w:type="gramEnd"/>
      <w:r>
        <w:rPr>
          <w:rFonts w:ascii="思源黑体 CN Light" w:eastAsia="思源黑体 CN Light" w:hAnsi="思源黑体 CN Light" w:cs="Times New Roman" w:hint="eastAsia"/>
          <w:b/>
          <w:color w:val="000000"/>
          <w:kern w:val="0"/>
          <w:sz w:val="20"/>
          <w:szCs w:val="20"/>
        </w:rPr>
        <w:t>：高频数据汇总</w:t>
      </w:r>
      <w:bookmarkStart w:id="1" w:name="_Toc134985520"/>
    </w:p>
    <w:p w14:paraId="7EED7DF0" w14:textId="77777777" w:rsidR="0083773F" w:rsidRDefault="00000000">
      <w:pPr>
        <w:spacing w:line="360" w:lineRule="auto"/>
        <w:rPr>
          <w:rFonts w:ascii="思源黑体 CN Light" w:eastAsia="思源黑体 CN Light" w:hAnsi="思源黑体 CN Light" w:cs="Times New Roman" w:hint="eastAsia"/>
          <w:sz w:val="16"/>
          <w:szCs w:val="16"/>
        </w:rPr>
      </w:pPr>
      <w:r>
        <w:rPr>
          <w:noProof/>
        </w:rPr>
        <w:lastRenderedPageBreak/>
        <w:drawing>
          <wp:inline distT="0" distB="0" distL="0" distR="0" wp14:anchorId="45E063F8" wp14:editId="4C67F52A">
            <wp:extent cx="5274310" cy="4998085"/>
            <wp:effectExtent l="0" t="0" r="2540" b="0"/>
            <wp:docPr id="10" name="图片 9"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表格&#10;&#10;AI 生成的内容可能不正确。"/>
                    <pic:cNvPicPr>
                      <a:picLocks noChangeAspect="1"/>
                    </pic:cNvPicPr>
                  </pic:nvPicPr>
                  <pic:blipFill>
                    <a:blip r:embed="rId7"/>
                    <a:stretch>
                      <a:fillRect/>
                    </a:stretch>
                  </pic:blipFill>
                  <pic:spPr>
                    <a:xfrm>
                      <a:off x="0" y="0"/>
                      <a:ext cx="5274310" cy="499808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数据来源：wind，富荣基金；统计区间：20250317-20250321</w:t>
      </w:r>
    </w:p>
    <w:p w14:paraId="0FE00CC1" w14:textId="77777777" w:rsidR="0083773F" w:rsidRDefault="00000000">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3</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7560EB89" w14:textId="77777777" w:rsidR="0083773F"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上周资金平衡转松。</w:t>
      </w:r>
      <w:r>
        <w:rPr>
          <w:rFonts w:ascii="思源黑体 CN Light" w:eastAsia="思源黑体 CN Light" w:hAnsi="思源黑体 CN Light" w:cs="Times New Roman" w:hint="eastAsia"/>
          <w:sz w:val="22"/>
          <w:szCs w:val="21"/>
          <w14:ligatures w14:val="standardContextual"/>
        </w:rPr>
        <w:t>DR001下行5.02BP至1.75%，DR007下行4.33BP至1.77%，R001下行3.86BP至1.77%，R007下行1.33BP至1.82%。CD:1M下行0.92BP至1.9951%，CD:3M下行3.51BP至1.9199%，CD:6M下行3BP至1.93%，CD:1Y下行2.5BP至1.93%。</w:t>
      </w:r>
    </w:p>
    <w:p w14:paraId="7C0EB119" w14:textId="77777777" w:rsidR="0083773F" w:rsidRDefault="00000000">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债市短端平稳，中长端震荡。</w:t>
      </w:r>
      <w:r>
        <w:rPr>
          <w:rFonts w:ascii="思源黑体 CN Light" w:eastAsia="思源黑体 CN Light" w:hAnsi="思源黑体 CN Light" w:cs="Times New Roman" w:hint="eastAsia"/>
          <w:sz w:val="22"/>
          <w:szCs w:val="21"/>
          <w14:ligatures w14:val="standardContextual"/>
        </w:rPr>
        <w:t>1Y、5Y、10Y、30Y国债收益率分别较前一周变动为-0.50BP、+5.65BP、+1.41BP、+2.76BP至1.5579%、1.6981%、1.8458%、</w:t>
      </w:r>
      <w:r>
        <w:rPr>
          <w:rFonts w:ascii="思源黑体 CN Light" w:eastAsia="思源黑体 CN Light" w:hAnsi="思源黑体 CN Light" w:cs="Times New Roman" w:hint="eastAsia"/>
          <w:sz w:val="22"/>
          <w:szCs w:val="21"/>
          <w14:ligatures w14:val="standardContextual"/>
        </w:rPr>
        <w:lastRenderedPageBreak/>
        <w:t>2.0676%，上周资金平衡转松，央行还略带暖意，短端债券偏稳。上周股债跷跷板效应略明显，股市整体调整，债市走好，但受10年国债不低于1.8%传闻，市场偏谨慎，债市中长</w:t>
      </w:r>
      <w:proofErr w:type="gramStart"/>
      <w:r>
        <w:rPr>
          <w:rFonts w:ascii="思源黑体 CN Light" w:eastAsia="思源黑体 CN Light" w:hAnsi="思源黑体 CN Light" w:cs="Times New Roman" w:hint="eastAsia"/>
          <w:sz w:val="22"/>
          <w:szCs w:val="21"/>
          <w14:ligatures w14:val="standardContextual"/>
        </w:rPr>
        <w:t>端整体</w:t>
      </w:r>
      <w:proofErr w:type="gramEnd"/>
      <w:r>
        <w:rPr>
          <w:rFonts w:ascii="思源黑体 CN Light" w:eastAsia="思源黑体 CN Light" w:hAnsi="思源黑体 CN Light" w:cs="Times New Roman" w:hint="eastAsia"/>
          <w:sz w:val="22"/>
          <w:szCs w:val="21"/>
          <w14:ligatures w14:val="standardContextual"/>
        </w:rPr>
        <w:t>偏震荡。</w:t>
      </w:r>
    </w:p>
    <w:p w14:paraId="5AAD198C" w14:textId="77777777" w:rsidR="0083773F"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p>
    <w:p w14:paraId="0069B86D" w14:textId="77777777" w:rsidR="0083773F" w:rsidRDefault="00000000">
      <w:pPr>
        <w:ind w:firstLineChars="200" w:firstLine="420"/>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noProof/>
          <w:szCs w:val="21"/>
        </w:rPr>
        <w:drawing>
          <wp:inline distT="0" distB="0" distL="0" distR="0" wp14:anchorId="4B351E74" wp14:editId="4FDE2BF2">
            <wp:extent cx="5274310" cy="3388995"/>
            <wp:effectExtent l="0" t="0" r="2540" b="1905"/>
            <wp:docPr id="12" name="图片 1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10;&#10;AI 生成的内容可能不正确。"/>
                    <pic:cNvPicPr>
                      <a:picLocks noChangeAspect="1"/>
                    </pic:cNvPicPr>
                  </pic:nvPicPr>
                  <pic:blipFill>
                    <a:blip r:embed="rId8"/>
                    <a:stretch>
                      <a:fillRect/>
                    </a:stretch>
                  </pic:blipFill>
                  <pic:spPr>
                    <a:xfrm>
                      <a:off x="0" y="0"/>
                      <a:ext cx="5274310" cy="338899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数据来源：wind，富荣基金；统计区间：20250317-20250321</w:t>
      </w:r>
    </w:p>
    <w:p w14:paraId="444FB74C" w14:textId="77777777" w:rsidR="0083773F"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p>
    <w:p w14:paraId="3342E76A" w14:textId="77777777" w:rsidR="0083773F"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1948BAA8" wp14:editId="162D8D69">
            <wp:extent cx="5274310" cy="3578860"/>
            <wp:effectExtent l="0" t="0" r="2540" b="2540"/>
            <wp:docPr id="11" name="图片 10"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条形图&#10;&#10;AI 生成的内容可能不正确。"/>
                    <pic:cNvPicPr>
                      <a:picLocks noChangeAspect="1"/>
                    </pic:cNvPicPr>
                  </pic:nvPicPr>
                  <pic:blipFill>
                    <a:blip r:embed="rId9"/>
                    <a:stretch>
                      <a:fillRect/>
                    </a:stretch>
                  </pic:blipFill>
                  <pic:spPr>
                    <a:xfrm>
                      <a:off x="0" y="0"/>
                      <a:ext cx="5274310" cy="357886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数据来源：wind，富荣基金；统计区间：20250317-20250321</w:t>
      </w:r>
    </w:p>
    <w:p w14:paraId="27A69666" w14:textId="77777777" w:rsidR="0083773F"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上周税期央行足量投放流动性，资金边际转松，提振债市情绪，信用债收益率普遍下行，利差普遍收窄。2-5Y品种利差压缩幅度较大，信用债呈现出由短及长的修复特征。。</w:t>
      </w:r>
    </w:p>
    <w:p w14:paraId="384C1C41" w14:textId="77777777" w:rsidR="0083773F" w:rsidRDefault="00000000">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信用债收益率普遍下行，表现优于利率，利差普遍收窄。1-5Y各品种</w:t>
      </w:r>
      <w:proofErr w:type="gramStart"/>
      <w:r>
        <w:rPr>
          <w:rFonts w:ascii="思源黑体 CN Light" w:eastAsia="思源黑体 CN Light" w:hAnsi="思源黑体 CN Light" w:cs="Times New Roman" w:hint="eastAsia"/>
          <w:sz w:val="22"/>
          <w:szCs w:val="21"/>
          <w14:ligatures w14:val="standardContextual"/>
        </w:rPr>
        <w:t>中短票收益率</w:t>
      </w:r>
      <w:proofErr w:type="gramEnd"/>
      <w:r>
        <w:rPr>
          <w:rFonts w:ascii="思源黑体 CN Light" w:eastAsia="思源黑体 CN Light" w:hAnsi="思源黑体 CN Light" w:cs="Times New Roman" w:hint="eastAsia"/>
          <w:sz w:val="22"/>
          <w:szCs w:val="21"/>
          <w14:ligatures w14:val="standardContextual"/>
        </w:rPr>
        <w:t>下行6-10BP，除15Y隐含评级AA+品种收益率上行1BP外，其余各品种收益率普遍下行0-3BP。利差普遍收窄，2-5Y表现较优，利差收窄8-12BP，其余各品种利差收窄3-6BP。</w:t>
      </w:r>
      <w:proofErr w:type="gramStart"/>
      <w:r>
        <w:rPr>
          <w:rFonts w:ascii="思源黑体 CN Light" w:eastAsia="思源黑体 CN Light" w:hAnsi="思源黑体 CN Light" w:cs="Times New Roman" w:hint="eastAsia"/>
          <w:sz w:val="22"/>
          <w:szCs w:val="21"/>
          <w14:ligatures w14:val="standardContextual"/>
        </w:rPr>
        <w:t>城投债方面</w:t>
      </w:r>
      <w:proofErr w:type="gramEnd"/>
      <w:r>
        <w:rPr>
          <w:rFonts w:ascii="思源黑体 CN Light" w:eastAsia="思源黑体 CN Light" w:hAnsi="思源黑体 CN Light" w:cs="Times New Roman" w:hint="eastAsia"/>
          <w:sz w:val="22"/>
          <w:szCs w:val="21"/>
          <w14:ligatures w14:val="standardContextual"/>
        </w:rPr>
        <w:t>，1-3Y各品种收益率普遍下行6-10BP，4-5Y各品种收益率下行1-8BP。利差方面，1Y、5Y各品种利差收窄4-8BP，2-4Y各品种利差多收窄8-11BP。</w:t>
      </w:r>
    </w:p>
    <w:p w14:paraId="47FA66B7" w14:textId="77777777" w:rsidR="0083773F"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3473BF4A" w14:textId="77777777" w:rsidR="0083773F"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6C96A878" wp14:editId="6AC9EDB1">
            <wp:extent cx="5274310" cy="2546350"/>
            <wp:effectExtent l="0" t="0" r="2540" b="6350"/>
            <wp:docPr id="1579785233" name="图片 10" descr="图表, 瀑布图, 漏斗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785233" name="图片 10" descr="图表, 瀑布图, 漏斗图&#10;&#10;AI 生成的内容可能不正确。"/>
                    <pic:cNvPicPr>
                      <a:picLocks noChangeAspect="1"/>
                    </pic:cNvPicPr>
                  </pic:nvPicPr>
                  <pic:blipFill>
                    <a:blip r:embed="rId10"/>
                    <a:stretch>
                      <a:fillRect/>
                    </a:stretch>
                  </pic:blipFill>
                  <pic:spPr>
                    <a:xfrm>
                      <a:off x="0" y="0"/>
                      <a:ext cx="5274310" cy="254635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数据来源：wind，富荣基金；统计区间：20250317-20250321</w:t>
      </w:r>
    </w:p>
    <w:p w14:paraId="0515D14F" w14:textId="77777777" w:rsidR="0083773F" w:rsidRDefault="00000000">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图五：信用利差变化</w:t>
      </w:r>
    </w:p>
    <w:p w14:paraId="5F52D49A" w14:textId="77777777" w:rsidR="0083773F" w:rsidRDefault="00000000">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b/>
          <w:noProof/>
          <w:color w:val="000000"/>
          <w:kern w:val="0"/>
          <w:sz w:val="20"/>
          <w:szCs w:val="20"/>
        </w:rPr>
        <w:drawing>
          <wp:inline distT="0" distB="0" distL="0" distR="0" wp14:anchorId="5FB080EE" wp14:editId="114F1E61">
            <wp:extent cx="5274310" cy="2206625"/>
            <wp:effectExtent l="0" t="0" r="2540" b="3175"/>
            <wp:docPr id="4862268"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2268" name="图片 11" descr="图表, 瀑布图&#10;&#10;AI 生成的内容可能不正确。"/>
                    <pic:cNvPicPr>
                      <a:picLocks noChangeAspect="1"/>
                    </pic:cNvPicPr>
                  </pic:nvPicPr>
                  <pic:blipFill>
                    <a:blip r:embed="rId11"/>
                    <a:stretch>
                      <a:fillRect/>
                    </a:stretch>
                  </pic:blipFill>
                  <pic:spPr>
                    <a:xfrm>
                      <a:off x="0" y="0"/>
                      <a:ext cx="5274310" cy="2206625"/>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数据来源：wind，富荣基金；统计区间：20250317-20250321</w:t>
      </w:r>
    </w:p>
    <w:p w14:paraId="7DC40C77" w14:textId="77777777" w:rsidR="0083773F" w:rsidRDefault="0083773F">
      <w:pPr>
        <w:spacing w:line="288" w:lineRule="auto"/>
        <w:jc w:val="left"/>
        <w:rPr>
          <w:rFonts w:ascii="思源黑体 CN Light" w:eastAsia="思源黑体 CN Light" w:hAnsi="思源黑体 CN Light" w:cs="Times New Roman" w:hint="eastAsia"/>
          <w:sz w:val="16"/>
          <w:szCs w:val="16"/>
        </w:rPr>
      </w:pPr>
    </w:p>
    <w:p w14:paraId="651F29F0" w14:textId="77777777" w:rsidR="0083773F" w:rsidRDefault="0083773F">
      <w:pPr>
        <w:ind w:firstLineChars="200" w:firstLine="400"/>
        <w:rPr>
          <w:rFonts w:ascii="思源黑体 CN Light" w:eastAsia="思源黑体 CN Light" w:hAnsi="思源黑体 CN Light" w:hint="eastAsia"/>
          <w:sz w:val="20"/>
          <w:szCs w:val="20"/>
        </w:rPr>
      </w:pPr>
    </w:p>
    <w:p w14:paraId="7798CE00" w14:textId="77777777" w:rsidR="0083773F" w:rsidRDefault="00000000">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2B1F0595" w14:textId="3F7D8D70" w:rsidR="0083773F" w:rsidRDefault="00000000">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83773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CCD77" w14:textId="77777777" w:rsidR="00E80627" w:rsidRDefault="00E80627">
      <w:pPr>
        <w:rPr>
          <w:rFonts w:hint="eastAsia"/>
        </w:rPr>
      </w:pPr>
      <w:r>
        <w:separator/>
      </w:r>
    </w:p>
  </w:endnote>
  <w:endnote w:type="continuationSeparator" w:id="0">
    <w:p w14:paraId="76A39D39" w14:textId="77777777" w:rsidR="00E80627" w:rsidRDefault="00E8062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605C1" w14:textId="77777777" w:rsidR="00E80627" w:rsidRDefault="00E80627">
      <w:pPr>
        <w:rPr>
          <w:rFonts w:hint="eastAsia"/>
        </w:rPr>
      </w:pPr>
      <w:r>
        <w:separator/>
      </w:r>
    </w:p>
  </w:footnote>
  <w:footnote w:type="continuationSeparator" w:id="0">
    <w:p w14:paraId="1FABF3EA" w14:textId="77777777" w:rsidR="00E80627" w:rsidRDefault="00E8062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BF7"/>
    <w:rsid w:val="000D62D0"/>
    <w:rsid w:val="00147A8E"/>
    <w:rsid w:val="001B54BA"/>
    <w:rsid w:val="002F63B0"/>
    <w:rsid w:val="00746ABA"/>
    <w:rsid w:val="00807E09"/>
    <w:rsid w:val="0083773F"/>
    <w:rsid w:val="00852735"/>
    <w:rsid w:val="00865BF7"/>
    <w:rsid w:val="00931E3B"/>
    <w:rsid w:val="00961091"/>
    <w:rsid w:val="00AC6755"/>
    <w:rsid w:val="00BC2D0D"/>
    <w:rsid w:val="00DD0F38"/>
    <w:rsid w:val="00E14C72"/>
    <w:rsid w:val="00E80627"/>
    <w:rsid w:val="3EAE0E10"/>
    <w:rsid w:val="51080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F4AF8A"/>
  <w15:docId w15:val="{ACB651AB-7FD9-45FF-BC5A-BA65EBCFC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Subtitle"/>
    <w:basedOn w:val="a"/>
    <w:next w:val="a"/>
    <w:link w:val="a5"/>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7">
    <w:name w:val="标题 字符"/>
    <w:basedOn w:val="a0"/>
    <w:link w:val="a6"/>
    <w:uiPriority w:val="10"/>
    <w:qFormat/>
    <w:rPr>
      <w:rFonts w:asciiTheme="majorHAnsi" w:eastAsiaTheme="majorEastAsia" w:hAnsiTheme="majorHAnsi" w:cstheme="majorBidi"/>
      <w:spacing w:val="-10"/>
      <w:kern w:val="28"/>
      <w:sz w:val="56"/>
      <w:szCs w:val="56"/>
    </w:rPr>
  </w:style>
  <w:style w:type="character" w:customStyle="1" w:styleId="a5">
    <w:name w:val="副标题 字符"/>
    <w:basedOn w:val="a0"/>
    <w:link w:val="a4"/>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9">
    <w:name w:val="引用 字符"/>
    <w:basedOn w:val="a0"/>
    <w:link w:val="a8"/>
    <w:uiPriority w:val="29"/>
    <w:rPr>
      <w:i/>
      <w:iCs/>
      <w:color w:val="404040" w:themeColor="text1" w:themeTint="BF"/>
    </w:rPr>
  </w:style>
  <w:style w:type="paragraph" w:styleId="aa">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d">
    <w:name w:val="annotation reference"/>
    <w:basedOn w:val="a0"/>
    <w:uiPriority w:val="99"/>
    <w:semiHidden/>
    <w:unhideWhenUsed/>
    <w:rPr>
      <w:sz w:val="21"/>
      <w:szCs w:val="21"/>
    </w:rPr>
  </w:style>
  <w:style w:type="paragraph" w:styleId="ae">
    <w:name w:val="Revision"/>
    <w:hidden/>
    <w:uiPriority w:val="99"/>
    <w:unhideWhenUsed/>
    <w:rsid w:val="00961091"/>
    <w:rPr>
      <w:kern w:val="2"/>
      <w:sz w:val="21"/>
      <w:szCs w:val="22"/>
    </w:rPr>
  </w:style>
  <w:style w:type="paragraph" w:styleId="af">
    <w:name w:val="header"/>
    <w:basedOn w:val="a"/>
    <w:link w:val="af0"/>
    <w:uiPriority w:val="99"/>
    <w:unhideWhenUsed/>
    <w:rsid w:val="00961091"/>
    <w:pPr>
      <w:tabs>
        <w:tab w:val="center" w:pos="4153"/>
        <w:tab w:val="right" w:pos="8306"/>
      </w:tabs>
      <w:snapToGrid w:val="0"/>
      <w:jc w:val="center"/>
    </w:pPr>
    <w:rPr>
      <w:sz w:val="18"/>
      <w:szCs w:val="18"/>
    </w:rPr>
  </w:style>
  <w:style w:type="character" w:customStyle="1" w:styleId="af0">
    <w:name w:val="页眉 字符"/>
    <w:basedOn w:val="a0"/>
    <w:link w:val="af"/>
    <w:uiPriority w:val="99"/>
    <w:rsid w:val="00961091"/>
    <w:rPr>
      <w:kern w:val="2"/>
      <w:sz w:val="18"/>
      <w:szCs w:val="18"/>
    </w:rPr>
  </w:style>
  <w:style w:type="paragraph" w:styleId="af1">
    <w:name w:val="footer"/>
    <w:basedOn w:val="a"/>
    <w:link w:val="af2"/>
    <w:uiPriority w:val="99"/>
    <w:unhideWhenUsed/>
    <w:rsid w:val="00961091"/>
    <w:pPr>
      <w:tabs>
        <w:tab w:val="center" w:pos="4153"/>
        <w:tab w:val="right" w:pos="8306"/>
      </w:tabs>
      <w:snapToGrid w:val="0"/>
      <w:jc w:val="left"/>
    </w:pPr>
    <w:rPr>
      <w:sz w:val="18"/>
      <w:szCs w:val="18"/>
    </w:rPr>
  </w:style>
  <w:style w:type="character" w:customStyle="1" w:styleId="af2">
    <w:name w:val="页脚 字符"/>
    <w:basedOn w:val="a0"/>
    <w:link w:val="af1"/>
    <w:uiPriority w:val="99"/>
    <w:rsid w:val="0096109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6</Pages>
  <Words>335</Words>
  <Characters>1916</Characters>
  <Application>Microsoft Office Word</Application>
  <DocSecurity>0</DocSecurity>
  <Lines>15</Lines>
  <Paragraphs>4</Paragraphs>
  <ScaleCrop>false</ScaleCrop>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2025-03-24T01:13:00Z</dcterms:created>
  <dcterms:modified xsi:type="dcterms:W3CDTF">2025-03-24T06:18:00Z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2052-12.1.0.20305</vt:lpwstr>
  </property>
  <property fmtid="{D5CDD505-2E9C-101B-9397-08002B2CF9AE}" pid="4" name="ICV">
    <vt:lpwstr>6C0A0DE0966F497EB7E88CA2A71425EC_12</vt:lpwstr>
  </property>
</Properties>
</file>