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05AD75" w14:textId="77777777" w:rsidR="00670BD2" w:rsidRDefault="00000000">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w:t>
      </w:r>
      <w:proofErr w:type="gramStart"/>
      <w:r>
        <w:rPr>
          <w:rFonts w:ascii="思源黑体 CN Bold" w:eastAsia="思源黑体 CN Bold" w:hAnsi="思源黑体 CN Bold" w:hint="eastAsia"/>
          <w:b/>
          <w:bCs/>
          <w:sz w:val="28"/>
          <w:szCs w:val="28"/>
        </w:rPr>
        <w:t>荣固收</w:t>
      </w:r>
      <w:proofErr w:type="gramEnd"/>
      <w:r>
        <w:rPr>
          <w:rFonts w:ascii="思源黑体 CN Bold" w:eastAsia="思源黑体 CN Bold" w:hAnsi="思源黑体 CN Bold" w:hint="eastAsia"/>
          <w:b/>
          <w:bCs/>
          <w:sz w:val="28"/>
          <w:szCs w:val="28"/>
        </w:rPr>
        <w:t>：债市震荡走强</w:t>
      </w:r>
    </w:p>
    <w:p w14:paraId="68DC21F1" w14:textId="77777777" w:rsidR="00670BD2" w:rsidRDefault="00000000">
      <w:pPr>
        <w:rPr>
          <w:rFonts w:ascii="思源黑体 CN Light" w:eastAsia="思源黑体 CN Light" w:hAnsi="思源黑体 CN Light"/>
          <w:szCs w:val="21"/>
        </w:rPr>
      </w:pPr>
      <w:r>
        <w:rPr>
          <w:rFonts w:ascii="思源黑体 CN Light" w:eastAsia="思源黑体 CN Light" w:hAnsi="思源黑体 CN Light" w:hint="eastAsia"/>
          <w:szCs w:val="21"/>
        </w:rPr>
        <w:t>观点：</w:t>
      </w:r>
      <w:bookmarkStart w:id="0" w:name="_Toc134985519"/>
    </w:p>
    <w:p w14:paraId="600EFC7B" w14:textId="77777777" w:rsidR="00670BD2" w:rsidRDefault="00000000">
      <w:pPr>
        <w:spacing w:line="288" w:lineRule="auto"/>
        <w:ind w:firstLineChars="200" w:firstLine="420"/>
        <w:rPr>
          <w:rFonts w:ascii="思源黑体 CN Light" w:eastAsia="思源黑体 CN Light" w:hAnsi="思源黑体 CN Light" w:cs="Times New Roman"/>
          <w:szCs w:val="21"/>
        </w:rPr>
      </w:pPr>
      <w:r>
        <w:rPr>
          <w:rFonts w:ascii="思源黑体 CN Light" w:eastAsia="思源黑体 CN Light" w:hAnsi="思源黑体 CN Light" w:cs="Times New Roman" w:hint="eastAsia"/>
          <w:szCs w:val="21"/>
        </w:rPr>
        <w:t>上周（</w:t>
      </w:r>
      <w:r>
        <w:rPr>
          <w:rFonts w:ascii="思源黑体 CN Light" w:eastAsia="思源黑体 CN Light" w:hAnsi="思源黑体 CN Light" w:cs="Times New Roman" w:hint="eastAsia"/>
          <w:color w:val="000000" w:themeColor="text1"/>
          <w:szCs w:val="20"/>
        </w:rPr>
        <w:t>2025年3月24日至2025年3月28日，下同</w:t>
      </w:r>
      <w:r>
        <w:rPr>
          <w:rFonts w:ascii="思源黑体 CN Light" w:eastAsia="思源黑体 CN Light" w:hAnsi="思源黑体 CN Light" w:cs="Times New Roman" w:hint="eastAsia"/>
          <w:szCs w:val="21"/>
        </w:rPr>
        <w:t>）债市收益</w:t>
      </w:r>
      <w:proofErr w:type="gramStart"/>
      <w:r>
        <w:rPr>
          <w:rFonts w:ascii="思源黑体 CN Light" w:eastAsia="思源黑体 CN Light" w:hAnsi="思源黑体 CN Light" w:cs="Times New Roman" w:hint="eastAsia"/>
          <w:szCs w:val="21"/>
        </w:rPr>
        <w:t>率先下</w:t>
      </w:r>
      <w:proofErr w:type="gramEnd"/>
      <w:r>
        <w:rPr>
          <w:rFonts w:ascii="思源黑体 CN Light" w:eastAsia="思源黑体 CN Light" w:hAnsi="思源黑体 CN Light" w:cs="Times New Roman" w:hint="eastAsia"/>
          <w:szCs w:val="21"/>
        </w:rPr>
        <w:t>后上，10年期国债活跃</w:t>
      </w:r>
      <w:proofErr w:type="gramStart"/>
      <w:r>
        <w:rPr>
          <w:rFonts w:ascii="思源黑体 CN Light" w:eastAsia="思源黑体 CN Light" w:hAnsi="思源黑体 CN Light" w:cs="Times New Roman" w:hint="eastAsia"/>
          <w:szCs w:val="21"/>
        </w:rPr>
        <w:t>券</w:t>
      </w:r>
      <w:proofErr w:type="gramEnd"/>
      <w:r>
        <w:rPr>
          <w:rFonts w:ascii="思源黑体 CN Light" w:eastAsia="思源黑体 CN Light" w:hAnsi="思源黑体 CN Light" w:cs="Times New Roman" w:hint="eastAsia"/>
          <w:szCs w:val="21"/>
        </w:rPr>
        <w:t>收益率整体下行3.5BP。周初MLF意外净投放及改为美式招标推动市场边际宽松预期，叠加权益市场回调，债市表现良好。后半周情绪主导交易，</w:t>
      </w:r>
      <w:proofErr w:type="gramStart"/>
      <w:r>
        <w:rPr>
          <w:rFonts w:ascii="思源黑体 CN Light" w:eastAsia="思源黑体 CN Light" w:hAnsi="思源黑体 CN Light" w:cs="Times New Roman" w:hint="eastAsia"/>
          <w:szCs w:val="21"/>
        </w:rPr>
        <w:t>止盈盘涌现</w:t>
      </w:r>
      <w:proofErr w:type="gramEnd"/>
      <w:r>
        <w:rPr>
          <w:rFonts w:ascii="思源黑体 CN Light" w:eastAsia="思源黑体 CN Light" w:hAnsi="思源黑体 CN Light" w:cs="Times New Roman" w:hint="eastAsia"/>
          <w:szCs w:val="21"/>
        </w:rPr>
        <w:t>，曲线陡峭上行。</w:t>
      </w:r>
    </w:p>
    <w:p w14:paraId="39F8E409" w14:textId="4DDC0E56" w:rsidR="00670BD2" w:rsidRDefault="00000000">
      <w:pPr>
        <w:spacing w:line="288" w:lineRule="auto"/>
        <w:ind w:firstLineChars="200" w:firstLine="420"/>
        <w:rPr>
          <w:rFonts w:ascii="思源黑体 CN Light" w:eastAsia="思源黑体 CN Light" w:hAnsi="思源黑体 CN Light" w:cs="Times New Roman"/>
          <w:szCs w:val="21"/>
        </w:rPr>
      </w:pPr>
      <w:r>
        <w:rPr>
          <w:rFonts w:ascii="思源黑体 CN Light" w:eastAsia="思源黑体 CN Light" w:hAnsi="思源黑体 CN Light" w:cs="Times New Roman" w:hint="eastAsia"/>
          <w:szCs w:val="21"/>
        </w:rPr>
        <w:t>资金面或将继续平衡，市场仍在预期二季度可能会实施降准。本周（3月31日-4月3日）债市或将震荡走强，关注4月资金面和关税的影响。</w:t>
      </w:r>
    </w:p>
    <w:p w14:paraId="1C50EF95" w14:textId="77777777" w:rsidR="00670BD2" w:rsidRDefault="00000000">
      <w:pPr>
        <w:pStyle w:val="1"/>
        <w:tabs>
          <w:tab w:val="left" w:pos="6289"/>
        </w:tabs>
        <w:spacing w:line="360" w:lineRule="auto"/>
        <w:rPr>
          <w:rFonts w:ascii="思源黑体 CN Light" w:eastAsia="思源黑体 CN Light" w:hAnsi="思源黑体 CN Light" w:cs="Arial"/>
          <w:sz w:val="36"/>
          <w:szCs w:val="36"/>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热点追踪</w:t>
      </w:r>
    </w:p>
    <w:p w14:paraId="6803F773" w14:textId="77777777" w:rsidR="00670BD2" w:rsidRDefault="00000000">
      <w:pPr>
        <w:spacing w:line="288" w:lineRule="auto"/>
        <w:ind w:firstLineChars="200" w:firstLine="420"/>
        <w:rPr>
          <w:rFonts w:ascii="思源黑体 CN Light" w:eastAsia="思源黑体 CN Light" w:hAnsi="思源黑体 CN Light" w:cs="Times New Roman"/>
          <w:szCs w:val="21"/>
        </w:rPr>
      </w:pPr>
      <w:r>
        <w:rPr>
          <w:rFonts w:ascii="思源黑体 CN Light" w:eastAsia="思源黑体 CN Light" w:hAnsi="思源黑体 CN Light" w:cs="Times New Roman" w:hint="eastAsia"/>
          <w:szCs w:val="21"/>
        </w:rPr>
        <w:t>国家统计局数据显示，1-2月份，全国规模以上工业企业实现利润总额9109.9亿元，同比下降0.3%；1-2月份，规模以上工业企业实现营业收入20.09</w:t>
      </w:r>
      <w:proofErr w:type="gramStart"/>
      <w:r>
        <w:rPr>
          <w:rFonts w:ascii="思源黑体 CN Light" w:eastAsia="思源黑体 CN Light" w:hAnsi="思源黑体 CN Light" w:cs="Times New Roman" w:hint="eastAsia"/>
          <w:szCs w:val="21"/>
        </w:rPr>
        <w:t>万亿</w:t>
      </w:r>
      <w:proofErr w:type="gramEnd"/>
      <w:r>
        <w:rPr>
          <w:rFonts w:ascii="思源黑体 CN Light" w:eastAsia="思源黑体 CN Light" w:hAnsi="思源黑体 CN Light" w:cs="Times New Roman" w:hint="eastAsia"/>
          <w:szCs w:val="21"/>
        </w:rPr>
        <w:t>元，同比增长2.8%；发生营业成本17.10</w:t>
      </w:r>
      <w:proofErr w:type="gramStart"/>
      <w:r>
        <w:rPr>
          <w:rFonts w:ascii="思源黑体 CN Light" w:eastAsia="思源黑体 CN Light" w:hAnsi="思源黑体 CN Light" w:cs="Times New Roman" w:hint="eastAsia"/>
          <w:szCs w:val="21"/>
        </w:rPr>
        <w:t>万亿</w:t>
      </w:r>
      <w:proofErr w:type="gramEnd"/>
      <w:r>
        <w:rPr>
          <w:rFonts w:ascii="思源黑体 CN Light" w:eastAsia="思源黑体 CN Light" w:hAnsi="思源黑体 CN Light" w:cs="Times New Roman" w:hint="eastAsia"/>
          <w:szCs w:val="21"/>
        </w:rPr>
        <w:t>元，增长2.9%；营业收入利润率为4.53%，同比下降0.14个百分点。</w:t>
      </w:r>
    </w:p>
    <w:p w14:paraId="7B38EC30" w14:textId="12086114" w:rsidR="00670BD2" w:rsidRDefault="00000000">
      <w:pPr>
        <w:spacing w:line="288" w:lineRule="auto"/>
        <w:ind w:firstLineChars="200" w:firstLine="420"/>
        <w:rPr>
          <w:rFonts w:ascii="思源黑体 CN Light" w:eastAsia="思源黑体 CN Light" w:hAnsi="思源黑体 CN Light" w:cs="Times New Roman"/>
          <w:szCs w:val="21"/>
        </w:rPr>
      </w:pPr>
      <w:r>
        <w:rPr>
          <w:rFonts w:ascii="思源黑体 CN Light" w:eastAsia="思源黑体 CN Light" w:hAnsi="思源黑体 CN Light" w:cs="Times New Roman" w:hint="eastAsia"/>
          <w:szCs w:val="21"/>
        </w:rPr>
        <w:t>整体来看，规模以上工业企业利润整体有所改善，仍需扩大内需。虽较2024年全年的-3.3%跌幅收窄，但较2024年12月11%的当月同比增速由正转负，主要为高基数影响。</w:t>
      </w:r>
      <w:proofErr w:type="gramStart"/>
      <w:r>
        <w:rPr>
          <w:rFonts w:ascii="思源黑体 CN Light" w:eastAsia="思源黑体 CN Light" w:hAnsi="思源黑体 CN Light" w:cs="Times New Roman" w:hint="eastAsia"/>
          <w:szCs w:val="21"/>
        </w:rPr>
        <w:t>分因素</w:t>
      </w:r>
      <w:proofErr w:type="gramEnd"/>
      <w:r>
        <w:rPr>
          <w:rFonts w:ascii="思源黑体 CN Light" w:eastAsia="思源黑体 CN Light" w:hAnsi="思源黑体 CN Light" w:cs="Times New Roman" w:hint="eastAsia"/>
          <w:szCs w:val="21"/>
        </w:rPr>
        <w:t>看，量跌价涨，利润率增速由正转负，量对利润的贡献小幅走低。分行业看，行业分化明显，结构较前期有所变化。上中游部分行业受需求平淡、利润率回落影响，利润增速有所下滑，下游行业中的酒饮料茶、汽车等行业则受益于消费复苏、政策补贴、利润率改善等因素，带动下游行业利润占比回升。</w:t>
      </w:r>
    </w:p>
    <w:p w14:paraId="51C9DF7A" w14:textId="77777777" w:rsidR="00670BD2" w:rsidRDefault="00000000">
      <w:pPr>
        <w:pStyle w:val="1"/>
        <w:tabs>
          <w:tab w:val="left" w:pos="6289"/>
        </w:tabs>
        <w:spacing w:line="360" w:lineRule="auto"/>
        <w:rPr>
          <w:rFonts w:ascii="思源黑体 CN Light" w:eastAsia="思源黑体 CN Light" w:hAnsi="思源黑体 CN Light" w:cs="Arial"/>
          <w:sz w:val="36"/>
          <w:szCs w:val="36"/>
        </w:rPr>
      </w:pPr>
      <w:r>
        <w:rPr>
          <w:rFonts w:ascii="思源黑体 CN Light" w:eastAsia="思源黑体 CN Light" w:hAnsi="思源黑体 CN Light" w:cs="Arial" w:hint="eastAsia"/>
          <w:sz w:val="36"/>
          <w:szCs w:val="36"/>
        </w:rPr>
        <w:t>2、上周</w:t>
      </w:r>
      <w:r>
        <w:rPr>
          <w:rFonts w:ascii="思源黑体 CN Light" w:eastAsia="思源黑体 CN Light" w:hAnsi="思源黑体 CN Light" w:cs="Arial"/>
          <w:sz w:val="36"/>
          <w:szCs w:val="36"/>
        </w:rPr>
        <w:t>高频数据</w:t>
      </w:r>
      <w:bookmarkEnd w:id="0"/>
    </w:p>
    <w:p w14:paraId="488F36D8" w14:textId="77777777" w:rsidR="00670BD2" w:rsidRDefault="00000000">
      <w:pPr>
        <w:spacing w:line="288" w:lineRule="auto"/>
        <w:ind w:firstLineChars="200" w:firstLine="420"/>
        <w:jc w:val="left"/>
        <w:rPr>
          <w:rFonts w:ascii="思源黑体 CN Light" w:eastAsia="思源黑体 CN Light" w:hAnsi="思源黑体 CN Light" w:cs="Times New Roman"/>
          <w:szCs w:val="21"/>
        </w:rPr>
      </w:pPr>
      <w:r>
        <w:rPr>
          <w:rFonts w:ascii="思源黑体 CN Light" w:eastAsia="思源黑体 CN Light" w:hAnsi="思源黑体 CN Light" w:cs="Times New Roman" w:hint="eastAsia"/>
          <w:szCs w:val="21"/>
        </w:rPr>
        <w:t>从上周高频数据来看，生产有所修复，但需求仍不强。消费结构分化，</w:t>
      </w:r>
      <w:proofErr w:type="gramStart"/>
      <w:r>
        <w:rPr>
          <w:rFonts w:ascii="思源黑体 CN Light" w:eastAsia="思源黑体 CN Light" w:hAnsi="思源黑体 CN Light" w:cs="Times New Roman" w:hint="eastAsia"/>
          <w:szCs w:val="21"/>
        </w:rPr>
        <w:t>纺服需求</w:t>
      </w:r>
      <w:proofErr w:type="gramEnd"/>
      <w:r>
        <w:rPr>
          <w:rFonts w:ascii="思源黑体 CN Light" w:eastAsia="思源黑体 CN Light" w:hAnsi="思源黑体 CN Light" w:cs="Times New Roman" w:hint="eastAsia"/>
          <w:szCs w:val="21"/>
        </w:rPr>
        <w:t>有所回升，汽车、服务消费表现一般；投资方面，新房销售同比增速连续两周回落，环比增幅有所收窄；进出口方面，外需短期面临震荡，港口数据较为一般且偏弱；生产方面，钢铁、石化等传统行业生产边际改善，但光伏、汽车等生产指标未有明显提振；物价方面，原油、钢铁价格小幅反弹，蔬菜、农产品小幅增长。</w:t>
      </w:r>
    </w:p>
    <w:p w14:paraId="3937C90C" w14:textId="77777777" w:rsidR="00670BD2" w:rsidRDefault="00000000">
      <w:pPr>
        <w:spacing w:line="288" w:lineRule="auto"/>
        <w:ind w:firstLineChars="200" w:firstLine="420"/>
        <w:jc w:val="left"/>
        <w:rPr>
          <w:rFonts w:ascii="思源黑体 CN Light" w:eastAsia="思源黑体 CN Light" w:hAnsi="思源黑体 CN Light" w:cs="Times New Roman"/>
          <w:szCs w:val="21"/>
        </w:rPr>
      </w:pPr>
      <w:r>
        <w:rPr>
          <w:rFonts w:ascii="思源黑体 CN Light" w:eastAsia="思源黑体 CN Light" w:hAnsi="思源黑体 CN Light" w:cs="Times New Roman" w:hint="eastAsia"/>
          <w:szCs w:val="21"/>
        </w:rPr>
        <w:t>美元上周走弱，其他非美货币涨跌互现。截至3月28日，美元指数下行0.12%，在岸人民币跌0.20%，日元跌0.35%，</w:t>
      </w:r>
      <w:proofErr w:type="gramStart"/>
      <w:r>
        <w:rPr>
          <w:rFonts w:ascii="思源黑体 CN Light" w:eastAsia="思源黑体 CN Light" w:hAnsi="思源黑体 CN Light" w:cs="Times New Roman" w:hint="eastAsia"/>
          <w:szCs w:val="21"/>
        </w:rPr>
        <w:t>瑞郎涨</w:t>
      </w:r>
      <w:proofErr w:type="gramEnd"/>
      <w:r>
        <w:rPr>
          <w:rFonts w:ascii="思源黑体 CN Light" w:eastAsia="思源黑体 CN Light" w:hAnsi="思源黑体 CN Light" w:cs="Times New Roman" w:hint="eastAsia"/>
          <w:szCs w:val="21"/>
        </w:rPr>
        <w:t>0.28%，欧元涨0.13%，澳元涨0.23%，英镑涨0.19%。</w:t>
      </w:r>
    </w:p>
    <w:p w14:paraId="2C289D43" w14:textId="77777777" w:rsidR="00670BD2" w:rsidRDefault="00000000">
      <w:pPr>
        <w:spacing w:line="288" w:lineRule="auto"/>
        <w:jc w:val="left"/>
        <w:rPr>
          <w:rFonts w:ascii="思源黑体 CN Light" w:eastAsia="思源黑体 CN Light" w:hAnsi="思源黑体 CN Light" w:cs="Times New Roman"/>
          <w:b/>
          <w:color w:val="000000"/>
          <w:kern w:val="0"/>
          <w:sz w:val="20"/>
          <w:szCs w:val="20"/>
        </w:rPr>
      </w:pPr>
      <w:r>
        <w:rPr>
          <w:rFonts w:ascii="思源黑体 CN Light" w:eastAsia="思源黑体 CN Light" w:hAnsi="思源黑体 CN Light" w:cs="Times New Roman" w:hint="eastAsia"/>
          <w:b/>
          <w:color w:val="000000"/>
          <w:kern w:val="0"/>
          <w:sz w:val="20"/>
          <w:szCs w:val="20"/>
        </w:rPr>
        <w:t>图一：主要货币变化率</w:t>
      </w:r>
    </w:p>
    <w:p w14:paraId="2D25ED41" w14:textId="77777777" w:rsidR="00670BD2" w:rsidRDefault="00000000">
      <w:pPr>
        <w:spacing w:line="360" w:lineRule="auto"/>
        <w:rPr>
          <w:rFonts w:ascii="思源黑体 CN Light" w:eastAsia="思源黑体 CN Light" w:hAnsi="思源黑体 CN Light" w:cs="Times New Roman"/>
          <w:sz w:val="16"/>
          <w:szCs w:val="16"/>
        </w:rPr>
      </w:pPr>
      <w:r>
        <w:rPr>
          <w:rFonts w:ascii="思源黑体 CN Light" w:eastAsia="思源黑体 CN Light" w:hAnsi="思源黑体 CN Light" w:cs="Times New Roman"/>
          <w:noProof/>
          <w:sz w:val="16"/>
          <w:szCs w:val="16"/>
        </w:rPr>
        <w:lastRenderedPageBreak/>
        <w:drawing>
          <wp:inline distT="0" distB="0" distL="0" distR="0" wp14:anchorId="121807BA" wp14:editId="3EED362C">
            <wp:extent cx="5274310" cy="2117090"/>
            <wp:effectExtent l="0" t="0" r="2540" b="0"/>
            <wp:docPr id="907307064" name="图片 9"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307064" name="图片 9" descr="图表, 条形图&#10;&#10;AI 生成的内容可能不正确。"/>
                    <pic:cNvPicPr>
                      <a:picLocks noChangeAspect="1"/>
                    </pic:cNvPicPr>
                  </pic:nvPicPr>
                  <pic:blipFill>
                    <a:blip r:embed="rId6"/>
                    <a:stretch>
                      <a:fillRect/>
                    </a:stretch>
                  </pic:blipFill>
                  <pic:spPr>
                    <a:xfrm>
                      <a:off x="0" y="0"/>
                      <a:ext cx="5274310" cy="211709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数据来源：wind，富荣基金；统计区间：20250324-20250328</w:t>
      </w:r>
    </w:p>
    <w:p w14:paraId="230BAF41" w14:textId="77777777" w:rsidR="00670BD2" w:rsidRDefault="00000000">
      <w:pPr>
        <w:spacing w:line="288" w:lineRule="auto"/>
        <w:jc w:val="left"/>
        <w:rPr>
          <w:rFonts w:ascii="思源黑体 CN Light" w:eastAsia="思源黑体 CN Light" w:hAnsi="思源黑体 CN Light" w:cs="Times New Roman"/>
          <w:b/>
          <w:color w:val="000000"/>
          <w:kern w:val="0"/>
          <w:sz w:val="20"/>
          <w:szCs w:val="20"/>
        </w:rPr>
      </w:pPr>
      <w:r>
        <w:rPr>
          <w:rFonts w:ascii="思源黑体 CN Light" w:eastAsia="思源黑体 CN Light" w:hAnsi="思源黑体 CN Light" w:cs="Times New Roman" w:hint="eastAsia"/>
          <w:b/>
          <w:color w:val="000000"/>
          <w:kern w:val="0"/>
          <w:sz w:val="20"/>
          <w:szCs w:val="20"/>
        </w:rPr>
        <w:t>表</w:t>
      </w:r>
      <w:proofErr w:type="gramStart"/>
      <w:r>
        <w:rPr>
          <w:rFonts w:ascii="思源黑体 CN Light" w:eastAsia="思源黑体 CN Light" w:hAnsi="思源黑体 CN Light" w:cs="Times New Roman" w:hint="eastAsia"/>
          <w:b/>
          <w:color w:val="000000"/>
          <w:kern w:val="0"/>
          <w:sz w:val="20"/>
          <w:szCs w:val="20"/>
        </w:rPr>
        <w:t>一</w:t>
      </w:r>
      <w:proofErr w:type="gramEnd"/>
      <w:r>
        <w:rPr>
          <w:rFonts w:ascii="思源黑体 CN Light" w:eastAsia="思源黑体 CN Light" w:hAnsi="思源黑体 CN Light" w:cs="Times New Roman" w:hint="eastAsia"/>
          <w:b/>
          <w:color w:val="000000"/>
          <w:kern w:val="0"/>
          <w:sz w:val="20"/>
          <w:szCs w:val="20"/>
        </w:rPr>
        <w:t>：高频数据汇总</w:t>
      </w:r>
      <w:bookmarkStart w:id="1" w:name="_Toc134985520"/>
    </w:p>
    <w:p w14:paraId="124F25E3" w14:textId="77777777" w:rsidR="00670BD2" w:rsidRDefault="00000000">
      <w:pPr>
        <w:spacing w:line="360" w:lineRule="auto"/>
        <w:rPr>
          <w:rFonts w:ascii="思源黑体 CN Light" w:eastAsia="思源黑体 CN Light" w:hAnsi="思源黑体 CN Light" w:cs="Times New Roman"/>
          <w:sz w:val="16"/>
          <w:szCs w:val="16"/>
        </w:rPr>
      </w:pPr>
      <w:r>
        <w:rPr>
          <w:rFonts w:ascii="思源黑体 CN Light" w:eastAsia="思源黑体 CN Light" w:hAnsi="思源黑体 CN Light" w:cs="Times New Roman"/>
          <w:noProof/>
          <w:sz w:val="16"/>
          <w:szCs w:val="16"/>
        </w:rPr>
        <w:drawing>
          <wp:inline distT="0" distB="0" distL="0" distR="0" wp14:anchorId="2D441A64" wp14:editId="28B53117">
            <wp:extent cx="5274310" cy="4964430"/>
            <wp:effectExtent l="0" t="0" r="2540" b="7620"/>
            <wp:docPr id="9" name="图片 8" descr="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表格&#10;&#10;AI 生成的内容可能不正确。"/>
                    <pic:cNvPicPr>
                      <a:picLocks noChangeAspect="1"/>
                    </pic:cNvPicPr>
                  </pic:nvPicPr>
                  <pic:blipFill>
                    <a:blip r:embed="rId7"/>
                    <a:stretch>
                      <a:fillRect/>
                    </a:stretch>
                  </pic:blipFill>
                  <pic:spPr>
                    <a:xfrm>
                      <a:off x="0" y="0"/>
                      <a:ext cx="5274310" cy="496443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数据来源：wind，富荣基金；统计区间：20250324-20250328</w:t>
      </w:r>
    </w:p>
    <w:p w14:paraId="016D1DB5" w14:textId="77777777" w:rsidR="00670BD2" w:rsidRDefault="00000000">
      <w:pPr>
        <w:pStyle w:val="1"/>
        <w:spacing w:line="360" w:lineRule="auto"/>
        <w:rPr>
          <w:rFonts w:ascii="思源黑体 CN Light" w:eastAsia="思源黑体 CN Light" w:hAnsi="思源黑体 CN Light" w:cs="Arial"/>
          <w:sz w:val="36"/>
          <w:szCs w:val="36"/>
        </w:rPr>
      </w:pPr>
      <w:r>
        <w:rPr>
          <w:rFonts w:ascii="思源黑体 CN Light" w:eastAsia="思源黑体 CN Light" w:hAnsi="思源黑体 CN Light" w:cs="Arial" w:hint="eastAsia"/>
          <w:sz w:val="36"/>
          <w:szCs w:val="36"/>
        </w:rPr>
        <w:lastRenderedPageBreak/>
        <w:t>3</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52194A9F" w14:textId="77777777" w:rsidR="00670BD2" w:rsidRDefault="00000000">
      <w:pPr>
        <w:spacing w:line="288" w:lineRule="auto"/>
        <w:ind w:firstLineChars="200" w:firstLine="442"/>
        <w:jc w:val="left"/>
        <w:rPr>
          <w:rFonts w:ascii="思源黑体 CN Light" w:eastAsia="思源黑体 CN Light" w:hAnsi="思源黑体 CN Light" w:cs="Times New Roman"/>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上周资金跨季，价格较之前上行，整体平衡。</w:t>
      </w:r>
      <w:r>
        <w:rPr>
          <w:rFonts w:ascii="思源黑体 CN Light" w:eastAsia="思源黑体 CN Light" w:hAnsi="思源黑体 CN Light" w:cs="Times New Roman" w:hint="eastAsia"/>
          <w:sz w:val="22"/>
          <w:szCs w:val="21"/>
          <w14:ligatures w14:val="standardContextual"/>
        </w:rPr>
        <w:t>DR001下行3.04BP至1.72%，DR007上行28.21BP至2.05%，R001上行1.1BP至1.78%，R007上行43.91BP至2.26%。CD:1M下行7.01BP至1.925%，CD:3M下行3.99BP至1.88%，CD:6M下行3.49BP至1.8951%，CD:1Y下行3.5BP至1.895%。</w:t>
      </w:r>
    </w:p>
    <w:p w14:paraId="2F509380" w14:textId="50F8B7E5" w:rsidR="00670BD2" w:rsidRDefault="00000000">
      <w:pPr>
        <w:spacing w:line="288" w:lineRule="auto"/>
        <w:ind w:firstLineChars="200" w:firstLine="442"/>
        <w:jc w:val="left"/>
        <w:rPr>
          <w:rFonts w:ascii="思源黑体 CN Light" w:eastAsia="思源黑体 CN Light" w:hAnsi="思源黑体 CN Light" w:cs="Times New Roman"/>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资金整体平衡，债市整体下行。</w:t>
      </w:r>
      <w:r>
        <w:rPr>
          <w:rFonts w:ascii="思源黑体 CN Light" w:eastAsia="思源黑体 CN Light" w:hAnsi="思源黑体 CN Light" w:cs="Times New Roman" w:hint="eastAsia"/>
          <w:sz w:val="22"/>
          <w:szCs w:val="21"/>
          <w14:ligatures w14:val="standardContextual"/>
        </w:rPr>
        <w:t>1Y、5Y、10Y、30Y国债收益率分别较前一周下行3.0BP、4.19BP、3.32BP、4.25BP至1.5279%、1.6562%、1.8126%、2.0251%，资金整体平衡，不过央行3月27日、28日均是净回笼，叠加市场信息干扰，债市市场情绪有所波动</w:t>
      </w:r>
      <w:r>
        <w:rPr>
          <w:rFonts w:ascii="思源黑体 CN Light" w:eastAsia="思源黑体 CN Light" w:hAnsi="思源黑体 CN Light" w:cs="Times New Roman" w:hint="eastAsia"/>
          <w:b/>
          <w:bCs/>
          <w:sz w:val="22"/>
          <w:szCs w:val="21"/>
          <w14:ligatures w14:val="standardContextual"/>
        </w:rPr>
        <w:t>。</w:t>
      </w:r>
    </w:p>
    <w:p w14:paraId="41375D5B" w14:textId="77777777" w:rsidR="00670BD2" w:rsidRDefault="00000000">
      <w:pPr>
        <w:spacing w:line="288" w:lineRule="auto"/>
        <w:jc w:val="left"/>
        <w:rPr>
          <w:rFonts w:ascii="思源黑体 CN Light" w:eastAsia="思源黑体 CN Light" w:hAnsi="思源黑体 CN Light" w:cs="Times New Roman"/>
          <w:b/>
          <w:color w:val="000000"/>
          <w:kern w:val="0"/>
          <w:sz w:val="20"/>
          <w:szCs w:val="20"/>
        </w:rPr>
      </w:pPr>
      <w:r>
        <w:rPr>
          <w:rFonts w:ascii="思源黑体 CN Light" w:eastAsia="思源黑体 CN Light" w:hAnsi="思源黑体 CN Light" w:cs="Times New Roman" w:hint="eastAsia"/>
          <w:b/>
          <w:color w:val="000000"/>
          <w:kern w:val="0"/>
          <w:sz w:val="20"/>
          <w:szCs w:val="20"/>
        </w:rPr>
        <w:t>图二：资金面变化</w:t>
      </w:r>
    </w:p>
    <w:p w14:paraId="04054D52" w14:textId="77777777" w:rsidR="00670BD2" w:rsidRDefault="00000000">
      <w:pPr>
        <w:ind w:firstLineChars="200" w:firstLine="320"/>
        <w:jc w:val="left"/>
        <w:rPr>
          <w:rFonts w:ascii="思源黑体 CN Light" w:eastAsia="思源黑体 CN Light" w:hAnsi="思源黑体 CN Light" w:cs="Times New Roman"/>
          <w:sz w:val="16"/>
          <w:szCs w:val="16"/>
        </w:rPr>
      </w:pPr>
      <w:r>
        <w:rPr>
          <w:rFonts w:ascii="思源黑体 CN Light" w:eastAsia="思源黑体 CN Light" w:hAnsi="思源黑体 CN Light" w:cs="Times New Roman"/>
          <w:noProof/>
          <w:sz w:val="16"/>
          <w:szCs w:val="16"/>
        </w:rPr>
        <w:drawing>
          <wp:inline distT="0" distB="0" distL="0" distR="0" wp14:anchorId="4A291320" wp14:editId="24CF8F50">
            <wp:extent cx="5274310" cy="3392805"/>
            <wp:effectExtent l="0" t="0" r="2540" b="0"/>
            <wp:docPr id="1135510761" name="图片 10" descr="图表, 折线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510761" name="图片 10" descr="图表, 折线图&#10;&#10;AI 生成的内容可能不正确。"/>
                    <pic:cNvPicPr>
                      <a:picLocks noChangeAspect="1"/>
                    </pic:cNvPicPr>
                  </pic:nvPicPr>
                  <pic:blipFill>
                    <a:blip r:embed="rId8"/>
                    <a:stretch>
                      <a:fillRect/>
                    </a:stretch>
                  </pic:blipFill>
                  <pic:spPr>
                    <a:xfrm>
                      <a:off x="0" y="0"/>
                      <a:ext cx="5274310" cy="339280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数据来源：wind，富荣基金；统计区间：20250324-20250328</w:t>
      </w:r>
    </w:p>
    <w:p w14:paraId="5A73ED6C" w14:textId="77777777" w:rsidR="00670BD2" w:rsidRDefault="00000000">
      <w:pPr>
        <w:spacing w:line="288" w:lineRule="auto"/>
        <w:jc w:val="left"/>
        <w:rPr>
          <w:rFonts w:ascii="思源黑体 CN Light" w:eastAsia="思源黑体 CN Light" w:hAnsi="思源黑体 CN Light" w:cs="Times New Roman"/>
          <w:b/>
          <w:color w:val="000000"/>
          <w:kern w:val="0"/>
          <w:sz w:val="20"/>
          <w:szCs w:val="20"/>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p>
    <w:p w14:paraId="2C682FA3" w14:textId="77777777" w:rsidR="00670BD2" w:rsidRDefault="00000000">
      <w:pPr>
        <w:spacing w:line="288" w:lineRule="auto"/>
        <w:jc w:val="left"/>
        <w:rPr>
          <w:rFonts w:ascii="思源黑体 CN Light" w:eastAsia="思源黑体 CN Light" w:hAnsi="思源黑体 CN Light" w:cs="Times New Roman"/>
          <w:sz w:val="16"/>
          <w:szCs w:val="16"/>
        </w:rPr>
      </w:pPr>
      <w:r>
        <w:rPr>
          <w:rFonts w:ascii="思源黑体 CN Light" w:eastAsia="思源黑体 CN Light" w:hAnsi="思源黑体 CN Light" w:cs="Times New Roman"/>
          <w:noProof/>
          <w:sz w:val="16"/>
          <w:szCs w:val="16"/>
        </w:rPr>
        <w:lastRenderedPageBreak/>
        <w:drawing>
          <wp:inline distT="0" distB="0" distL="0" distR="0" wp14:anchorId="49B9BDFD" wp14:editId="75BA6926">
            <wp:extent cx="5274310" cy="3588385"/>
            <wp:effectExtent l="0" t="0" r="2540" b="0"/>
            <wp:docPr id="12" name="图片 11" descr="图表, 条形图,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图表, 条形图, 瀑布图&#10;&#10;AI 生成的内容可能不正确。"/>
                    <pic:cNvPicPr>
                      <a:picLocks noChangeAspect="1"/>
                    </pic:cNvPicPr>
                  </pic:nvPicPr>
                  <pic:blipFill>
                    <a:blip r:embed="rId9"/>
                    <a:stretch>
                      <a:fillRect/>
                    </a:stretch>
                  </pic:blipFill>
                  <pic:spPr>
                    <a:xfrm>
                      <a:off x="0" y="0"/>
                      <a:ext cx="5274310" cy="358838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数据来源：wind，富荣基金；统计区间：20250324-20250328</w:t>
      </w:r>
    </w:p>
    <w:p w14:paraId="33F84D2B" w14:textId="6EA1176B" w:rsidR="00670BD2" w:rsidRDefault="00000000">
      <w:pPr>
        <w:spacing w:line="288" w:lineRule="auto"/>
        <w:ind w:firstLineChars="200" w:firstLine="440"/>
        <w:jc w:val="left"/>
        <w:rPr>
          <w:rFonts w:ascii="思源黑体 CN Light" w:eastAsia="思源黑体 CN Light" w:hAnsi="思源黑体 CN Light" w:cs="Times New Roman"/>
          <w:sz w:val="22"/>
          <w:szCs w:val="21"/>
          <w14:ligatures w14:val="standardContextual"/>
        </w:rPr>
      </w:pPr>
      <w:r>
        <w:rPr>
          <w:rFonts w:ascii="思源黑体 CN Light" w:eastAsia="思源黑体 CN Light" w:hAnsi="思源黑体 CN Light" w:cs="Times New Roman" w:hint="eastAsia"/>
          <w:sz w:val="22"/>
          <w:szCs w:val="21"/>
          <w14:ligatures w14:val="standardContextual"/>
        </w:rPr>
        <w:t>上周央行OMO投放偏积极，MLF多重招标且转为净投放，银行间资金价格小幅下行，资金</w:t>
      </w:r>
      <w:proofErr w:type="gramStart"/>
      <w:r>
        <w:rPr>
          <w:rFonts w:ascii="思源黑体 CN Light" w:eastAsia="思源黑体 CN Light" w:hAnsi="思源黑体 CN Light" w:cs="Times New Roman" w:hint="eastAsia"/>
          <w:sz w:val="22"/>
          <w:szCs w:val="21"/>
          <w14:ligatures w14:val="standardContextual"/>
        </w:rPr>
        <w:t>面整体</w:t>
      </w:r>
      <w:proofErr w:type="gramEnd"/>
      <w:r>
        <w:rPr>
          <w:rFonts w:ascii="思源黑体 CN Light" w:eastAsia="思源黑体 CN Light" w:hAnsi="思源黑体 CN Light" w:cs="Times New Roman" w:hint="eastAsia"/>
          <w:sz w:val="22"/>
          <w:szCs w:val="21"/>
          <w14:ligatures w14:val="standardContextual"/>
        </w:rPr>
        <w:t>相对平稳，但市场受到小道消息影响，情绪波动较大。</w:t>
      </w:r>
    </w:p>
    <w:p w14:paraId="57B53300" w14:textId="07DA4334" w:rsidR="00670BD2" w:rsidRDefault="00000000">
      <w:pPr>
        <w:spacing w:line="288" w:lineRule="auto"/>
        <w:ind w:firstLineChars="200" w:firstLine="440"/>
        <w:jc w:val="left"/>
        <w:rPr>
          <w:rFonts w:ascii="思源黑体 CN Light" w:eastAsia="思源黑体 CN Light" w:hAnsi="思源黑体 CN Light" w:cs="Times New Roman"/>
          <w:sz w:val="22"/>
          <w:szCs w:val="21"/>
          <w14:ligatures w14:val="standardContextual"/>
        </w:rPr>
      </w:pPr>
      <w:r>
        <w:rPr>
          <w:rFonts w:ascii="思源黑体 CN Light" w:eastAsia="思源黑体 CN Light" w:hAnsi="思源黑体 CN Light" w:cs="Times New Roman" w:hint="eastAsia"/>
          <w:sz w:val="22"/>
          <w:szCs w:val="21"/>
          <w14:ligatures w14:val="standardContextual"/>
        </w:rPr>
        <w:t>信用</w:t>
      </w:r>
      <w:proofErr w:type="gramStart"/>
      <w:r>
        <w:rPr>
          <w:rFonts w:ascii="思源黑体 CN Light" w:eastAsia="思源黑体 CN Light" w:hAnsi="思源黑体 CN Light" w:cs="Times New Roman" w:hint="eastAsia"/>
          <w:sz w:val="22"/>
          <w:szCs w:val="21"/>
          <w14:ligatures w14:val="standardContextual"/>
        </w:rPr>
        <w:t>债整体</w:t>
      </w:r>
      <w:proofErr w:type="gramEnd"/>
      <w:r>
        <w:rPr>
          <w:rFonts w:ascii="思源黑体 CN Light" w:eastAsia="思源黑体 CN Light" w:hAnsi="思源黑体 CN Light" w:cs="Times New Roman" w:hint="eastAsia"/>
          <w:sz w:val="22"/>
          <w:szCs w:val="21"/>
          <w14:ligatures w14:val="standardContextual"/>
        </w:rPr>
        <w:t>表现好于利率债，除7Y品种外，其他各期限品种信用利差进一步收窄。</w:t>
      </w:r>
    </w:p>
    <w:p w14:paraId="5D7272AC" w14:textId="77777777" w:rsidR="00670BD2" w:rsidRDefault="00000000">
      <w:pPr>
        <w:spacing w:line="288" w:lineRule="auto"/>
        <w:jc w:val="left"/>
        <w:rPr>
          <w:rFonts w:ascii="思源黑体 CN Light" w:eastAsia="思源黑体 CN Light" w:hAnsi="思源黑体 CN Light" w:cs="Times New Roman"/>
          <w:b/>
          <w:color w:val="000000"/>
          <w:kern w:val="0"/>
          <w:sz w:val="20"/>
          <w:szCs w:val="20"/>
        </w:rPr>
      </w:pPr>
      <w:r>
        <w:rPr>
          <w:rFonts w:ascii="思源黑体 CN Light" w:eastAsia="思源黑体 CN Light" w:hAnsi="思源黑体 CN Light" w:cs="Times New Roman" w:hint="eastAsia"/>
          <w:b/>
          <w:color w:val="000000"/>
          <w:kern w:val="0"/>
          <w:sz w:val="20"/>
          <w:szCs w:val="20"/>
        </w:rPr>
        <w:t>图四：信用债收益率变化</w:t>
      </w:r>
    </w:p>
    <w:p w14:paraId="0AA60B00" w14:textId="77777777" w:rsidR="00670BD2" w:rsidRDefault="00000000">
      <w:pPr>
        <w:spacing w:line="288" w:lineRule="auto"/>
        <w:jc w:val="left"/>
        <w:rPr>
          <w:rFonts w:ascii="思源黑体 CN Light" w:eastAsia="思源黑体 CN Light" w:hAnsi="思源黑体 CN Light" w:cs="Times New Roman"/>
          <w:sz w:val="16"/>
          <w:szCs w:val="16"/>
        </w:rPr>
      </w:pPr>
      <w:r>
        <w:rPr>
          <w:rFonts w:ascii="思源黑体 CN Light" w:eastAsia="思源黑体 CN Light" w:hAnsi="思源黑体 CN Light" w:cs="Times New Roman"/>
          <w:noProof/>
          <w:sz w:val="16"/>
          <w:szCs w:val="16"/>
        </w:rPr>
        <w:drawing>
          <wp:inline distT="0" distB="0" distL="0" distR="0" wp14:anchorId="0B60D9A2" wp14:editId="1D89D506">
            <wp:extent cx="5274310" cy="2545080"/>
            <wp:effectExtent l="0" t="0" r="2540" b="7620"/>
            <wp:docPr id="11" name="图片 10"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图表, 瀑布图&#10;&#10;AI 生成的内容可能不正确。"/>
                    <pic:cNvPicPr>
                      <a:picLocks noChangeAspect="1"/>
                    </pic:cNvPicPr>
                  </pic:nvPicPr>
                  <pic:blipFill>
                    <a:blip r:embed="rId10"/>
                    <a:stretch>
                      <a:fillRect/>
                    </a:stretch>
                  </pic:blipFill>
                  <pic:spPr>
                    <a:xfrm>
                      <a:off x="0" y="0"/>
                      <a:ext cx="5274310" cy="254508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数据来源：wind，富荣基金；统计区间：20250324-20250328</w:t>
      </w:r>
    </w:p>
    <w:p w14:paraId="1F00C2AA" w14:textId="77777777" w:rsidR="00670BD2" w:rsidRDefault="00000000">
      <w:pPr>
        <w:spacing w:line="288" w:lineRule="auto"/>
        <w:jc w:val="left"/>
        <w:rPr>
          <w:rFonts w:ascii="思源黑体 CN Light" w:eastAsia="思源黑体 CN Light" w:hAnsi="思源黑体 CN Light" w:cs="Times New Roman"/>
          <w:b/>
          <w:color w:val="000000"/>
          <w:kern w:val="0"/>
          <w:sz w:val="20"/>
          <w:szCs w:val="20"/>
        </w:rPr>
      </w:pPr>
      <w:r>
        <w:rPr>
          <w:rFonts w:ascii="思源黑体 CN Light" w:eastAsia="思源黑体 CN Light" w:hAnsi="思源黑体 CN Light" w:cs="Times New Roman" w:hint="eastAsia"/>
          <w:b/>
          <w:color w:val="000000"/>
          <w:kern w:val="0"/>
          <w:sz w:val="20"/>
          <w:szCs w:val="20"/>
        </w:rPr>
        <w:t>图五：信用利差变化</w:t>
      </w:r>
    </w:p>
    <w:p w14:paraId="7B38A80E" w14:textId="77777777" w:rsidR="00670BD2" w:rsidRDefault="00000000">
      <w:pPr>
        <w:spacing w:line="288" w:lineRule="auto"/>
        <w:jc w:val="left"/>
        <w:rPr>
          <w:rFonts w:ascii="思源黑体 CN Light" w:eastAsia="思源黑体 CN Light" w:hAnsi="思源黑体 CN Light" w:cs="Times New Roman"/>
          <w:sz w:val="16"/>
          <w:szCs w:val="16"/>
        </w:rPr>
      </w:pPr>
      <w:r>
        <w:rPr>
          <w:rFonts w:ascii="思源黑体 CN Light" w:eastAsia="思源黑体 CN Light" w:hAnsi="思源黑体 CN Light" w:cs="Times New Roman"/>
          <w:noProof/>
          <w:sz w:val="16"/>
          <w:szCs w:val="16"/>
        </w:rPr>
        <w:lastRenderedPageBreak/>
        <w:drawing>
          <wp:inline distT="0" distB="0" distL="0" distR="0" wp14:anchorId="4BBE115C" wp14:editId="55ACC984">
            <wp:extent cx="5274310" cy="2205990"/>
            <wp:effectExtent l="0" t="0" r="2540" b="3810"/>
            <wp:docPr id="660510070" name="图片 11"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510070" name="图片 11" descr="图表, 瀑布图&#10;&#10;AI 生成的内容可能不正确。"/>
                    <pic:cNvPicPr>
                      <a:picLocks noChangeAspect="1"/>
                    </pic:cNvPicPr>
                  </pic:nvPicPr>
                  <pic:blipFill>
                    <a:blip r:embed="rId11"/>
                    <a:stretch>
                      <a:fillRect/>
                    </a:stretch>
                  </pic:blipFill>
                  <pic:spPr>
                    <a:xfrm>
                      <a:off x="0" y="0"/>
                      <a:ext cx="5274310" cy="220599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数据来源：wind，富荣基金；统计区间：20250324-20250328</w:t>
      </w:r>
    </w:p>
    <w:p w14:paraId="4794190C" w14:textId="77777777" w:rsidR="00670BD2" w:rsidRDefault="00670BD2">
      <w:pPr>
        <w:spacing w:line="288" w:lineRule="auto"/>
        <w:jc w:val="left"/>
        <w:rPr>
          <w:rFonts w:ascii="思源黑体 CN Light" w:eastAsia="思源黑体 CN Light" w:hAnsi="思源黑体 CN Light" w:cs="Times New Roman"/>
          <w:sz w:val="16"/>
          <w:szCs w:val="16"/>
        </w:rPr>
      </w:pPr>
    </w:p>
    <w:p w14:paraId="1791B3DC" w14:textId="77777777" w:rsidR="00670BD2" w:rsidRDefault="00670BD2">
      <w:pPr>
        <w:ind w:firstLineChars="200" w:firstLine="400"/>
        <w:rPr>
          <w:rFonts w:ascii="思源黑体 CN Light" w:eastAsia="思源黑体 CN Light" w:hAnsi="思源黑体 CN Light"/>
          <w:sz w:val="20"/>
          <w:szCs w:val="20"/>
        </w:rPr>
      </w:pPr>
    </w:p>
    <w:p w14:paraId="4BADB1DF" w14:textId="77777777" w:rsidR="00670BD2" w:rsidRDefault="00000000">
      <w:pPr>
        <w:ind w:firstLineChars="200" w:firstLine="400"/>
        <w:rPr>
          <w:rFonts w:ascii="思源黑体 CN Light" w:eastAsia="思源黑体 CN Light" w:hAnsi="思源黑体 CN Light" w:cs="Times New Roman"/>
          <w:sz w:val="20"/>
          <w:szCs w:val="20"/>
        </w:rPr>
      </w:pPr>
      <w:r>
        <w:rPr>
          <w:rFonts w:ascii="思源黑体 CN Light" w:eastAsia="思源黑体 CN Light" w:hAnsi="思源黑体 CN Light" w:hint="eastAsia"/>
          <w:sz w:val="20"/>
          <w:szCs w:val="20"/>
        </w:rPr>
        <w:t>风险提示：</w:t>
      </w:r>
    </w:p>
    <w:p w14:paraId="618DA5A1" w14:textId="77777777" w:rsidR="00670BD2" w:rsidRDefault="00000000">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调整。2、本材料中的资料、观点和预测等仅供参考，在任何时候均不构成对任何人的个人推荐。市场有风险，投资需谨慎。</w:t>
      </w:r>
    </w:p>
    <w:sectPr w:rsidR="00670BD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61826D" w14:textId="77777777" w:rsidR="00245FA7" w:rsidRDefault="00245FA7" w:rsidP="00703033">
      <w:pPr>
        <w:rPr>
          <w:rFonts w:hint="eastAsia"/>
        </w:rPr>
      </w:pPr>
      <w:r>
        <w:separator/>
      </w:r>
    </w:p>
  </w:endnote>
  <w:endnote w:type="continuationSeparator" w:id="0">
    <w:p w14:paraId="06375CF6" w14:textId="77777777" w:rsidR="00245FA7" w:rsidRDefault="00245FA7" w:rsidP="00703033">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charset w:val="86"/>
    <w:family w:val="swiss"/>
    <w:pitch w:val="default"/>
    <w:sig w:usb0="00000000" w:usb1="00000000" w:usb2="00000016" w:usb3="00000000" w:csb0="00060107" w:csb1="00000000"/>
  </w:font>
  <w:font w:name="思源黑体 CN Light">
    <w:altName w:val="黑体"/>
    <w:charset w:val="00"/>
    <w:family w:val="auto"/>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772C9E" w14:textId="77777777" w:rsidR="00245FA7" w:rsidRDefault="00245FA7" w:rsidP="00703033">
      <w:pPr>
        <w:rPr>
          <w:rFonts w:hint="eastAsia"/>
        </w:rPr>
      </w:pPr>
      <w:r>
        <w:separator/>
      </w:r>
    </w:p>
  </w:footnote>
  <w:footnote w:type="continuationSeparator" w:id="0">
    <w:p w14:paraId="0807AF17" w14:textId="77777777" w:rsidR="00245FA7" w:rsidRDefault="00245FA7" w:rsidP="00703033">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65BF7"/>
    <w:rsid w:val="000D62D0"/>
    <w:rsid w:val="00147A8E"/>
    <w:rsid w:val="00190533"/>
    <w:rsid w:val="001B54BA"/>
    <w:rsid w:val="00245FA7"/>
    <w:rsid w:val="002F63B0"/>
    <w:rsid w:val="004E0FDA"/>
    <w:rsid w:val="005C35C5"/>
    <w:rsid w:val="00670BD2"/>
    <w:rsid w:val="00703033"/>
    <w:rsid w:val="00746ABA"/>
    <w:rsid w:val="007A36BF"/>
    <w:rsid w:val="00807E09"/>
    <w:rsid w:val="0083773F"/>
    <w:rsid w:val="00852735"/>
    <w:rsid w:val="00865BF7"/>
    <w:rsid w:val="008F18DC"/>
    <w:rsid w:val="00923F82"/>
    <w:rsid w:val="00931E3B"/>
    <w:rsid w:val="00961091"/>
    <w:rsid w:val="009A0396"/>
    <w:rsid w:val="009B41A2"/>
    <w:rsid w:val="00A7214A"/>
    <w:rsid w:val="00AC5ACD"/>
    <w:rsid w:val="00AC6755"/>
    <w:rsid w:val="00BC2D0D"/>
    <w:rsid w:val="00C1245A"/>
    <w:rsid w:val="00C54B77"/>
    <w:rsid w:val="00DD0F38"/>
    <w:rsid w:val="00E14C72"/>
    <w:rsid w:val="00E80627"/>
    <w:rsid w:val="00E953B8"/>
    <w:rsid w:val="00F3376C"/>
    <w:rsid w:val="0C2719EB"/>
    <w:rsid w:val="227D54C3"/>
    <w:rsid w:val="3EAE0E10"/>
    <w:rsid w:val="51080D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D3A638"/>
  <w15:docId w15:val="{C33D28DC-C27D-4A7D-8F65-AABCF1C75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a5"/>
    <w:uiPriority w:val="99"/>
    <w:semiHidden/>
    <w:unhideWhenUsed/>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pPr>
      <w:tabs>
        <w:tab w:val="center" w:pos="4153"/>
        <w:tab w:val="right" w:pos="8306"/>
      </w:tabs>
      <w:snapToGrid w:val="0"/>
      <w:jc w:val="center"/>
    </w:pPr>
    <w:rPr>
      <w:sz w:val="18"/>
      <w:szCs w:val="18"/>
    </w:rPr>
  </w:style>
  <w:style w:type="paragraph" w:styleId="aa">
    <w:name w:val="Subtitle"/>
    <w:basedOn w:val="a"/>
    <w:next w:val="a"/>
    <w:link w:val="ab"/>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c">
    <w:name w:val="Title"/>
    <w:basedOn w:val="a"/>
    <w:next w:val="a"/>
    <w:link w:val="ad"/>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styleId="ae">
    <w:name w:val="annotation reference"/>
    <w:basedOn w:val="a0"/>
    <w:uiPriority w:val="99"/>
    <w:semiHidden/>
    <w:unhideWhenUsed/>
    <w:rPr>
      <w:sz w:val="21"/>
      <w:szCs w:val="21"/>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d">
    <w:name w:val="标题 字符"/>
    <w:basedOn w:val="a0"/>
    <w:link w:val="ac"/>
    <w:uiPriority w:val="10"/>
    <w:qFormat/>
    <w:rPr>
      <w:rFonts w:asciiTheme="majorHAnsi" w:eastAsiaTheme="majorEastAsia" w:hAnsiTheme="majorHAnsi" w:cstheme="majorBidi"/>
      <w:spacing w:val="-10"/>
      <w:kern w:val="28"/>
      <w:sz w:val="56"/>
      <w:szCs w:val="56"/>
    </w:rPr>
  </w:style>
  <w:style w:type="character" w:customStyle="1" w:styleId="ab">
    <w:name w:val="副标题 字符"/>
    <w:basedOn w:val="a0"/>
    <w:link w:val="aa"/>
    <w:uiPriority w:val="11"/>
    <w:qFormat/>
    <w:rPr>
      <w:rFonts w:asciiTheme="majorHAnsi" w:eastAsiaTheme="majorEastAsia" w:hAnsiTheme="majorHAnsi" w:cstheme="majorBidi"/>
      <w:color w:val="595959" w:themeColor="text1" w:themeTint="A6"/>
      <w:spacing w:val="15"/>
      <w:sz w:val="28"/>
      <w:szCs w:val="28"/>
    </w:rPr>
  </w:style>
  <w:style w:type="paragraph" w:styleId="af">
    <w:name w:val="Quote"/>
    <w:basedOn w:val="a"/>
    <w:next w:val="a"/>
    <w:link w:val="af0"/>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f0">
    <w:name w:val="引用 字符"/>
    <w:basedOn w:val="a0"/>
    <w:link w:val="af"/>
    <w:uiPriority w:val="29"/>
    <w:rPr>
      <w:i/>
      <w:iCs/>
      <w:color w:val="404040" w:themeColor="text1" w:themeTint="BF"/>
    </w:rPr>
  </w:style>
  <w:style w:type="paragraph" w:styleId="af1">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2">
    <w:name w:val="Intense Quote"/>
    <w:basedOn w:val="a"/>
    <w:next w:val="a"/>
    <w:link w:val="af3"/>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3">
    <w:name w:val="明显引用 字符"/>
    <w:basedOn w:val="a0"/>
    <w:link w:val="af2"/>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paragraph" w:customStyle="1" w:styleId="13">
    <w:name w:val="修订1"/>
    <w:hidden/>
    <w:uiPriority w:val="99"/>
    <w:unhideWhenUsed/>
    <w:rPr>
      <w:kern w:val="2"/>
      <w:sz w:val="21"/>
      <w:szCs w:val="22"/>
    </w:rPr>
  </w:style>
  <w:style w:type="character" w:customStyle="1" w:styleId="a9">
    <w:name w:val="页眉 字符"/>
    <w:basedOn w:val="a0"/>
    <w:link w:val="a8"/>
    <w:uiPriority w:val="99"/>
    <w:rPr>
      <w:kern w:val="2"/>
      <w:sz w:val="18"/>
      <w:szCs w:val="18"/>
    </w:rPr>
  </w:style>
  <w:style w:type="character" w:customStyle="1" w:styleId="a7">
    <w:name w:val="页脚 字符"/>
    <w:basedOn w:val="a0"/>
    <w:link w:val="a6"/>
    <w:uiPriority w:val="99"/>
    <w:rPr>
      <w:kern w:val="2"/>
      <w:sz w:val="18"/>
      <w:szCs w:val="18"/>
    </w:rPr>
  </w:style>
  <w:style w:type="character" w:customStyle="1" w:styleId="a5">
    <w:name w:val="批注框文本 字符"/>
    <w:basedOn w:val="a0"/>
    <w:link w:val="a4"/>
    <w:uiPriority w:val="99"/>
    <w:semiHidden/>
    <w:rPr>
      <w:kern w:val="2"/>
      <w:sz w:val="18"/>
      <w:szCs w:val="18"/>
    </w:rPr>
  </w:style>
  <w:style w:type="paragraph" w:styleId="af4">
    <w:name w:val="Revision"/>
    <w:hidden/>
    <w:uiPriority w:val="99"/>
    <w:unhideWhenUsed/>
    <w:rsid w:val="00703033"/>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266</Words>
  <Characters>1520</Characters>
  <Application>Microsoft Office Word</Application>
  <DocSecurity>0</DocSecurity>
  <Lines>12</Lines>
  <Paragraphs>3</Paragraphs>
  <ScaleCrop>false</ScaleCrop>
  <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杨祖媛</cp:lastModifiedBy>
  <cp:revision>5</cp:revision>
  <dcterms:created xsi:type="dcterms:W3CDTF">2025-03-31T07:43:00Z</dcterms:created>
  <dcterms:modified xsi:type="dcterms:W3CDTF">2025-03-31T08:00:00Z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2052-12.1.0.20305</vt:lpwstr>
  </property>
  <property fmtid="{D5CDD505-2E9C-101B-9397-08002B2CF9AE}" pid="4" name="ICV">
    <vt:lpwstr>6C0A0DE0966F497EB7E88CA2A71425EC_12</vt:lpwstr>
  </property>
</Properties>
</file>