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C770E" w14:textId="77777777" w:rsidR="009C66BB" w:rsidRDefault="00F849AB">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富荣权益：关税冲击升级，市场情绪承压</w:t>
      </w:r>
    </w:p>
    <w:p w14:paraId="3D6030FF" w14:textId="77777777" w:rsidR="009C66BB" w:rsidRDefault="00F849AB">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2E448978" w14:textId="6B694B3D" w:rsidR="009C66BB" w:rsidRDefault="00F849AB">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上周（2025年3月31日至</w:t>
      </w:r>
      <w:r w:rsidR="008D57C2">
        <w:rPr>
          <w:rFonts w:ascii="思源黑体 CN Light" w:eastAsia="思源黑体 CN Light" w:hAnsi="思源黑体 CN Light" w:cs="Times New Roman" w:hint="eastAsia"/>
          <w:color w:val="000000" w:themeColor="text1"/>
          <w:sz w:val="21"/>
          <w:szCs w:val="20"/>
        </w:rPr>
        <w:t>2025年4月</w:t>
      </w:r>
      <w:r w:rsidR="008D57C2">
        <w:rPr>
          <w:rFonts w:ascii="思源黑体 CN Light" w:eastAsia="思源黑体 CN Light" w:hAnsi="思源黑体 CN Light" w:cs="Times New Roman" w:hint="eastAsia"/>
          <w:color w:val="000000" w:themeColor="text1"/>
          <w:sz w:val="21"/>
          <w:szCs w:val="20"/>
        </w:rPr>
        <w:t>3</w:t>
      </w:r>
      <w:r>
        <w:rPr>
          <w:rFonts w:ascii="思源黑体 CN Light" w:eastAsia="思源黑体 CN Light" w:hAnsi="思源黑体 CN Light" w:cs="Times New Roman" w:hint="eastAsia"/>
          <w:color w:val="000000" w:themeColor="text1"/>
          <w:sz w:val="21"/>
          <w:szCs w:val="20"/>
        </w:rPr>
        <w:t>日，下同）权益市场主要指数全部下跌，</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10365.73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3342.01</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2065.40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。其中，上证指数（-0.28%）</w:t>
      </w:r>
      <w:r w:rsidR="008D7377">
        <w:rPr>
          <w:rFonts w:ascii="思源黑体 CN Light" w:eastAsia="思源黑体 CN Light" w:hAnsi="思源黑体 CN Light" w:cs="Times New Roman" w:hint="eastAsia"/>
          <w:color w:val="000000" w:themeColor="text1"/>
          <w:sz w:val="21"/>
          <w:szCs w:val="20"/>
        </w:rPr>
        <w:t>跌</w:t>
      </w:r>
      <w:r>
        <w:rPr>
          <w:rFonts w:ascii="思源黑体 CN Light" w:eastAsia="思源黑体 CN Light" w:hAnsi="思源黑体 CN Light" w:cs="Times New Roman" w:hint="eastAsia"/>
          <w:color w:val="000000" w:themeColor="text1"/>
          <w:sz w:val="21"/>
          <w:szCs w:val="20"/>
        </w:rPr>
        <w:t>幅最小；上证50（-0.65%）、中证1000（-1.04%）、</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50（-1.11%）、中证500（-1.19%）、沪深300（-1.37%）、深证成指（-2.28%）、创业板指（-2.95%）、创业板50（-3.54%）、创成长（-3.70%）紧随其后。</w:t>
      </w:r>
    </w:p>
    <w:p w14:paraId="165A8A7A" w14:textId="4F2966B4" w:rsidR="009C66BB" w:rsidRDefault="00F849AB">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41D5E543" wp14:editId="45C9085E">
            <wp:extent cx="6479540" cy="3557905"/>
            <wp:effectExtent l="0" t="0" r="0" b="4445"/>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6479540" cy="3557905"/>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区间：20250331-</w:t>
      </w:r>
      <w:r w:rsidR="008D57C2">
        <w:rPr>
          <w:rFonts w:ascii="思源黑体 CN Light" w:eastAsia="思源黑体 CN Light" w:hAnsi="思源黑体 CN Light" w:cs="Times New Roman" w:hint="eastAsia"/>
          <w:sz w:val="13"/>
          <w:szCs w:val="20"/>
        </w:rPr>
        <w:t>2025040</w:t>
      </w:r>
      <w:r w:rsidR="008D57C2">
        <w:rPr>
          <w:rFonts w:ascii="思源黑体 CN Light" w:eastAsia="思源黑体 CN Light" w:hAnsi="思源黑体 CN Light" w:cs="Times New Roman" w:hint="eastAsia"/>
          <w:sz w:val="13"/>
          <w:szCs w:val="20"/>
        </w:rPr>
        <w:t>3</w:t>
      </w:r>
      <w:r>
        <w:rPr>
          <w:rFonts w:ascii="思源黑体 CN Light" w:eastAsia="思源黑体 CN Light" w:hAnsi="思源黑体 CN Light" w:cs="Times New Roman" w:hint="eastAsia"/>
          <w:sz w:val="13"/>
          <w:szCs w:val="20"/>
        </w:rPr>
        <w:t>；月涨跌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区间：20250401-2025040</w:t>
      </w:r>
      <w:r w:rsidR="008D57C2">
        <w:rPr>
          <w:rFonts w:ascii="思源黑体 CN Light" w:eastAsia="思源黑体 CN Light" w:hAnsi="思源黑体 CN Light" w:cs="Times New Roman" w:hint="eastAsia"/>
          <w:sz w:val="13"/>
          <w:szCs w:val="20"/>
        </w:rPr>
        <w:t>3</w:t>
      </w:r>
    </w:p>
    <w:p w14:paraId="2A7F218B" w14:textId="77777777" w:rsidR="009C66BB" w:rsidRDefault="00F849AB">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有所分化，其中</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指数中，公用事业（+2.55%）、农林牧渔（+1.51%）、医药生物（+1.20%）等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较大，家用电器（-3.46%）、电力设备（-3.51%）、汽车（-3.54%）等行业跌幅较大。</w:t>
      </w:r>
    </w:p>
    <w:p w14:paraId="6A36A650" w14:textId="428F4AD3" w:rsidR="009C66BB" w:rsidRDefault="00F849AB">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4C52CD7F" wp14:editId="1FA268B1">
            <wp:extent cx="6479540" cy="3880485"/>
            <wp:effectExtent l="0" t="0" r="0" b="5715"/>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7"/>
                    <a:stretch>
                      <a:fillRect/>
                    </a:stretch>
                  </pic:blipFill>
                  <pic:spPr>
                    <a:xfrm>
                      <a:off x="0" y="0"/>
                      <a:ext cx="6479540" cy="3880485"/>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；统计区间：20250331-2025040</w:t>
      </w:r>
      <w:r w:rsidR="008D57C2">
        <w:rPr>
          <w:rFonts w:ascii="思源黑体 CN Light" w:eastAsia="思源黑体 CN Light" w:hAnsi="思源黑体 CN Light" w:cs="Times New Roman" w:hint="eastAsia"/>
          <w:sz w:val="13"/>
          <w:szCs w:val="20"/>
        </w:rPr>
        <w:t>3</w:t>
      </w:r>
    </w:p>
    <w:p w14:paraId="4D973C94" w14:textId="77777777" w:rsidR="009C66BB" w:rsidRDefault="009C66BB">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3DFBDAB9" w14:textId="77777777" w:rsidR="009C66BB" w:rsidRDefault="00F849AB">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二、公用事业行业点评与展望</w:t>
      </w:r>
    </w:p>
    <w:p w14:paraId="0202C6B3" w14:textId="77777777" w:rsidR="009C66BB" w:rsidRDefault="00F849AB">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上周在电力股的带领下，</w:t>
      </w:r>
      <w:proofErr w:type="gramStart"/>
      <w:r>
        <w:rPr>
          <w:rFonts w:ascii="思源黑体 CN Light" w:eastAsia="思源黑体 CN Light" w:hAnsi="思源黑体 CN Light" w:cs="Times New Roman" w:hint="eastAsia"/>
          <w:color w:val="000000" w:themeColor="text1"/>
          <w:sz w:val="21"/>
          <w:szCs w:val="20"/>
        </w:rPr>
        <w:t>申万行业</w:t>
      </w:r>
      <w:proofErr w:type="gramEnd"/>
      <w:r>
        <w:rPr>
          <w:rFonts w:ascii="思源黑体 CN Light" w:eastAsia="思源黑体 CN Light" w:hAnsi="思源黑体 CN Light" w:cs="Times New Roman" w:hint="eastAsia"/>
          <w:color w:val="000000" w:themeColor="text1"/>
          <w:sz w:val="21"/>
          <w:szCs w:val="20"/>
        </w:rPr>
        <w:t>一级指数公共事业行业指数涨幅为2.55%，相对沪深300指数超额收益为3.92%，在所有</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指数中涨幅排名第一。</w:t>
      </w:r>
    </w:p>
    <w:p w14:paraId="3F8D6C30" w14:textId="5995873A" w:rsidR="009C66BB" w:rsidRDefault="00F849AB">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从基本面来看，中办、国办印发《关于完善价格治理机制的意见》，对发电</w:t>
      </w:r>
      <w:proofErr w:type="gramStart"/>
      <w:r>
        <w:rPr>
          <w:rFonts w:ascii="思源黑体 CN Light" w:eastAsia="思源黑体 CN Light" w:hAnsi="思源黑体 CN Light" w:cs="Times New Roman" w:hint="eastAsia"/>
          <w:color w:val="000000" w:themeColor="text1"/>
          <w:sz w:val="21"/>
          <w:szCs w:val="20"/>
        </w:rPr>
        <w:t>侧要求</w:t>
      </w:r>
      <w:proofErr w:type="gramEnd"/>
      <w:r>
        <w:rPr>
          <w:rFonts w:ascii="思源黑体 CN Light" w:eastAsia="思源黑体 CN Light" w:hAnsi="思源黑体 CN Light" w:cs="Times New Roman" w:hint="eastAsia"/>
          <w:color w:val="000000" w:themeColor="text1"/>
          <w:sz w:val="21"/>
          <w:szCs w:val="20"/>
        </w:rPr>
        <w:t>分品种、有节奏推进各类电源上网电价市场化改革，稳妥有序推动电能量价格、容量价格和辅助服务价格由市场形成。健全跨省跨区送电市场化价格形成机制；对用电</w:t>
      </w:r>
      <w:proofErr w:type="gramStart"/>
      <w:r>
        <w:rPr>
          <w:rFonts w:ascii="思源黑体 CN Light" w:eastAsia="思源黑体 CN Light" w:hAnsi="思源黑体 CN Light" w:cs="Times New Roman" w:hint="eastAsia"/>
          <w:color w:val="000000" w:themeColor="text1"/>
          <w:sz w:val="21"/>
          <w:szCs w:val="20"/>
        </w:rPr>
        <w:t>侧要求</w:t>
      </w:r>
      <w:proofErr w:type="gramEnd"/>
      <w:r>
        <w:rPr>
          <w:rFonts w:ascii="思源黑体 CN Light" w:eastAsia="思源黑体 CN Light" w:hAnsi="思源黑体 CN Light" w:cs="Times New Roman" w:hint="eastAsia"/>
          <w:color w:val="000000" w:themeColor="text1"/>
          <w:sz w:val="21"/>
          <w:szCs w:val="20"/>
        </w:rPr>
        <w:t>加快完善电网代理购电制度，推动更多工商业用户直接参与市场交易。优化居民阶梯电价制度；在市场建设方面要求完善多层次电力市场体系，健全交易规则和技术标准，推进电力中长期、现货、辅助服务市场建设，培育多元化竞争主体。完善售电市场管理制度；对绿色低碳转型价格政策方面要求健全天然气发电、储能等调节性资源价格机制，完善新能源就近交易价格政策，完善工业重点领域阶梯电价制度，以及完善全国统一的绿色电力证书交易体系，健全绿色能源国际标准和认证机制；在防止政府对价格形成的不当</w:t>
      </w:r>
      <w:r>
        <w:rPr>
          <w:rFonts w:ascii="思源黑体 CN Light" w:eastAsia="思源黑体 CN Light" w:hAnsi="思源黑体 CN Light" w:cs="Times New Roman" w:hint="eastAsia"/>
          <w:color w:val="000000" w:themeColor="text1"/>
          <w:sz w:val="21"/>
          <w:szCs w:val="20"/>
        </w:rPr>
        <w:lastRenderedPageBreak/>
        <w:t>干预方面，促进电网公平接入等。本次电价机制改革将有效通过价格信号引导电力产业各环节高质量发展，推动新型电力系统转型，电源依托自身特点，迎来定位与模式的转变，对行业形成长期利好。</w:t>
      </w:r>
    </w:p>
    <w:p w14:paraId="2F7C38E5" w14:textId="77777777" w:rsidR="009C66BB" w:rsidRDefault="00F849AB">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政策提出“构建促进降本增效的激励机制，探索建立重要行业标杆成本等制度”，意在鼓励超额收益留存。市场化改革促进可预期的“成长”“回报率”和“分红”。不同于管制、补贴阶段，市场化才能将竞争优势带来的超额收益体现在业绩与未来发展上。</w:t>
      </w:r>
    </w:p>
    <w:p w14:paraId="4B9F704C" w14:textId="77777777" w:rsidR="009C66BB" w:rsidRDefault="009C66BB">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3EA3FBE9" w14:textId="77777777" w:rsidR="009C66BB" w:rsidRDefault="00F849AB">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3403ED7E" w14:textId="77777777" w:rsidR="009C66BB" w:rsidRDefault="00F849AB">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2"/>
      <w:bookmarkStart w:id="3" w:name="OLE_LINK1"/>
      <w:r>
        <w:rPr>
          <w:rFonts w:ascii="思源黑体 CN Light" w:eastAsia="思源黑体 CN Light" w:hAnsi="思源黑体 CN Light" w:cs="Times New Roman" w:hint="eastAsia"/>
          <w:color w:val="000000"/>
          <w:sz w:val="21"/>
          <w:szCs w:val="20"/>
          <w:shd w:val="clear" w:color="auto" w:fill="FFFFFF"/>
        </w:rPr>
        <w:t>上周权益市场延续调整态势，主要指数普跌。行业结构上，公用事业、农林牧渔、医药等板块涨幅靠前，汽车、家电、电新等板块跌幅靠前。</w:t>
      </w:r>
    </w:p>
    <w:p w14:paraId="15BAB811" w14:textId="60BF1AE0" w:rsidR="009C66BB" w:rsidRDefault="00F849AB">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引发市场担忧的核心因素在于</w:t>
      </w:r>
      <w:proofErr w:type="gramStart"/>
      <w:r>
        <w:rPr>
          <w:rFonts w:ascii="思源黑体 CN Light" w:eastAsia="思源黑体 CN Light" w:hAnsi="思源黑体 CN Light" w:cs="Times New Roman" w:hint="eastAsia"/>
          <w:color w:val="000000"/>
          <w:sz w:val="21"/>
          <w:szCs w:val="20"/>
          <w:shd w:val="clear" w:color="auto" w:fill="FFFFFF"/>
        </w:rPr>
        <w:t>特朗普最新</w:t>
      </w:r>
      <w:proofErr w:type="gramEnd"/>
      <w:r>
        <w:rPr>
          <w:rFonts w:ascii="思源黑体 CN Light" w:eastAsia="思源黑体 CN Light" w:hAnsi="思源黑体 CN Light" w:cs="Times New Roman" w:hint="eastAsia"/>
          <w:color w:val="000000"/>
          <w:sz w:val="21"/>
          <w:szCs w:val="20"/>
          <w:shd w:val="clear" w:color="auto" w:fill="FFFFFF"/>
        </w:rPr>
        <w:t>公布的“对等关税”政策。虽然市场自去年</w:t>
      </w:r>
      <w:proofErr w:type="gramStart"/>
      <w:r>
        <w:rPr>
          <w:rFonts w:ascii="思源黑体 CN Light" w:eastAsia="思源黑体 CN Light" w:hAnsi="思源黑体 CN Light" w:cs="Times New Roman" w:hint="eastAsia"/>
          <w:color w:val="000000"/>
          <w:sz w:val="21"/>
          <w:szCs w:val="20"/>
          <w:shd w:val="clear" w:color="auto" w:fill="FFFFFF"/>
        </w:rPr>
        <w:t>特朗普</w:t>
      </w:r>
      <w:proofErr w:type="gramEnd"/>
      <w:r>
        <w:rPr>
          <w:rFonts w:ascii="思源黑体 CN Light" w:eastAsia="思源黑体 CN Light" w:hAnsi="思源黑体 CN Light" w:cs="Times New Roman" w:hint="eastAsia"/>
          <w:color w:val="000000"/>
          <w:sz w:val="21"/>
          <w:szCs w:val="20"/>
          <w:shd w:val="clear" w:color="auto" w:fill="FFFFFF"/>
        </w:rPr>
        <w:t>胜选以来持续消化“</w:t>
      </w:r>
      <w:proofErr w:type="gramStart"/>
      <w:r>
        <w:rPr>
          <w:rFonts w:ascii="思源黑体 CN Light" w:eastAsia="思源黑体 CN Light" w:hAnsi="思源黑体 CN Light" w:cs="Times New Roman" w:hint="eastAsia"/>
          <w:color w:val="000000"/>
          <w:sz w:val="21"/>
          <w:szCs w:val="20"/>
          <w:shd w:val="clear" w:color="auto" w:fill="FFFFFF"/>
        </w:rPr>
        <w:t>特朗普</w:t>
      </w:r>
      <w:proofErr w:type="gramEnd"/>
      <w:r>
        <w:rPr>
          <w:rFonts w:ascii="思源黑体 CN Light" w:eastAsia="思源黑体 CN Light" w:hAnsi="思源黑体 CN Light" w:cs="Times New Roman" w:hint="eastAsia"/>
          <w:color w:val="000000"/>
          <w:sz w:val="21"/>
          <w:szCs w:val="20"/>
          <w:shd w:val="clear" w:color="auto" w:fill="FFFFFF"/>
        </w:rPr>
        <w:t>2.0”政策预期，但上周披露的对华加税方案——在今年已加征20%的基础上再加征34%，仍超预期。参考上一轮2018年~2019年中美贸易战经验，后续或将经历加码、谈判、缓和等反复博弈过程。</w:t>
      </w:r>
    </w:p>
    <w:p w14:paraId="37342DFB" w14:textId="749A4976" w:rsidR="009C66BB" w:rsidRDefault="00F849AB">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国内政策工具箱仍具应对空间。自去年政策基调转向积极以来，</w:t>
      </w:r>
      <w:proofErr w:type="gramStart"/>
      <w:r>
        <w:rPr>
          <w:rFonts w:ascii="思源黑体 CN Light" w:eastAsia="思源黑体 CN Light" w:hAnsi="思源黑体 CN Light" w:cs="Times New Roman" w:hint="eastAsia"/>
          <w:color w:val="000000"/>
          <w:sz w:val="21"/>
          <w:szCs w:val="20"/>
          <w:shd w:val="clear" w:color="auto" w:fill="FFFFFF"/>
        </w:rPr>
        <w:t>降准降息</w:t>
      </w:r>
      <w:proofErr w:type="gramEnd"/>
      <w:r>
        <w:rPr>
          <w:rFonts w:ascii="思源黑体 CN Light" w:eastAsia="思源黑体 CN Light" w:hAnsi="思源黑体 CN Light" w:cs="Times New Roman" w:hint="eastAsia"/>
          <w:color w:val="000000"/>
          <w:sz w:val="21"/>
          <w:szCs w:val="20"/>
          <w:shd w:val="clear" w:color="auto" w:fill="FFFFFF"/>
        </w:rPr>
        <w:t>等常规工具尚存操作空间，消费补贴等刺激措施也有加码的可能。4月底即将召开的政治局会议将成为重要的观察窗口，会议对经济形势的定调和政策部署或将直接影响市场预期。</w:t>
      </w:r>
    </w:p>
    <w:p w14:paraId="67D4CCCC" w14:textId="5FEB90C8" w:rsidR="009C66BB" w:rsidRDefault="00F849AB">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短期来看，重大政策不确定性对市场情绪构成压制，但结合历史经验，贸易摩擦的边际影响或随时间递减。具体操作上，建议关注对美出口依赖度较高的企业。科技板块呈现较强韧性，相较于2018年~2019年，国内产业链自主可控程度已大幅提升，叠加中期的流动性充裕的宏观环境，以及AI、机器人等领域的持续突破，我们认为科技板块向好趋势仍然存在。</w:t>
      </w:r>
    </w:p>
    <w:bookmarkEnd w:id="2"/>
    <w:p w14:paraId="69C1AD69" w14:textId="77777777" w:rsidR="009C66BB" w:rsidRDefault="00F849AB">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行业重点关注：1、成长赛道，如国产AI产业链、半导体、医药等板块；2、底部区间有拐点预期板块，如证券、电新、消费等。</w:t>
      </w:r>
    </w:p>
    <w:bookmarkEnd w:id="3"/>
    <w:p w14:paraId="46268649" w14:textId="77777777" w:rsidR="009C66BB" w:rsidRDefault="00F849AB">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4EFA82FF" w14:textId="77777777" w:rsidR="009C66BB" w:rsidRDefault="00F849AB">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lastRenderedPageBreak/>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7B8060BA" w14:textId="77777777" w:rsidR="009C66BB" w:rsidRDefault="009C66BB">
      <w:pPr>
        <w:rPr>
          <w:rFonts w:ascii="思源黑体 CN Light" w:eastAsia="思源黑体 CN Light" w:hAnsi="思源黑体 CN Light" w:cs="Times New Roman" w:hint="eastAsia"/>
          <w:color w:val="000000"/>
          <w:sz w:val="21"/>
          <w:szCs w:val="20"/>
          <w:shd w:val="clear" w:color="auto" w:fill="FFFFFF"/>
        </w:rPr>
      </w:pPr>
    </w:p>
    <w:p w14:paraId="070BB596" w14:textId="77777777" w:rsidR="009C66BB" w:rsidRDefault="009C66BB">
      <w:pPr>
        <w:pStyle w:val="af3"/>
        <w:ind w:firstLineChars="0" w:firstLine="0"/>
        <w:rPr>
          <w:rFonts w:ascii="思源黑体 CN Light" w:eastAsia="思源黑体 CN Light" w:hAnsi="思源黑体 CN Light" w:cs="Times New Roman" w:hint="eastAsia"/>
          <w:sz w:val="20"/>
          <w:szCs w:val="20"/>
        </w:rPr>
      </w:pPr>
    </w:p>
    <w:p w14:paraId="6741F243" w14:textId="77777777" w:rsidR="009C66BB" w:rsidRDefault="00F849AB">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67F7EC13" w14:textId="77777777" w:rsidR="009C66BB" w:rsidRDefault="009C66BB">
      <w:pPr>
        <w:rPr>
          <w:rFonts w:hint="eastAsia"/>
        </w:rPr>
      </w:pPr>
    </w:p>
    <w:p w14:paraId="2D2878C9" w14:textId="77777777" w:rsidR="009C66BB" w:rsidRDefault="009C66BB">
      <w:pPr>
        <w:rPr>
          <w:rFonts w:hint="eastAsia"/>
        </w:rPr>
      </w:pPr>
    </w:p>
    <w:p w14:paraId="04AE6F5F" w14:textId="77777777" w:rsidR="009C66BB" w:rsidRDefault="009C66BB">
      <w:pPr>
        <w:rPr>
          <w:rFonts w:hint="eastAsia"/>
        </w:rPr>
      </w:pPr>
    </w:p>
    <w:p w14:paraId="32F33367" w14:textId="77777777" w:rsidR="009C66BB" w:rsidRDefault="009C66BB">
      <w:pPr>
        <w:rPr>
          <w:rFonts w:hint="eastAsia"/>
        </w:rPr>
      </w:pPr>
    </w:p>
    <w:p w14:paraId="3707D07C" w14:textId="77777777" w:rsidR="009C66BB" w:rsidRDefault="009C66BB">
      <w:pPr>
        <w:rPr>
          <w:rFonts w:hint="eastAsia"/>
        </w:rPr>
      </w:pPr>
    </w:p>
    <w:sectPr w:rsidR="009C66BB">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A3E70" w14:textId="77777777" w:rsidR="00FB6337" w:rsidRDefault="00FB6337">
      <w:pPr>
        <w:spacing w:line="240" w:lineRule="auto"/>
        <w:rPr>
          <w:rFonts w:hint="eastAsia"/>
        </w:rPr>
      </w:pPr>
      <w:r>
        <w:separator/>
      </w:r>
    </w:p>
  </w:endnote>
  <w:endnote w:type="continuationSeparator" w:id="0">
    <w:p w14:paraId="3A9E3CB8" w14:textId="77777777" w:rsidR="00FB6337" w:rsidRDefault="00FB6337">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91DEC" w14:textId="77777777" w:rsidR="009C66BB" w:rsidRDefault="00F849AB">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96CD5">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96CD5">
              <w:rPr>
                <w:b/>
                <w:bCs/>
                <w:noProof/>
              </w:rPr>
              <w:t>4</w:t>
            </w:r>
            <w:r>
              <w:rPr>
                <w:b/>
                <w:bCs/>
                <w:sz w:val="24"/>
                <w:szCs w:val="24"/>
              </w:rPr>
              <w:fldChar w:fldCharType="end"/>
            </w:r>
          </w:sdtContent>
        </w:sdt>
      </w:sdtContent>
    </w:sdt>
    <w:r>
      <w:tab/>
    </w:r>
  </w:p>
  <w:p w14:paraId="0F5DDD20" w14:textId="77777777" w:rsidR="009C66BB" w:rsidRDefault="009C66BB">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F904B" w14:textId="77777777" w:rsidR="00FB6337" w:rsidRDefault="00FB6337">
      <w:pPr>
        <w:rPr>
          <w:rFonts w:hint="eastAsia"/>
        </w:rPr>
      </w:pPr>
      <w:r>
        <w:separator/>
      </w:r>
    </w:p>
  </w:footnote>
  <w:footnote w:type="continuationSeparator" w:id="0">
    <w:p w14:paraId="7E30A7B3" w14:textId="77777777" w:rsidR="00FB6337" w:rsidRDefault="00FB6337">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9C66BB" w14:paraId="15041AE0" w14:textId="77777777">
      <w:trPr>
        <w:trHeight w:val="424"/>
      </w:trPr>
      <w:tc>
        <w:tcPr>
          <w:tcW w:w="3652" w:type="dxa"/>
          <w:shd w:val="clear" w:color="auto" w:fill="F3F3F3"/>
          <w:vAlign w:val="center"/>
        </w:tcPr>
        <w:p w14:paraId="469ED871" w14:textId="77777777" w:rsidR="009C66BB" w:rsidRDefault="00F849AB">
          <w:pPr>
            <w:pStyle w:val="a6"/>
            <w:pBdr>
              <w:bottom w:val="none" w:sz="0" w:space="0" w:color="auto"/>
            </w:pBdr>
            <w:jc w:val="right"/>
            <w:rPr>
              <w:kern w:val="0"/>
            </w:rPr>
          </w:pPr>
          <w:r>
            <w:rPr>
              <w:rFonts w:hint="eastAsia"/>
              <w:kern w:val="0"/>
            </w:rPr>
            <w:t>证券研究报告</w:t>
          </w:r>
        </w:p>
      </w:tc>
      <w:tc>
        <w:tcPr>
          <w:tcW w:w="284" w:type="dxa"/>
          <w:shd w:val="clear" w:color="auto" w:fill="C3E2F4"/>
        </w:tcPr>
        <w:p w14:paraId="56E24037" w14:textId="77777777" w:rsidR="009C66BB" w:rsidRDefault="009C66BB">
          <w:pPr>
            <w:pStyle w:val="a6"/>
            <w:pBdr>
              <w:bottom w:val="none" w:sz="0" w:space="0" w:color="auto"/>
            </w:pBdr>
            <w:jc w:val="left"/>
            <w:rPr>
              <w:kern w:val="0"/>
            </w:rPr>
          </w:pPr>
        </w:p>
      </w:tc>
      <w:tc>
        <w:tcPr>
          <w:tcW w:w="2335" w:type="dxa"/>
          <w:shd w:val="clear" w:color="auto" w:fill="013F98"/>
          <w:vAlign w:val="center"/>
        </w:tcPr>
        <w:p w14:paraId="40C65DAA" w14:textId="77777777" w:rsidR="009C66BB" w:rsidRDefault="00F849AB">
          <w:pPr>
            <w:pStyle w:val="a6"/>
            <w:pBdr>
              <w:bottom w:val="none" w:sz="0" w:space="0" w:color="auto"/>
            </w:pBdr>
            <w:rPr>
              <w:kern w:val="0"/>
            </w:rPr>
          </w:pPr>
          <w:r>
            <w:rPr>
              <w:rFonts w:hint="eastAsia"/>
              <w:kern w:val="0"/>
            </w:rPr>
            <w:t>权益周报</w:t>
          </w:r>
        </w:p>
      </w:tc>
    </w:tr>
  </w:tbl>
  <w:p w14:paraId="5987CE3A" w14:textId="77777777" w:rsidR="009C66BB" w:rsidRDefault="00F849AB">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673133B9" wp14:editId="659A334B">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4E55"/>
    <w:rsid w:val="00095C9F"/>
    <w:rsid w:val="000A42B9"/>
    <w:rsid w:val="001F7713"/>
    <w:rsid w:val="00223DB9"/>
    <w:rsid w:val="002B640D"/>
    <w:rsid w:val="002F63B0"/>
    <w:rsid w:val="004A7CEC"/>
    <w:rsid w:val="00750037"/>
    <w:rsid w:val="00796CD5"/>
    <w:rsid w:val="007D2B71"/>
    <w:rsid w:val="00852735"/>
    <w:rsid w:val="008D57C2"/>
    <w:rsid w:val="008D7377"/>
    <w:rsid w:val="00943D64"/>
    <w:rsid w:val="009C66BB"/>
    <w:rsid w:val="00A0500D"/>
    <w:rsid w:val="00A76374"/>
    <w:rsid w:val="00D943D2"/>
    <w:rsid w:val="00E21FB3"/>
    <w:rsid w:val="00E34E55"/>
    <w:rsid w:val="00F849AB"/>
    <w:rsid w:val="00FB6337"/>
    <w:rsid w:val="1E662DFF"/>
    <w:rsid w:val="74036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E2B22B"/>
  <w15:docId w15:val="{1901C31A-5F7A-44D8-BEAF-41F9122E8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qFormat/>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c">
    <w:name w:val="标题 字符"/>
    <w:basedOn w:val="a0"/>
    <w:link w:val="ab"/>
    <w:uiPriority w:val="10"/>
    <w:qFormat/>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qFormat/>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qFormat/>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Balloon Text"/>
    <w:basedOn w:val="a"/>
    <w:link w:val="af7"/>
    <w:uiPriority w:val="99"/>
    <w:semiHidden/>
    <w:unhideWhenUsed/>
    <w:rsid w:val="00750037"/>
    <w:pPr>
      <w:spacing w:line="240" w:lineRule="auto"/>
    </w:pPr>
    <w:rPr>
      <w:sz w:val="18"/>
      <w:szCs w:val="18"/>
    </w:rPr>
  </w:style>
  <w:style w:type="character" w:customStyle="1" w:styleId="af7">
    <w:name w:val="批注框文本 字符"/>
    <w:basedOn w:val="a0"/>
    <w:link w:val="af6"/>
    <w:uiPriority w:val="99"/>
    <w:semiHidden/>
    <w:rsid w:val="00750037"/>
    <w:rPr>
      <w:kern w:val="2"/>
      <w:sz w:val="18"/>
      <w:szCs w:val="18"/>
    </w:rPr>
  </w:style>
  <w:style w:type="paragraph" w:styleId="af8">
    <w:name w:val="Revision"/>
    <w:hidden/>
    <w:uiPriority w:val="99"/>
    <w:unhideWhenUsed/>
    <w:rsid w:val="008D57C2"/>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4</Pages>
  <Words>293</Words>
  <Characters>1675</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2025-04-07T05:52:00Z</dcterms:created>
  <dcterms:modified xsi:type="dcterms:W3CDTF">2025-04-07T07:04:00Z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2052-12.1.0.20305</vt:lpwstr>
  </property>
  <property fmtid="{D5CDD505-2E9C-101B-9397-08002B2CF9AE}" pid="4" name="ICV">
    <vt:lpwstr>3F67A2A173394DF58DC34BA8EB35BFF6_12</vt:lpwstr>
  </property>
</Properties>
</file>