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5DE5BA" w14:textId="77777777" w:rsidR="000559D8"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：经济数据超预期，债市维持震荡</w:t>
      </w:r>
    </w:p>
    <w:p w14:paraId="5F4302AF" w14:textId="77777777" w:rsidR="000559D8" w:rsidRDefault="00000000">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2AAB92B1" w14:textId="77777777" w:rsidR="000559D8"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上周（</w:t>
      </w:r>
      <w:r>
        <w:rPr>
          <w:rFonts w:ascii="思源黑体 CN Light" w:eastAsia="思源黑体 CN Light" w:hAnsi="思源黑体 CN Light" w:cs="Times New Roman" w:hint="eastAsia"/>
          <w:color w:val="000000" w:themeColor="text1"/>
          <w:szCs w:val="20"/>
        </w:rPr>
        <w:t>2025年4月14日至2025年4月18日，下同</w:t>
      </w:r>
      <w:r>
        <w:rPr>
          <w:rFonts w:ascii="思源黑体 CN Light" w:eastAsia="思源黑体 CN Light" w:hAnsi="思源黑体 CN Light" w:cs="Times New Roman" w:hint="eastAsia"/>
          <w:szCs w:val="21"/>
        </w:rPr>
        <w:t>）债市曲线整体走平，债市围绕宏观数据与超长期国债发行计划带来的供给冲击进行交易。宏观数据均超预期，政策预期降温，收益率窄幅波动。债市资金面也较为宽松。</w:t>
      </w:r>
    </w:p>
    <w:p w14:paraId="28CAE5EB" w14:textId="490E19BA" w:rsidR="000559D8"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短期</w:t>
      </w:r>
      <w:proofErr w:type="gramStart"/>
      <w:r>
        <w:rPr>
          <w:rFonts w:ascii="思源黑体 CN Light" w:eastAsia="思源黑体 CN Light" w:hAnsi="思源黑体 CN Light" w:cs="Times New Roman" w:hint="eastAsia"/>
          <w:szCs w:val="21"/>
        </w:rPr>
        <w:t>内债市</w:t>
      </w:r>
      <w:proofErr w:type="gramEnd"/>
      <w:r>
        <w:rPr>
          <w:rFonts w:ascii="思源黑体 CN Light" w:eastAsia="思源黑体 CN Light" w:hAnsi="思源黑体 CN Light" w:cs="Times New Roman" w:hint="eastAsia"/>
          <w:szCs w:val="21"/>
        </w:rPr>
        <w:t>或仍将以震荡为主，4月底政治局会议带来的增量信息或为债市指明方向。今年国债发行整体靠前，表示财政政策靠前发力，市场预期2季度或是货币宽松的兑现窗口，</w:t>
      </w:r>
      <w:proofErr w:type="gramStart"/>
      <w:r>
        <w:rPr>
          <w:rFonts w:ascii="思源黑体 CN Light" w:eastAsia="思源黑体 CN Light" w:hAnsi="思源黑体 CN Light" w:cs="Times New Roman" w:hint="eastAsia"/>
          <w:szCs w:val="21"/>
        </w:rPr>
        <w:t>降准可能</w:t>
      </w:r>
      <w:proofErr w:type="gramEnd"/>
      <w:r>
        <w:rPr>
          <w:rFonts w:ascii="思源黑体 CN Light" w:eastAsia="思源黑体 CN Light" w:hAnsi="思源黑体 CN Light" w:cs="Times New Roman" w:hint="eastAsia"/>
          <w:szCs w:val="21"/>
        </w:rPr>
        <w:t>优先于降息，市场对央行重</w:t>
      </w:r>
      <w:proofErr w:type="gramStart"/>
      <w:r>
        <w:rPr>
          <w:rFonts w:ascii="思源黑体 CN Light" w:eastAsia="思源黑体 CN Light" w:hAnsi="思源黑体 CN Light" w:cs="Times New Roman" w:hint="eastAsia"/>
          <w:szCs w:val="21"/>
        </w:rPr>
        <w:t>启公开</w:t>
      </w:r>
      <w:proofErr w:type="gramEnd"/>
      <w:r>
        <w:rPr>
          <w:rFonts w:ascii="思源黑体 CN Light" w:eastAsia="思源黑体 CN Light" w:hAnsi="思源黑体 CN Light" w:cs="Times New Roman" w:hint="eastAsia"/>
          <w:szCs w:val="21"/>
        </w:rPr>
        <w:t>市场国债买入操作有一定期待。债市资金面大概率仍将维持平稳。</w:t>
      </w:r>
    </w:p>
    <w:p w14:paraId="0AE322E5" w14:textId="77777777" w:rsidR="000559D8" w:rsidRDefault="00000000">
      <w:pPr>
        <w:pStyle w:val="1"/>
        <w:tabs>
          <w:tab w:val="left" w:pos="6289"/>
        </w:tabs>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热点追踪</w:t>
      </w:r>
    </w:p>
    <w:p w14:paraId="2551FA9B" w14:textId="77777777" w:rsidR="000559D8" w:rsidRDefault="00000000">
      <w:pPr>
        <w:spacing w:line="288" w:lineRule="auto"/>
        <w:ind w:firstLineChars="200" w:firstLine="428"/>
        <w:rPr>
          <w:rFonts w:ascii="思源黑体 CN Light" w:eastAsia="思源黑体 CN Light" w:hAnsi="思源黑体 CN Light" w:cs="Times New Roman" w:hint="eastAsia"/>
          <w:b/>
          <w:bCs/>
          <w:szCs w:val="21"/>
        </w:rPr>
      </w:pPr>
      <w:r>
        <w:rPr>
          <w:rFonts w:ascii="思源黑体 CN Light" w:eastAsia="思源黑体 CN Light" w:hAnsi="思源黑体 CN Light" w:cs="Times New Roman" w:hint="eastAsia"/>
          <w:b/>
          <w:bCs/>
          <w:szCs w:val="21"/>
        </w:rPr>
        <w:t>1.1  进出口数据点评</w:t>
      </w:r>
    </w:p>
    <w:p w14:paraId="73EB606A" w14:textId="77777777" w:rsidR="000559D8"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海关总署4月14日发布今年前三个月我国外贸数据。数据显示，我国3月出口（以美元计价，下同）同比增长12.4%，市场预期增长3.5%，1-2月增长2.3%；3月进口同比下降4.3%，市场预期下降4.3%，1-2月下降8.4%；3月贸易顺差1026.4亿美元，市场预期783.0亿美元，1-2月为1705.2亿美元。</w:t>
      </w:r>
    </w:p>
    <w:p w14:paraId="40A8EBE0" w14:textId="576BCE8C" w:rsidR="000559D8"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出口增势大超预期，即比1-2月超10个BP，也明显超出市场预期，这由同期基数低叠加抢出口</w:t>
      </w:r>
      <w:proofErr w:type="gramStart"/>
      <w:r>
        <w:rPr>
          <w:rFonts w:ascii="思源黑体 CN Light" w:eastAsia="思源黑体 CN Light" w:hAnsi="思源黑体 CN Light" w:cs="Times New Roman" w:hint="eastAsia"/>
          <w:szCs w:val="21"/>
        </w:rPr>
        <w:t>两因素</w:t>
      </w:r>
      <w:proofErr w:type="gramEnd"/>
      <w:r>
        <w:rPr>
          <w:rFonts w:ascii="思源黑体 CN Light" w:eastAsia="思源黑体 CN Light" w:hAnsi="思源黑体 CN Light" w:cs="Times New Roman" w:hint="eastAsia"/>
          <w:szCs w:val="21"/>
        </w:rPr>
        <w:t>导致。2024年春节位于2月，这影响了该年3月国内生产以及出口订单交付，形成较低基数。3月出口环比上涨46%，高于过去10年历史同期平均涨幅。对等关税加征预期下的“抢出口”可能仍部分支撑国内出口。</w:t>
      </w:r>
      <w:proofErr w:type="gramStart"/>
      <w:r>
        <w:rPr>
          <w:rFonts w:ascii="思源黑体 CN Light" w:eastAsia="思源黑体 CN Light" w:hAnsi="思源黑体 CN Light" w:cs="Times New Roman" w:hint="eastAsia"/>
          <w:szCs w:val="21"/>
        </w:rPr>
        <w:t>特朗普</w:t>
      </w:r>
      <w:proofErr w:type="gramEnd"/>
      <w:r>
        <w:rPr>
          <w:rFonts w:ascii="思源黑体 CN Light" w:eastAsia="思源黑体 CN Light" w:hAnsi="思源黑体 CN Light" w:cs="Times New Roman" w:hint="eastAsia"/>
          <w:szCs w:val="21"/>
        </w:rPr>
        <w:t>“对等关税”90天豁免期内，预计我国对非美经济体出口仍可能保持一定的增速。</w:t>
      </w:r>
    </w:p>
    <w:p w14:paraId="4164F66B" w14:textId="77777777" w:rsidR="000559D8" w:rsidRDefault="00000000">
      <w:pPr>
        <w:spacing w:line="288" w:lineRule="auto"/>
        <w:ind w:firstLineChars="200" w:firstLine="428"/>
        <w:rPr>
          <w:rFonts w:ascii="思源黑体 CN Light" w:eastAsia="思源黑体 CN Light" w:hAnsi="思源黑体 CN Light" w:cs="Times New Roman" w:hint="eastAsia"/>
          <w:b/>
          <w:bCs/>
          <w:szCs w:val="21"/>
        </w:rPr>
      </w:pPr>
      <w:r>
        <w:rPr>
          <w:rFonts w:ascii="思源黑体 CN Light" w:eastAsia="思源黑体 CN Light" w:hAnsi="思源黑体 CN Light" w:cs="Times New Roman" w:hint="eastAsia"/>
          <w:b/>
          <w:bCs/>
          <w:szCs w:val="21"/>
        </w:rPr>
        <w:t>1.2  GDP数据点评</w:t>
      </w:r>
    </w:p>
    <w:p w14:paraId="057EA454" w14:textId="77777777" w:rsidR="000559D8"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lastRenderedPageBreak/>
        <w:t>2025年4月16日，国家统计局公布2025年一季度经济数据：</w:t>
      </w:r>
    </w:p>
    <w:p w14:paraId="540A731B" w14:textId="489180CF" w:rsidR="000559D8" w:rsidRPr="00CD2EA6" w:rsidRDefault="00000000" w:rsidP="00CD2EA6">
      <w:pPr>
        <w:pStyle w:val="ae"/>
        <w:numPr>
          <w:ilvl w:val="0"/>
          <w:numId w:val="2"/>
        </w:numPr>
        <w:spacing w:line="288" w:lineRule="auto"/>
        <w:rPr>
          <w:rFonts w:ascii="思源黑体 CN Light" w:eastAsia="思源黑体 CN Light" w:hAnsi="思源黑体 CN Light" w:cs="Times New Roman" w:hint="eastAsia"/>
          <w:szCs w:val="21"/>
        </w:rPr>
      </w:pPr>
      <w:r w:rsidRPr="00CD2EA6">
        <w:rPr>
          <w:rFonts w:ascii="思源黑体 CN Light" w:eastAsia="思源黑体 CN Light" w:hAnsi="思源黑体 CN Light" w:cs="Times New Roman" w:hint="eastAsia"/>
          <w:szCs w:val="21"/>
        </w:rPr>
        <w:t>1季度GDP同比5.4%，预计5.2%，前值5.4%。</w:t>
      </w:r>
    </w:p>
    <w:p w14:paraId="2FEEC3F4" w14:textId="377DC672" w:rsidR="000559D8" w:rsidRPr="00CD2EA6" w:rsidRDefault="00000000" w:rsidP="00CD2EA6">
      <w:pPr>
        <w:pStyle w:val="ae"/>
        <w:numPr>
          <w:ilvl w:val="0"/>
          <w:numId w:val="2"/>
        </w:numPr>
        <w:spacing w:line="288" w:lineRule="auto"/>
        <w:rPr>
          <w:rFonts w:ascii="思源黑体 CN Light" w:eastAsia="思源黑体 CN Light" w:hAnsi="思源黑体 CN Light" w:cs="Times New Roman" w:hint="eastAsia"/>
          <w:szCs w:val="21"/>
        </w:rPr>
      </w:pPr>
      <w:r w:rsidRPr="00CD2EA6">
        <w:rPr>
          <w:rFonts w:ascii="思源黑体 CN Light" w:eastAsia="思源黑体 CN Light" w:hAnsi="思源黑体 CN Light" w:cs="Times New Roman" w:hint="eastAsia"/>
          <w:szCs w:val="21"/>
        </w:rPr>
        <w:t>我国3月规模以上工业增加值同比增7.7%，预期5.9%，前值5.9%。</w:t>
      </w:r>
    </w:p>
    <w:p w14:paraId="75E025C1" w14:textId="52FCB963" w:rsidR="000559D8" w:rsidRPr="00CD2EA6" w:rsidRDefault="00000000" w:rsidP="00CD2EA6">
      <w:pPr>
        <w:pStyle w:val="ae"/>
        <w:numPr>
          <w:ilvl w:val="0"/>
          <w:numId w:val="2"/>
        </w:numPr>
        <w:spacing w:line="288" w:lineRule="auto"/>
        <w:rPr>
          <w:rFonts w:ascii="思源黑体 CN Light" w:eastAsia="思源黑体 CN Light" w:hAnsi="思源黑体 CN Light" w:cs="Times New Roman" w:hint="eastAsia"/>
          <w:szCs w:val="21"/>
        </w:rPr>
      </w:pPr>
      <w:r w:rsidRPr="00CD2EA6">
        <w:rPr>
          <w:rFonts w:ascii="思源黑体 CN Light" w:eastAsia="思源黑体 CN Light" w:hAnsi="思源黑体 CN Light" w:cs="Times New Roman" w:hint="eastAsia"/>
          <w:szCs w:val="21"/>
        </w:rPr>
        <w:t>我国1-3月固定资产投资同比增4.2%，预期4.0%，前值4.1%。其中，我国1-3月房地产开发投资同比-9.9%，预计-10.2%，前值-9.8%。</w:t>
      </w:r>
    </w:p>
    <w:p w14:paraId="33154D35" w14:textId="2D35287B" w:rsidR="000559D8" w:rsidRPr="00CD2EA6" w:rsidRDefault="00000000" w:rsidP="00CD2EA6">
      <w:pPr>
        <w:pStyle w:val="ae"/>
        <w:numPr>
          <w:ilvl w:val="0"/>
          <w:numId w:val="2"/>
        </w:numPr>
        <w:spacing w:line="288" w:lineRule="auto"/>
        <w:rPr>
          <w:rFonts w:ascii="思源黑体 CN Light" w:eastAsia="思源黑体 CN Light" w:hAnsi="思源黑体 CN Light" w:cs="Times New Roman" w:hint="eastAsia"/>
          <w:szCs w:val="21"/>
        </w:rPr>
      </w:pPr>
      <w:r w:rsidRPr="00CD2EA6">
        <w:rPr>
          <w:rFonts w:ascii="思源黑体 CN Light" w:eastAsia="思源黑体 CN Light" w:hAnsi="思源黑体 CN Light" w:cs="Times New Roman" w:hint="eastAsia"/>
          <w:szCs w:val="21"/>
        </w:rPr>
        <w:t>我国3月社会消费品零售总额同比增5.9%，预期4.4%，前值4%。</w:t>
      </w:r>
    </w:p>
    <w:p w14:paraId="269C5790" w14:textId="083D1220" w:rsidR="000559D8" w:rsidRPr="00CD2EA6" w:rsidRDefault="00000000" w:rsidP="00CD2EA6">
      <w:pPr>
        <w:pStyle w:val="ae"/>
        <w:numPr>
          <w:ilvl w:val="0"/>
          <w:numId w:val="2"/>
        </w:numPr>
        <w:spacing w:line="288" w:lineRule="auto"/>
        <w:rPr>
          <w:rFonts w:ascii="思源黑体 CN Light" w:eastAsia="思源黑体 CN Light" w:hAnsi="思源黑体 CN Light" w:cs="Times New Roman" w:hint="eastAsia"/>
          <w:szCs w:val="21"/>
        </w:rPr>
      </w:pPr>
      <w:r w:rsidRPr="00CD2EA6">
        <w:rPr>
          <w:rFonts w:ascii="思源黑体 CN Light" w:eastAsia="思源黑体 CN Light" w:hAnsi="思源黑体 CN Light" w:cs="Times New Roman" w:hint="eastAsia"/>
          <w:szCs w:val="21"/>
        </w:rPr>
        <w:t>3月份，全国城镇调查失业率为5.2%，预期5.3%，前值5%。</w:t>
      </w:r>
    </w:p>
    <w:p w14:paraId="4AF81AC5" w14:textId="77777777" w:rsidR="000559D8"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数据显示，3月单月经济整体较为活跃，六大口径数据（工业、服务业、出口、消费、投资、地产销售）当月同比均不同程度高于1-2月。原因主要有以下几点：</w:t>
      </w:r>
    </w:p>
    <w:p w14:paraId="2B27E1E4" w14:textId="77777777" w:rsidR="000559D8" w:rsidRDefault="00000000">
      <w:pPr>
        <w:pStyle w:val="ae"/>
        <w:numPr>
          <w:ilvl w:val="0"/>
          <w:numId w:val="1"/>
        </w:numPr>
        <w:spacing w:line="288" w:lineRule="auto"/>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3月出口显著偏强，企业可能基于不确定性存在一定“抢出口”现象；</w:t>
      </w:r>
    </w:p>
    <w:p w14:paraId="3411B801" w14:textId="77777777" w:rsidR="000559D8" w:rsidRDefault="00000000">
      <w:pPr>
        <w:pStyle w:val="ae"/>
        <w:numPr>
          <w:ilvl w:val="0"/>
          <w:numId w:val="1"/>
        </w:numPr>
        <w:spacing w:line="288" w:lineRule="auto"/>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3月工业增加值同比增长7.7%，属2021年7月以来最高；</w:t>
      </w:r>
    </w:p>
    <w:p w14:paraId="26CCBF7A" w14:textId="77777777" w:rsidR="000559D8" w:rsidRDefault="00000000">
      <w:pPr>
        <w:pStyle w:val="ae"/>
        <w:numPr>
          <w:ilvl w:val="0"/>
          <w:numId w:val="1"/>
        </w:numPr>
        <w:spacing w:line="288" w:lineRule="auto"/>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1季度内需全面发力，成为推动经济实现“开门红”的主要动力，在耐用消费品换新</w:t>
      </w:r>
      <w:proofErr w:type="gramStart"/>
      <w:r>
        <w:rPr>
          <w:rFonts w:ascii="思源黑体 CN Light" w:eastAsia="思源黑体 CN Light" w:hAnsi="思源黑体 CN Light" w:cs="Times New Roman" w:hint="eastAsia"/>
          <w:szCs w:val="21"/>
        </w:rPr>
        <w:t>政策扩围加力</w:t>
      </w:r>
      <w:proofErr w:type="gramEnd"/>
      <w:r>
        <w:rPr>
          <w:rFonts w:ascii="思源黑体 CN Light" w:eastAsia="思源黑体 CN Light" w:hAnsi="思源黑体 CN Light" w:cs="Times New Roman" w:hint="eastAsia"/>
          <w:szCs w:val="21"/>
        </w:rPr>
        <w:t>下，1季度商品消费增速持续加快；</w:t>
      </w:r>
    </w:p>
    <w:p w14:paraId="17DA7F3E" w14:textId="77777777" w:rsidR="000559D8" w:rsidRDefault="00000000">
      <w:pPr>
        <w:pStyle w:val="ae"/>
        <w:numPr>
          <w:ilvl w:val="0"/>
          <w:numId w:val="1"/>
        </w:numPr>
        <w:spacing w:line="288" w:lineRule="auto"/>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1季度财政</w:t>
      </w:r>
      <w:proofErr w:type="gramStart"/>
      <w:r>
        <w:rPr>
          <w:rFonts w:ascii="思源黑体 CN Light" w:eastAsia="思源黑体 CN Light" w:hAnsi="思源黑体 CN Light" w:cs="Times New Roman" w:hint="eastAsia"/>
          <w:szCs w:val="21"/>
        </w:rPr>
        <w:t>稳增长</w:t>
      </w:r>
      <w:proofErr w:type="gramEnd"/>
      <w:r>
        <w:rPr>
          <w:rFonts w:ascii="思源黑体 CN Light" w:eastAsia="思源黑体 CN Light" w:hAnsi="思源黑体 CN Light" w:cs="Times New Roman" w:hint="eastAsia"/>
          <w:szCs w:val="21"/>
        </w:rPr>
        <w:t>靠前发力，基建投资提速，大规模设备更新继续推动制造业投资处于较高水平；</w:t>
      </w:r>
    </w:p>
    <w:p w14:paraId="345031C9" w14:textId="77777777" w:rsidR="000559D8" w:rsidRDefault="00000000">
      <w:pPr>
        <w:pStyle w:val="ae"/>
        <w:numPr>
          <w:ilvl w:val="0"/>
          <w:numId w:val="1"/>
        </w:numPr>
        <w:spacing w:line="288" w:lineRule="auto"/>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楼市延续回稳、房企资金来源改善，1季度房地产投资降幅有所收窄。</w:t>
      </w:r>
    </w:p>
    <w:p w14:paraId="27DEC08A" w14:textId="77777777" w:rsidR="000559D8" w:rsidRDefault="00000000">
      <w:pPr>
        <w:pStyle w:val="1"/>
        <w:tabs>
          <w:tab w:val="left" w:pos="6289"/>
        </w:tabs>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2、上周</w:t>
      </w:r>
      <w:r>
        <w:rPr>
          <w:rFonts w:ascii="思源黑体 CN Light" w:eastAsia="思源黑体 CN Light" w:hAnsi="思源黑体 CN Light" w:cs="Arial"/>
          <w:sz w:val="36"/>
          <w:szCs w:val="36"/>
        </w:rPr>
        <w:t>高频数据</w:t>
      </w:r>
      <w:bookmarkEnd w:id="0"/>
    </w:p>
    <w:p w14:paraId="494098AA" w14:textId="77777777" w:rsidR="000559D8" w:rsidRDefault="00000000">
      <w:pPr>
        <w:spacing w:line="288" w:lineRule="auto"/>
        <w:ind w:firstLineChars="200" w:firstLine="420"/>
        <w:jc w:val="left"/>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高频数据看出口扰动初现，投资需求较好。钢铁需求增长，焦炉、高炉开工率持续升高，PTA受检修</w:t>
      </w:r>
      <w:proofErr w:type="gramStart"/>
      <w:r>
        <w:rPr>
          <w:rFonts w:ascii="思源黑体 CN Light" w:eastAsia="思源黑体 CN Light" w:hAnsi="思源黑体 CN Light" w:cs="Times New Roman" w:hint="eastAsia"/>
          <w:szCs w:val="21"/>
        </w:rPr>
        <w:t>季影响</w:t>
      </w:r>
      <w:proofErr w:type="gramEnd"/>
      <w:r>
        <w:rPr>
          <w:rFonts w:ascii="思源黑体 CN Light" w:eastAsia="思源黑体 CN Light" w:hAnsi="思源黑体 CN Light" w:cs="Times New Roman" w:hint="eastAsia"/>
          <w:szCs w:val="21"/>
        </w:rPr>
        <w:t>开工率持续下降；商品房成交、土地供应面积小幅下降，汽车销售量升高；上周中美航线运输市场货量呈现下滑态势，市场开始对总体运力投放规模进行调</w:t>
      </w:r>
      <w:r>
        <w:rPr>
          <w:rFonts w:ascii="思源黑体 CN Light" w:eastAsia="思源黑体 CN Light" w:hAnsi="思源黑体 CN Light" w:cs="Times New Roman" w:hint="eastAsia"/>
          <w:szCs w:val="21"/>
        </w:rPr>
        <w:lastRenderedPageBreak/>
        <w:t>控，美西航线运价小幅下滑；大宗商品价格企稳回升，原油价格涨幅较大；食品、非食品价格均下跌。</w:t>
      </w:r>
    </w:p>
    <w:p w14:paraId="6F518CAF" w14:textId="77777777" w:rsidR="000559D8" w:rsidRDefault="00000000">
      <w:pPr>
        <w:spacing w:line="288" w:lineRule="auto"/>
        <w:ind w:firstLineChars="200" w:firstLine="420"/>
        <w:jc w:val="left"/>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受市场预期影响，美元指数上周有所走弱，其他非美货币多数上涨。截至4月18日，美元指数下行0.54%，在岸人民币涨0.28%，日元涨0.93%，</w:t>
      </w:r>
      <w:proofErr w:type="gramStart"/>
      <w:r>
        <w:rPr>
          <w:rFonts w:ascii="思源黑体 CN Light" w:eastAsia="思源黑体 CN Light" w:hAnsi="思源黑体 CN Light" w:cs="Times New Roman" w:hint="eastAsia"/>
          <w:szCs w:val="21"/>
        </w:rPr>
        <w:t>瑞郎跌</w:t>
      </w:r>
      <w:proofErr w:type="gramEnd"/>
      <w:r>
        <w:rPr>
          <w:rFonts w:ascii="思源黑体 CN Light" w:eastAsia="思源黑体 CN Light" w:hAnsi="思源黑体 CN Light" w:cs="Times New Roman" w:hint="eastAsia"/>
          <w:szCs w:val="21"/>
        </w:rPr>
        <w:t>0.14%，欧元涨0.31%，澳元涨1.33%，英镑涨1.61%。</w:t>
      </w:r>
    </w:p>
    <w:p w14:paraId="268EF70F" w14:textId="77777777" w:rsidR="000559D8"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图一：主要货币变化率</w:t>
      </w:r>
    </w:p>
    <w:p w14:paraId="55A8BA10" w14:textId="77777777" w:rsidR="000559D8"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14:anchorId="41DE14C7" wp14:editId="7FCFECC2">
            <wp:extent cx="5274310" cy="2115820"/>
            <wp:effectExtent l="0" t="0" r="2540" b="0"/>
            <wp:docPr id="9" name="图片 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表, 条形图&#10;&#10;AI 生成的内容可能不正确。"/>
                    <pic:cNvPicPr>
                      <a:picLocks noChangeAspect="1"/>
                    </pic:cNvPicPr>
                  </pic:nvPicPr>
                  <pic:blipFill>
                    <a:blip r:embed="rId7"/>
                    <a:stretch>
                      <a:fillRect/>
                    </a:stretch>
                  </pic:blipFill>
                  <pic:spPr>
                    <a:xfrm>
                      <a:off x="0" y="0"/>
                      <a:ext cx="5274310" cy="211582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数据来源：wind，富荣基金；统计区间：20250414-20250418</w:t>
      </w:r>
    </w:p>
    <w:p w14:paraId="44F6D9D2" w14:textId="77777777" w:rsidR="000559D8"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表</w:t>
      </w:r>
      <w:proofErr w:type="gramStart"/>
      <w:r>
        <w:rPr>
          <w:rFonts w:ascii="思源黑体 CN Light" w:eastAsia="思源黑体 CN Light" w:hAnsi="思源黑体 CN Light" w:cs="Times New Roman" w:hint="eastAsia"/>
          <w:b/>
          <w:color w:val="000000"/>
          <w:kern w:val="0"/>
          <w:sz w:val="20"/>
          <w:szCs w:val="20"/>
        </w:rPr>
        <w:t>一</w:t>
      </w:r>
      <w:proofErr w:type="gramEnd"/>
      <w:r>
        <w:rPr>
          <w:rFonts w:ascii="思源黑体 CN Light" w:eastAsia="思源黑体 CN Light" w:hAnsi="思源黑体 CN Light" w:cs="Times New Roman" w:hint="eastAsia"/>
          <w:b/>
          <w:color w:val="000000"/>
          <w:kern w:val="0"/>
          <w:sz w:val="20"/>
          <w:szCs w:val="20"/>
        </w:rPr>
        <w:t>：高频数据汇</w:t>
      </w:r>
      <w:bookmarkStart w:id="1" w:name="_Toc134985520"/>
      <w:r>
        <w:rPr>
          <w:rFonts w:ascii="思源黑体 CN Light" w:eastAsia="思源黑体 CN Light" w:hAnsi="思源黑体 CN Light" w:cs="Times New Roman" w:hint="eastAsia"/>
          <w:b/>
          <w:color w:val="000000"/>
          <w:kern w:val="0"/>
          <w:sz w:val="20"/>
          <w:szCs w:val="20"/>
        </w:rPr>
        <w:t>总</w:t>
      </w:r>
    </w:p>
    <w:p w14:paraId="4D0F173E" w14:textId="77777777" w:rsidR="000559D8"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lastRenderedPageBreak/>
        <w:drawing>
          <wp:inline distT="0" distB="0" distL="0" distR="0" wp14:anchorId="66BABFD7" wp14:editId="255E9491">
            <wp:extent cx="5274310" cy="5290185"/>
            <wp:effectExtent l="0" t="0" r="2540" b="5715"/>
            <wp:docPr id="10" name="图片 9" descr="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表格&#10;&#10;AI 生成的内容可能不正确。"/>
                    <pic:cNvPicPr>
                      <a:picLocks noChangeAspect="1"/>
                    </pic:cNvPicPr>
                  </pic:nvPicPr>
                  <pic:blipFill>
                    <a:blip r:embed="rId8"/>
                    <a:stretch>
                      <a:fillRect/>
                    </a:stretch>
                  </pic:blipFill>
                  <pic:spPr>
                    <a:xfrm>
                      <a:off x="0" y="0"/>
                      <a:ext cx="5274310" cy="529018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数据来源：wind，富荣基金；统计区间：20250414-20250418</w:t>
      </w:r>
    </w:p>
    <w:p w14:paraId="56FB8A13" w14:textId="77777777" w:rsidR="000559D8" w:rsidRDefault="0000000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3</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304F2CFF" w14:textId="2BF1445A" w:rsidR="000559D8"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上周虽然</w:t>
      </w:r>
      <w:proofErr w:type="gramStart"/>
      <w:r>
        <w:rPr>
          <w:rFonts w:ascii="思源黑体 CN Light" w:eastAsia="思源黑体 CN Light" w:hAnsi="思源黑体 CN Light" w:cs="Times New Roman" w:hint="eastAsia"/>
          <w:b/>
          <w:bCs/>
          <w:sz w:val="22"/>
          <w:szCs w:val="21"/>
          <w14:ligatures w14:val="standardContextual"/>
        </w:rPr>
        <w:t>临近税</w:t>
      </w:r>
      <w:proofErr w:type="gramEnd"/>
      <w:r>
        <w:rPr>
          <w:rFonts w:ascii="思源黑体 CN Light" w:eastAsia="思源黑体 CN Light" w:hAnsi="思源黑体 CN Light" w:cs="Times New Roman" w:hint="eastAsia"/>
          <w:b/>
          <w:bCs/>
          <w:sz w:val="22"/>
          <w:szCs w:val="21"/>
          <w14:ligatures w14:val="standardContextual"/>
        </w:rPr>
        <w:t>期，但资金整体宽松平衡。</w:t>
      </w:r>
      <w:r>
        <w:rPr>
          <w:rFonts w:ascii="思源黑体 CN Light" w:eastAsia="思源黑体 CN Light" w:hAnsi="思源黑体 CN Light" w:cs="Times New Roman"/>
          <w:sz w:val="22"/>
          <w:szCs w:val="21"/>
          <w14:ligatures w14:val="standardContextual"/>
        </w:rPr>
        <w:t>DR001上行4.21BP至1.66%，DR007上行3.91BP至1.69%，R001上行3.80BP至1.68%，R007上行1.02BP至1.71%，GC001上行12.00BP至1.69%，GC007上行1.90BP至1.74%。</w:t>
      </w:r>
    </w:p>
    <w:p w14:paraId="328A8900" w14:textId="77777777" w:rsidR="000559D8"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债市整体走平。</w:t>
      </w:r>
      <w:r>
        <w:rPr>
          <w:rFonts w:ascii="思源黑体 CN Light" w:eastAsia="思源黑体 CN Light" w:hAnsi="思源黑体 CN Light" w:cs="Times New Roman" w:hint="eastAsia"/>
          <w:sz w:val="22"/>
          <w:szCs w:val="21"/>
          <w14:ligatures w14:val="standardContextual"/>
        </w:rPr>
        <w:t>1Y、3Y、5Y、30Y国债收益率较前一周分别上行3.22BP、5.07BP、1.45BP、4.15BP至1.4300%、1.4822%、1.5040%、1.9042%，而10Y期收益率逆势下行0.75BP至1.6493%。</w:t>
      </w:r>
    </w:p>
    <w:p w14:paraId="31DF2D6A" w14:textId="77777777" w:rsidR="000559D8"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lastRenderedPageBreak/>
        <w:t>图二：资金面变化</w:t>
      </w:r>
    </w:p>
    <w:p w14:paraId="720679A0" w14:textId="77777777" w:rsidR="000559D8"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14:anchorId="38764303" wp14:editId="2BF596BE">
            <wp:extent cx="5274310" cy="3388995"/>
            <wp:effectExtent l="0" t="0" r="2540" b="1905"/>
            <wp:docPr id="12" name="图片 1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10;&#10;AI 生成的内容可能不正确。"/>
                    <pic:cNvPicPr>
                      <a:picLocks noChangeAspect="1"/>
                    </pic:cNvPicPr>
                  </pic:nvPicPr>
                  <pic:blipFill>
                    <a:blip r:embed="rId9"/>
                    <a:stretch>
                      <a:fillRect/>
                    </a:stretch>
                  </pic:blipFill>
                  <pic:spPr>
                    <a:xfrm>
                      <a:off x="0" y="0"/>
                      <a:ext cx="5274310" cy="338899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数据来源：wind，富荣基金；统计区间：20250414-20250418</w:t>
      </w:r>
    </w:p>
    <w:p w14:paraId="350E89B9" w14:textId="77777777" w:rsidR="000559D8"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p>
    <w:p w14:paraId="78591849" w14:textId="77777777" w:rsidR="000559D8"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14:anchorId="07A4C9E6" wp14:editId="57E22BFC">
            <wp:extent cx="5274310" cy="3358515"/>
            <wp:effectExtent l="0" t="0" r="2540" b="0"/>
            <wp:docPr id="11" name="图片 1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 瀑布图&#10;&#10;AI 生成的内容可能不正确。"/>
                    <pic:cNvPicPr>
                      <a:picLocks noChangeAspect="1"/>
                    </pic:cNvPicPr>
                  </pic:nvPicPr>
                  <pic:blipFill>
                    <a:blip r:embed="rId10"/>
                    <a:stretch>
                      <a:fillRect/>
                    </a:stretch>
                  </pic:blipFill>
                  <pic:spPr>
                    <a:xfrm>
                      <a:off x="0" y="0"/>
                      <a:ext cx="5274310" cy="335851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数据来源：wind，富荣基金；统计区间：20250414-20250418</w:t>
      </w:r>
    </w:p>
    <w:p w14:paraId="412F056A" w14:textId="77777777" w:rsidR="000559D8"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上周在税期、MLF及买断式到期及政府债券缴款的扰动下，央行积极对冲，资金</w:t>
      </w:r>
      <w:proofErr w:type="gramStart"/>
      <w:r>
        <w:rPr>
          <w:rFonts w:ascii="思源黑体 CN Light" w:eastAsia="思源黑体 CN Light" w:hAnsi="思源黑体 CN Light" w:cs="Times New Roman" w:hint="eastAsia"/>
          <w:sz w:val="22"/>
          <w:szCs w:val="21"/>
          <w14:ligatures w14:val="standardContextual"/>
        </w:rPr>
        <w:lastRenderedPageBreak/>
        <w:t>面整体</w:t>
      </w:r>
      <w:proofErr w:type="gramEnd"/>
      <w:r>
        <w:rPr>
          <w:rFonts w:ascii="思源黑体 CN Light" w:eastAsia="思源黑体 CN Light" w:hAnsi="思源黑体 CN Light" w:cs="Times New Roman" w:hint="eastAsia"/>
          <w:sz w:val="22"/>
          <w:szCs w:val="21"/>
          <w14:ligatures w14:val="standardContextual"/>
        </w:rPr>
        <w:t>平稳，曲线平坦化。</w:t>
      </w:r>
    </w:p>
    <w:p w14:paraId="72CB0492" w14:textId="77777777" w:rsidR="000559D8"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上周信用利差进一步压缩。具体品种上看，3Y以下中短端利差压缩3-4BP左右，</w:t>
      </w:r>
      <w:proofErr w:type="gramStart"/>
      <w:r>
        <w:rPr>
          <w:rFonts w:ascii="思源黑体 CN Light" w:eastAsia="思源黑体 CN Light" w:hAnsi="思源黑体 CN Light" w:cs="Times New Roman" w:hint="eastAsia"/>
          <w:sz w:val="22"/>
          <w:szCs w:val="21"/>
          <w14:ligatures w14:val="standardContextual"/>
        </w:rPr>
        <w:t>城投债长</w:t>
      </w:r>
      <w:proofErr w:type="gramEnd"/>
      <w:r>
        <w:rPr>
          <w:rFonts w:ascii="思源黑体 CN Light" w:eastAsia="思源黑体 CN Light" w:hAnsi="思源黑体 CN Light" w:cs="Times New Roman" w:hint="eastAsia"/>
          <w:sz w:val="22"/>
          <w:szCs w:val="21"/>
          <w14:ligatures w14:val="standardContextual"/>
        </w:rPr>
        <w:t>端压缩幅度略大于4BP，其余品种3Y及以下压缩幅度比5Y更大。</w:t>
      </w:r>
    </w:p>
    <w:p w14:paraId="7BE5B300" w14:textId="77777777" w:rsidR="000559D8"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图四：信用债收益率变化</w:t>
      </w:r>
    </w:p>
    <w:p w14:paraId="1C671100" w14:textId="77777777" w:rsidR="000559D8"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14:anchorId="1ABE3B90" wp14:editId="0EFFD510">
            <wp:extent cx="5274310" cy="2538730"/>
            <wp:effectExtent l="0" t="0" r="2540" b="0"/>
            <wp:docPr id="694754597" name="图片 1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754597" name="图片 10" descr="图表, 瀑布图&#10;&#10;AI 生成的内容可能不正确。"/>
                    <pic:cNvPicPr>
                      <a:picLocks noChangeAspect="1"/>
                    </pic:cNvPicPr>
                  </pic:nvPicPr>
                  <pic:blipFill>
                    <a:blip r:embed="rId11"/>
                    <a:stretch>
                      <a:fillRect/>
                    </a:stretch>
                  </pic:blipFill>
                  <pic:spPr>
                    <a:xfrm>
                      <a:off x="0" y="0"/>
                      <a:ext cx="5274310" cy="253873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数据来源：wind，富荣基金；统计区间：20250414-20250418</w:t>
      </w:r>
    </w:p>
    <w:p w14:paraId="439686EF" w14:textId="77777777" w:rsidR="000559D8"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图五：信用利差变化</w:t>
      </w:r>
    </w:p>
    <w:p w14:paraId="00FD4244" w14:textId="77777777" w:rsidR="000559D8"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14:anchorId="079D80D0" wp14:editId="40634F4E">
            <wp:extent cx="5274310" cy="2205990"/>
            <wp:effectExtent l="0" t="0" r="2540" b="3810"/>
            <wp:docPr id="1955605458" name="图片 11" descr="图表, 瀑布图, 漏斗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605458" name="图片 11" descr="图表, 瀑布图, 漏斗图&#10;&#10;AI 生成的内容可能不正确。"/>
                    <pic:cNvPicPr>
                      <a:picLocks noChangeAspect="1"/>
                    </pic:cNvPicPr>
                  </pic:nvPicPr>
                  <pic:blipFill>
                    <a:blip r:embed="rId12"/>
                    <a:stretch>
                      <a:fillRect/>
                    </a:stretch>
                  </pic:blipFill>
                  <pic:spPr>
                    <a:xfrm>
                      <a:off x="0" y="0"/>
                      <a:ext cx="5274310" cy="22059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数据来源：wind，富荣基金；统计区间：20250414-20250418</w:t>
      </w:r>
    </w:p>
    <w:p w14:paraId="6221986F" w14:textId="77777777" w:rsidR="000559D8" w:rsidRDefault="000559D8">
      <w:pPr>
        <w:ind w:firstLineChars="200" w:firstLine="400"/>
        <w:rPr>
          <w:rFonts w:ascii="思源黑体 CN Light" w:eastAsia="思源黑体 CN Light" w:hAnsi="思源黑体 CN Light" w:hint="eastAsia"/>
          <w:sz w:val="20"/>
          <w:szCs w:val="20"/>
        </w:rPr>
      </w:pPr>
    </w:p>
    <w:p w14:paraId="38967026" w14:textId="77777777" w:rsidR="000559D8" w:rsidRDefault="000559D8">
      <w:pPr>
        <w:ind w:firstLineChars="200" w:firstLine="400"/>
        <w:rPr>
          <w:rFonts w:ascii="思源黑体 CN Light" w:eastAsia="思源黑体 CN Light" w:hAnsi="思源黑体 CN Light" w:hint="eastAsia"/>
          <w:sz w:val="20"/>
          <w:szCs w:val="20"/>
        </w:rPr>
      </w:pPr>
    </w:p>
    <w:p w14:paraId="3D3E5E0D" w14:textId="77777777" w:rsidR="000559D8" w:rsidRDefault="000559D8">
      <w:pPr>
        <w:ind w:firstLineChars="200" w:firstLine="400"/>
        <w:rPr>
          <w:rFonts w:ascii="思源黑体 CN Light" w:eastAsia="思源黑体 CN Light" w:hAnsi="思源黑体 CN Light" w:hint="eastAsia"/>
          <w:sz w:val="20"/>
          <w:szCs w:val="20"/>
        </w:rPr>
      </w:pPr>
    </w:p>
    <w:p w14:paraId="61D57643" w14:textId="77777777" w:rsidR="000559D8" w:rsidRDefault="000559D8">
      <w:pPr>
        <w:ind w:firstLineChars="200" w:firstLine="400"/>
        <w:rPr>
          <w:rFonts w:ascii="思源黑体 CN Light" w:eastAsia="思源黑体 CN Light" w:hAnsi="思源黑体 CN Light" w:hint="eastAsia"/>
          <w:sz w:val="20"/>
          <w:szCs w:val="20"/>
        </w:rPr>
      </w:pPr>
    </w:p>
    <w:p w14:paraId="4F77BC65" w14:textId="77777777" w:rsidR="000559D8" w:rsidRDefault="000559D8">
      <w:pPr>
        <w:ind w:firstLineChars="200" w:firstLine="400"/>
        <w:rPr>
          <w:rFonts w:ascii="思源黑体 CN Light" w:eastAsia="思源黑体 CN Light" w:hAnsi="思源黑体 CN Light" w:hint="eastAsia"/>
          <w:sz w:val="20"/>
          <w:szCs w:val="20"/>
        </w:rPr>
      </w:pPr>
    </w:p>
    <w:p w14:paraId="3DE1D50F" w14:textId="77777777" w:rsidR="000559D8" w:rsidRDefault="00000000">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1BB7739F" w14:textId="77777777" w:rsidR="000559D8" w:rsidRDefault="00000000">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p w14:paraId="67DB6610" w14:textId="77777777" w:rsidR="000559D8" w:rsidRDefault="000559D8">
      <w:pPr>
        <w:rPr>
          <w:rFonts w:hint="eastAsia"/>
        </w:rPr>
      </w:pPr>
    </w:p>
    <w:p w14:paraId="66E762B4" w14:textId="77777777" w:rsidR="000559D8" w:rsidRDefault="000559D8">
      <w:pPr>
        <w:rPr>
          <w:rFonts w:hint="eastAsia"/>
        </w:rPr>
      </w:pPr>
    </w:p>
    <w:p w14:paraId="67A39AE2" w14:textId="77777777" w:rsidR="000559D8" w:rsidRDefault="000559D8">
      <w:pPr>
        <w:rPr>
          <w:rFonts w:hint="eastAsia"/>
        </w:rPr>
      </w:pPr>
    </w:p>
    <w:sectPr w:rsidR="000559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E93282" w14:textId="77777777" w:rsidR="00803C78" w:rsidRDefault="00803C78">
      <w:pPr>
        <w:rPr>
          <w:rFonts w:hint="eastAsia"/>
        </w:rPr>
      </w:pPr>
      <w:r>
        <w:separator/>
      </w:r>
    </w:p>
  </w:endnote>
  <w:endnote w:type="continuationSeparator" w:id="0">
    <w:p w14:paraId="470425A2" w14:textId="77777777" w:rsidR="00803C78" w:rsidRDefault="00803C7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4C0F18" w14:textId="77777777" w:rsidR="00803C78" w:rsidRDefault="00803C78">
      <w:pPr>
        <w:rPr>
          <w:rFonts w:hint="eastAsia"/>
        </w:rPr>
      </w:pPr>
      <w:r>
        <w:separator/>
      </w:r>
    </w:p>
  </w:footnote>
  <w:footnote w:type="continuationSeparator" w:id="0">
    <w:p w14:paraId="59CAD611" w14:textId="77777777" w:rsidR="00803C78" w:rsidRDefault="00803C78">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E161B"/>
    <w:multiLevelType w:val="hybridMultilevel"/>
    <w:tmpl w:val="9A0AF466"/>
    <w:lvl w:ilvl="0" w:tplc="04090011">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442740C6"/>
    <w:multiLevelType w:val="multilevel"/>
    <w:tmpl w:val="442740C6"/>
    <w:lvl w:ilvl="0">
      <w:start w:val="1"/>
      <w:numFmt w:val="decimal"/>
      <w:lvlText w:val="%1)"/>
      <w:lvlJc w:val="left"/>
      <w:pPr>
        <w:ind w:left="860" w:hanging="440"/>
      </w:pPr>
      <w:rPr>
        <w:rFonts w:hint="default"/>
      </w:rPr>
    </w:lvl>
    <w:lvl w:ilvl="1">
      <w:start w:val="1"/>
      <w:numFmt w:val="bullet"/>
      <w:lvlText w:val=""/>
      <w:lvlJc w:val="left"/>
      <w:pPr>
        <w:ind w:left="1300" w:hanging="440"/>
      </w:pPr>
      <w:rPr>
        <w:rFonts w:ascii="Wingdings" w:hAnsi="Wingdings" w:hint="default"/>
      </w:rPr>
    </w:lvl>
    <w:lvl w:ilvl="2">
      <w:start w:val="1"/>
      <w:numFmt w:val="bullet"/>
      <w:lvlText w:val=""/>
      <w:lvlJc w:val="left"/>
      <w:pPr>
        <w:ind w:left="1740" w:hanging="440"/>
      </w:pPr>
      <w:rPr>
        <w:rFonts w:ascii="Wingdings" w:hAnsi="Wingdings" w:hint="default"/>
      </w:rPr>
    </w:lvl>
    <w:lvl w:ilvl="3">
      <w:start w:val="1"/>
      <w:numFmt w:val="bullet"/>
      <w:lvlText w:val=""/>
      <w:lvlJc w:val="left"/>
      <w:pPr>
        <w:ind w:left="2180" w:hanging="440"/>
      </w:pPr>
      <w:rPr>
        <w:rFonts w:ascii="Wingdings" w:hAnsi="Wingdings" w:hint="default"/>
      </w:rPr>
    </w:lvl>
    <w:lvl w:ilvl="4">
      <w:start w:val="1"/>
      <w:numFmt w:val="bullet"/>
      <w:lvlText w:val=""/>
      <w:lvlJc w:val="left"/>
      <w:pPr>
        <w:ind w:left="2620" w:hanging="440"/>
      </w:pPr>
      <w:rPr>
        <w:rFonts w:ascii="Wingdings" w:hAnsi="Wingdings" w:hint="default"/>
      </w:rPr>
    </w:lvl>
    <w:lvl w:ilvl="5">
      <w:start w:val="1"/>
      <w:numFmt w:val="bullet"/>
      <w:lvlText w:val=""/>
      <w:lvlJc w:val="left"/>
      <w:pPr>
        <w:ind w:left="3060" w:hanging="440"/>
      </w:pPr>
      <w:rPr>
        <w:rFonts w:ascii="Wingdings" w:hAnsi="Wingdings" w:hint="default"/>
      </w:rPr>
    </w:lvl>
    <w:lvl w:ilvl="6">
      <w:start w:val="1"/>
      <w:numFmt w:val="bullet"/>
      <w:lvlText w:val=""/>
      <w:lvlJc w:val="left"/>
      <w:pPr>
        <w:ind w:left="3500" w:hanging="440"/>
      </w:pPr>
      <w:rPr>
        <w:rFonts w:ascii="Wingdings" w:hAnsi="Wingdings" w:hint="default"/>
      </w:rPr>
    </w:lvl>
    <w:lvl w:ilvl="7">
      <w:start w:val="1"/>
      <w:numFmt w:val="bullet"/>
      <w:lvlText w:val=""/>
      <w:lvlJc w:val="left"/>
      <w:pPr>
        <w:ind w:left="3940" w:hanging="440"/>
      </w:pPr>
      <w:rPr>
        <w:rFonts w:ascii="Wingdings" w:hAnsi="Wingdings" w:hint="default"/>
      </w:rPr>
    </w:lvl>
    <w:lvl w:ilvl="8">
      <w:start w:val="1"/>
      <w:numFmt w:val="bullet"/>
      <w:lvlText w:val=""/>
      <w:lvlJc w:val="left"/>
      <w:pPr>
        <w:ind w:left="4380" w:hanging="440"/>
      </w:pPr>
      <w:rPr>
        <w:rFonts w:ascii="Wingdings" w:hAnsi="Wingdings" w:hint="default"/>
      </w:rPr>
    </w:lvl>
  </w:abstractNum>
  <w:num w:numId="1" w16cid:durableId="179272891">
    <w:abstractNumId w:val="1"/>
  </w:num>
  <w:num w:numId="2" w16cid:durableId="12474247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499"/>
    <w:rsid w:val="00004917"/>
    <w:rsid w:val="000559D8"/>
    <w:rsid w:val="002F63B0"/>
    <w:rsid w:val="00383F51"/>
    <w:rsid w:val="00480237"/>
    <w:rsid w:val="00803C78"/>
    <w:rsid w:val="00817026"/>
    <w:rsid w:val="00852735"/>
    <w:rsid w:val="00930EEF"/>
    <w:rsid w:val="00AD2DC9"/>
    <w:rsid w:val="00B66B2A"/>
    <w:rsid w:val="00CD2EA6"/>
    <w:rsid w:val="00DD4499"/>
    <w:rsid w:val="00E761F2"/>
    <w:rsid w:val="18DC7048"/>
    <w:rsid w:val="3CD540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B3D1CD"/>
  <w15:docId w15:val="{688CC674-57CE-42C7-98C8-83795F4AA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Subtitle"/>
    <w:basedOn w:val="a"/>
    <w:next w:val="a"/>
    <w:link w:val="a6"/>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7">
    <w:name w:val="Title"/>
    <w:basedOn w:val="a"/>
    <w:next w:val="a"/>
    <w:link w:val="a8"/>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paragraph" w:styleId="a9">
    <w:name w:val="annotation subject"/>
    <w:basedOn w:val="a3"/>
    <w:next w:val="a3"/>
    <w:link w:val="aa"/>
    <w:uiPriority w:val="99"/>
    <w:semiHidden/>
    <w:unhideWhenUsed/>
    <w:qFormat/>
    <w:rPr>
      <w:b/>
      <w:bCs/>
    </w:rPr>
  </w:style>
  <w:style w:type="character" w:styleId="ab">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8">
    <w:name w:val="标题 字符"/>
    <w:basedOn w:val="a0"/>
    <w:link w:val="a7"/>
    <w:uiPriority w:val="10"/>
    <w:rPr>
      <w:rFonts w:asciiTheme="majorHAnsi" w:eastAsiaTheme="majorEastAsia" w:hAnsiTheme="majorHAnsi" w:cstheme="majorBidi"/>
      <w:spacing w:val="-10"/>
      <w:kern w:val="28"/>
      <w:sz w:val="56"/>
      <w:szCs w:val="56"/>
    </w:rPr>
  </w:style>
  <w:style w:type="character" w:customStyle="1" w:styleId="a6">
    <w:name w:val="副标题 字符"/>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
    <w:name w:val="Intense Quote"/>
    <w:basedOn w:val="a"/>
    <w:next w:val="a"/>
    <w:link w:val="af0"/>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0">
    <w:name w:val="明显引用 字符"/>
    <w:basedOn w:val="a0"/>
    <w:link w:val="af"/>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4">
    <w:name w:val="批注文字 字符"/>
    <w:basedOn w:val="a0"/>
    <w:link w:val="a3"/>
    <w:uiPriority w:val="99"/>
    <w:qFormat/>
    <w:rPr>
      <w:sz w:val="21"/>
      <w:szCs w:val="22"/>
      <w14:ligatures w14:val="none"/>
    </w:rPr>
  </w:style>
  <w:style w:type="character" w:customStyle="1" w:styleId="aa">
    <w:name w:val="批注主题 字符"/>
    <w:basedOn w:val="a4"/>
    <w:link w:val="a9"/>
    <w:uiPriority w:val="99"/>
    <w:semiHidden/>
    <w:qFormat/>
    <w:rPr>
      <w:b/>
      <w:bCs/>
      <w:sz w:val="21"/>
      <w:szCs w:val="22"/>
      <w14:ligatures w14:val="none"/>
    </w:rPr>
  </w:style>
  <w:style w:type="paragraph" w:styleId="af1">
    <w:name w:val="Revision"/>
    <w:hidden/>
    <w:uiPriority w:val="99"/>
    <w:unhideWhenUsed/>
    <w:rsid w:val="00480237"/>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7</Pages>
  <Words>1080</Words>
  <Characters>1221</Characters>
  <Application>Microsoft Office Word</Application>
  <DocSecurity>0</DocSecurity>
  <Lines>40</Lines>
  <Paragraphs>27</Paragraphs>
  <ScaleCrop>false</ScaleCrop>
  <Company/>
  <LinksUpToDate>false</LinksUpToDate>
  <CharactersWithSpaces>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4</cp:revision>
  <dcterms:created xsi:type="dcterms:W3CDTF">2025-04-21T00:52:00Z</dcterms:created>
  <dcterms:modified xsi:type="dcterms:W3CDTF">2025-04-21T07:31:00Z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2052-12.1.0.20784</vt:lpwstr>
  </property>
  <property fmtid="{D5CDD505-2E9C-101B-9397-08002B2CF9AE}" pid="4" name="ICV">
    <vt:lpwstr>56A358D0E8FF4057BFC0FD42F61053FE_12</vt:lpwstr>
  </property>
</Properties>
</file>