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13575C" w14:textId="543A7D6A" w:rsidR="00173421" w:rsidRDefault="00000000">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富荣权益：稳中求进，关注结构性机会</w:t>
      </w:r>
    </w:p>
    <w:p w14:paraId="6F0B4574" w14:textId="77777777" w:rsidR="00173421"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1E745599" w14:textId="77777777" w:rsidR="00173421"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上周（2025年4月14日至2025年4月18日，下同）权益市场指数多数下跌，</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9781.65</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3276.73</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1913.97</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。其中，上证50（+1.45%）涨幅最大；上证指数（+1.19%）、沪深300（+0.59%）、</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50（-0.31%）、中证500（-0.37%）、创业板50（-0.39%）、中证1000（-0.52%）、深证成指（-0.54%）、创业板指（-0.64%）、创成长（-0.65%）紧随其后。</w:t>
      </w:r>
    </w:p>
    <w:p w14:paraId="70049C21" w14:textId="77777777" w:rsidR="00173421"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p>
    <w:p w14:paraId="7BE69E1D" w14:textId="77777777" w:rsidR="00173421" w:rsidRDefault="00000000">
      <w:pPr>
        <w:ind w:firstLineChars="200" w:firstLine="428"/>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b/>
          <w:noProof/>
          <w:sz w:val="21"/>
          <w:szCs w:val="20"/>
        </w:rPr>
        <w:drawing>
          <wp:inline distT="0" distB="0" distL="0" distR="0" wp14:anchorId="50685BF4" wp14:editId="4E9C70F0">
            <wp:extent cx="6479540" cy="3437890"/>
            <wp:effectExtent l="0" t="0" r="0" b="0"/>
            <wp:docPr id="10" name="图片 9"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图表, 瀑布图&#10;&#10;AI 生成的内容可能不正确。"/>
                    <pic:cNvPicPr>
                      <a:picLocks noChangeAspect="1"/>
                    </pic:cNvPicPr>
                  </pic:nvPicPr>
                  <pic:blipFill>
                    <a:blip r:embed="rId6"/>
                    <a:stretch>
                      <a:fillRect/>
                    </a:stretch>
                  </pic:blipFill>
                  <pic:spPr>
                    <a:xfrm>
                      <a:off x="0" y="0"/>
                      <a:ext cx="6479540" cy="3437890"/>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区间：20250414-20250418；月涨跌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区间：20250401-20250418</w:t>
      </w:r>
    </w:p>
    <w:p w14:paraId="594CAFC0" w14:textId="77777777" w:rsidR="00173421"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各行业的涨跌</w:t>
      </w:r>
      <w:proofErr w:type="gramStart"/>
      <w:r>
        <w:rPr>
          <w:rFonts w:ascii="思源黑体 CN Light" w:eastAsia="思源黑体 CN Light" w:hAnsi="思源黑体 CN Light" w:cs="Times New Roman" w:hint="eastAsia"/>
          <w:color w:val="000000" w:themeColor="text1"/>
          <w:sz w:val="21"/>
          <w:szCs w:val="20"/>
        </w:rPr>
        <w:t>幅表现</w:t>
      </w:r>
      <w:proofErr w:type="gramEnd"/>
      <w:r>
        <w:rPr>
          <w:rFonts w:ascii="思源黑体 CN Light" w:eastAsia="思源黑体 CN Light" w:hAnsi="思源黑体 CN Light" w:cs="Times New Roman" w:hint="eastAsia"/>
          <w:color w:val="000000" w:themeColor="text1"/>
          <w:sz w:val="21"/>
          <w:szCs w:val="20"/>
        </w:rPr>
        <w:t>有所分化，其中</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指数中，银行（+4.04%）、房地产（+3.40%）、综合（+3.01%）等</w:t>
      </w:r>
      <w:proofErr w:type="gramStart"/>
      <w:r>
        <w:rPr>
          <w:rFonts w:ascii="思源黑体 CN Light" w:eastAsia="思源黑体 CN Light" w:hAnsi="思源黑体 CN Light" w:cs="Times New Roman" w:hint="eastAsia"/>
          <w:color w:val="000000" w:themeColor="text1"/>
          <w:sz w:val="21"/>
          <w:szCs w:val="20"/>
        </w:rPr>
        <w:t>行业涨幅</w:t>
      </w:r>
      <w:proofErr w:type="gramEnd"/>
      <w:r>
        <w:rPr>
          <w:rFonts w:ascii="思源黑体 CN Light" w:eastAsia="思源黑体 CN Light" w:hAnsi="思源黑体 CN Light" w:cs="Times New Roman" w:hint="eastAsia"/>
          <w:color w:val="000000" w:themeColor="text1"/>
          <w:sz w:val="21"/>
          <w:szCs w:val="20"/>
        </w:rPr>
        <w:t>较大，计算机（-0.84%）、农林牧渔（-2.15%）、国防军工（-2.55%）等行业跌幅较大。</w:t>
      </w:r>
    </w:p>
    <w:p w14:paraId="6DFF4445" w14:textId="77777777" w:rsidR="00173421"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p>
    <w:p w14:paraId="74EAFE01" w14:textId="77777777" w:rsidR="00173421" w:rsidRDefault="00000000">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noProof/>
          <w:sz w:val="13"/>
          <w:szCs w:val="20"/>
        </w:rPr>
        <w:lastRenderedPageBreak/>
        <w:drawing>
          <wp:inline distT="0" distB="0" distL="0" distR="0" wp14:anchorId="62A58419" wp14:editId="02C995EB">
            <wp:extent cx="6479540" cy="3503930"/>
            <wp:effectExtent l="0" t="0" r="0" b="1270"/>
            <wp:docPr id="9" name="图片 8" descr="图片包含 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片包含 图表&#10;&#10;AI 生成的内容可能不正确。"/>
                    <pic:cNvPicPr>
                      <a:picLocks noChangeAspect="1"/>
                    </pic:cNvPicPr>
                  </pic:nvPicPr>
                  <pic:blipFill>
                    <a:blip r:embed="rId7"/>
                    <a:stretch>
                      <a:fillRect/>
                    </a:stretch>
                  </pic:blipFill>
                  <pic:spPr>
                    <a:xfrm>
                      <a:off x="0" y="0"/>
                      <a:ext cx="6479540" cy="3503930"/>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；统计区间：20250414-20250418</w:t>
      </w:r>
    </w:p>
    <w:p w14:paraId="761F5EC7" w14:textId="77777777" w:rsidR="00173421" w:rsidRDefault="00173421">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2C83E038" w14:textId="77777777" w:rsidR="00173421"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二煤炭行业点评与展望</w:t>
      </w:r>
    </w:p>
    <w:p w14:paraId="5A3D9BC9" w14:textId="77777777" w:rsidR="00173421"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上周申万煤炭行业指数涨幅为2.71%，相对沪深300指数超额收益为2.12%，周涨幅在所有的申万</w:t>
      </w:r>
      <w:proofErr w:type="gramStart"/>
      <w:r>
        <w:rPr>
          <w:rFonts w:ascii="思源黑体 CN Light" w:eastAsia="思源黑体 CN Light" w:hAnsi="思源黑体 CN Light" w:cs="Times New Roman" w:hint="eastAsia"/>
          <w:color w:val="000000" w:themeColor="text1"/>
          <w:sz w:val="21"/>
          <w:szCs w:val="20"/>
        </w:rPr>
        <w:t>一级行业</w:t>
      </w:r>
      <w:proofErr w:type="gramEnd"/>
      <w:r>
        <w:rPr>
          <w:rFonts w:ascii="思源黑体 CN Light" w:eastAsia="思源黑体 CN Light" w:hAnsi="思源黑体 CN Light" w:cs="Times New Roman" w:hint="eastAsia"/>
          <w:color w:val="000000" w:themeColor="text1"/>
          <w:sz w:val="21"/>
          <w:szCs w:val="20"/>
        </w:rPr>
        <w:t>指数中位居第四。</w:t>
      </w:r>
    </w:p>
    <w:p w14:paraId="088E46E3" w14:textId="77777777" w:rsidR="00173421"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A股市场在经历了贸易战的巨大波动后企稳反弹，煤炭板块与同为红利风格的石油石化、银行板块反弹幅度较强。从行业数据来看，截至上周五下午收盘，秦皇岛5500卡热值动力煤平仓价为675元/吨，环比上周小幅回调1元/吨。煤价止跌企稳，叠加中美贸易战的背景下权益市场风险偏好下降，使得煤炭板块在市场大幅调整后的反弹中显现出相对优势。</w:t>
      </w:r>
    </w:p>
    <w:p w14:paraId="55423646" w14:textId="77777777" w:rsidR="00173421"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展望后市，随着去年年末多</w:t>
      </w:r>
      <w:proofErr w:type="gramStart"/>
      <w:r>
        <w:rPr>
          <w:rFonts w:ascii="思源黑体 CN Light" w:eastAsia="思源黑体 CN Light" w:hAnsi="思源黑体 CN Light" w:cs="Times New Roman" w:hint="eastAsia"/>
          <w:color w:val="000000" w:themeColor="text1"/>
          <w:sz w:val="21"/>
          <w:szCs w:val="20"/>
        </w:rPr>
        <w:t>地长协电价</w:t>
      </w:r>
      <w:proofErr w:type="gramEnd"/>
      <w:r>
        <w:rPr>
          <w:rFonts w:ascii="思源黑体 CN Light" w:eastAsia="思源黑体 CN Light" w:hAnsi="思源黑体 CN Light" w:cs="Times New Roman" w:hint="eastAsia"/>
          <w:color w:val="000000" w:themeColor="text1"/>
          <w:sz w:val="21"/>
          <w:szCs w:val="20"/>
        </w:rPr>
        <w:t>落地，2025年长协电价同比去年普遍回落。且2025年一季度数据显示，火力发电量同比去年显著下滑。在今年煤电交易市场化程度加深的趋势下，动力煤价格在今年的波动幅度或将高于去年。当前市场风险偏好整体下降，使得部分</w:t>
      </w:r>
      <w:proofErr w:type="gramStart"/>
      <w:r>
        <w:rPr>
          <w:rFonts w:ascii="思源黑体 CN Light" w:eastAsia="思源黑体 CN Light" w:hAnsi="思源黑体 CN Light" w:cs="Times New Roman" w:hint="eastAsia"/>
          <w:color w:val="000000" w:themeColor="text1"/>
          <w:sz w:val="21"/>
          <w:szCs w:val="20"/>
        </w:rPr>
        <w:t>长协占比较</w:t>
      </w:r>
      <w:proofErr w:type="gramEnd"/>
      <w:r>
        <w:rPr>
          <w:rFonts w:ascii="思源黑体 CN Light" w:eastAsia="思源黑体 CN Light" w:hAnsi="思源黑体 CN Light" w:cs="Times New Roman" w:hint="eastAsia"/>
          <w:color w:val="000000" w:themeColor="text1"/>
          <w:sz w:val="21"/>
          <w:szCs w:val="20"/>
        </w:rPr>
        <w:t>高</w:t>
      </w:r>
      <w:proofErr w:type="gramStart"/>
      <w:r>
        <w:rPr>
          <w:rFonts w:ascii="思源黑体 CN Light" w:eastAsia="思源黑体 CN Light" w:hAnsi="思源黑体 CN Light" w:cs="Times New Roman" w:hint="eastAsia"/>
          <w:color w:val="000000" w:themeColor="text1"/>
          <w:sz w:val="21"/>
          <w:szCs w:val="20"/>
        </w:rPr>
        <w:t>的煤企仍</w:t>
      </w:r>
      <w:proofErr w:type="gramEnd"/>
      <w:r>
        <w:rPr>
          <w:rFonts w:ascii="思源黑体 CN Light" w:eastAsia="思源黑体 CN Light" w:hAnsi="思源黑体 CN Light" w:cs="Times New Roman" w:hint="eastAsia"/>
          <w:color w:val="000000" w:themeColor="text1"/>
          <w:sz w:val="21"/>
          <w:szCs w:val="20"/>
        </w:rPr>
        <w:t>可以维持较高的估值中枢，但仍需注</w:t>
      </w:r>
      <w:r>
        <w:rPr>
          <w:rFonts w:ascii="思源黑体 CN Light" w:eastAsia="思源黑体 CN Light" w:hAnsi="思源黑体 CN Light" w:cs="Times New Roman" w:hint="eastAsia"/>
          <w:color w:val="000000" w:themeColor="text1"/>
          <w:sz w:val="21"/>
          <w:szCs w:val="20"/>
        </w:rPr>
        <w:lastRenderedPageBreak/>
        <w:t>意全年煤价中枢下移导致企业盈利缩水的风险。</w:t>
      </w:r>
    </w:p>
    <w:p w14:paraId="68290407" w14:textId="77777777" w:rsidR="00173421" w:rsidRDefault="00173421">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088C7044" w14:textId="77777777" w:rsidR="00173421"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0EBB8D83" w14:textId="3DE37CA8" w:rsidR="00173421"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2" w:name="OLE_LINK2"/>
      <w:bookmarkStart w:id="3" w:name="OLE_LINK1"/>
      <w:r>
        <w:rPr>
          <w:rFonts w:ascii="思源黑体 CN Light" w:eastAsia="思源黑体 CN Light" w:hAnsi="思源黑体 CN Light" w:cs="Times New Roman" w:hint="eastAsia"/>
          <w:color w:val="000000"/>
          <w:sz w:val="21"/>
          <w:szCs w:val="20"/>
          <w:shd w:val="clear" w:color="auto" w:fill="FFFFFF"/>
        </w:rPr>
        <w:t>上周A股市场呈震荡趋势，成交清淡。行业结构上，银行、地产、煤炭等板块涨幅靠前，计算机、农林牧渔、军工等板块跌幅靠前。</w:t>
      </w:r>
    </w:p>
    <w:p w14:paraId="4C30A5E4" w14:textId="7EE5162F" w:rsidR="00173421"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4" w:name="OLE_LINK3"/>
      <w:r>
        <w:rPr>
          <w:rFonts w:ascii="思源黑体 CN Light" w:eastAsia="思源黑体 CN Light" w:hAnsi="思源黑体 CN Light" w:cs="Times New Roman" w:hint="eastAsia"/>
          <w:color w:val="000000"/>
          <w:sz w:val="21"/>
          <w:szCs w:val="20"/>
          <w:shd w:val="clear" w:color="auto" w:fill="FFFFFF"/>
        </w:rPr>
        <w:t>上周A股市场虽然呈现企稳迹象，但成交额大幅下滑，表明投资者情绪仍偏谨慎。短期来看，市场或将继续震荡磨底，主要原因有两点：首先，不确定性仍需时间消化。中美关税问题对出口的影响，以及</w:t>
      </w:r>
      <w:proofErr w:type="gramStart"/>
      <w:r>
        <w:rPr>
          <w:rFonts w:ascii="思源黑体 CN Light" w:eastAsia="思源黑体 CN Light" w:hAnsi="思源黑体 CN Light" w:cs="Times New Roman" w:hint="eastAsia"/>
          <w:color w:val="000000"/>
          <w:sz w:val="21"/>
          <w:szCs w:val="20"/>
          <w:shd w:val="clear" w:color="auto" w:fill="FFFFFF"/>
        </w:rPr>
        <w:t>国内稳经济</w:t>
      </w:r>
      <w:proofErr w:type="gramEnd"/>
      <w:r>
        <w:rPr>
          <w:rFonts w:ascii="思源黑体 CN Light" w:eastAsia="思源黑体 CN Light" w:hAnsi="思源黑体 CN Light" w:cs="Times New Roman" w:hint="eastAsia"/>
          <w:color w:val="000000"/>
          <w:sz w:val="21"/>
          <w:szCs w:val="20"/>
          <w:shd w:val="clear" w:color="auto" w:fill="FFFFFF"/>
        </w:rPr>
        <w:t>政策的对</w:t>
      </w:r>
      <w:proofErr w:type="gramStart"/>
      <w:r>
        <w:rPr>
          <w:rFonts w:ascii="思源黑体 CN Light" w:eastAsia="思源黑体 CN Light" w:hAnsi="思源黑体 CN Light" w:cs="Times New Roman" w:hint="eastAsia"/>
          <w:color w:val="000000"/>
          <w:sz w:val="21"/>
          <w:szCs w:val="20"/>
          <w:shd w:val="clear" w:color="auto" w:fill="FFFFFF"/>
        </w:rPr>
        <w:t>冲效果</w:t>
      </w:r>
      <w:proofErr w:type="gramEnd"/>
      <w:r>
        <w:rPr>
          <w:rFonts w:ascii="思源黑体 CN Light" w:eastAsia="思源黑体 CN Light" w:hAnsi="思源黑体 CN Light" w:cs="Times New Roman" w:hint="eastAsia"/>
          <w:color w:val="000000"/>
          <w:sz w:val="21"/>
          <w:szCs w:val="20"/>
          <w:shd w:val="clear" w:color="auto" w:fill="FFFFFF"/>
        </w:rPr>
        <w:t>等，需待二季度数据进一步验证。其次，中美博弈范围扩大但影响趋弱。中美摩擦已从贸易领域蔓延至科技、金融等领域，例如近期AI芯片H20禁售的苗头显现。不过，此类事件的市场预期已部分消化，后续可能呈现反复拉锯的博弈模式，其对市场的冲击或将逐步脱敏。</w:t>
      </w:r>
    </w:p>
    <w:p w14:paraId="01590ABA" w14:textId="37C605B5" w:rsidR="00173421"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当下我们看到多部门积极表态“稳股市”，例如国常会特别强调“持续稳定股市”，并在关税冲击后迅速通过实际措施稳定市场，因此短期内A股下行空间或有限。短期建议稳中求进，聚焦内需相关的消费板块及自主可控产业链，因其政策支持明确且业绩确定性较高。中期来看，AI、半导体、机器人等新兴成长领域仍是关注的重点。</w:t>
      </w:r>
    </w:p>
    <w:bookmarkEnd w:id="2"/>
    <w:bookmarkEnd w:id="4"/>
    <w:p w14:paraId="4FFD2E74" w14:textId="77777777" w:rsidR="00173421"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行业重点关注：1、成长赛道，如国产AI产业链、半导体、医药等板块；2、底部区间有拐点预期板块，如证券、电新、消费等。</w:t>
      </w:r>
    </w:p>
    <w:bookmarkEnd w:id="3"/>
    <w:p w14:paraId="3EEBEA6A" w14:textId="77777777" w:rsidR="00173421" w:rsidRDefault="00000000">
      <w:pPr>
        <w:ind w:firstLineChars="200" w:firstLine="428"/>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b/>
          <w:bCs/>
          <w:sz w:val="21"/>
          <w:szCs w:val="24"/>
        </w:rPr>
        <w:t>风险提示</w:t>
      </w:r>
      <w:r>
        <w:rPr>
          <w:rFonts w:ascii="思源黑体 CN Light" w:eastAsia="思源黑体 CN Light" w:hAnsi="思源黑体 CN Light" w:cs="Times New Roman" w:hint="eastAsia"/>
          <w:b/>
          <w:bCs/>
          <w:sz w:val="21"/>
          <w:szCs w:val="24"/>
        </w:rPr>
        <w:t>：</w:t>
      </w:r>
    </w:p>
    <w:p w14:paraId="7B8CB461" w14:textId="77777777" w:rsidR="00173421"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color w:val="000000"/>
          <w:sz w:val="21"/>
          <w:szCs w:val="20"/>
          <w:shd w:val="clear" w:color="auto" w:fill="FFFFFF"/>
        </w:rPr>
        <w:t>1、宏观经济超预期下行；</w:t>
      </w:r>
      <w:r>
        <w:rPr>
          <w:rFonts w:ascii="思源黑体 CN Light" w:eastAsia="思源黑体 CN Light" w:hAnsi="思源黑体 CN Light" w:cs="Times New Roman" w:hint="eastAsia"/>
          <w:color w:val="000000"/>
          <w:sz w:val="21"/>
          <w:szCs w:val="20"/>
          <w:shd w:val="clear" w:color="auto" w:fill="FFFFFF"/>
        </w:rPr>
        <w:t>2</w:t>
      </w:r>
      <w:r>
        <w:rPr>
          <w:rFonts w:ascii="思源黑体 CN Light" w:eastAsia="思源黑体 CN Light" w:hAnsi="思源黑体 CN Light" w:cs="Times New Roman"/>
          <w:color w:val="000000"/>
          <w:sz w:val="21"/>
          <w:szCs w:val="20"/>
          <w:shd w:val="clear" w:color="auto" w:fill="FFFFFF"/>
        </w:rPr>
        <w:t>、上市公司业绩大幅下滑；</w:t>
      </w:r>
      <w:r>
        <w:rPr>
          <w:rFonts w:ascii="思源黑体 CN Light" w:eastAsia="思源黑体 CN Light" w:hAnsi="思源黑体 CN Light" w:cs="Times New Roman" w:hint="eastAsia"/>
          <w:color w:val="000000"/>
          <w:sz w:val="21"/>
          <w:szCs w:val="20"/>
          <w:shd w:val="clear" w:color="auto" w:fill="FFFFFF"/>
        </w:rPr>
        <w:t>3</w:t>
      </w:r>
      <w:r>
        <w:rPr>
          <w:rFonts w:ascii="思源黑体 CN Light" w:eastAsia="思源黑体 CN Light" w:hAnsi="思源黑体 CN Light" w:cs="Times New Roman"/>
          <w:color w:val="000000"/>
          <w:sz w:val="21"/>
          <w:szCs w:val="20"/>
          <w:shd w:val="clear" w:color="auto" w:fill="FFFFFF"/>
        </w:rPr>
        <w:t>、政策不及预期</w:t>
      </w:r>
      <w:r>
        <w:rPr>
          <w:rFonts w:ascii="思源黑体 CN Light" w:eastAsia="思源黑体 CN Light" w:hAnsi="思源黑体 CN Light" w:cs="Times New Roman" w:hint="eastAsia"/>
          <w:color w:val="000000"/>
          <w:sz w:val="21"/>
          <w:szCs w:val="20"/>
          <w:shd w:val="clear" w:color="auto" w:fill="FFFFFF"/>
        </w:rPr>
        <w:t>。</w:t>
      </w:r>
    </w:p>
    <w:p w14:paraId="5FF0DF34" w14:textId="77777777" w:rsidR="00173421" w:rsidRDefault="00173421">
      <w:pPr>
        <w:rPr>
          <w:rFonts w:ascii="思源黑体 CN Light" w:eastAsia="思源黑体 CN Light" w:hAnsi="思源黑体 CN Light" w:cs="Times New Roman" w:hint="eastAsia"/>
          <w:color w:val="000000"/>
          <w:sz w:val="21"/>
          <w:szCs w:val="20"/>
          <w:shd w:val="clear" w:color="auto" w:fill="FFFFFF"/>
        </w:rPr>
      </w:pPr>
    </w:p>
    <w:p w14:paraId="36AFB25F" w14:textId="77777777" w:rsidR="00173421" w:rsidRDefault="00173421">
      <w:pPr>
        <w:pStyle w:val="af2"/>
        <w:ind w:firstLineChars="0" w:firstLine="0"/>
        <w:rPr>
          <w:rFonts w:ascii="思源黑体 CN Light" w:eastAsia="思源黑体 CN Light" w:hAnsi="思源黑体 CN Light" w:cs="Times New Roman" w:hint="eastAsia"/>
          <w:sz w:val="20"/>
          <w:szCs w:val="20"/>
        </w:rPr>
      </w:pPr>
    </w:p>
    <w:p w14:paraId="0D5AB03F" w14:textId="77777777" w:rsidR="00173421" w:rsidRDefault="00000000">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w:t>
      </w:r>
      <w:r>
        <w:rPr>
          <w:rFonts w:ascii="思源黑体 CN Light" w:eastAsia="思源黑体 CN Light" w:hAnsi="思源黑体 CN Light"/>
          <w:sz w:val="18"/>
          <w:szCs w:val="15"/>
        </w:rPr>
        <w:lastRenderedPageBreak/>
        <w:t>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6B280A2B" w14:textId="77777777" w:rsidR="00173421" w:rsidRDefault="00173421">
      <w:pPr>
        <w:rPr>
          <w:rFonts w:hint="eastAsia"/>
        </w:rPr>
      </w:pPr>
    </w:p>
    <w:p w14:paraId="7A1B170B" w14:textId="77777777" w:rsidR="00173421" w:rsidRDefault="00173421">
      <w:pPr>
        <w:rPr>
          <w:rFonts w:hint="eastAsia"/>
        </w:rPr>
      </w:pPr>
    </w:p>
    <w:p w14:paraId="7C4FF1E9" w14:textId="77777777" w:rsidR="00173421" w:rsidRDefault="00173421">
      <w:pPr>
        <w:rPr>
          <w:rFonts w:hint="eastAsia"/>
        </w:rPr>
      </w:pPr>
    </w:p>
    <w:p w14:paraId="22006DA9" w14:textId="77777777" w:rsidR="00173421" w:rsidRDefault="00173421">
      <w:pPr>
        <w:rPr>
          <w:rFonts w:hint="eastAsia"/>
        </w:rPr>
      </w:pPr>
    </w:p>
    <w:p w14:paraId="057BA32C" w14:textId="77777777" w:rsidR="00173421" w:rsidRDefault="00173421">
      <w:pPr>
        <w:rPr>
          <w:rFonts w:hint="eastAsia"/>
        </w:rPr>
      </w:pPr>
    </w:p>
    <w:p w14:paraId="732F79FE" w14:textId="77777777" w:rsidR="00173421" w:rsidRDefault="00173421">
      <w:pPr>
        <w:rPr>
          <w:rFonts w:hint="eastAsia"/>
        </w:rPr>
      </w:pPr>
    </w:p>
    <w:p w14:paraId="7F67E926" w14:textId="77777777" w:rsidR="00173421" w:rsidRDefault="00173421">
      <w:pPr>
        <w:rPr>
          <w:rFonts w:hint="eastAsia"/>
        </w:rPr>
      </w:pPr>
    </w:p>
    <w:sectPr w:rsidR="00173421">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E18A8" w14:textId="77777777" w:rsidR="00B534B2" w:rsidRDefault="00B534B2">
      <w:pPr>
        <w:spacing w:line="240" w:lineRule="auto"/>
        <w:rPr>
          <w:rFonts w:hint="eastAsia"/>
        </w:rPr>
      </w:pPr>
      <w:r>
        <w:separator/>
      </w:r>
    </w:p>
  </w:endnote>
  <w:endnote w:type="continuationSeparator" w:id="0">
    <w:p w14:paraId="7C31D5D2" w14:textId="77777777" w:rsidR="00B534B2" w:rsidRDefault="00B534B2">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E7DE0" w14:textId="77777777" w:rsidR="00173421" w:rsidRDefault="00000000">
    <w:pPr>
      <w:pStyle w:val="a3"/>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rPr>
              <w:t>4</w:t>
            </w:r>
            <w:r>
              <w:rPr>
                <w:b/>
                <w:bCs/>
                <w:sz w:val="24"/>
                <w:szCs w:val="24"/>
              </w:rPr>
              <w:fldChar w:fldCharType="end"/>
            </w:r>
          </w:sdtContent>
        </w:sdt>
      </w:sdtContent>
    </w:sdt>
    <w:r>
      <w:tab/>
    </w:r>
  </w:p>
  <w:p w14:paraId="6A9FCE5E" w14:textId="77777777" w:rsidR="00173421" w:rsidRDefault="00173421">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345CCD" w14:textId="77777777" w:rsidR="00B534B2" w:rsidRDefault="00B534B2">
      <w:pPr>
        <w:rPr>
          <w:rFonts w:hint="eastAsia"/>
        </w:rPr>
      </w:pPr>
      <w:r>
        <w:separator/>
      </w:r>
    </w:p>
  </w:footnote>
  <w:footnote w:type="continuationSeparator" w:id="0">
    <w:p w14:paraId="36484FC4" w14:textId="77777777" w:rsidR="00B534B2" w:rsidRDefault="00B534B2">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c"/>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173421" w14:paraId="09D7CB57" w14:textId="77777777">
      <w:trPr>
        <w:trHeight w:val="424"/>
      </w:trPr>
      <w:tc>
        <w:tcPr>
          <w:tcW w:w="3652" w:type="dxa"/>
          <w:shd w:val="clear" w:color="auto" w:fill="F3F3F3"/>
          <w:vAlign w:val="center"/>
        </w:tcPr>
        <w:p w14:paraId="77C28478" w14:textId="77777777" w:rsidR="00173421" w:rsidRDefault="00000000">
          <w:pPr>
            <w:pStyle w:val="a5"/>
            <w:pBdr>
              <w:bottom w:val="none" w:sz="0" w:space="0" w:color="auto"/>
            </w:pBdr>
            <w:jc w:val="right"/>
            <w:rPr>
              <w:rFonts w:ascii="Times New Roman" w:eastAsia="宋体" w:hAnsi="Times New Roman" w:cs="Times New Roman"/>
              <w:kern w:val="0"/>
            </w:rPr>
          </w:pPr>
          <w:r>
            <w:rPr>
              <w:rFonts w:ascii="Times New Roman" w:eastAsia="宋体" w:hAnsi="Times New Roman" w:cs="Times New Roman" w:hint="eastAsia"/>
              <w:kern w:val="0"/>
            </w:rPr>
            <w:t>证券研究报告</w:t>
          </w:r>
        </w:p>
      </w:tc>
      <w:tc>
        <w:tcPr>
          <w:tcW w:w="284" w:type="dxa"/>
          <w:shd w:val="clear" w:color="auto" w:fill="C3E2F4"/>
        </w:tcPr>
        <w:p w14:paraId="7C60F03E" w14:textId="77777777" w:rsidR="00173421" w:rsidRDefault="00173421">
          <w:pPr>
            <w:pStyle w:val="a5"/>
            <w:pBdr>
              <w:bottom w:val="none" w:sz="0" w:space="0" w:color="auto"/>
            </w:pBdr>
            <w:jc w:val="left"/>
            <w:rPr>
              <w:rFonts w:ascii="Times New Roman" w:eastAsia="宋体" w:hAnsi="Times New Roman" w:cs="Times New Roman"/>
              <w:kern w:val="0"/>
            </w:rPr>
          </w:pPr>
        </w:p>
      </w:tc>
      <w:tc>
        <w:tcPr>
          <w:tcW w:w="2335" w:type="dxa"/>
          <w:shd w:val="clear" w:color="auto" w:fill="013F98"/>
          <w:vAlign w:val="center"/>
        </w:tcPr>
        <w:p w14:paraId="2DED7615" w14:textId="77777777" w:rsidR="00173421" w:rsidRDefault="00000000">
          <w:pPr>
            <w:pStyle w:val="a5"/>
            <w:pBdr>
              <w:bottom w:val="none" w:sz="0" w:space="0" w:color="auto"/>
            </w:pBdr>
            <w:rPr>
              <w:rFonts w:ascii="Times New Roman" w:eastAsia="宋体" w:hAnsi="Times New Roman" w:cs="Times New Roman"/>
              <w:kern w:val="0"/>
            </w:rPr>
          </w:pPr>
          <w:r>
            <w:rPr>
              <w:rFonts w:ascii="Times New Roman" w:eastAsia="宋体" w:hAnsi="Times New Roman" w:cs="Times New Roman" w:hint="eastAsia"/>
              <w:kern w:val="0"/>
            </w:rPr>
            <w:t>权益周报</w:t>
          </w:r>
        </w:p>
      </w:tc>
    </w:tr>
  </w:tbl>
  <w:p w14:paraId="36A07590" w14:textId="77777777" w:rsidR="00173421" w:rsidRDefault="00000000">
    <w:pPr>
      <w:pStyle w:val="a5"/>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452BE8DC" wp14:editId="409111D2">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6FB"/>
    <w:rsid w:val="00004917"/>
    <w:rsid w:val="00173421"/>
    <w:rsid w:val="002F63B0"/>
    <w:rsid w:val="00665013"/>
    <w:rsid w:val="006B3AB2"/>
    <w:rsid w:val="00817026"/>
    <w:rsid w:val="00852735"/>
    <w:rsid w:val="00A05EFB"/>
    <w:rsid w:val="00A95B06"/>
    <w:rsid w:val="00B534B2"/>
    <w:rsid w:val="00B93601"/>
    <w:rsid w:val="00CE26FB"/>
    <w:rsid w:val="00E442DC"/>
    <w:rsid w:val="056725ED"/>
    <w:rsid w:val="5E987C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6E9EC8"/>
  <w15:docId w15:val="{688CC674-57CE-42C7-98C8-83795F4AA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a8"/>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9">
    <w:name w:val="Normal (Web)"/>
    <w:basedOn w:val="a"/>
    <w:uiPriority w:val="99"/>
    <w:semiHidden/>
    <w:unhideWhenUsed/>
    <w:qFormat/>
    <w:rPr>
      <w:rFonts w:ascii="Times New Roman" w:hAnsi="Times New Roman" w:cs="Times New Roman"/>
      <w:szCs w:val="24"/>
    </w:rPr>
  </w:style>
  <w:style w:type="paragraph" w:styleId="aa">
    <w:name w:val="Title"/>
    <w:basedOn w:val="a"/>
    <w:next w:val="a"/>
    <w:link w:val="ab"/>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c">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d">
    <w:name w:val="Quote"/>
    <w:basedOn w:val="a"/>
    <w:next w:val="a"/>
    <w:link w:val="ae"/>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e">
    <w:name w:val="引用 字符"/>
    <w:basedOn w:val="a0"/>
    <w:link w:val="ad"/>
    <w:uiPriority w:val="29"/>
    <w:qFormat/>
    <w:rPr>
      <w:i/>
      <w:iCs/>
      <w:color w:val="404040" w:themeColor="text1" w:themeTint="BF"/>
    </w:rPr>
  </w:style>
  <w:style w:type="paragraph" w:styleId="af">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0">
    <w:name w:val="Intense Quote"/>
    <w:basedOn w:val="a"/>
    <w:next w:val="a"/>
    <w:link w:val="af1"/>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1">
    <w:name w:val="明显引用 字符"/>
    <w:basedOn w:val="a0"/>
    <w:link w:val="af0"/>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4">
    <w:name w:val="页脚 字符"/>
    <w:basedOn w:val="a0"/>
    <w:link w:val="a3"/>
    <w:uiPriority w:val="99"/>
    <w:qFormat/>
    <w:rPr>
      <w:sz w:val="18"/>
      <w:szCs w:val="18"/>
      <w14:ligatures w14:val="none"/>
    </w:rPr>
  </w:style>
  <w:style w:type="character" w:customStyle="1" w:styleId="a6">
    <w:name w:val="页眉 字符"/>
    <w:basedOn w:val="a0"/>
    <w:link w:val="a5"/>
    <w:uiPriority w:val="99"/>
    <w:qFormat/>
    <w:rPr>
      <w:sz w:val="18"/>
      <w:szCs w:val="18"/>
      <w14:ligatures w14:val="none"/>
    </w:rPr>
  </w:style>
  <w:style w:type="paragraph" w:styleId="af2">
    <w:name w:val="No Spacing"/>
    <w:basedOn w:val="a9"/>
    <w:link w:val="af3"/>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3">
    <w:name w:val="无间隔 字符"/>
    <w:basedOn w:val="a0"/>
    <w:link w:val="af2"/>
    <w:uiPriority w:val="1"/>
    <w:qFormat/>
    <w:rPr>
      <w:kern w:val="0"/>
      <w:sz w:val="24"/>
      <w:szCs w:val="22"/>
      <w:shd w:val="clear" w:color="auto" w:fill="FFFFFF"/>
      <w14:ligatures w14:val="none"/>
    </w:rPr>
  </w:style>
  <w:style w:type="paragraph" w:styleId="af4">
    <w:name w:val="Revision"/>
    <w:hidden/>
    <w:uiPriority w:val="99"/>
    <w:unhideWhenUsed/>
    <w:rsid w:val="00B93601"/>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4</Pages>
  <Words>785</Words>
  <Characters>888</Characters>
  <Application>Microsoft Office Word</Application>
  <DocSecurity>0</DocSecurity>
  <Lines>29</Lines>
  <Paragraphs>20</Paragraphs>
  <ScaleCrop>false</ScaleCrop>
  <Company/>
  <LinksUpToDate>false</LinksUpToDate>
  <CharactersWithSpaces>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2</cp:revision>
  <dcterms:created xsi:type="dcterms:W3CDTF">2025-04-21T00:53:00Z</dcterms:created>
  <dcterms:modified xsi:type="dcterms:W3CDTF">2025-04-21T07:32:00Z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2052-12.1.0.20784</vt:lpwstr>
  </property>
  <property fmtid="{D5CDD505-2E9C-101B-9397-08002B2CF9AE}" pid="4" name="ICV">
    <vt:lpwstr>DADA97DFCF384802A32AEB37F0BFB08D_12</vt:lpwstr>
  </property>
</Properties>
</file>