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52CD81" w14:textId="77777777" w:rsidR="003012D0" w:rsidRDefault="00000000">
      <w:pPr>
        <w:jc w:val="center"/>
        <w:rPr>
          <w:rFonts w:ascii="黑体" w:eastAsia="黑体" w:hAnsi="黑体" w:hint="eastAsia"/>
          <w:b/>
          <w:bCs/>
        </w:rPr>
      </w:pPr>
      <w:r>
        <w:rPr>
          <w:rFonts w:ascii="黑体" w:eastAsia="黑体" w:hAnsi="黑体" w:hint="eastAsia"/>
          <w:b/>
          <w:bCs/>
        </w:rPr>
        <w:t>【峥选定投】20250424</w:t>
      </w:r>
      <w:proofErr w:type="gramStart"/>
      <w:r>
        <w:rPr>
          <w:rFonts w:ascii="黑体" w:eastAsia="黑体" w:hAnsi="黑体" w:hint="eastAsia"/>
          <w:b/>
          <w:bCs/>
        </w:rPr>
        <w:t>定投日志</w:t>
      </w:r>
      <w:proofErr w:type="gramEnd"/>
    </w:p>
    <w:p w14:paraId="36A2BBEF" w14:textId="77777777" w:rsidR="003012D0" w:rsidRDefault="00000000">
      <w:pPr>
        <w:ind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大家好！我是富荣信息技术混合、富荣福锦混合的基金经理李延峥。我于昨天（4月23日）</w:t>
      </w:r>
      <w:proofErr w:type="gramStart"/>
      <w:r>
        <w:rPr>
          <w:rFonts w:ascii="黑体" w:eastAsia="黑体" w:hAnsi="黑体" w:hint="eastAsia"/>
        </w:rPr>
        <w:t>定投买入</w:t>
      </w:r>
      <w:proofErr w:type="gramEnd"/>
      <w:r>
        <w:rPr>
          <w:rFonts w:ascii="黑体" w:eastAsia="黑体" w:hAnsi="黑体" w:hint="eastAsia"/>
        </w:rPr>
        <w:t>富荣信息技术混合A、富荣福锦混合A两只产品各1000元。</w:t>
      </w:r>
    </w:p>
    <w:p w14:paraId="1C109326" w14:textId="77777777" w:rsidR="003012D0" w:rsidRDefault="003012D0">
      <w:pPr>
        <w:rPr>
          <w:rFonts w:ascii="黑体" w:eastAsia="黑体" w:hAnsi="黑体" w:hint="eastAsia"/>
        </w:rPr>
      </w:pPr>
    </w:p>
    <w:p w14:paraId="42E9CBAE" w14:textId="77777777" w:rsidR="003012D0" w:rsidRDefault="00000000">
      <w:pPr>
        <w:jc w:val="center"/>
        <w:rPr>
          <w:rFonts w:ascii="黑体" w:eastAsia="黑体" w:hAnsi="黑体" w:hint="eastAsia"/>
        </w:rPr>
      </w:pPr>
      <w:r>
        <w:rPr>
          <w:rFonts w:hint="eastAsia"/>
          <w:noProof/>
        </w:rPr>
        <w:drawing>
          <wp:inline distT="0" distB="0" distL="0" distR="0" wp14:anchorId="44DE1F87" wp14:editId="186C4767">
            <wp:extent cx="4038600" cy="4705350"/>
            <wp:effectExtent l="0" t="0" r="0" b="0"/>
            <wp:docPr id="9753935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5393598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470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37B8DD" w14:textId="77777777" w:rsidR="003012D0" w:rsidRDefault="003012D0">
      <w:pPr>
        <w:rPr>
          <w:rFonts w:ascii="黑体" w:eastAsia="黑体" w:hAnsi="黑体" w:hint="eastAsia"/>
        </w:rPr>
      </w:pPr>
    </w:p>
    <w:p w14:paraId="5ABBCA47" w14:textId="3835E4A7" w:rsidR="003012D0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2025年</w:t>
      </w:r>
      <w:proofErr w:type="gramStart"/>
      <w:r>
        <w:rPr>
          <w:rFonts w:ascii="黑体" w:eastAsia="黑体" w:hAnsi="黑体" w:hint="eastAsia"/>
        </w:rPr>
        <w:t>一</w:t>
      </w:r>
      <w:proofErr w:type="gramEnd"/>
      <w:r>
        <w:rPr>
          <w:rFonts w:ascii="黑体" w:eastAsia="黑体" w:hAnsi="黑体" w:hint="eastAsia"/>
        </w:rPr>
        <w:t>季报已更新，相关观点解读视频已经在一些平台发送，同时为了方便大家，在这里也相应做一个解读。</w:t>
      </w:r>
    </w:p>
    <w:p w14:paraId="714BF762" w14:textId="77777777" w:rsidR="003012D0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首先是富荣信息技术混合。2025年一季度，我们仍然按照产业周期思维去做产品组合的配置。</w:t>
      </w:r>
      <w:proofErr w:type="spellStart"/>
      <w:r>
        <w:rPr>
          <w:rFonts w:ascii="黑体" w:eastAsia="黑体" w:hAnsi="黑体" w:hint="eastAsia"/>
        </w:rPr>
        <w:t>DeepSeek</w:t>
      </w:r>
      <w:proofErr w:type="spellEnd"/>
      <w:r>
        <w:rPr>
          <w:rFonts w:ascii="黑体" w:eastAsia="黑体" w:hAnsi="黑体" w:hint="eastAsia"/>
        </w:rPr>
        <w:t>横空出世后，我们更看好国内AI产业链的发展，结构上看好与国内AI资本开支相关的国产</w:t>
      </w:r>
      <w:proofErr w:type="gramStart"/>
      <w:r>
        <w:rPr>
          <w:rFonts w:ascii="黑体" w:eastAsia="黑体" w:hAnsi="黑体" w:hint="eastAsia"/>
        </w:rPr>
        <w:t>算力产业</w:t>
      </w:r>
      <w:proofErr w:type="gramEnd"/>
      <w:r>
        <w:rPr>
          <w:rFonts w:ascii="黑体" w:eastAsia="黑体" w:hAnsi="黑体" w:hint="eastAsia"/>
        </w:rPr>
        <w:t>链，包括国产GPU、服务器、光模块、交换机以及IDC运营、柴油发电机、铅酸电池等。展望未来，我们将根据产业发展的周期与落地的节奏适时调整，</w:t>
      </w:r>
      <w:proofErr w:type="gramStart"/>
      <w:r>
        <w:rPr>
          <w:rFonts w:ascii="黑体" w:eastAsia="黑体" w:hAnsi="黑体" w:hint="eastAsia"/>
        </w:rPr>
        <w:t>当下更</w:t>
      </w:r>
      <w:proofErr w:type="gramEnd"/>
      <w:r>
        <w:rPr>
          <w:rFonts w:ascii="黑体" w:eastAsia="黑体" w:hAnsi="黑体" w:hint="eastAsia"/>
        </w:rPr>
        <w:t>关注AI基础设施相关产业链的机会，并会在后续根据应用落地的进度逐步往AI应用方向转移。</w:t>
      </w:r>
    </w:p>
    <w:p w14:paraId="0A5E5288" w14:textId="77777777" w:rsidR="003012D0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其次是富荣福锦混合。2025年一季度，本基金在报告期内的投资风格偏重成长，通过</w:t>
      </w:r>
      <w:r>
        <w:rPr>
          <w:rFonts w:ascii="黑体" w:eastAsia="黑体" w:hAnsi="黑体" w:hint="eastAsia"/>
        </w:rPr>
        <w:lastRenderedPageBreak/>
        <w:t>主动细致的研究找出中长期维度下成长性充足的赛道和公司，再在其中进行对比，选出其当下的基本</w:t>
      </w:r>
      <w:proofErr w:type="gramStart"/>
      <w:r>
        <w:rPr>
          <w:rFonts w:ascii="黑体" w:eastAsia="黑体" w:hAnsi="黑体" w:hint="eastAsia"/>
        </w:rPr>
        <w:t>面位置</w:t>
      </w:r>
      <w:proofErr w:type="gramEnd"/>
      <w:r>
        <w:rPr>
          <w:rFonts w:ascii="黑体" w:eastAsia="黑体" w:hAnsi="黑体" w:hint="eastAsia"/>
        </w:rPr>
        <w:t>处于边际向上阶段的个股，力争抓住景气度持续向上的产业投资机会，以及边际变化向好的成长股。基于我们对于AI的研究和理解，我们</w:t>
      </w:r>
      <w:proofErr w:type="gramStart"/>
      <w:r>
        <w:rPr>
          <w:rFonts w:ascii="黑体" w:eastAsia="黑体" w:hAnsi="黑体" w:hint="eastAsia"/>
        </w:rPr>
        <w:t>认为具身智能</w:t>
      </w:r>
      <w:proofErr w:type="gramEnd"/>
      <w:r>
        <w:rPr>
          <w:rFonts w:ascii="黑体" w:eastAsia="黑体" w:hAnsi="黑体" w:hint="eastAsia"/>
        </w:rPr>
        <w:t>的发展正在加速，AI的物理化时代或许即将到来。</w:t>
      </w:r>
    </w:p>
    <w:p w14:paraId="5F90DC7C" w14:textId="77777777" w:rsidR="003012D0" w:rsidRDefault="003012D0">
      <w:pPr>
        <w:rPr>
          <w:rFonts w:ascii="黑体" w:eastAsia="黑体" w:hAnsi="黑体" w:hint="eastAsia"/>
        </w:rPr>
      </w:pPr>
    </w:p>
    <w:p w14:paraId="536759E9" w14:textId="77777777" w:rsidR="003012D0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风险提示：市场有风险，投资需谨慎。</w:t>
      </w:r>
      <w:r>
        <w:rPr>
          <w:rFonts w:ascii="黑体" w:eastAsia="黑体" w:hAnsi="黑体"/>
        </w:rPr>
        <w:t>投资者应充分了解基金定期定额投资和零存整取等储蓄方式的区别。定期定额投资是引导投资者进行长期投资、平均投资成本的一种简单易行的投资方式。但是定期定额投资并不能规避基金投资所固有的风险，不能保证投资者获取收益，也不是替代储蓄的等效理财方式。</w:t>
      </w:r>
      <w:r>
        <w:rPr>
          <w:rFonts w:ascii="黑体" w:eastAsia="黑体" w:hAnsi="黑体" w:hint="eastAsia"/>
        </w:rPr>
        <w:t>基金管理人承诺以诚实信用、勤勉尽责的原则管理和运用基金资产，基金的过往业绩并不预示其未来表现，基金管理人管理的其他基金的业绩并不构成本基金业绩表现的保证。基金管理人不保证基金一定盈利，也不保证最低收益。基金管理人提醒投资人基金投资的“买者自负”原则，投资人在投资基金前应认真阅读《基金合同》、《招募说明书》和《产品资料概要》等基金法律文件，全面认识基金产品的风险收益特征，在了解产品情况及听取销售机构适当性意见的基础上，根据自身的风险承受能力、投资期限和投资目标，对基金投资</w:t>
      </w:r>
      <w:proofErr w:type="gramStart"/>
      <w:r>
        <w:rPr>
          <w:rFonts w:ascii="黑体" w:eastAsia="黑体" w:hAnsi="黑体" w:hint="eastAsia"/>
        </w:rPr>
        <w:t>作出</w:t>
      </w:r>
      <w:proofErr w:type="gramEnd"/>
      <w:r>
        <w:rPr>
          <w:rFonts w:ascii="黑体" w:eastAsia="黑体" w:hAnsi="黑体" w:hint="eastAsia"/>
        </w:rPr>
        <w:t>独立决策，选择合适的基金产品。在做出投资决策后，基金运营状况与基金净值变化引致的投资风险，由投资人自行负担。我国基金运作时间较短，不能反映证券市场发展的所有阶段。</w:t>
      </w:r>
    </w:p>
    <w:p w14:paraId="3EF129D1" w14:textId="77777777" w:rsidR="003012D0" w:rsidRDefault="003012D0">
      <w:pPr>
        <w:rPr>
          <w:rFonts w:ascii="黑体" w:eastAsia="黑体" w:hAnsi="黑体" w:hint="eastAsia"/>
        </w:rPr>
      </w:pPr>
    </w:p>
    <w:sectPr w:rsidR="003012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74D8F7" w14:textId="77777777" w:rsidR="003D79A0" w:rsidRDefault="003D79A0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6B1AA77B" w14:textId="77777777" w:rsidR="003D79A0" w:rsidRDefault="003D79A0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50E516" w14:textId="77777777" w:rsidR="003D79A0" w:rsidRDefault="003D79A0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0D84CD6B" w14:textId="77777777" w:rsidR="003D79A0" w:rsidRDefault="003D79A0">
      <w:pPr>
        <w:spacing w:after="0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5E1E"/>
    <w:rsid w:val="00056703"/>
    <w:rsid w:val="00060BB3"/>
    <w:rsid w:val="00070AC3"/>
    <w:rsid w:val="00085625"/>
    <w:rsid w:val="000A10F0"/>
    <w:rsid w:val="000B5232"/>
    <w:rsid w:val="000D31EC"/>
    <w:rsid w:val="000F5C8C"/>
    <w:rsid w:val="00176D4F"/>
    <w:rsid w:val="001D23F9"/>
    <w:rsid w:val="001F4529"/>
    <w:rsid w:val="00237722"/>
    <w:rsid w:val="002509DF"/>
    <w:rsid w:val="002D650F"/>
    <w:rsid w:val="003012D0"/>
    <w:rsid w:val="0033490C"/>
    <w:rsid w:val="003363A4"/>
    <w:rsid w:val="003D79A0"/>
    <w:rsid w:val="00476A8A"/>
    <w:rsid w:val="00497215"/>
    <w:rsid w:val="004A4392"/>
    <w:rsid w:val="00572EDC"/>
    <w:rsid w:val="005C7FAA"/>
    <w:rsid w:val="00696F3B"/>
    <w:rsid w:val="006C6FC5"/>
    <w:rsid w:val="006D20D8"/>
    <w:rsid w:val="0071685B"/>
    <w:rsid w:val="007B77FB"/>
    <w:rsid w:val="00843EBC"/>
    <w:rsid w:val="008506AB"/>
    <w:rsid w:val="008919E9"/>
    <w:rsid w:val="008B4166"/>
    <w:rsid w:val="008B695E"/>
    <w:rsid w:val="00915C2A"/>
    <w:rsid w:val="00A23520"/>
    <w:rsid w:val="00B17FA7"/>
    <w:rsid w:val="00B36E17"/>
    <w:rsid w:val="00B479BB"/>
    <w:rsid w:val="00B54301"/>
    <w:rsid w:val="00B84EA8"/>
    <w:rsid w:val="00B94257"/>
    <w:rsid w:val="00BD44AA"/>
    <w:rsid w:val="00BF54FE"/>
    <w:rsid w:val="00CC537C"/>
    <w:rsid w:val="00D345D7"/>
    <w:rsid w:val="00D927DE"/>
    <w:rsid w:val="00D95608"/>
    <w:rsid w:val="00E17515"/>
    <w:rsid w:val="00EB35DB"/>
    <w:rsid w:val="00EB5E1E"/>
    <w:rsid w:val="00F545DA"/>
    <w:rsid w:val="00FB11E4"/>
    <w:rsid w:val="00FD242E"/>
    <w:rsid w:val="0A9309C2"/>
    <w:rsid w:val="0BB43FDD"/>
    <w:rsid w:val="18967A76"/>
    <w:rsid w:val="1FC41D2B"/>
    <w:rsid w:val="4CBD12A4"/>
    <w:rsid w:val="518A6EC1"/>
    <w:rsid w:val="5AA31704"/>
    <w:rsid w:val="62507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E3AC9"/>
  <w15:docId w15:val="{F14EF61B-C29B-4D47-B36A-A03CE4FEB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8">
    <w:name w:val="Subtitle"/>
    <w:basedOn w:val="a"/>
    <w:next w:val="a"/>
    <w:link w:val="a9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a">
    <w:name w:val="Title"/>
    <w:basedOn w:val="a"/>
    <w:next w:val="a"/>
    <w:link w:val="ab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b">
    <w:name w:val="标题 字符"/>
    <w:basedOn w:val="a0"/>
    <w:link w:val="aa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9">
    <w:name w:val="副标题 字符"/>
    <w:basedOn w:val="a0"/>
    <w:link w:val="a8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d">
    <w:name w:val="Quote"/>
    <w:basedOn w:val="a"/>
    <w:next w:val="a"/>
    <w:link w:val="ae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e">
    <w:name w:val="引用 字符"/>
    <w:basedOn w:val="a0"/>
    <w:link w:val="ad"/>
    <w:uiPriority w:val="29"/>
    <w:qFormat/>
    <w:rPr>
      <w:i/>
      <w:iCs/>
      <w:color w:val="404040" w:themeColor="text1" w:themeTint="BF"/>
    </w:rPr>
  </w:style>
  <w:style w:type="paragraph" w:styleId="af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f0">
    <w:name w:val="Intense Quote"/>
    <w:basedOn w:val="a"/>
    <w:next w:val="a"/>
    <w:link w:val="af1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1">
    <w:name w:val="明显引用 字符"/>
    <w:basedOn w:val="a0"/>
    <w:link w:val="af0"/>
    <w:uiPriority w:val="30"/>
    <w:qFormat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  <w:style w:type="paragraph" w:customStyle="1" w:styleId="13">
    <w:name w:val="修订1"/>
    <w:hidden/>
    <w:uiPriority w:val="99"/>
    <w:unhideWhenUsed/>
    <w:qFormat/>
    <w:rPr>
      <w:kern w:val="2"/>
      <w:sz w:val="22"/>
      <w:szCs w:val="24"/>
      <w14:ligatures w14:val="standardContextual"/>
    </w:rPr>
  </w:style>
  <w:style w:type="paragraph" w:customStyle="1" w:styleId="21">
    <w:name w:val="修订2"/>
    <w:hidden/>
    <w:uiPriority w:val="99"/>
    <w:unhideWhenUsed/>
    <w:rPr>
      <w:kern w:val="2"/>
      <w:sz w:val="22"/>
      <w:szCs w:val="24"/>
      <w14:ligatures w14:val="standardContextual"/>
    </w:rPr>
  </w:style>
  <w:style w:type="paragraph" w:customStyle="1" w:styleId="31">
    <w:name w:val="修订3"/>
    <w:hidden/>
    <w:uiPriority w:val="99"/>
    <w:unhideWhenUsed/>
    <w:rPr>
      <w:kern w:val="2"/>
      <w:sz w:val="22"/>
      <w:szCs w:val="24"/>
      <w14:ligatures w14:val="standardContextual"/>
    </w:rPr>
  </w:style>
  <w:style w:type="paragraph" w:customStyle="1" w:styleId="41">
    <w:name w:val="修订4"/>
    <w:hidden/>
    <w:uiPriority w:val="99"/>
    <w:unhideWhenUsed/>
    <w:rPr>
      <w:kern w:val="2"/>
      <w:sz w:val="22"/>
      <w:szCs w:val="24"/>
      <w14:ligatures w14:val="standardContextual"/>
    </w:rPr>
  </w:style>
  <w:style w:type="paragraph" w:styleId="af2">
    <w:name w:val="Revision"/>
    <w:hidden/>
    <w:uiPriority w:val="99"/>
    <w:unhideWhenUsed/>
    <w:rsid w:val="00B36E17"/>
    <w:rPr>
      <w:kern w:val="2"/>
      <w:sz w:val="22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王梦雨</dc:creator>
  <cp:lastModifiedBy>王梦雨</cp:lastModifiedBy>
  <cp:revision>16</cp:revision>
  <dcterms:created xsi:type="dcterms:W3CDTF">2025-03-31T07:18:00Z</dcterms:created>
  <dcterms:modified xsi:type="dcterms:W3CDTF">2025-04-24T01:28:00Z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eyJoZGlkIjoiYWEyZTA3M2M5N2Q0MmQwMWJkYjAxYzAyY2RhYmU3MjYiLCJ1c2VySWQiOiIxNTIwODY1NzQwIn0=</vt:lpwstr>
  </property>
  <property fmtid="{D5CDD505-2E9C-101B-9397-08002B2CF9AE}" pid="3" name="KSOProductBuildVer">
    <vt:lpwstr>2052-12.1.0.20784</vt:lpwstr>
  </property>
  <property fmtid="{D5CDD505-2E9C-101B-9397-08002B2CF9AE}" pid="4" name="ICV">
    <vt:lpwstr>DCAEE501885943F8A96BDC40A2D0B870_13</vt:lpwstr>
  </property>
</Properties>
</file>