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48594" w14:textId="77777777" w:rsidR="00FF7966"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富荣固收：</w:t>
      </w:r>
      <w:r>
        <w:rPr>
          <w:rFonts w:ascii="思源黑体 CN Bold" w:eastAsia="思源黑体 CN Bold" w:hAnsi="思源黑体 CN Bold"/>
          <w:b/>
          <w:bCs/>
          <w:sz w:val="28"/>
          <w:szCs w:val="28"/>
        </w:rPr>
        <w:t>债市短期震荡，长期利率向下</w:t>
      </w:r>
    </w:p>
    <w:p w14:paraId="75C52B45" w14:textId="77777777" w:rsidR="00FF7966"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2819F239" w14:textId="77777777" w:rsidR="00FF7966"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2025年4月21日至2025年4月25日，下同</w:t>
      </w:r>
      <w:r>
        <w:rPr>
          <w:rFonts w:ascii="思源黑体 CN Light" w:eastAsia="思源黑体 CN Light" w:hAnsi="思源黑体 CN Light" w:cs="Times New Roman" w:hint="eastAsia"/>
          <w:szCs w:val="21"/>
        </w:rPr>
        <w:t>）</w:t>
      </w:r>
      <w:proofErr w:type="gramStart"/>
      <w:r>
        <w:rPr>
          <w:rFonts w:ascii="思源黑体 CN Light" w:eastAsia="思源黑体 CN Light" w:hAnsi="思源黑体 CN Light" w:cs="Times New Roman" w:hint="eastAsia"/>
          <w:szCs w:val="21"/>
        </w:rPr>
        <w:t>隔夜资金</w:t>
      </w:r>
      <w:proofErr w:type="gramEnd"/>
      <w:r>
        <w:rPr>
          <w:rFonts w:ascii="思源黑体 CN Light" w:eastAsia="思源黑体 CN Light" w:hAnsi="思源黑体 CN Light" w:cs="Times New Roman" w:hint="eastAsia"/>
          <w:szCs w:val="21"/>
        </w:rPr>
        <w:t>价格回落至1.6%下方，关税博弈反复，MLF超额续作</w:t>
      </w:r>
      <w:proofErr w:type="gramStart"/>
      <w:r>
        <w:rPr>
          <w:rFonts w:ascii="思源黑体 CN Light" w:eastAsia="思源黑体 CN Light" w:hAnsi="思源黑体 CN Light" w:cs="Times New Roman" w:hint="eastAsia"/>
          <w:szCs w:val="21"/>
        </w:rPr>
        <w:t>弱化降准预期</w:t>
      </w:r>
      <w:proofErr w:type="gramEnd"/>
      <w:r>
        <w:rPr>
          <w:rFonts w:ascii="思源黑体 CN Light" w:eastAsia="思源黑体 CN Light" w:hAnsi="思源黑体 CN Light" w:cs="Times New Roman" w:hint="eastAsia"/>
          <w:szCs w:val="21"/>
        </w:rPr>
        <w:t>，债市收益率偏弱震荡。</w:t>
      </w:r>
    </w:p>
    <w:p w14:paraId="066E4DCD" w14:textId="77777777" w:rsidR="00FF7966"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债市短期或维持震荡，基本面预期和货币政策加码或将成为主要矛盾。但债市整体仍处于友好环境中，利率最终有望向下突破。从资金面上看央行对于债市的态度已较一季度出现实质性转变，随着后续“宽货币”的方向逐渐明朗，5月长</w:t>
      </w:r>
      <w:proofErr w:type="gramStart"/>
      <w:r>
        <w:rPr>
          <w:rFonts w:ascii="思源黑体 CN Light" w:eastAsia="思源黑体 CN Light" w:hAnsi="思源黑体 CN Light" w:cs="Times New Roman" w:hint="eastAsia"/>
          <w:szCs w:val="21"/>
        </w:rPr>
        <w:t>端利率</w:t>
      </w:r>
      <w:proofErr w:type="gramEnd"/>
      <w:r>
        <w:rPr>
          <w:rFonts w:ascii="思源黑体 CN Light" w:eastAsia="思源黑体 CN Light" w:hAnsi="思源黑体 CN Light" w:cs="Times New Roman" w:hint="eastAsia"/>
          <w:szCs w:val="21"/>
        </w:rPr>
        <w:t>有望再度刷新前低水平。</w:t>
      </w:r>
    </w:p>
    <w:p w14:paraId="50AB63D3" w14:textId="77777777" w:rsidR="00FF7966" w:rsidRDefault="00000000">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5A2171E3" w14:textId="695358EE" w:rsidR="00FF7966" w:rsidRDefault="0000000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高频数据看生产有所修复，但需求仍不强。动力煤价格跌幅扩大，钢价由跌回涨，铜价延续上涨；30城新房成交季节性上冲，二手房下旬成交冲刺，继续走高；乘用车零售环比改善；CCFI</w:t>
      </w:r>
      <w:proofErr w:type="gramStart"/>
      <w:r>
        <w:rPr>
          <w:rFonts w:ascii="思源黑体 CN Light" w:eastAsia="思源黑体 CN Light" w:hAnsi="思源黑体 CN Light" w:cs="Times New Roman" w:hint="eastAsia"/>
          <w:szCs w:val="21"/>
        </w:rPr>
        <w:t>指数环</w:t>
      </w:r>
      <w:proofErr w:type="gramEnd"/>
      <w:r>
        <w:rPr>
          <w:rFonts w:ascii="思源黑体 CN Light" w:eastAsia="思源黑体 CN Light" w:hAnsi="思源黑体 CN Light" w:cs="Times New Roman" w:hint="eastAsia"/>
          <w:szCs w:val="21"/>
        </w:rPr>
        <w:t>比涨幅扩大、SCFI</w:t>
      </w:r>
      <w:proofErr w:type="gramStart"/>
      <w:r>
        <w:rPr>
          <w:rFonts w:ascii="思源黑体 CN Light" w:eastAsia="思源黑体 CN Light" w:hAnsi="思源黑体 CN Light" w:cs="Times New Roman" w:hint="eastAsia"/>
          <w:szCs w:val="21"/>
        </w:rPr>
        <w:t>降幅收</w:t>
      </w:r>
      <w:proofErr w:type="gramEnd"/>
      <w:r>
        <w:rPr>
          <w:rFonts w:ascii="思源黑体 CN Light" w:eastAsia="思源黑体 CN Light" w:hAnsi="思源黑体 CN Light" w:cs="Times New Roman" w:hint="eastAsia"/>
          <w:szCs w:val="21"/>
        </w:rPr>
        <w:t>窄，临近五一假期即期价格有所抬升带动指数上行；食品价格继续下探，油价下跌。</w:t>
      </w:r>
    </w:p>
    <w:p w14:paraId="501B024E" w14:textId="73A511ED" w:rsidR="00FF7966" w:rsidRDefault="0000000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美元走强，其他非美货币涨跌互现。美元指数上行0.36%，离岸人民币涨0.20%，在岸人民币涨0.28%，日元跌1.04%，</w:t>
      </w:r>
      <w:proofErr w:type="gramStart"/>
      <w:r>
        <w:rPr>
          <w:rFonts w:ascii="思源黑体 CN Light" w:eastAsia="思源黑体 CN Light" w:hAnsi="思源黑体 CN Light" w:cs="Times New Roman" w:hint="eastAsia"/>
          <w:szCs w:val="21"/>
        </w:rPr>
        <w:t>瑞郎跌</w:t>
      </w:r>
      <w:proofErr w:type="gramEnd"/>
      <w:r>
        <w:rPr>
          <w:rFonts w:ascii="思源黑体 CN Light" w:eastAsia="思源黑体 CN Light" w:hAnsi="思源黑体 CN Light" w:cs="Times New Roman" w:hint="eastAsia"/>
          <w:szCs w:val="21"/>
        </w:rPr>
        <w:t>1.37%，欧元跌0.28%，澳元涨0.33%，英镑涨0.09%。</w:t>
      </w:r>
    </w:p>
    <w:p w14:paraId="3734594E" w14:textId="77777777" w:rsidR="00FF796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6DF10867" wp14:editId="52DC3AEC">
            <wp:extent cx="5274310" cy="2111375"/>
            <wp:effectExtent l="0" t="0" r="2540" b="3175"/>
            <wp:docPr id="9"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形用户界面, 应用程序&#10;&#10;AI 生成的内容可能不正确。"/>
                    <pic:cNvPicPr>
                      <a:picLocks noChangeAspect="1"/>
                    </pic:cNvPicPr>
                  </pic:nvPicPr>
                  <pic:blipFill>
                    <a:blip r:embed="rId6"/>
                    <a:stretch>
                      <a:fillRect/>
                    </a:stretch>
                  </pic:blipFill>
                  <pic:spPr>
                    <a:xfrm>
                      <a:off x="0" y="0"/>
                      <a:ext cx="5274310" cy="21113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数据来源：wind，富荣基金；统计区间：20250421-20250425</w:t>
      </w:r>
    </w:p>
    <w:p w14:paraId="6E52DF8C" w14:textId="77777777" w:rsidR="00FF796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表</w:t>
      </w:r>
      <w:proofErr w:type="gramStart"/>
      <w:r>
        <w:rPr>
          <w:rFonts w:ascii="思源黑体 CN Light" w:eastAsia="思源黑体 CN Light" w:hAnsi="思源黑体 CN Light" w:cs="Times New Roman" w:hint="eastAsia"/>
          <w:b/>
          <w:color w:val="000000"/>
          <w:kern w:val="0"/>
          <w:sz w:val="20"/>
          <w:szCs w:val="20"/>
        </w:rPr>
        <w:t>一</w:t>
      </w:r>
      <w:proofErr w:type="gramEnd"/>
      <w:r>
        <w:rPr>
          <w:rFonts w:ascii="思源黑体 CN Light" w:eastAsia="思源黑体 CN Light" w:hAnsi="思源黑体 CN Light" w:cs="Times New Roman" w:hint="eastAsia"/>
          <w:b/>
          <w:color w:val="000000"/>
          <w:kern w:val="0"/>
          <w:sz w:val="20"/>
          <w:szCs w:val="20"/>
        </w:rPr>
        <w:t>：高频数据汇</w:t>
      </w:r>
      <w:bookmarkStart w:id="1" w:name="_Toc134985520"/>
      <w:r>
        <w:rPr>
          <w:rFonts w:ascii="思源黑体 CN Light" w:eastAsia="思源黑体 CN Light" w:hAnsi="思源黑体 CN Light" w:cs="Times New Roman" w:hint="eastAsia"/>
          <w:b/>
          <w:color w:val="000000"/>
          <w:kern w:val="0"/>
          <w:sz w:val="20"/>
          <w:szCs w:val="20"/>
        </w:rPr>
        <w:t>总</w:t>
      </w:r>
      <w:r>
        <w:rPr>
          <w:rFonts w:ascii="思源黑体 CN Light" w:eastAsia="思源黑体 CN Light" w:hAnsi="思源黑体 CN Light" w:cs="Times New Roman"/>
          <w:b/>
          <w:noProof/>
          <w:color w:val="000000"/>
          <w:kern w:val="0"/>
          <w:sz w:val="20"/>
          <w:szCs w:val="20"/>
        </w:rPr>
        <w:drawing>
          <wp:inline distT="0" distB="0" distL="0" distR="0" wp14:anchorId="65CD51F7" wp14:editId="10CE4F98">
            <wp:extent cx="5274310" cy="5380355"/>
            <wp:effectExtent l="0" t="0" r="2540" b="0"/>
            <wp:docPr id="10" name="图片 9"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表格&#10;&#10;AI 生成的内容可能不正确。"/>
                    <pic:cNvPicPr>
                      <a:picLocks noChangeAspect="1"/>
                    </pic:cNvPicPr>
                  </pic:nvPicPr>
                  <pic:blipFill>
                    <a:blip r:embed="rId7"/>
                    <a:stretch>
                      <a:fillRect/>
                    </a:stretch>
                  </pic:blipFill>
                  <pic:spPr>
                    <a:xfrm>
                      <a:off x="0" y="0"/>
                      <a:ext cx="5274310" cy="538035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数据来源：wind，富荣基金；统计区间：20250421-20250425</w:t>
      </w:r>
    </w:p>
    <w:p w14:paraId="7C56F25F" w14:textId="77777777" w:rsidR="00FF7966"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lastRenderedPageBreak/>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2E9D11BC" w14:textId="3E3920D5" w:rsidR="00FF7966"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临近跨月，资金面或季节性收敛，仍维持平稳宽松局面。</w:t>
      </w:r>
      <w:r>
        <w:rPr>
          <w:rFonts w:ascii="思源黑体 CN Light" w:eastAsia="思源黑体 CN Light" w:hAnsi="思源黑体 CN Light" w:cs="Times New Roman"/>
          <w:sz w:val="22"/>
          <w:szCs w:val="21"/>
          <w14:ligatures w14:val="standardContextual"/>
        </w:rPr>
        <w:t>DR001下行8.30BP至1.58%，DR007下行5.67BP至1.64%，R001下行9.45BP至1.58%，R007下行5.29BP至1.66%，GC001下行3.80BP至1.66%，GC007上行3.50BP至1.78%。</w:t>
      </w:r>
    </w:p>
    <w:p w14:paraId="5ABE3070" w14:textId="77777777" w:rsidR="00FF7966"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资金整体宽松，4月政治局会议通稿发布再提</w:t>
      </w:r>
      <w:proofErr w:type="gramStart"/>
      <w:r>
        <w:rPr>
          <w:rFonts w:ascii="思源黑体 CN Light" w:eastAsia="思源黑体 CN Light" w:hAnsi="思源黑体 CN Light" w:cs="Times New Roman" w:hint="eastAsia"/>
          <w:b/>
          <w:bCs/>
          <w:sz w:val="22"/>
          <w:szCs w:val="21"/>
          <w14:ligatures w14:val="standardContextual"/>
        </w:rPr>
        <w:t>适时降准降息</w:t>
      </w:r>
      <w:proofErr w:type="gramEnd"/>
      <w:r>
        <w:rPr>
          <w:rFonts w:ascii="思源黑体 CN Light" w:eastAsia="思源黑体 CN Light" w:hAnsi="思源黑体 CN Light" w:cs="Times New Roman" w:hint="eastAsia"/>
          <w:b/>
          <w:bCs/>
          <w:sz w:val="22"/>
          <w:szCs w:val="21"/>
          <w14:ligatures w14:val="standardContextual"/>
        </w:rPr>
        <w:t>，债市整体上行。</w:t>
      </w:r>
      <w:r>
        <w:rPr>
          <w:rFonts w:ascii="思源黑体 CN Light" w:eastAsia="思源黑体 CN Light" w:hAnsi="思源黑体 CN Light" w:cs="Times New Roman" w:hint="eastAsia"/>
          <w:sz w:val="22"/>
          <w:szCs w:val="21"/>
          <w14:ligatures w14:val="standardContextual"/>
        </w:rPr>
        <w:t>1Y、5Y、10Y、30Y国债收益率分别较前一周上行2.01</w:t>
      </w:r>
      <w:r>
        <w:rPr>
          <w:rFonts w:ascii="思源黑体 CN Light" w:eastAsia="思源黑体 CN Light" w:hAnsi="思源黑体 CN Light" w:cs="Times New Roman"/>
          <w:sz w:val="22"/>
          <w:szCs w:val="21"/>
          <w14:ligatures w14:val="standardContextual"/>
        </w:rPr>
        <w:t>BP</w:t>
      </w:r>
      <w:r>
        <w:rPr>
          <w:rFonts w:ascii="思源黑体 CN Light" w:eastAsia="思源黑体 CN Light" w:hAnsi="思源黑体 CN Light" w:cs="Times New Roman" w:hint="eastAsia"/>
          <w:sz w:val="22"/>
          <w:szCs w:val="21"/>
          <w14:ligatures w14:val="standardContextual"/>
        </w:rPr>
        <w:t>、3.93</w:t>
      </w:r>
      <w:r>
        <w:rPr>
          <w:rFonts w:ascii="思源黑体 CN Light" w:eastAsia="思源黑体 CN Light" w:hAnsi="思源黑体 CN Light" w:cs="Times New Roman"/>
          <w:sz w:val="22"/>
          <w:szCs w:val="21"/>
          <w14:ligatures w14:val="standardContextual"/>
        </w:rPr>
        <w:t>BP</w:t>
      </w:r>
      <w:r>
        <w:rPr>
          <w:rFonts w:ascii="思源黑体 CN Light" w:eastAsia="思源黑体 CN Light" w:hAnsi="思源黑体 CN Light" w:cs="Times New Roman" w:hint="eastAsia"/>
          <w:sz w:val="22"/>
          <w:szCs w:val="21"/>
          <w14:ligatures w14:val="standardContextual"/>
        </w:rPr>
        <w:t>、1.13</w:t>
      </w:r>
      <w:r>
        <w:rPr>
          <w:rFonts w:ascii="思源黑体 CN Light" w:eastAsia="思源黑体 CN Light" w:hAnsi="思源黑体 CN Light" w:cs="Times New Roman"/>
          <w:sz w:val="22"/>
          <w:szCs w:val="21"/>
          <w14:ligatures w14:val="standardContextual"/>
        </w:rPr>
        <w:t>BP</w:t>
      </w:r>
      <w:r>
        <w:rPr>
          <w:rFonts w:ascii="思源黑体 CN Light" w:eastAsia="思源黑体 CN Light" w:hAnsi="思源黑体 CN Light" w:cs="Times New Roman" w:hint="eastAsia"/>
          <w:sz w:val="22"/>
          <w:szCs w:val="21"/>
          <w14:ligatures w14:val="standardContextual"/>
        </w:rPr>
        <w:t>、2.34BP至1.4501%、1.5433%、1.6606%、1.9276%，资金宽松，政治局会议强调实施积极宏观政策，国债收益率普遍上行。</w:t>
      </w:r>
    </w:p>
    <w:p w14:paraId="4D551C0B" w14:textId="77777777" w:rsidR="00FF796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drawing>
          <wp:inline distT="0" distB="0" distL="0" distR="0" wp14:anchorId="55D02C0C" wp14:editId="2E369A2F">
            <wp:extent cx="5274310" cy="3388995"/>
            <wp:effectExtent l="0" t="0" r="2540" b="1905"/>
            <wp:docPr id="11" name="图片 10"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10;&#10;AI 生成的内容可能不正确。"/>
                    <pic:cNvPicPr>
                      <a:picLocks noChangeAspect="1"/>
                    </pic:cNvPicPr>
                  </pic:nvPicPr>
                  <pic:blipFill>
                    <a:blip r:embed="rId8"/>
                    <a:stretch>
                      <a:fillRect/>
                    </a:stretch>
                  </pic:blipFill>
                  <pic:spPr>
                    <a:xfrm>
                      <a:off x="0" y="0"/>
                      <a:ext cx="5274310" cy="33889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数据来源：wind，富荣基金；统计区间：20250421-20250425</w:t>
      </w:r>
    </w:p>
    <w:p w14:paraId="5521A64A" w14:textId="77777777" w:rsidR="00FF796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7FC5BE09" wp14:editId="60184B9D">
            <wp:extent cx="5274310" cy="3587750"/>
            <wp:effectExtent l="0" t="0" r="2540" b="0"/>
            <wp:docPr id="12" name="图片 11"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条形图&#10;&#10;AI 生成的内容可能不正确。"/>
                    <pic:cNvPicPr>
                      <a:picLocks noChangeAspect="1"/>
                    </pic:cNvPicPr>
                  </pic:nvPicPr>
                  <pic:blipFill>
                    <a:blip r:embed="rId9"/>
                    <a:stretch>
                      <a:fillRect/>
                    </a:stretch>
                  </pic:blipFill>
                  <pic:spPr>
                    <a:xfrm>
                      <a:off x="0" y="0"/>
                      <a:ext cx="5274310" cy="358775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数据来源：wind，富荣基金；统计区间：20250421-20250425</w:t>
      </w:r>
    </w:p>
    <w:p w14:paraId="06F54BFD" w14:textId="77777777" w:rsidR="00FF7966"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资金面上，央行OMO小幅净投放，MLF增量投放，资金面平稳宽松。在</w:t>
      </w:r>
      <w:proofErr w:type="gramStart"/>
      <w:r>
        <w:rPr>
          <w:rFonts w:ascii="思源黑体 CN Light" w:eastAsia="思源黑体 CN Light" w:hAnsi="思源黑体 CN Light" w:cs="Times New Roman" w:hint="eastAsia"/>
          <w:sz w:val="22"/>
          <w:szCs w:val="21"/>
          <w14:ligatures w14:val="standardContextual"/>
        </w:rPr>
        <w:t>股债跷板</w:t>
      </w:r>
      <w:proofErr w:type="gramEnd"/>
      <w:r>
        <w:rPr>
          <w:rFonts w:ascii="思源黑体 CN Light" w:eastAsia="思源黑体 CN Light" w:hAnsi="思源黑体 CN Light" w:cs="Times New Roman" w:hint="eastAsia"/>
          <w:sz w:val="22"/>
          <w:szCs w:val="21"/>
          <w14:ligatures w14:val="standardContextual"/>
        </w:rPr>
        <w:t>效应、货币宽松预期、美国关税政策反复及超长期特别国债发行等多因素影响下，债市呈现震荡行情。</w:t>
      </w:r>
    </w:p>
    <w:p w14:paraId="0B70D9FE" w14:textId="77777777" w:rsidR="00FF7966"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信用债收益率开始走高，5Y以内品种普遍走高1-5BP，其中3Y走高幅度稍大，曲线整体平移。同时各品种信用利差</w:t>
      </w:r>
      <w:proofErr w:type="gramStart"/>
      <w:r>
        <w:rPr>
          <w:rFonts w:ascii="思源黑体 CN Light" w:eastAsia="思源黑体 CN Light" w:hAnsi="思源黑体 CN Light" w:cs="Times New Roman" w:hint="eastAsia"/>
          <w:sz w:val="22"/>
          <w:szCs w:val="21"/>
          <w14:ligatures w14:val="standardContextual"/>
        </w:rPr>
        <w:t>小幅走阔</w:t>
      </w:r>
      <w:proofErr w:type="gramEnd"/>
      <w:r>
        <w:rPr>
          <w:rFonts w:ascii="思源黑体 CN Light" w:eastAsia="思源黑体 CN Light" w:hAnsi="思源黑体 CN Light" w:cs="Times New Roman" w:hint="eastAsia"/>
          <w:sz w:val="22"/>
          <w:szCs w:val="21"/>
          <w14:ligatures w14:val="standardContextual"/>
        </w:rPr>
        <w:t>，幅度普遍在1-4BP。</w:t>
      </w:r>
    </w:p>
    <w:p w14:paraId="036797C7" w14:textId="77777777" w:rsidR="00FF796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1F19B90D" wp14:editId="38DCFA98">
            <wp:extent cx="5274310" cy="2548890"/>
            <wp:effectExtent l="0" t="0" r="2540" b="3810"/>
            <wp:docPr id="876310987" name="图片 10"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310987" name="图片 10" descr="图表, 条形图&#10;&#10;AI 生成的内容可能不正确。"/>
                    <pic:cNvPicPr>
                      <a:picLocks noChangeAspect="1"/>
                    </pic:cNvPicPr>
                  </pic:nvPicPr>
                  <pic:blipFill>
                    <a:blip r:embed="rId10"/>
                    <a:stretch>
                      <a:fillRect/>
                    </a:stretch>
                  </pic:blipFill>
                  <pic:spPr>
                    <a:xfrm>
                      <a:off x="0" y="0"/>
                      <a:ext cx="5274310" cy="25488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数据来源：wind，富荣基金；统计区间：20250421-20250425</w:t>
      </w:r>
    </w:p>
    <w:p w14:paraId="3836711B" w14:textId="77777777" w:rsidR="00FF796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10866F04" wp14:editId="105D9F1C">
            <wp:extent cx="5274310" cy="2205990"/>
            <wp:effectExtent l="0" t="0" r="2540" b="3810"/>
            <wp:docPr id="680493696" name="图片 1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493696" name="图片 11" descr="图表&#10;&#10;AI 生成的内容可能不正确。"/>
                    <pic:cNvPicPr>
                      <a:picLocks noChangeAspect="1"/>
                    </pic:cNvPicPr>
                  </pic:nvPicPr>
                  <pic:blipFill>
                    <a:blip r:embed="rId11"/>
                    <a:stretch>
                      <a:fillRect/>
                    </a:stretch>
                  </pic:blipFill>
                  <pic:spPr>
                    <a:xfrm>
                      <a:off x="0" y="0"/>
                      <a:ext cx="5274310" cy="22059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数据来源：wind，富荣基金；统计区间：20250421-20250425</w:t>
      </w:r>
    </w:p>
    <w:p w14:paraId="1B9DDB0C" w14:textId="77777777" w:rsidR="00FF7966" w:rsidRDefault="00FF7966">
      <w:pPr>
        <w:ind w:firstLineChars="200" w:firstLine="400"/>
        <w:rPr>
          <w:rFonts w:ascii="思源黑体 CN Light" w:eastAsia="思源黑体 CN Light" w:hAnsi="思源黑体 CN Light" w:hint="eastAsia"/>
          <w:sz w:val="20"/>
          <w:szCs w:val="20"/>
        </w:rPr>
      </w:pPr>
    </w:p>
    <w:p w14:paraId="11E924B8" w14:textId="77777777" w:rsidR="00FF7966" w:rsidRDefault="00FF7966">
      <w:pPr>
        <w:ind w:firstLineChars="200" w:firstLine="400"/>
        <w:rPr>
          <w:rFonts w:ascii="思源黑体 CN Light" w:eastAsia="思源黑体 CN Light" w:hAnsi="思源黑体 CN Light" w:hint="eastAsia"/>
          <w:sz w:val="20"/>
          <w:szCs w:val="20"/>
        </w:rPr>
      </w:pPr>
    </w:p>
    <w:p w14:paraId="383253A7" w14:textId="77777777" w:rsidR="00FF7966" w:rsidRDefault="00FF7966">
      <w:pPr>
        <w:ind w:firstLineChars="200" w:firstLine="400"/>
        <w:rPr>
          <w:rFonts w:ascii="思源黑体 CN Light" w:eastAsia="思源黑体 CN Light" w:hAnsi="思源黑体 CN Light" w:hint="eastAsia"/>
          <w:sz w:val="20"/>
          <w:szCs w:val="20"/>
        </w:rPr>
      </w:pPr>
    </w:p>
    <w:p w14:paraId="7DBFF8F8" w14:textId="77777777" w:rsidR="00FF7966" w:rsidRDefault="00FF7966">
      <w:pPr>
        <w:ind w:firstLineChars="200" w:firstLine="400"/>
        <w:rPr>
          <w:rFonts w:ascii="思源黑体 CN Light" w:eastAsia="思源黑体 CN Light" w:hAnsi="思源黑体 CN Light" w:hint="eastAsia"/>
          <w:sz w:val="20"/>
          <w:szCs w:val="20"/>
        </w:rPr>
      </w:pPr>
    </w:p>
    <w:p w14:paraId="48BF30FD" w14:textId="77777777" w:rsidR="00FF7966" w:rsidRDefault="00FF7966">
      <w:pPr>
        <w:ind w:firstLineChars="200" w:firstLine="400"/>
        <w:rPr>
          <w:rFonts w:ascii="思源黑体 CN Light" w:eastAsia="思源黑体 CN Light" w:hAnsi="思源黑体 CN Light" w:hint="eastAsia"/>
          <w:sz w:val="20"/>
          <w:szCs w:val="20"/>
        </w:rPr>
      </w:pPr>
    </w:p>
    <w:p w14:paraId="69C72D27" w14:textId="77777777" w:rsidR="00FF7966"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191C29CE" w14:textId="77777777" w:rsidR="00FF7966"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w:t>
      </w:r>
      <w:r>
        <w:rPr>
          <w:rFonts w:ascii="思源黑体 CN Light" w:eastAsia="思源黑体 CN Light" w:hAnsi="思源黑体 CN Light"/>
          <w:sz w:val="20"/>
          <w:szCs w:val="20"/>
        </w:rPr>
        <w:lastRenderedPageBreak/>
        <w:t>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687C883E" w14:textId="77777777" w:rsidR="00FF7966" w:rsidRDefault="00FF7966">
      <w:pPr>
        <w:rPr>
          <w:rFonts w:hint="eastAsia"/>
        </w:rPr>
      </w:pPr>
    </w:p>
    <w:p w14:paraId="0C83AC83" w14:textId="77777777" w:rsidR="00FF7966" w:rsidRDefault="00FF7966">
      <w:pPr>
        <w:rPr>
          <w:rFonts w:hint="eastAsia"/>
        </w:rPr>
      </w:pPr>
    </w:p>
    <w:p w14:paraId="327DC5FA" w14:textId="77777777" w:rsidR="00FF7966" w:rsidRDefault="00FF7966">
      <w:pPr>
        <w:rPr>
          <w:rFonts w:hint="eastAsia"/>
        </w:rPr>
      </w:pPr>
    </w:p>
    <w:p w14:paraId="1E20DDFE" w14:textId="77777777" w:rsidR="00FF7966" w:rsidRDefault="00FF7966">
      <w:pPr>
        <w:rPr>
          <w:rFonts w:hint="eastAsia"/>
        </w:rPr>
      </w:pPr>
    </w:p>
    <w:sectPr w:rsidR="00FF79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7F7AC" w14:textId="77777777" w:rsidR="006C1A55" w:rsidRDefault="006C1A55">
      <w:pPr>
        <w:rPr>
          <w:rFonts w:hint="eastAsia"/>
        </w:rPr>
      </w:pPr>
      <w:r>
        <w:separator/>
      </w:r>
    </w:p>
  </w:endnote>
  <w:endnote w:type="continuationSeparator" w:id="0">
    <w:p w14:paraId="709FA829" w14:textId="77777777" w:rsidR="006C1A55" w:rsidRDefault="006C1A5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FF946" w14:textId="77777777" w:rsidR="006C1A55" w:rsidRDefault="006C1A55">
      <w:pPr>
        <w:rPr>
          <w:rFonts w:hint="eastAsia"/>
        </w:rPr>
      </w:pPr>
      <w:r>
        <w:separator/>
      </w:r>
    </w:p>
  </w:footnote>
  <w:footnote w:type="continuationSeparator" w:id="0">
    <w:p w14:paraId="19804C0A" w14:textId="77777777" w:rsidR="006C1A55" w:rsidRDefault="006C1A5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6A7"/>
    <w:rsid w:val="00217F98"/>
    <w:rsid w:val="002D1AEF"/>
    <w:rsid w:val="002F63B0"/>
    <w:rsid w:val="005112B0"/>
    <w:rsid w:val="006579A5"/>
    <w:rsid w:val="006C1A55"/>
    <w:rsid w:val="00852735"/>
    <w:rsid w:val="008A3F89"/>
    <w:rsid w:val="008D1AD7"/>
    <w:rsid w:val="0094033D"/>
    <w:rsid w:val="00A2391E"/>
    <w:rsid w:val="00C845D2"/>
    <w:rsid w:val="00D036A7"/>
    <w:rsid w:val="00FF7966"/>
    <w:rsid w:val="36A31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FE0931"/>
  <w15:docId w15:val="{62BB2A18-C31D-4980-A15F-B6141AA87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jc w:val="center"/>
    </w:pPr>
    <w:rPr>
      <w:i/>
      <w:iCs/>
      <w:color w:val="404040" w:themeColor="text1" w:themeTint="BF"/>
    </w:rPr>
  </w:style>
  <w:style w:type="character" w:customStyle="1" w:styleId="a8">
    <w:name w:val="引用 字符"/>
    <w:basedOn w:val="a0"/>
    <w:link w:val="a7"/>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明显引用 字符"/>
    <w:basedOn w:val="a0"/>
    <w:link w:val="aa"/>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C845D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6</Pages>
  <Words>617</Words>
  <Characters>792</Characters>
  <Application>Microsoft Office Word</Application>
  <DocSecurity>0</DocSecurity>
  <Lines>36</Lines>
  <Paragraphs>20</Paragraphs>
  <ScaleCrop>false</ScaleCrop>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2025-04-28T01:19:00Z</dcterms:created>
  <dcterms:modified xsi:type="dcterms:W3CDTF">2025-04-28T06:09:00Z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8319B86B6619407CB750E65427510260_12</vt:lpwstr>
  </property>
</Properties>
</file>