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249658" w14:textId="0507F431" w:rsidR="00A94702" w:rsidRDefault="00A94702" w:rsidP="00A94702">
      <w:pPr>
        <w:jc w:val="center"/>
        <w:rPr>
          <w:rFonts w:ascii="思源黑体 CN Bold" w:eastAsia="思源黑体 CN Bold" w:hAnsi="思源黑体 CN Bold" w:hint="eastAsia"/>
          <w:b/>
          <w:bCs/>
          <w:sz w:val="28"/>
          <w:szCs w:val="28"/>
        </w:rPr>
      </w:pPr>
      <w:r>
        <w:rPr>
          <w:rFonts w:ascii="思源黑体 CN Bold" w:eastAsia="思源黑体 CN Bold" w:hAnsi="思源黑体 CN Bold" w:hint="eastAsia"/>
          <w:b/>
          <w:bCs/>
          <w:sz w:val="28"/>
          <w:szCs w:val="28"/>
        </w:rPr>
        <w:t>富荣固收：</w:t>
      </w:r>
      <w:r w:rsidRPr="00A94702">
        <w:rPr>
          <w:rFonts w:ascii="思源黑体 CN Bold" w:eastAsia="思源黑体 CN Bold" w:hAnsi="思源黑体 CN Bold" w:hint="eastAsia"/>
          <w:b/>
          <w:bCs/>
          <w:sz w:val="28"/>
          <w:szCs w:val="28"/>
        </w:rPr>
        <w:t>债市</w:t>
      </w:r>
      <w:r w:rsidR="008B6440">
        <w:rPr>
          <w:rFonts w:ascii="思源黑体 CN Bold" w:eastAsia="思源黑体 CN Bold" w:hAnsi="思源黑体 CN Bold" w:hint="eastAsia"/>
          <w:b/>
          <w:bCs/>
          <w:sz w:val="28"/>
          <w:szCs w:val="28"/>
        </w:rPr>
        <w:t>或</w:t>
      </w:r>
      <w:r w:rsidRPr="00A94702">
        <w:rPr>
          <w:rFonts w:ascii="思源黑体 CN Bold" w:eastAsia="思源黑体 CN Bold" w:hAnsi="思源黑体 CN Bold" w:hint="eastAsia"/>
          <w:b/>
          <w:bCs/>
          <w:sz w:val="28"/>
          <w:szCs w:val="28"/>
        </w:rPr>
        <w:t>中性偏乐观</w:t>
      </w:r>
    </w:p>
    <w:p w14:paraId="2DF512D4" w14:textId="77777777" w:rsidR="00A94702" w:rsidRDefault="00A94702" w:rsidP="00A94702">
      <w:pPr>
        <w:rPr>
          <w:rFonts w:ascii="思源黑体 CN Light" w:eastAsia="思源黑体 CN Light" w:hAnsi="思源黑体 CN Light" w:hint="eastAsia"/>
          <w:szCs w:val="21"/>
        </w:rPr>
      </w:pPr>
      <w:r>
        <w:rPr>
          <w:rFonts w:ascii="思源黑体 CN Light" w:eastAsia="思源黑体 CN Light" w:hAnsi="思源黑体 CN Light" w:hint="eastAsia"/>
          <w:szCs w:val="21"/>
        </w:rPr>
        <w:t>观点：</w:t>
      </w:r>
      <w:bookmarkStart w:id="0" w:name="_Toc134985519"/>
    </w:p>
    <w:p w14:paraId="6EEADA82" w14:textId="7B85F1C1" w:rsidR="00ED45EA" w:rsidRDefault="00A94702" w:rsidP="00A94702">
      <w:pPr>
        <w:ind w:firstLineChars="200" w:firstLine="420"/>
        <w:rPr>
          <w:rFonts w:ascii="思源黑体 CN Light" w:eastAsia="思源黑体 CN Light" w:hAnsi="思源黑体 CN Light" w:cs="Times New Roman" w:hint="eastAsia"/>
          <w:szCs w:val="21"/>
        </w:rPr>
      </w:pPr>
      <w:r w:rsidRPr="00A94702">
        <w:rPr>
          <w:rFonts w:ascii="思源黑体 CN Light" w:eastAsia="思源黑体 CN Light" w:hAnsi="思源黑体 CN Light" w:cs="Times New Roman" w:hint="eastAsia"/>
          <w:szCs w:val="21"/>
        </w:rPr>
        <w:t>节前一周（</w:t>
      </w:r>
      <w:r w:rsidR="00DC07E2">
        <w:rPr>
          <w:rFonts w:ascii="思源黑体 CN Light" w:eastAsia="思源黑体 CN Light" w:hAnsi="思源黑体 CN Light" w:cs="Times New Roman" w:hint="eastAsia"/>
          <w:szCs w:val="21"/>
        </w:rPr>
        <w:t>2025年</w:t>
      </w:r>
      <w:r w:rsidRPr="00A94702">
        <w:rPr>
          <w:rFonts w:ascii="思源黑体 CN Light" w:eastAsia="思源黑体 CN Light" w:hAnsi="思源黑体 CN Light" w:cs="Times New Roman" w:hint="eastAsia"/>
          <w:szCs w:val="21"/>
        </w:rPr>
        <w:t>4月28日-</w:t>
      </w:r>
      <w:r w:rsidR="00DC07E2">
        <w:rPr>
          <w:rFonts w:ascii="思源黑体 CN Light" w:eastAsia="思源黑体 CN Light" w:hAnsi="思源黑体 CN Light" w:cs="Times New Roman" w:hint="eastAsia"/>
          <w:szCs w:val="21"/>
        </w:rPr>
        <w:t>2025年</w:t>
      </w:r>
      <w:r>
        <w:rPr>
          <w:rFonts w:ascii="思源黑体 CN Light" w:eastAsia="思源黑体 CN Light" w:hAnsi="思源黑体 CN Light" w:cs="Times New Roman" w:hint="eastAsia"/>
          <w:szCs w:val="21"/>
        </w:rPr>
        <w:t>4月</w:t>
      </w:r>
      <w:r w:rsidRPr="00A94702">
        <w:rPr>
          <w:rFonts w:ascii="思源黑体 CN Light" w:eastAsia="思源黑体 CN Light" w:hAnsi="思源黑体 CN Light" w:cs="Times New Roman" w:hint="eastAsia"/>
          <w:szCs w:val="21"/>
        </w:rPr>
        <w:t>30日</w:t>
      </w:r>
      <w:r w:rsidR="00ED45EA">
        <w:rPr>
          <w:rFonts w:ascii="思源黑体 CN Light" w:eastAsia="思源黑体 CN Light" w:hAnsi="思源黑体 CN Light" w:cs="Times New Roman" w:hint="eastAsia"/>
          <w:szCs w:val="21"/>
        </w:rPr>
        <w:t>，下同</w:t>
      </w:r>
      <w:r w:rsidRPr="00A94702">
        <w:rPr>
          <w:rFonts w:ascii="思源黑体 CN Light" w:eastAsia="思源黑体 CN Light" w:hAnsi="思源黑体 CN Light" w:cs="Times New Roman" w:hint="eastAsia"/>
          <w:szCs w:val="21"/>
        </w:rPr>
        <w:t>）债市有所回暖，长端和超长端明显强势，曲线整体走平。</w:t>
      </w:r>
    </w:p>
    <w:p w14:paraId="4F6B559F" w14:textId="22859492" w:rsidR="00A94702" w:rsidRPr="00A94702" w:rsidRDefault="00A94702" w:rsidP="00A94702">
      <w:pPr>
        <w:ind w:firstLineChars="200" w:firstLine="420"/>
        <w:rPr>
          <w:rFonts w:ascii="思源黑体 CN Light" w:eastAsia="思源黑体 CN Light" w:hAnsi="思源黑体 CN Light" w:hint="eastAsia"/>
          <w:szCs w:val="21"/>
        </w:rPr>
      </w:pPr>
      <w:r w:rsidRPr="00A94702">
        <w:rPr>
          <w:rFonts w:ascii="思源黑体 CN Light" w:eastAsia="思源黑体 CN Light" w:hAnsi="思源黑体 CN Light" w:cs="Times New Roman" w:hint="eastAsia"/>
          <w:szCs w:val="21"/>
        </w:rPr>
        <w:t>后续债市</w:t>
      </w:r>
      <w:r w:rsidR="008B6440">
        <w:rPr>
          <w:rFonts w:ascii="思源黑体 CN Light" w:eastAsia="思源黑体 CN Light" w:hAnsi="思源黑体 CN Light" w:cs="Times New Roman" w:hint="eastAsia"/>
          <w:szCs w:val="21"/>
        </w:rPr>
        <w:t>或</w:t>
      </w:r>
      <w:r w:rsidRPr="00A94702">
        <w:rPr>
          <w:rFonts w:ascii="思源黑体 CN Light" w:eastAsia="思源黑体 CN Light" w:hAnsi="思源黑体 CN Light" w:cs="Times New Roman" w:hint="eastAsia"/>
          <w:szCs w:val="21"/>
        </w:rPr>
        <w:t>整体中性偏乐观，进入5月，市场的主要矛盾有所变化，资金面可以进一步乐观，对债市利好。随着4月PMI超预期大幅回落，经济基本面或成为下一阶段债券市场博弈的核心要点。</w:t>
      </w:r>
    </w:p>
    <w:p w14:paraId="66E344B5" w14:textId="33554629" w:rsidR="00A94702" w:rsidRDefault="00A94702" w:rsidP="00A94702">
      <w:pPr>
        <w:pStyle w:val="1"/>
        <w:tabs>
          <w:tab w:val="left" w:pos="6289"/>
        </w:tabs>
        <w:spacing w:line="360" w:lineRule="auto"/>
        <w:rPr>
          <w:rFonts w:ascii="思源黑体 CN Light" w:eastAsia="思源黑体 CN Light" w:hAnsi="思源黑体 CN Light" w:cs="Arial" w:hint="eastAsia"/>
          <w:sz w:val="36"/>
          <w:szCs w:val="36"/>
        </w:rPr>
      </w:pPr>
      <w:r>
        <w:rPr>
          <w:rFonts w:ascii="思源黑体 CN Light" w:eastAsia="思源黑体 CN Light" w:hAnsi="思源黑体 CN Light" w:cs="Arial" w:hint="eastAsia"/>
          <w:sz w:val="36"/>
          <w:szCs w:val="36"/>
        </w:rPr>
        <w:t>1</w:t>
      </w:r>
      <w:r>
        <w:rPr>
          <w:rFonts w:ascii="思源黑体 CN Light" w:eastAsia="思源黑体 CN Light" w:hAnsi="思源黑体 CN Light" w:cs="Arial"/>
          <w:sz w:val="36"/>
          <w:szCs w:val="36"/>
        </w:rPr>
        <w:t>、</w:t>
      </w:r>
      <w:r>
        <w:rPr>
          <w:rFonts w:ascii="思源黑体 CN Light" w:eastAsia="思源黑体 CN Light" w:hAnsi="思源黑体 CN Light" w:cs="Arial" w:hint="eastAsia"/>
          <w:sz w:val="36"/>
          <w:szCs w:val="36"/>
        </w:rPr>
        <w:t>节前</w:t>
      </w:r>
      <w:r>
        <w:rPr>
          <w:rFonts w:ascii="思源黑体 CN Light" w:eastAsia="思源黑体 CN Light" w:hAnsi="思源黑体 CN Light" w:cs="Arial"/>
          <w:sz w:val="36"/>
          <w:szCs w:val="36"/>
        </w:rPr>
        <w:t>高频数据</w:t>
      </w:r>
      <w:bookmarkEnd w:id="0"/>
    </w:p>
    <w:p w14:paraId="358E2E87" w14:textId="59149C00" w:rsidR="00A94702" w:rsidRDefault="00A94702" w:rsidP="00A94702">
      <w:pPr>
        <w:spacing w:line="288" w:lineRule="auto"/>
        <w:ind w:firstLineChars="200" w:firstLine="420"/>
        <w:jc w:val="left"/>
        <w:rPr>
          <w:rFonts w:ascii="思源黑体 CN Light" w:eastAsia="思源黑体 CN Light" w:hAnsi="思源黑体 CN Light" w:cs="Times New Roman" w:hint="eastAsia"/>
          <w:szCs w:val="21"/>
        </w:rPr>
      </w:pPr>
      <w:r w:rsidRPr="00A94702">
        <w:rPr>
          <w:rFonts w:ascii="思源黑体 CN Light" w:eastAsia="思源黑体 CN Light" w:hAnsi="思源黑体 CN Light" w:cs="Times New Roman" w:hint="eastAsia"/>
          <w:szCs w:val="21"/>
        </w:rPr>
        <w:t>特朗普反复无常的关税政策加剧市场对美国经济衰退的担忧，亚洲货币在美元疲软的推动下，有所</w:t>
      </w:r>
      <w:r w:rsidR="00632F15">
        <w:rPr>
          <w:rFonts w:ascii="思源黑体 CN Light" w:eastAsia="思源黑体 CN Light" w:hAnsi="思源黑体 CN Light" w:cs="Times New Roman" w:hint="eastAsia"/>
          <w:szCs w:val="21"/>
        </w:rPr>
        <w:t>上</w:t>
      </w:r>
      <w:r w:rsidRPr="00A94702">
        <w:rPr>
          <w:rFonts w:ascii="思源黑体 CN Light" w:eastAsia="思源黑体 CN Light" w:hAnsi="思源黑体 CN Light" w:cs="Times New Roman" w:hint="eastAsia"/>
          <w:szCs w:val="21"/>
        </w:rPr>
        <w:t>涨。截至4月30日，美元指数上行0.06%，在岸人民币涨0.27%，日元涨0.42%，瑞郎涨0.17%，欧元跌0.29%，澳元涨0.1%，英镑涨0.18%。</w:t>
      </w:r>
    </w:p>
    <w:p w14:paraId="2A9BD260" w14:textId="176559A1" w:rsidR="00A94702" w:rsidRDefault="00A94702" w:rsidP="00A94702">
      <w:pPr>
        <w:spacing w:line="288" w:lineRule="auto"/>
        <w:jc w:val="left"/>
        <w:rPr>
          <w:rFonts w:ascii="思源黑体 CN Light" w:eastAsia="思源黑体 CN Light" w:hAnsi="思源黑体 CN Light" w:cs="Times New Roman" w:hint="eastAsia"/>
          <w:sz w:val="16"/>
          <w:szCs w:val="16"/>
        </w:rPr>
      </w:pPr>
      <w:r>
        <w:rPr>
          <w:rFonts w:ascii="思源黑体 CN Light" w:eastAsia="思源黑体 CN Light" w:hAnsi="思源黑体 CN Light" w:cs="Times New Roman" w:hint="eastAsia"/>
          <w:b/>
          <w:color w:val="000000"/>
          <w:kern w:val="0"/>
          <w:sz w:val="20"/>
          <w:szCs w:val="20"/>
        </w:rPr>
        <w:t>图一：主要货币变化率</w:t>
      </w:r>
      <w:r w:rsidRPr="00A94702">
        <w:rPr>
          <w:rFonts w:ascii="思源黑体 CN Light" w:eastAsia="思源黑体 CN Light" w:hAnsi="思源黑体 CN Light" w:cs="Times New Roman"/>
          <w:b/>
          <w:noProof/>
          <w:color w:val="000000"/>
          <w:kern w:val="0"/>
          <w:sz w:val="20"/>
          <w:szCs w:val="20"/>
        </w:rPr>
        <w:drawing>
          <wp:inline distT="0" distB="0" distL="0" distR="0" wp14:anchorId="0720AFD8" wp14:editId="262C29A4">
            <wp:extent cx="5274310" cy="2115820"/>
            <wp:effectExtent l="0" t="0" r="2540" b="0"/>
            <wp:docPr id="9" name="图片 8" descr="图形用户界面, 图表&#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8" descr="图形用户界面, 图表&#10;&#10;AI 生成的内容可能不正确。"/>
                    <pic:cNvPicPr>
                      <a:picLocks noChangeAspect="1"/>
                    </pic:cNvPicPr>
                  </pic:nvPicPr>
                  <pic:blipFill>
                    <a:blip r:embed="rId6"/>
                    <a:stretch/>
                  </pic:blipFill>
                  <pic:spPr>
                    <a:xfrm>
                      <a:off x="0" y="0"/>
                      <a:ext cx="5274310" cy="2115820"/>
                    </a:xfrm>
                    <a:prstGeom prst="rect">
                      <a:avLst/>
                    </a:prstGeom>
                  </pic:spPr>
                </pic:pic>
              </a:graphicData>
            </a:graphic>
          </wp:inline>
        </w:drawing>
      </w:r>
      <w:r>
        <w:rPr>
          <w:rFonts w:ascii="思源黑体 CN Light" w:eastAsia="思源黑体 CN Light" w:hAnsi="思源黑体 CN Light" w:cs="Times New Roman" w:hint="eastAsia"/>
          <w:sz w:val="16"/>
          <w:szCs w:val="16"/>
        </w:rPr>
        <w:t>数据来源：wind，富荣基金；统计区间：20250428-20250430</w:t>
      </w:r>
    </w:p>
    <w:p w14:paraId="2B0F0F63" w14:textId="6FD1F7E7" w:rsidR="00A94702" w:rsidRDefault="00A94702" w:rsidP="00A94702">
      <w:pPr>
        <w:pStyle w:val="1"/>
        <w:spacing w:line="360" w:lineRule="auto"/>
        <w:rPr>
          <w:rFonts w:ascii="思源黑体 CN Light" w:eastAsia="思源黑体 CN Light" w:hAnsi="思源黑体 CN Light" w:cs="Arial" w:hint="eastAsia"/>
          <w:sz w:val="36"/>
          <w:szCs w:val="36"/>
        </w:rPr>
      </w:pPr>
      <w:bookmarkStart w:id="1" w:name="_Toc134985520"/>
      <w:r>
        <w:rPr>
          <w:rFonts w:ascii="思源黑体 CN Light" w:eastAsia="思源黑体 CN Light" w:hAnsi="思源黑体 CN Light" w:cs="Arial" w:hint="eastAsia"/>
          <w:sz w:val="36"/>
          <w:szCs w:val="36"/>
        </w:rPr>
        <w:lastRenderedPageBreak/>
        <w:t>2</w:t>
      </w:r>
      <w:r>
        <w:rPr>
          <w:rFonts w:ascii="思源黑体 CN Light" w:eastAsia="思源黑体 CN Light" w:hAnsi="思源黑体 CN Light" w:cs="Arial"/>
          <w:sz w:val="36"/>
          <w:szCs w:val="36"/>
        </w:rPr>
        <w:t>、</w:t>
      </w:r>
      <w:r>
        <w:rPr>
          <w:rFonts w:ascii="思源黑体 CN Light" w:eastAsia="思源黑体 CN Light" w:hAnsi="思源黑体 CN Light" w:cs="Arial" w:hint="eastAsia"/>
          <w:sz w:val="36"/>
          <w:szCs w:val="36"/>
        </w:rPr>
        <w:t>节前</w:t>
      </w:r>
      <w:r>
        <w:rPr>
          <w:rFonts w:ascii="思源黑体 CN Light" w:eastAsia="思源黑体 CN Light" w:hAnsi="思源黑体 CN Light" w:cs="Arial"/>
          <w:sz w:val="36"/>
          <w:szCs w:val="36"/>
        </w:rPr>
        <w:t>债券市场</w:t>
      </w:r>
      <w:bookmarkEnd w:id="1"/>
    </w:p>
    <w:p w14:paraId="0A9F22D0" w14:textId="77777777" w:rsidR="00A94702" w:rsidRPr="00A94702" w:rsidRDefault="00A94702" w:rsidP="004F7113">
      <w:pPr>
        <w:spacing w:line="288" w:lineRule="auto"/>
        <w:ind w:firstLineChars="200" w:firstLine="449"/>
        <w:jc w:val="left"/>
        <w:rPr>
          <w:rFonts w:ascii="思源黑体 CN Light" w:eastAsia="思源黑体 CN Light" w:hAnsi="思源黑体 CN Light" w:cs="Times New Roman" w:hint="eastAsia"/>
          <w:b/>
          <w:bCs/>
          <w:sz w:val="22"/>
          <w:szCs w:val="21"/>
          <w14:ligatures w14:val="standardContextual"/>
        </w:rPr>
      </w:pPr>
      <w:r w:rsidRPr="00A94702">
        <w:rPr>
          <w:rFonts w:ascii="思源黑体 CN Light" w:eastAsia="思源黑体 CN Light" w:hAnsi="思源黑体 CN Light" w:cs="Times New Roman" w:hint="eastAsia"/>
          <w:b/>
          <w:bCs/>
          <w:sz w:val="22"/>
          <w:szCs w:val="21"/>
          <w14:ligatures w14:val="standardContextual"/>
        </w:rPr>
        <w:t>跨月央行呵护有加，资金面维持均衡平稳。</w:t>
      </w:r>
      <w:r w:rsidRPr="00A94702">
        <w:rPr>
          <w:rFonts w:ascii="Arial" w:eastAsia="思源黑体 CN Light" w:hAnsi="Arial" w:cs="Arial"/>
          <w:sz w:val="22"/>
          <w:szCs w:val="21"/>
          <w14:ligatures w14:val="standardContextual"/>
        </w:rPr>
        <w:t>​</w:t>
      </w:r>
      <w:r w:rsidRPr="00A94702">
        <w:rPr>
          <w:rFonts w:ascii="思源黑体 CN Light" w:eastAsia="思源黑体 CN Light" w:hAnsi="思源黑体 CN Light" w:cs="Times New Roman"/>
          <w:sz w:val="22"/>
          <w:szCs w:val="21"/>
          <w14:ligatures w14:val="standardContextual"/>
        </w:rPr>
        <w:t>DR001上行20.36BP至1.79%，</w:t>
      </w:r>
      <w:r w:rsidRPr="00A94702">
        <w:rPr>
          <w:rFonts w:ascii="Arial" w:eastAsia="思源黑体 CN Light" w:hAnsi="Arial" w:cs="Arial"/>
          <w:sz w:val="22"/>
          <w:szCs w:val="21"/>
          <w14:ligatures w14:val="standardContextual"/>
        </w:rPr>
        <w:t>​</w:t>
      </w:r>
      <w:r w:rsidRPr="00A94702">
        <w:rPr>
          <w:rFonts w:ascii="思源黑体 CN Light" w:eastAsia="思源黑体 CN Light" w:hAnsi="思源黑体 CN Light" w:cs="Times New Roman"/>
          <w:sz w:val="22"/>
          <w:szCs w:val="21"/>
          <w14:ligatures w14:val="standardContextual"/>
        </w:rPr>
        <w:t>DR007上行16.28BP至1.80%，</w:t>
      </w:r>
      <w:r w:rsidRPr="00A94702">
        <w:rPr>
          <w:rFonts w:ascii="Arial" w:eastAsia="思源黑体 CN Light" w:hAnsi="Arial" w:cs="Arial"/>
          <w:sz w:val="22"/>
          <w:szCs w:val="21"/>
          <w14:ligatures w14:val="standardContextual"/>
        </w:rPr>
        <w:t>​</w:t>
      </w:r>
      <w:r w:rsidRPr="00A94702">
        <w:rPr>
          <w:rFonts w:ascii="思源黑体 CN Light" w:eastAsia="思源黑体 CN Light" w:hAnsi="思源黑体 CN Light" w:cs="Times New Roman"/>
          <w:sz w:val="22"/>
          <w:szCs w:val="21"/>
          <w14:ligatures w14:val="standardContextual"/>
        </w:rPr>
        <w:t>R001上行26.99BP至1.85%，</w:t>
      </w:r>
      <w:r w:rsidRPr="00A94702">
        <w:rPr>
          <w:rFonts w:ascii="Arial" w:eastAsia="思源黑体 CN Light" w:hAnsi="Arial" w:cs="Arial"/>
          <w:sz w:val="22"/>
          <w:szCs w:val="21"/>
          <w14:ligatures w14:val="standardContextual"/>
        </w:rPr>
        <w:t>​</w:t>
      </w:r>
      <w:r w:rsidRPr="00A94702">
        <w:rPr>
          <w:rFonts w:ascii="思源黑体 CN Light" w:eastAsia="思源黑体 CN Light" w:hAnsi="思源黑体 CN Light" w:cs="Times New Roman"/>
          <w:sz w:val="22"/>
          <w:szCs w:val="21"/>
          <w14:ligatures w14:val="standardContextual"/>
        </w:rPr>
        <w:t>R007上行18.09BP至1.84%，GC001上行6.10BP至1.72%，</w:t>
      </w:r>
      <w:r w:rsidRPr="00A94702">
        <w:rPr>
          <w:rFonts w:ascii="Arial" w:eastAsia="思源黑体 CN Light" w:hAnsi="Arial" w:cs="Arial"/>
          <w:sz w:val="22"/>
          <w:szCs w:val="21"/>
          <w14:ligatures w14:val="standardContextual"/>
        </w:rPr>
        <w:t>​</w:t>
      </w:r>
      <w:r w:rsidRPr="00A94702">
        <w:rPr>
          <w:rFonts w:ascii="思源黑体 CN Light" w:eastAsia="思源黑体 CN Light" w:hAnsi="思源黑体 CN Light" w:cs="Times New Roman"/>
          <w:sz w:val="22"/>
          <w:szCs w:val="21"/>
          <w14:ligatures w14:val="standardContextual"/>
        </w:rPr>
        <w:t>GC007上行3.6BP至1.81%。</w:t>
      </w:r>
    </w:p>
    <w:p w14:paraId="2C3A001B" w14:textId="06B1A490" w:rsidR="00A94702" w:rsidRDefault="00A94702" w:rsidP="004F7113">
      <w:pPr>
        <w:spacing w:line="288" w:lineRule="auto"/>
        <w:ind w:firstLineChars="200" w:firstLine="449"/>
        <w:jc w:val="left"/>
        <w:rPr>
          <w:rFonts w:ascii="思源黑体 CN Light" w:eastAsia="思源黑体 CN Light" w:hAnsi="思源黑体 CN Light" w:cs="Times New Roman" w:hint="eastAsia"/>
          <w:b/>
          <w:bCs/>
          <w:sz w:val="22"/>
          <w:szCs w:val="21"/>
          <w14:ligatures w14:val="standardContextual"/>
        </w:rPr>
      </w:pPr>
      <w:r w:rsidRPr="00A94702">
        <w:rPr>
          <w:rFonts w:ascii="思源黑体 CN Light" w:eastAsia="思源黑体 CN Light" w:hAnsi="思源黑体 CN Light" w:cs="Times New Roman" w:hint="eastAsia"/>
          <w:b/>
          <w:bCs/>
          <w:sz w:val="22"/>
          <w:szCs w:val="21"/>
          <w14:ligatures w14:val="standardContextual"/>
        </w:rPr>
        <w:t>资金整体均衡偏稳，债市收益率多数下行。</w:t>
      </w:r>
      <w:r w:rsidRPr="00A94702">
        <w:rPr>
          <w:rFonts w:ascii="思源黑体 CN Light" w:eastAsia="思源黑体 CN Light" w:hAnsi="思源黑体 CN Light" w:cs="Times New Roman" w:hint="eastAsia"/>
          <w:sz w:val="22"/>
          <w:szCs w:val="21"/>
          <w14:ligatures w14:val="standardContextual"/>
        </w:rPr>
        <w:t>1Y国债收益率较前一周上行0.98BP至1.4599%，3Y、5Y、10Y、30Y国债收益率分别较前一周下行4.26BP</w:t>
      </w:r>
      <w:r>
        <w:rPr>
          <w:rFonts w:ascii="思源黑体 CN Light" w:eastAsia="思源黑体 CN Light" w:hAnsi="思源黑体 CN Light" w:cs="Times New Roman" w:hint="eastAsia"/>
          <w:sz w:val="22"/>
          <w:szCs w:val="21"/>
          <w14:ligatures w14:val="standardContextual"/>
        </w:rPr>
        <w:t>、</w:t>
      </w:r>
      <w:r w:rsidRPr="00A94702">
        <w:rPr>
          <w:rFonts w:ascii="思源黑体 CN Light" w:eastAsia="思源黑体 CN Light" w:hAnsi="思源黑体 CN Light" w:cs="Times New Roman" w:hint="eastAsia"/>
          <w:sz w:val="22"/>
          <w:szCs w:val="21"/>
          <w14:ligatures w14:val="standardContextual"/>
        </w:rPr>
        <w:t>2.70BP、3.63BP、10.36BP至1.4766%、1.5163%、1.6243%、1.8240%</w:t>
      </w:r>
      <w:r>
        <w:rPr>
          <w:rFonts w:ascii="思源黑体 CN Light" w:eastAsia="思源黑体 CN Light" w:hAnsi="思源黑体 CN Light" w:cs="Times New Roman" w:hint="eastAsia"/>
          <w:sz w:val="22"/>
          <w:szCs w:val="21"/>
          <w14:ligatures w14:val="standardContextual"/>
        </w:rPr>
        <w:t>。</w:t>
      </w:r>
      <w:r w:rsidRPr="00A94702">
        <w:rPr>
          <w:rFonts w:ascii="思源黑体 CN Light" w:eastAsia="思源黑体 CN Light" w:hAnsi="思源黑体 CN Light" w:cs="Times New Roman" w:hint="eastAsia"/>
          <w:sz w:val="22"/>
          <w:szCs w:val="21"/>
          <w14:ligatures w14:val="standardContextual"/>
        </w:rPr>
        <w:t>央行流动性呵护态度明显，单日净投放4228亿元</w:t>
      </w:r>
      <w:r>
        <w:rPr>
          <w:rFonts w:ascii="思源黑体 CN Light" w:eastAsia="思源黑体 CN Light" w:hAnsi="思源黑体 CN Light" w:cs="Times New Roman" w:hint="eastAsia"/>
          <w:sz w:val="22"/>
          <w:szCs w:val="21"/>
          <w14:ligatures w14:val="standardContextual"/>
        </w:rPr>
        <w:t>。</w:t>
      </w:r>
      <w:r w:rsidRPr="00A94702">
        <w:rPr>
          <w:rFonts w:ascii="思源黑体 CN Light" w:eastAsia="思源黑体 CN Light" w:hAnsi="思源黑体 CN Light" w:cs="Times New Roman" w:hint="eastAsia"/>
          <w:sz w:val="22"/>
          <w:szCs w:val="21"/>
          <w14:ligatures w14:val="standardContextual"/>
        </w:rPr>
        <w:t>4月制造业PMI为49.0%，较上月下降1.5个百分点，显示制造业景气水平有所回落，利率债收益率多数下行。</w:t>
      </w:r>
    </w:p>
    <w:p w14:paraId="4822E2F3" w14:textId="5AD42871" w:rsidR="00A94702" w:rsidRDefault="00A94702" w:rsidP="00A94702">
      <w:pPr>
        <w:spacing w:line="288" w:lineRule="auto"/>
        <w:jc w:val="left"/>
        <w:rPr>
          <w:rFonts w:ascii="思源黑体 CN Light" w:eastAsia="思源黑体 CN Light" w:hAnsi="思源黑体 CN Light" w:cs="Times New Roman" w:hint="eastAsia"/>
          <w:sz w:val="16"/>
          <w:szCs w:val="16"/>
        </w:rPr>
      </w:pPr>
      <w:r>
        <w:rPr>
          <w:rFonts w:ascii="思源黑体 CN Light" w:eastAsia="思源黑体 CN Light" w:hAnsi="思源黑体 CN Light" w:cs="Times New Roman" w:hint="eastAsia"/>
          <w:b/>
          <w:color w:val="000000"/>
          <w:kern w:val="0"/>
          <w:sz w:val="20"/>
          <w:szCs w:val="20"/>
        </w:rPr>
        <w:t>图二：资金面变化</w:t>
      </w:r>
      <w:r w:rsidRPr="00A94702">
        <w:rPr>
          <w:rFonts w:ascii="思源黑体 CN Light" w:eastAsia="思源黑体 CN Light" w:hAnsi="思源黑体 CN Light" w:cs="Times New Roman"/>
          <w:b/>
          <w:noProof/>
          <w:color w:val="000000"/>
          <w:kern w:val="0"/>
          <w:sz w:val="20"/>
          <w:szCs w:val="20"/>
        </w:rPr>
        <w:drawing>
          <wp:inline distT="0" distB="0" distL="0" distR="0" wp14:anchorId="18205144" wp14:editId="37A5969E">
            <wp:extent cx="5274310" cy="3388995"/>
            <wp:effectExtent l="0" t="0" r="2540" b="1905"/>
            <wp:docPr id="6" name="图片 5" descr="图表&#10;&#10;AI 生成的内容可能不正确。">
              <a:extLst xmlns:a="http://schemas.openxmlformats.org/drawingml/2006/main">
                <a:ext uri="{FF2B5EF4-FFF2-40B4-BE49-F238E27FC236}">
                  <a16:creationId xmlns:a16="http://schemas.microsoft.com/office/drawing/2014/main" id="{B496BF9B-AD49-2F23-0943-971ED269473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5" descr="图表&#10;&#10;AI 生成的内容可能不正确。">
                      <a:extLst>
                        <a:ext uri="{FF2B5EF4-FFF2-40B4-BE49-F238E27FC236}">
                          <a16:creationId xmlns:a16="http://schemas.microsoft.com/office/drawing/2014/main" id="{B496BF9B-AD49-2F23-0943-971ED269473B}"/>
                        </a:ext>
                      </a:extLst>
                    </pic:cNvPr>
                    <pic:cNvPicPr>
                      <a:picLocks noChangeAspect="1"/>
                    </pic:cNvPicPr>
                  </pic:nvPicPr>
                  <pic:blipFill>
                    <a:blip r:embed="rId7">
                      <a:extLst>
                        <a:ext uri="{28A0092B-C50C-407E-A947-70E740481C1C}">
                          <a14:useLocalDpi xmlns:a14="http://schemas.microsoft.com/office/drawing/2010/main" val="0"/>
                        </a:ext>
                      </a:extLst>
                    </a:blip>
                    <a:stretch>
                      <a:fillRect/>
                    </a:stretch>
                  </pic:blipFill>
                  <pic:spPr>
                    <a:xfrm>
                      <a:off x="0" y="0"/>
                      <a:ext cx="5274310" cy="3388995"/>
                    </a:xfrm>
                    <a:prstGeom prst="rect">
                      <a:avLst/>
                    </a:prstGeom>
                  </pic:spPr>
                </pic:pic>
              </a:graphicData>
            </a:graphic>
          </wp:inline>
        </w:drawing>
      </w:r>
      <w:r>
        <w:rPr>
          <w:rFonts w:ascii="思源黑体 CN Light" w:eastAsia="思源黑体 CN Light" w:hAnsi="思源黑体 CN Light" w:cs="Times New Roman" w:hint="eastAsia"/>
          <w:sz w:val="16"/>
          <w:szCs w:val="16"/>
        </w:rPr>
        <w:t>数据来源：wind，富荣基金；统计区间：20250428-20250430</w:t>
      </w:r>
    </w:p>
    <w:p w14:paraId="7D6967A1" w14:textId="220DA6FC" w:rsidR="00A94702" w:rsidRDefault="00A94702" w:rsidP="00A94702">
      <w:pPr>
        <w:spacing w:line="288" w:lineRule="auto"/>
        <w:jc w:val="left"/>
        <w:rPr>
          <w:rFonts w:ascii="思源黑体 CN Light" w:eastAsia="思源黑体 CN Light" w:hAnsi="思源黑体 CN Light" w:cs="Times New Roman" w:hint="eastAsia"/>
          <w:sz w:val="16"/>
          <w:szCs w:val="16"/>
        </w:rPr>
      </w:pPr>
      <w:r>
        <w:rPr>
          <w:rFonts w:ascii="思源黑体 CN Light" w:eastAsia="思源黑体 CN Light" w:hAnsi="思源黑体 CN Light" w:cs="Times New Roman" w:hint="eastAsia"/>
          <w:b/>
          <w:color w:val="000000"/>
          <w:kern w:val="0"/>
          <w:sz w:val="20"/>
          <w:szCs w:val="20"/>
        </w:rPr>
        <w:t>图三：国债周度变化</w:t>
      </w:r>
      <w:r w:rsidR="00ED45EA" w:rsidRPr="00ED45EA">
        <w:rPr>
          <w:rFonts w:ascii="思源黑体 CN Light" w:eastAsia="思源黑体 CN Light" w:hAnsi="思源黑体 CN Light" w:cs="Times New Roman"/>
          <w:b/>
          <w:noProof/>
          <w:color w:val="000000"/>
          <w:kern w:val="0"/>
          <w:sz w:val="20"/>
          <w:szCs w:val="20"/>
        </w:rPr>
        <w:lastRenderedPageBreak/>
        <w:drawing>
          <wp:inline distT="0" distB="0" distL="0" distR="0" wp14:anchorId="00CBE83E" wp14:editId="39BE87BD">
            <wp:extent cx="5274310" cy="3587115"/>
            <wp:effectExtent l="0" t="0" r="2540" b="0"/>
            <wp:docPr id="13" name="图片 12" descr="图表, 瀑布图&#10;&#10;AI 生成的内容可能不正确。">
              <a:extLst xmlns:a="http://schemas.openxmlformats.org/drawingml/2006/main">
                <a:ext uri="{FF2B5EF4-FFF2-40B4-BE49-F238E27FC236}">
                  <a16:creationId xmlns:a16="http://schemas.microsoft.com/office/drawing/2014/main" id="{D6573DC2-394D-813D-DF41-E5D0871AB09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2" descr="图表, 瀑布图&#10;&#10;AI 生成的内容可能不正确。">
                      <a:extLst>
                        <a:ext uri="{FF2B5EF4-FFF2-40B4-BE49-F238E27FC236}">
                          <a16:creationId xmlns:a16="http://schemas.microsoft.com/office/drawing/2014/main" id="{D6573DC2-394D-813D-DF41-E5D0871AB091}"/>
                        </a:ext>
                      </a:extLst>
                    </pic:cNvPr>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5274310" cy="3587115"/>
                    </a:xfrm>
                    <a:prstGeom prst="rect">
                      <a:avLst/>
                    </a:prstGeom>
                  </pic:spPr>
                </pic:pic>
              </a:graphicData>
            </a:graphic>
          </wp:inline>
        </w:drawing>
      </w:r>
      <w:r>
        <w:rPr>
          <w:rFonts w:ascii="思源黑体 CN Light" w:eastAsia="思源黑体 CN Light" w:hAnsi="思源黑体 CN Light" w:cs="Times New Roman" w:hint="eastAsia"/>
          <w:sz w:val="16"/>
          <w:szCs w:val="16"/>
        </w:rPr>
        <w:t>数据来源：wind，富荣基金；统计区间：20250428-20250430</w:t>
      </w:r>
    </w:p>
    <w:p w14:paraId="1B5C209F" w14:textId="0547C515" w:rsidR="00A94702" w:rsidRDefault="00ED45EA" w:rsidP="00A94702">
      <w:pPr>
        <w:spacing w:line="288" w:lineRule="auto"/>
        <w:ind w:firstLineChars="200" w:firstLine="440"/>
        <w:jc w:val="left"/>
        <w:rPr>
          <w:rFonts w:ascii="思源黑体 CN Light" w:eastAsia="思源黑体 CN Light" w:hAnsi="思源黑体 CN Light" w:cs="Times New Roman" w:hint="eastAsia"/>
          <w:sz w:val="22"/>
          <w:szCs w:val="21"/>
          <w14:ligatures w14:val="standardContextual"/>
        </w:rPr>
      </w:pPr>
      <w:r w:rsidRPr="00ED45EA">
        <w:rPr>
          <w:rFonts w:ascii="思源黑体 CN Light" w:eastAsia="思源黑体 CN Light" w:hAnsi="思源黑体 CN Light" w:cs="Times New Roman" w:hint="eastAsia"/>
          <w:sz w:val="22"/>
          <w:szCs w:val="21"/>
          <w14:ligatures w14:val="standardContextual"/>
        </w:rPr>
        <w:t>节前一周信用债收益率全面下行，普遍下行3</w:t>
      </w:r>
      <w:r>
        <w:rPr>
          <w:rFonts w:ascii="思源黑体 CN Light" w:eastAsia="思源黑体 CN Light" w:hAnsi="思源黑体 CN Light" w:cs="Times New Roman" w:hint="eastAsia"/>
          <w:sz w:val="22"/>
          <w:szCs w:val="21"/>
          <w14:ligatures w14:val="standardContextual"/>
        </w:rPr>
        <w:t>BP</w:t>
      </w:r>
      <w:r w:rsidRPr="00ED45EA">
        <w:rPr>
          <w:rFonts w:ascii="思源黑体 CN Light" w:eastAsia="思源黑体 CN Light" w:hAnsi="思源黑体 CN Light" w:cs="Times New Roman" w:hint="eastAsia"/>
          <w:sz w:val="22"/>
          <w:szCs w:val="21"/>
          <w14:ligatures w14:val="standardContextual"/>
        </w:rPr>
        <w:t>左右，其中银行二级资本债长端下行更多，达到-7</w:t>
      </w:r>
      <w:r>
        <w:rPr>
          <w:rFonts w:ascii="思源黑体 CN Light" w:eastAsia="思源黑体 CN Light" w:hAnsi="思源黑体 CN Light" w:cs="Times New Roman" w:hint="eastAsia"/>
          <w:sz w:val="22"/>
          <w:szCs w:val="21"/>
          <w14:ligatures w14:val="standardContextual"/>
        </w:rPr>
        <w:t>BP</w:t>
      </w:r>
      <w:r w:rsidRPr="00ED45EA">
        <w:rPr>
          <w:rFonts w:ascii="思源黑体 CN Light" w:eastAsia="思源黑体 CN Light" w:hAnsi="思源黑体 CN Light" w:cs="Times New Roman" w:hint="eastAsia"/>
          <w:sz w:val="22"/>
          <w:szCs w:val="21"/>
          <w14:ligatures w14:val="standardContextual"/>
        </w:rPr>
        <w:t>，曲线仍然是平移形态。信用利差上短端</w:t>
      </w:r>
      <w:r w:rsidR="00400753">
        <w:rPr>
          <w:rFonts w:ascii="思源黑体 CN Light" w:eastAsia="思源黑体 CN Light" w:hAnsi="思源黑体 CN Light" w:cs="Times New Roman" w:hint="eastAsia"/>
          <w:sz w:val="22"/>
          <w:szCs w:val="21"/>
          <w14:ligatures w14:val="standardContextual"/>
        </w:rPr>
        <w:t>各</w:t>
      </w:r>
      <w:r w:rsidRPr="00ED45EA">
        <w:rPr>
          <w:rFonts w:ascii="思源黑体 CN Light" w:eastAsia="思源黑体 CN Light" w:hAnsi="思源黑体 CN Light" w:cs="Times New Roman" w:hint="eastAsia"/>
          <w:sz w:val="22"/>
          <w:szCs w:val="21"/>
          <w14:ligatures w14:val="standardContextual"/>
        </w:rPr>
        <w:t>品种利差均收窄2</w:t>
      </w:r>
      <w:r>
        <w:rPr>
          <w:rFonts w:ascii="思源黑体 CN Light" w:eastAsia="思源黑体 CN Light" w:hAnsi="思源黑体 CN Light" w:cs="Times New Roman" w:hint="eastAsia"/>
          <w:sz w:val="22"/>
          <w:szCs w:val="21"/>
          <w14:ligatures w14:val="standardContextual"/>
        </w:rPr>
        <w:t>BP</w:t>
      </w:r>
      <w:r w:rsidRPr="00ED45EA">
        <w:rPr>
          <w:rFonts w:ascii="思源黑体 CN Light" w:eastAsia="思源黑体 CN Light" w:hAnsi="思源黑体 CN Light" w:cs="Times New Roman" w:hint="eastAsia"/>
          <w:sz w:val="22"/>
          <w:szCs w:val="21"/>
          <w14:ligatures w14:val="standardContextual"/>
        </w:rPr>
        <w:t>-3</w:t>
      </w:r>
      <w:r>
        <w:rPr>
          <w:rFonts w:ascii="思源黑体 CN Light" w:eastAsia="思源黑体 CN Light" w:hAnsi="思源黑体 CN Light" w:cs="Times New Roman" w:hint="eastAsia"/>
          <w:sz w:val="22"/>
          <w:szCs w:val="21"/>
          <w14:ligatures w14:val="standardContextual"/>
        </w:rPr>
        <w:t>BP</w:t>
      </w:r>
      <w:r w:rsidRPr="00ED45EA">
        <w:rPr>
          <w:rFonts w:ascii="思源黑体 CN Light" w:eastAsia="思源黑体 CN Light" w:hAnsi="思源黑体 CN Light" w:cs="Times New Roman" w:hint="eastAsia"/>
          <w:sz w:val="22"/>
          <w:szCs w:val="21"/>
          <w14:ligatures w14:val="standardContextual"/>
        </w:rPr>
        <w:t>，但长端收益反应较慢，利差反而扩大2</w:t>
      </w:r>
      <w:r>
        <w:rPr>
          <w:rFonts w:ascii="思源黑体 CN Light" w:eastAsia="思源黑体 CN Light" w:hAnsi="思源黑体 CN Light" w:cs="Times New Roman" w:hint="eastAsia"/>
          <w:sz w:val="22"/>
          <w:szCs w:val="21"/>
          <w14:ligatures w14:val="standardContextual"/>
        </w:rPr>
        <w:t>BP</w:t>
      </w:r>
      <w:r w:rsidRPr="00ED45EA">
        <w:rPr>
          <w:rFonts w:ascii="思源黑体 CN Light" w:eastAsia="思源黑体 CN Light" w:hAnsi="思源黑体 CN Light" w:cs="Times New Roman" w:hint="eastAsia"/>
          <w:sz w:val="22"/>
          <w:szCs w:val="21"/>
          <w14:ligatures w14:val="standardContextual"/>
        </w:rPr>
        <w:t>-3</w:t>
      </w:r>
      <w:r>
        <w:rPr>
          <w:rFonts w:ascii="思源黑体 CN Light" w:eastAsia="思源黑体 CN Light" w:hAnsi="思源黑体 CN Light" w:cs="Times New Roman" w:hint="eastAsia"/>
          <w:sz w:val="22"/>
          <w:szCs w:val="21"/>
          <w14:ligatures w14:val="standardContextual"/>
        </w:rPr>
        <w:t>BP</w:t>
      </w:r>
      <w:r w:rsidRPr="00ED45EA">
        <w:rPr>
          <w:rFonts w:ascii="思源黑体 CN Light" w:eastAsia="思源黑体 CN Light" w:hAnsi="思源黑体 CN Light" w:cs="Times New Roman" w:hint="eastAsia"/>
          <w:sz w:val="22"/>
          <w:szCs w:val="21"/>
          <w14:ligatures w14:val="standardContextual"/>
        </w:rPr>
        <w:t>。</w:t>
      </w:r>
    </w:p>
    <w:p w14:paraId="385C2BCF" w14:textId="09F5E5A5" w:rsidR="00A94702" w:rsidRDefault="00A94702" w:rsidP="00A94702">
      <w:pPr>
        <w:spacing w:line="288" w:lineRule="auto"/>
        <w:jc w:val="left"/>
        <w:rPr>
          <w:rFonts w:ascii="思源黑体 CN Light" w:eastAsia="思源黑体 CN Light" w:hAnsi="思源黑体 CN Light" w:cs="Times New Roman" w:hint="eastAsia"/>
          <w:sz w:val="16"/>
          <w:szCs w:val="16"/>
        </w:rPr>
      </w:pPr>
      <w:r>
        <w:rPr>
          <w:rFonts w:ascii="思源黑体 CN Light" w:eastAsia="思源黑体 CN Light" w:hAnsi="思源黑体 CN Light" w:cs="Times New Roman" w:hint="eastAsia"/>
          <w:b/>
          <w:color w:val="000000"/>
          <w:kern w:val="0"/>
          <w:sz w:val="20"/>
          <w:szCs w:val="20"/>
        </w:rPr>
        <w:t>图四：信用债收益率变化</w:t>
      </w:r>
      <w:r w:rsidR="00ED45EA" w:rsidRPr="00ED45EA">
        <w:rPr>
          <w:rFonts w:ascii="思源黑体 CN Light" w:eastAsia="思源黑体 CN Light" w:hAnsi="思源黑体 CN Light" w:cs="Times New Roman"/>
          <w:b/>
          <w:noProof/>
          <w:color w:val="000000"/>
          <w:kern w:val="0"/>
          <w:sz w:val="20"/>
          <w:szCs w:val="20"/>
        </w:rPr>
        <w:drawing>
          <wp:inline distT="0" distB="0" distL="0" distR="0" wp14:anchorId="3977A097" wp14:editId="36EAFAAC">
            <wp:extent cx="5274310" cy="2550795"/>
            <wp:effectExtent l="0" t="0" r="2540" b="1905"/>
            <wp:docPr id="11" name="图片 10" descr="图表, 瀑布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0" descr="图表, 瀑布图&#10;&#10;AI 生成的内容可能不正确。"/>
                    <pic:cNvPicPr>
                      <a:picLocks noChangeAspect="1"/>
                    </pic:cNvPicPr>
                  </pic:nvPicPr>
                  <pic:blipFill>
                    <a:blip r:embed="rId9"/>
                    <a:stretch/>
                  </pic:blipFill>
                  <pic:spPr>
                    <a:xfrm>
                      <a:off x="0" y="0"/>
                      <a:ext cx="5274310" cy="2550795"/>
                    </a:xfrm>
                    <a:prstGeom prst="rect">
                      <a:avLst/>
                    </a:prstGeom>
                  </pic:spPr>
                </pic:pic>
              </a:graphicData>
            </a:graphic>
          </wp:inline>
        </w:drawing>
      </w:r>
      <w:r>
        <w:rPr>
          <w:rFonts w:ascii="思源黑体 CN Light" w:eastAsia="思源黑体 CN Light" w:hAnsi="思源黑体 CN Light" w:cs="Times New Roman" w:hint="eastAsia"/>
          <w:sz w:val="16"/>
          <w:szCs w:val="16"/>
        </w:rPr>
        <w:t>数据来源：wind，富荣基金；统计区间：20250428-20250430</w:t>
      </w:r>
    </w:p>
    <w:p w14:paraId="430978F1" w14:textId="398F4BBC" w:rsidR="00A94702" w:rsidRDefault="00A94702" w:rsidP="00A94702">
      <w:pPr>
        <w:spacing w:line="288" w:lineRule="auto"/>
        <w:jc w:val="left"/>
        <w:rPr>
          <w:rFonts w:ascii="思源黑体 CN Light" w:eastAsia="思源黑体 CN Light" w:hAnsi="思源黑体 CN Light" w:cs="Times New Roman" w:hint="eastAsia"/>
          <w:sz w:val="16"/>
          <w:szCs w:val="16"/>
        </w:rPr>
      </w:pPr>
      <w:r>
        <w:rPr>
          <w:rFonts w:ascii="思源黑体 CN Light" w:eastAsia="思源黑体 CN Light" w:hAnsi="思源黑体 CN Light" w:cs="Times New Roman" w:hint="eastAsia"/>
          <w:b/>
          <w:color w:val="000000"/>
          <w:kern w:val="0"/>
          <w:sz w:val="20"/>
          <w:szCs w:val="20"/>
        </w:rPr>
        <w:t>图五：信用利差变化</w:t>
      </w:r>
      <w:r w:rsidR="00ED45EA" w:rsidRPr="00ED45EA">
        <w:rPr>
          <w:rFonts w:ascii="思源黑体 CN Light" w:eastAsia="思源黑体 CN Light" w:hAnsi="思源黑体 CN Light" w:cs="Times New Roman"/>
          <w:b/>
          <w:noProof/>
          <w:color w:val="000000"/>
          <w:kern w:val="0"/>
          <w:sz w:val="20"/>
          <w:szCs w:val="20"/>
        </w:rPr>
        <w:lastRenderedPageBreak/>
        <w:drawing>
          <wp:inline distT="0" distB="0" distL="0" distR="0" wp14:anchorId="49594E47" wp14:editId="133AC7F2">
            <wp:extent cx="5274310" cy="2206625"/>
            <wp:effectExtent l="0" t="0" r="2540" b="3175"/>
            <wp:docPr id="12"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1"/>
                    <pic:cNvPicPr>
                      <a:picLocks noChangeAspect="1"/>
                    </pic:cNvPicPr>
                  </pic:nvPicPr>
                  <pic:blipFill>
                    <a:blip r:embed="rId10"/>
                    <a:stretch/>
                  </pic:blipFill>
                  <pic:spPr>
                    <a:xfrm>
                      <a:off x="0" y="0"/>
                      <a:ext cx="5274310" cy="2206625"/>
                    </a:xfrm>
                    <a:prstGeom prst="rect">
                      <a:avLst/>
                    </a:prstGeom>
                  </pic:spPr>
                </pic:pic>
              </a:graphicData>
            </a:graphic>
          </wp:inline>
        </w:drawing>
      </w:r>
      <w:r>
        <w:rPr>
          <w:rFonts w:ascii="思源黑体 CN Light" w:eastAsia="思源黑体 CN Light" w:hAnsi="思源黑体 CN Light" w:cs="Times New Roman" w:hint="eastAsia"/>
          <w:sz w:val="16"/>
          <w:szCs w:val="16"/>
        </w:rPr>
        <w:t>数据来源：wind，富荣基金；统计区间：20250428-20250430</w:t>
      </w:r>
    </w:p>
    <w:p w14:paraId="5D71A019" w14:textId="77777777" w:rsidR="00A94702" w:rsidRDefault="00A94702" w:rsidP="00A94702">
      <w:pPr>
        <w:ind w:firstLineChars="200" w:firstLine="400"/>
        <w:rPr>
          <w:rFonts w:ascii="思源黑体 CN Light" w:eastAsia="思源黑体 CN Light" w:hAnsi="思源黑体 CN Light" w:hint="eastAsia"/>
          <w:sz w:val="20"/>
          <w:szCs w:val="20"/>
        </w:rPr>
      </w:pPr>
    </w:p>
    <w:p w14:paraId="6B17C428" w14:textId="77777777" w:rsidR="00A94702" w:rsidRDefault="00A94702" w:rsidP="00A94702">
      <w:pPr>
        <w:ind w:firstLineChars="200" w:firstLine="400"/>
        <w:rPr>
          <w:rFonts w:ascii="思源黑体 CN Light" w:eastAsia="思源黑体 CN Light" w:hAnsi="思源黑体 CN Light" w:hint="eastAsia"/>
          <w:sz w:val="20"/>
          <w:szCs w:val="20"/>
        </w:rPr>
      </w:pPr>
    </w:p>
    <w:p w14:paraId="09CD3403" w14:textId="77777777" w:rsidR="00A94702" w:rsidRDefault="00A94702" w:rsidP="00A94702">
      <w:pPr>
        <w:ind w:firstLineChars="200" w:firstLine="400"/>
        <w:rPr>
          <w:rFonts w:ascii="思源黑体 CN Light" w:eastAsia="思源黑体 CN Light" w:hAnsi="思源黑体 CN Light" w:hint="eastAsia"/>
          <w:sz w:val="20"/>
          <w:szCs w:val="20"/>
        </w:rPr>
      </w:pPr>
    </w:p>
    <w:p w14:paraId="205105C6" w14:textId="77777777" w:rsidR="00A94702" w:rsidRDefault="00A94702" w:rsidP="00A94702">
      <w:pPr>
        <w:ind w:firstLineChars="200" w:firstLine="400"/>
        <w:rPr>
          <w:rFonts w:ascii="思源黑体 CN Light" w:eastAsia="思源黑体 CN Light" w:hAnsi="思源黑体 CN Light" w:hint="eastAsia"/>
          <w:sz w:val="20"/>
          <w:szCs w:val="20"/>
        </w:rPr>
      </w:pPr>
    </w:p>
    <w:p w14:paraId="5F57369F" w14:textId="77777777" w:rsidR="00A94702" w:rsidRDefault="00A94702" w:rsidP="00A94702">
      <w:pPr>
        <w:ind w:firstLineChars="200" w:firstLine="400"/>
        <w:rPr>
          <w:rFonts w:ascii="思源黑体 CN Light" w:eastAsia="思源黑体 CN Light" w:hAnsi="思源黑体 CN Light" w:hint="eastAsia"/>
          <w:sz w:val="20"/>
          <w:szCs w:val="20"/>
        </w:rPr>
      </w:pPr>
    </w:p>
    <w:p w14:paraId="2FD76CB8" w14:textId="77777777" w:rsidR="00A94702" w:rsidRDefault="00A94702" w:rsidP="00A94702">
      <w:pPr>
        <w:ind w:firstLineChars="200" w:firstLine="400"/>
        <w:rPr>
          <w:rFonts w:ascii="思源黑体 CN Light" w:eastAsia="思源黑体 CN Light" w:hAnsi="思源黑体 CN Light" w:cs="Times New Roman" w:hint="eastAsia"/>
          <w:sz w:val="20"/>
          <w:szCs w:val="20"/>
        </w:rPr>
      </w:pPr>
      <w:r>
        <w:rPr>
          <w:rFonts w:ascii="思源黑体 CN Light" w:eastAsia="思源黑体 CN Light" w:hAnsi="思源黑体 CN Light" w:hint="eastAsia"/>
          <w:sz w:val="20"/>
          <w:szCs w:val="20"/>
        </w:rPr>
        <w:t>风险提示：</w:t>
      </w:r>
    </w:p>
    <w:p w14:paraId="7672AB74" w14:textId="77777777" w:rsidR="00A94702" w:rsidRDefault="00A94702" w:rsidP="00A94702">
      <w:pPr>
        <w:rPr>
          <w:rFonts w:hint="eastAsia"/>
        </w:rPr>
      </w:pPr>
      <w:r>
        <w:rPr>
          <w:rFonts w:ascii="思源黑体 CN Light" w:eastAsia="思源黑体 CN Light" w:hAnsi="思源黑体 CN Light"/>
          <w:sz w:val="20"/>
          <w:szCs w:val="20"/>
        </w:rPr>
        <w:t>1、本材料中的信息均来源于我们认为可靠的已公开资料和合作客户的研究成果，但本公司及研究人员对这些信息的准确性和完整性不作任何保证，也不保证本材料所包含的信息或建议在本材料发出后不会发生任何变更，且本材料仅反映发布时的资料、观点和预测，可能在随后会作出调整。2、本材料中的资料、观点和预测等仅供参考，在任何时候均不构成对任何人的个人推荐。市场有风险，投资需谨慎。</w:t>
      </w:r>
    </w:p>
    <w:p w14:paraId="28286E76" w14:textId="77777777" w:rsidR="00A94702" w:rsidRDefault="00A94702" w:rsidP="00A94702">
      <w:pPr>
        <w:rPr>
          <w:rFonts w:hint="eastAsia"/>
        </w:rPr>
      </w:pPr>
    </w:p>
    <w:p w14:paraId="32227F4F" w14:textId="77777777" w:rsidR="00A94702" w:rsidRDefault="00A94702" w:rsidP="00A94702">
      <w:pPr>
        <w:rPr>
          <w:rFonts w:hint="eastAsia"/>
        </w:rPr>
      </w:pPr>
    </w:p>
    <w:p w14:paraId="707AB663" w14:textId="77777777" w:rsidR="00A94702" w:rsidRDefault="00A94702" w:rsidP="00A94702">
      <w:pPr>
        <w:rPr>
          <w:rFonts w:hint="eastAsia"/>
        </w:rPr>
      </w:pPr>
    </w:p>
    <w:p w14:paraId="2EB3F91D" w14:textId="77777777" w:rsidR="00A94702" w:rsidRDefault="00A94702" w:rsidP="00A94702">
      <w:pPr>
        <w:rPr>
          <w:rFonts w:hint="eastAsia"/>
        </w:rPr>
      </w:pPr>
    </w:p>
    <w:p w14:paraId="7B0C465F" w14:textId="77777777" w:rsidR="002F63B0" w:rsidRDefault="002F63B0">
      <w:pPr>
        <w:rPr>
          <w:rFonts w:hint="eastAsia"/>
        </w:rPr>
      </w:pPr>
    </w:p>
    <w:sectPr w:rsidR="002F63B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672F33" w14:textId="77777777" w:rsidR="005C72EA" w:rsidRDefault="005C72EA" w:rsidP="00DC07E2">
      <w:pPr>
        <w:rPr>
          <w:rFonts w:hint="eastAsia"/>
        </w:rPr>
      </w:pPr>
      <w:r>
        <w:separator/>
      </w:r>
    </w:p>
  </w:endnote>
  <w:endnote w:type="continuationSeparator" w:id="0">
    <w:p w14:paraId="11735AC6" w14:textId="77777777" w:rsidR="005C72EA" w:rsidRDefault="005C72EA" w:rsidP="00DC07E2">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思源黑体 CN Bold">
    <w:panose1 w:val="020B0800000000000000"/>
    <w:charset w:val="86"/>
    <w:family w:val="swiss"/>
    <w:notTrueType/>
    <w:pitch w:val="variable"/>
    <w:sig w:usb0="20000207" w:usb1="2ADF3C10" w:usb2="00000016" w:usb3="00000000" w:csb0="00060107" w:csb1="00000000"/>
  </w:font>
  <w:font w:name="思源黑体 CN Light">
    <w:panose1 w:val="020B0300000000000000"/>
    <w:charset w:val="86"/>
    <w:family w:val="swiss"/>
    <w:notTrueType/>
    <w:pitch w:val="variable"/>
    <w:sig w:usb0="20000207" w:usb1="2ADF3C10" w:usb2="00000016" w:usb3="00000000" w:csb0="00060107"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EBDF0A" w14:textId="77777777" w:rsidR="005C72EA" w:rsidRDefault="005C72EA" w:rsidP="00DC07E2">
      <w:pPr>
        <w:rPr>
          <w:rFonts w:hint="eastAsia"/>
        </w:rPr>
      </w:pPr>
      <w:r>
        <w:separator/>
      </w:r>
    </w:p>
  </w:footnote>
  <w:footnote w:type="continuationSeparator" w:id="0">
    <w:p w14:paraId="56C47892" w14:textId="77777777" w:rsidR="005C72EA" w:rsidRDefault="005C72EA" w:rsidP="00DC07E2">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trackRevisions/>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94702"/>
    <w:rsid w:val="00092C8D"/>
    <w:rsid w:val="00207202"/>
    <w:rsid w:val="002D5B15"/>
    <w:rsid w:val="002F63B0"/>
    <w:rsid w:val="00400753"/>
    <w:rsid w:val="004E37E6"/>
    <w:rsid w:val="004F7113"/>
    <w:rsid w:val="005C72EA"/>
    <w:rsid w:val="00632F15"/>
    <w:rsid w:val="00852735"/>
    <w:rsid w:val="008B6440"/>
    <w:rsid w:val="009D56BA"/>
    <w:rsid w:val="00A94702"/>
    <w:rsid w:val="00DC07E2"/>
    <w:rsid w:val="00ED45EA"/>
    <w:rsid w:val="00F837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3CEE53D"/>
  <w15:docId w15:val="{0F067956-FB63-411C-A169-C3BBAA3D1E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94702"/>
    <w:pPr>
      <w:widowControl w:val="0"/>
      <w:spacing w:after="0" w:line="240" w:lineRule="auto"/>
      <w:jc w:val="both"/>
    </w:pPr>
    <w:rPr>
      <w:sz w:val="21"/>
      <w:szCs w:val="22"/>
      <w14:ligatures w14:val="none"/>
    </w:rPr>
  </w:style>
  <w:style w:type="paragraph" w:styleId="1">
    <w:name w:val="heading 1"/>
    <w:basedOn w:val="a"/>
    <w:next w:val="a"/>
    <w:link w:val="10"/>
    <w:uiPriority w:val="9"/>
    <w:qFormat/>
    <w:rsid w:val="00A94702"/>
    <w:pPr>
      <w:keepNext/>
      <w:keepLines/>
      <w:spacing w:before="480" w:after="80" w:line="278" w:lineRule="auto"/>
      <w:jc w:val="left"/>
      <w:outlineLvl w:val="0"/>
    </w:pPr>
    <w:rPr>
      <w:rFonts w:asciiTheme="majorHAnsi" w:eastAsiaTheme="majorEastAsia" w:hAnsiTheme="majorHAnsi" w:cstheme="majorBidi"/>
      <w:color w:val="0F4761" w:themeColor="accent1" w:themeShade="BF"/>
      <w:sz w:val="48"/>
      <w:szCs w:val="48"/>
      <w14:ligatures w14:val="standardContextual"/>
    </w:rPr>
  </w:style>
  <w:style w:type="paragraph" w:styleId="2">
    <w:name w:val="heading 2"/>
    <w:basedOn w:val="a"/>
    <w:next w:val="a"/>
    <w:link w:val="20"/>
    <w:uiPriority w:val="9"/>
    <w:semiHidden/>
    <w:unhideWhenUsed/>
    <w:qFormat/>
    <w:rsid w:val="00A94702"/>
    <w:pPr>
      <w:keepNext/>
      <w:keepLines/>
      <w:spacing w:before="160" w:after="80" w:line="278" w:lineRule="auto"/>
      <w:jc w:val="left"/>
      <w:outlineLvl w:val="1"/>
    </w:pPr>
    <w:rPr>
      <w:rFonts w:asciiTheme="majorHAnsi" w:eastAsiaTheme="majorEastAsia" w:hAnsiTheme="majorHAnsi" w:cstheme="majorBidi"/>
      <w:color w:val="0F4761" w:themeColor="accent1" w:themeShade="BF"/>
      <w:sz w:val="40"/>
      <w:szCs w:val="40"/>
      <w14:ligatures w14:val="standardContextual"/>
    </w:rPr>
  </w:style>
  <w:style w:type="paragraph" w:styleId="3">
    <w:name w:val="heading 3"/>
    <w:basedOn w:val="a"/>
    <w:next w:val="a"/>
    <w:link w:val="30"/>
    <w:uiPriority w:val="9"/>
    <w:semiHidden/>
    <w:unhideWhenUsed/>
    <w:qFormat/>
    <w:rsid w:val="00A94702"/>
    <w:pPr>
      <w:keepNext/>
      <w:keepLines/>
      <w:spacing w:before="160" w:after="80" w:line="278" w:lineRule="auto"/>
      <w:jc w:val="left"/>
      <w:outlineLvl w:val="2"/>
    </w:pPr>
    <w:rPr>
      <w:rFonts w:asciiTheme="majorHAnsi" w:eastAsiaTheme="majorEastAsia" w:hAnsiTheme="majorHAnsi" w:cstheme="majorBidi"/>
      <w:color w:val="0F4761" w:themeColor="accent1" w:themeShade="BF"/>
      <w:sz w:val="32"/>
      <w:szCs w:val="32"/>
      <w14:ligatures w14:val="standardContextual"/>
    </w:rPr>
  </w:style>
  <w:style w:type="paragraph" w:styleId="4">
    <w:name w:val="heading 4"/>
    <w:basedOn w:val="a"/>
    <w:next w:val="a"/>
    <w:link w:val="40"/>
    <w:uiPriority w:val="9"/>
    <w:semiHidden/>
    <w:unhideWhenUsed/>
    <w:qFormat/>
    <w:rsid w:val="00A94702"/>
    <w:pPr>
      <w:keepNext/>
      <w:keepLines/>
      <w:spacing w:before="80" w:after="40" w:line="278" w:lineRule="auto"/>
      <w:jc w:val="left"/>
      <w:outlineLvl w:val="3"/>
    </w:pPr>
    <w:rPr>
      <w:rFonts w:cstheme="majorBidi"/>
      <w:color w:val="0F4761" w:themeColor="accent1" w:themeShade="BF"/>
      <w:sz w:val="28"/>
      <w:szCs w:val="28"/>
      <w14:ligatures w14:val="standardContextual"/>
    </w:rPr>
  </w:style>
  <w:style w:type="paragraph" w:styleId="5">
    <w:name w:val="heading 5"/>
    <w:basedOn w:val="a"/>
    <w:next w:val="a"/>
    <w:link w:val="50"/>
    <w:uiPriority w:val="9"/>
    <w:semiHidden/>
    <w:unhideWhenUsed/>
    <w:qFormat/>
    <w:rsid w:val="00A94702"/>
    <w:pPr>
      <w:keepNext/>
      <w:keepLines/>
      <w:spacing w:before="80" w:after="40" w:line="278" w:lineRule="auto"/>
      <w:jc w:val="left"/>
      <w:outlineLvl w:val="4"/>
    </w:pPr>
    <w:rPr>
      <w:rFonts w:cstheme="majorBidi"/>
      <w:color w:val="0F4761" w:themeColor="accent1" w:themeShade="BF"/>
      <w:sz w:val="24"/>
      <w:szCs w:val="24"/>
      <w14:ligatures w14:val="standardContextual"/>
    </w:rPr>
  </w:style>
  <w:style w:type="paragraph" w:styleId="6">
    <w:name w:val="heading 6"/>
    <w:basedOn w:val="a"/>
    <w:next w:val="a"/>
    <w:link w:val="60"/>
    <w:uiPriority w:val="9"/>
    <w:semiHidden/>
    <w:unhideWhenUsed/>
    <w:qFormat/>
    <w:rsid w:val="00A94702"/>
    <w:pPr>
      <w:keepNext/>
      <w:keepLines/>
      <w:spacing w:before="40" w:line="278" w:lineRule="auto"/>
      <w:jc w:val="left"/>
      <w:outlineLvl w:val="5"/>
    </w:pPr>
    <w:rPr>
      <w:rFonts w:cstheme="majorBidi"/>
      <w:b/>
      <w:bCs/>
      <w:color w:val="0F4761" w:themeColor="accent1" w:themeShade="BF"/>
      <w:sz w:val="22"/>
      <w:szCs w:val="24"/>
      <w14:ligatures w14:val="standardContextual"/>
    </w:rPr>
  </w:style>
  <w:style w:type="paragraph" w:styleId="7">
    <w:name w:val="heading 7"/>
    <w:basedOn w:val="a"/>
    <w:next w:val="a"/>
    <w:link w:val="70"/>
    <w:uiPriority w:val="9"/>
    <w:semiHidden/>
    <w:unhideWhenUsed/>
    <w:qFormat/>
    <w:rsid w:val="00A94702"/>
    <w:pPr>
      <w:keepNext/>
      <w:keepLines/>
      <w:spacing w:before="40" w:line="278" w:lineRule="auto"/>
      <w:jc w:val="left"/>
      <w:outlineLvl w:val="6"/>
    </w:pPr>
    <w:rPr>
      <w:rFonts w:cstheme="majorBidi"/>
      <w:b/>
      <w:bCs/>
      <w:color w:val="595959" w:themeColor="text1" w:themeTint="A6"/>
      <w:sz w:val="22"/>
      <w:szCs w:val="24"/>
      <w14:ligatures w14:val="standardContextual"/>
    </w:rPr>
  </w:style>
  <w:style w:type="paragraph" w:styleId="8">
    <w:name w:val="heading 8"/>
    <w:basedOn w:val="a"/>
    <w:next w:val="a"/>
    <w:link w:val="80"/>
    <w:uiPriority w:val="9"/>
    <w:semiHidden/>
    <w:unhideWhenUsed/>
    <w:qFormat/>
    <w:rsid w:val="00A94702"/>
    <w:pPr>
      <w:keepNext/>
      <w:keepLines/>
      <w:spacing w:line="278" w:lineRule="auto"/>
      <w:jc w:val="left"/>
      <w:outlineLvl w:val="7"/>
    </w:pPr>
    <w:rPr>
      <w:rFonts w:cstheme="majorBidi"/>
      <w:color w:val="595959" w:themeColor="text1" w:themeTint="A6"/>
      <w:sz w:val="22"/>
      <w:szCs w:val="24"/>
      <w14:ligatures w14:val="standardContextual"/>
    </w:rPr>
  </w:style>
  <w:style w:type="paragraph" w:styleId="9">
    <w:name w:val="heading 9"/>
    <w:basedOn w:val="a"/>
    <w:next w:val="a"/>
    <w:link w:val="90"/>
    <w:uiPriority w:val="9"/>
    <w:semiHidden/>
    <w:unhideWhenUsed/>
    <w:qFormat/>
    <w:rsid w:val="00A94702"/>
    <w:pPr>
      <w:keepNext/>
      <w:keepLines/>
      <w:spacing w:line="278" w:lineRule="auto"/>
      <w:jc w:val="left"/>
      <w:outlineLvl w:val="8"/>
    </w:pPr>
    <w:rPr>
      <w:rFonts w:eastAsiaTheme="majorEastAsia" w:cstheme="majorBidi"/>
      <w:color w:val="595959" w:themeColor="text1" w:themeTint="A6"/>
      <w:sz w:val="22"/>
      <w:szCs w:val="24"/>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qFormat/>
    <w:rsid w:val="00A94702"/>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A94702"/>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A94702"/>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A94702"/>
    <w:rPr>
      <w:rFonts w:cstheme="majorBidi"/>
      <w:color w:val="0F4761" w:themeColor="accent1" w:themeShade="BF"/>
      <w:sz w:val="28"/>
      <w:szCs w:val="28"/>
    </w:rPr>
  </w:style>
  <w:style w:type="character" w:customStyle="1" w:styleId="50">
    <w:name w:val="标题 5 字符"/>
    <w:basedOn w:val="a0"/>
    <w:link w:val="5"/>
    <w:uiPriority w:val="9"/>
    <w:semiHidden/>
    <w:rsid w:val="00A94702"/>
    <w:rPr>
      <w:rFonts w:cstheme="majorBidi"/>
      <w:color w:val="0F4761" w:themeColor="accent1" w:themeShade="BF"/>
      <w:sz w:val="24"/>
    </w:rPr>
  </w:style>
  <w:style w:type="character" w:customStyle="1" w:styleId="60">
    <w:name w:val="标题 6 字符"/>
    <w:basedOn w:val="a0"/>
    <w:link w:val="6"/>
    <w:uiPriority w:val="9"/>
    <w:semiHidden/>
    <w:rsid w:val="00A94702"/>
    <w:rPr>
      <w:rFonts w:cstheme="majorBidi"/>
      <w:b/>
      <w:bCs/>
      <w:color w:val="0F4761" w:themeColor="accent1" w:themeShade="BF"/>
    </w:rPr>
  </w:style>
  <w:style w:type="character" w:customStyle="1" w:styleId="70">
    <w:name w:val="标题 7 字符"/>
    <w:basedOn w:val="a0"/>
    <w:link w:val="7"/>
    <w:uiPriority w:val="9"/>
    <w:semiHidden/>
    <w:rsid w:val="00A94702"/>
    <w:rPr>
      <w:rFonts w:cstheme="majorBidi"/>
      <w:b/>
      <w:bCs/>
      <w:color w:val="595959" w:themeColor="text1" w:themeTint="A6"/>
    </w:rPr>
  </w:style>
  <w:style w:type="character" w:customStyle="1" w:styleId="80">
    <w:name w:val="标题 8 字符"/>
    <w:basedOn w:val="a0"/>
    <w:link w:val="8"/>
    <w:uiPriority w:val="9"/>
    <w:semiHidden/>
    <w:rsid w:val="00A94702"/>
    <w:rPr>
      <w:rFonts w:cstheme="majorBidi"/>
      <w:color w:val="595959" w:themeColor="text1" w:themeTint="A6"/>
    </w:rPr>
  </w:style>
  <w:style w:type="character" w:customStyle="1" w:styleId="90">
    <w:name w:val="标题 9 字符"/>
    <w:basedOn w:val="a0"/>
    <w:link w:val="9"/>
    <w:uiPriority w:val="9"/>
    <w:semiHidden/>
    <w:rsid w:val="00A94702"/>
    <w:rPr>
      <w:rFonts w:eastAsiaTheme="majorEastAsia" w:cstheme="majorBidi"/>
      <w:color w:val="595959" w:themeColor="text1" w:themeTint="A6"/>
    </w:rPr>
  </w:style>
  <w:style w:type="paragraph" w:styleId="a3">
    <w:name w:val="Title"/>
    <w:basedOn w:val="a"/>
    <w:next w:val="a"/>
    <w:link w:val="a4"/>
    <w:uiPriority w:val="10"/>
    <w:qFormat/>
    <w:rsid w:val="00A94702"/>
    <w:pPr>
      <w:spacing w:after="80"/>
      <w:contextualSpacing/>
      <w:jc w:val="center"/>
    </w:pPr>
    <w:rPr>
      <w:rFonts w:asciiTheme="majorHAnsi" w:eastAsiaTheme="majorEastAsia" w:hAnsiTheme="majorHAnsi" w:cstheme="majorBidi"/>
      <w:spacing w:val="-10"/>
      <w:kern w:val="28"/>
      <w:sz w:val="56"/>
      <w:szCs w:val="56"/>
      <w14:ligatures w14:val="standardContextual"/>
    </w:rPr>
  </w:style>
  <w:style w:type="character" w:customStyle="1" w:styleId="a4">
    <w:name w:val="标题 字符"/>
    <w:basedOn w:val="a0"/>
    <w:link w:val="a3"/>
    <w:uiPriority w:val="10"/>
    <w:rsid w:val="00A94702"/>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A94702"/>
    <w:pPr>
      <w:numPr>
        <w:ilvl w:val="1"/>
      </w:numPr>
      <w:spacing w:after="160" w:line="278" w:lineRule="auto"/>
      <w:jc w:val="center"/>
    </w:pPr>
    <w:rPr>
      <w:rFonts w:asciiTheme="majorHAnsi" w:eastAsiaTheme="majorEastAsia" w:hAnsiTheme="majorHAnsi" w:cstheme="majorBidi"/>
      <w:color w:val="595959" w:themeColor="text1" w:themeTint="A6"/>
      <w:spacing w:val="15"/>
      <w:sz w:val="28"/>
      <w:szCs w:val="28"/>
      <w14:ligatures w14:val="standardContextual"/>
    </w:rPr>
  </w:style>
  <w:style w:type="character" w:customStyle="1" w:styleId="a6">
    <w:name w:val="副标题 字符"/>
    <w:basedOn w:val="a0"/>
    <w:link w:val="a5"/>
    <w:uiPriority w:val="11"/>
    <w:rsid w:val="00A94702"/>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A94702"/>
    <w:pPr>
      <w:spacing w:before="160" w:after="160" w:line="278" w:lineRule="auto"/>
      <w:jc w:val="center"/>
    </w:pPr>
    <w:rPr>
      <w:i/>
      <w:iCs/>
      <w:color w:val="404040" w:themeColor="text1" w:themeTint="BF"/>
      <w:sz w:val="22"/>
      <w:szCs w:val="24"/>
      <w14:ligatures w14:val="standardContextual"/>
    </w:rPr>
  </w:style>
  <w:style w:type="character" w:customStyle="1" w:styleId="a8">
    <w:name w:val="引用 字符"/>
    <w:basedOn w:val="a0"/>
    <w:link w:val="a7"/>
    <w:uiPriority w:val="29"/>
    <w:rsid w:val="00A94702"/>
    <w:rPr>
      <w:i/>
      <w:iCs/>
      <w:color w:val="404040" w:themeColor="text1" w:themeTint="BF"/>
    </w:rPr>
  </w:style>
  <w:style w:type="paragraph" w:styleId="a9">
    <w:name w:val="List Paragraph"/>
    <w:basedOn w:val="a"/>
    <w:uiPriority w:val="34"/>
    <w:qFormat/>
    <w:rsid w:val="00A94702"/>
    <w:pPr>
      <w:spacing w:after="160" w:line="278" w:lineRule="auto"/>
      <w:ind w:left="720"/>
      <w:contextualSpacing/>
      <w:jc w:val="left"/>
    </w:pPr>
    <w:rPr>
      <w:sz w:val="22"/>
      <w:szCs w:val="24"/>
      <w14:ligatures w14:val="standardContextual"/>
    </w:rPr>
  </w:style>
  <w:style w:type="character" w:styleId="aa">
    <w:name w:val="Intense Emphasis"/>
    <w:basedOn w:val="a0"/>
    <w:uiPriority w:val="21"/>
    <w:qFormat/>
    <w:rsid w:val="00A94702"/>
    <w:rPr>
      <w:i/>
      <w:iCs/>
      <w:color w:val="0F4761" w:themeColor="accent1" w:themeShade="BF"/>
    </w:rPr>
  </w:style>
  <w:style w:type="paragraph" w:styleId="ab">
    <w:name w:val="Intense Quote"/>
    <w:basedOn w:val="a"/>
    <w:next w:val="a"/>
    <w:link w:val="ac"/>
    <w:uiPriority w:val="30"/>
    <w:qFormat/>
    <w:rsid w:val="00A94702"/>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sz w:val="22"/>
      <w:szCs w:val="24"/>
      <w14:ligatures w14:val="standardContextual"/>
    </w:rPr>
  </w:style>
  <w:style w:type="character" w:customStyle="1" w:styleId="ac">
    <w:name w:val="明显引用 字符"/>
    <w:basedOn w:val="a0"/>
    <w:link w:val="ab"/>
    <w:uiPriority w:val="30"/>
    <w:rsid w:val="00A94702"/>
    <w:rPr>
      <w:i/>
      <w:iCs/>
      <w:color w:val="0F4761" w:themeColor="accent1" w:themeShade="BF"/>
    </w:rPr>
  </w:style>
  <w:style w:type="character" w:styleId="ad">
    <w:name w:val="Intense Reference"/>
    <w:basedOn w:val="a0"/>
    <w:uiPriority w:val="32"/>
    <w:qFormat/>
    <w:rsid w:val="00A94702"/>
    <w:rPr>
      <w:b/>
      <w:bCs/>
      <w:smallCaps/>
      <w:color w:val="0F4761" w:themeColor="accent1" w:themeShade="BF"/>
      <w:spacing w:val="5"/>
    </w:rPr>
  </w:style>
  <w:style w:type="paragraph" w:styleId="ae">
    <w:name w:val="header"/>
    <w:basedOn w:val="a"/>
    <w:link w:val="af"/>
    <w:uiPriority w:val="99"/>
    <w:unhideWhenUsed/>
    <w:rsid w:val="00DC07E2"/>
    <w:pPr>
      <w:tabs>
        <w:tab w:val="center" w:pos="4153"/>
        <w:tab w:val="right" w:pos="8306"/>
      </w:tabs>
      <w:snapToGrid w:val="0"/>
      <w:jc w:val="center"/>
    </w:pPr>
    <w:rPr>
      <w:sz w:val="18"/>
      <w:szCs w:val="18"/>
    </w:rPr>
  </w:style>
  <w:style w:type="character" w:customStyle="1" w:styleId="af">
    <w:name w:val="页眉 字符"/>
    <w:basedOn w:val="a0"/>
    <w:link w:val="ae"/>
    <w:uiPriority w:val="99"/>
    <w:rsid w:val="00DC07E2"/>
    <w:rPr>
      <w:sz w:val="18"/>
      <w:szCs w:val="18"/>
      <w14:ligatures w14:val="none"/>
    </w:rPr>
  </w:style>
  <w:style w:type="paragraph" w:styleId="af0">
    <w:name w:val="footer"/>
    <w:basedOn w:val="a"/>
    <w:link w:val="af1"/>
    <w:uiPriority w:val="99"/>
    <w:unhideWhenUsed/>
    <w:rsid w:val="00DC07E2"/>
    <w:pPr>
      <w:tabs>
        <w:tab w:val="center" w:pos="4153"/>
        <w:tab w:val="right" w:pos="8306"/>
      </w:tabs>
      <w:snapToGrid w:val="0"/>
      <w:jc w:val="left"/>
    </w:pPr>
    <w:rPr>
      <w:sz w:val="18"/>
      <w:szCs w:val="18"/>
    </w:rPr>
  </w:style>
  <w:style w:type="character" w:customStyle="1" w:styleId="af1">
    <w:name w:val="页脚 字符"/>
    <w:basedOn w:val="a0"/>
    <w:link w:val="af0"/>
    <w:uiPriority w:val="99"/>
    <w:rsid w:val="00DC07E2"/>
    <w:rPr>
      <w:sz w:val="18"/>
      <w:szCs w:val="18"/>
      <w14:ligatures w14:val="none"/>
    </w:rPr>
  </w:style>
  <w:style w:type="paragraph" w:styleId="af2">
    <w:name w:val="Balloon Text"/>
    <w:basedOn w:val="a"/>
    <w:link w:val="af3"/>
    <w:uiPriority w:val="99"/>
    <w:semiHidden/>
    <w:unhideWhenUsed/>
    <w:rsid w:val="004F7113"/>
    <w:rPr>
      <w:sz w:val="18"/>
      <w:szCs w:val="18"/>
    </w:rPr>
  </w:style>
  <w:style w:type="character" w:customStyle="1" w:styleId="af3">
    <w:name w:val="批注框文本 字符"/>
    <w:basedOn w:val="a0"/>
    <w:link w:val="af2"/>
    <w:uiPriority w:val="99"/>
    <w:semiHidden/>
    <w:rsid w:val="004F7113"/>
    <w:rPr>
      <w:sz w:val="18"/>
      <w:szCs w:val="18"/>
      <w14:ligatures w14:val="none"/>
    </w:rPr>
  </w:style>
  <w:style w:type="character" w:styleId="af4">
    <w:name w:val="annotation reference"/>
    <w:basedOn w:val="a0"/>
    <w:uiPriority w:val="99"/>
    <w:semiHidden/>
    <w:unhideWhenUsed/>
    <w:rsid w:val="008B6440"/>
    <w:rPr>
      <w:sz w:val="21"/>
      <w:szCs w:val="21"/>
    </w:rPr>
  </w:style>
  <w:style w:type="paragraph" w:styleId="af5">
    <w:name w:val="annotation text"/>
    <w:basedOn w:val="a"/>
    <w:link w:val="af6"/>
    <w:uiPriority w:val="99"/>
    <w:semiHidden/>
    <w:unhideWhenUsed/>
    <w:rsid w:val="008B6440"/>
    <w:pPr>
      <w:jc w:val="left"/>
    </w:pPr>
  </w:style>
  <w:style w:type="character" w:customStyle="1" w:styleId="af6">
    <w:name w:val="批注文字 字符"/>
    <w:basedOn w:val="a0"/>
    <w:link w:val="af5"/>
    <w:uiPriority w:val="99"/>
    <w:semiHidden/>
    <w:rsid w:val="008B6440"/>
    <w:rPr>
      <w:sz w:val="21"/>
      <w:szCs w:val="22"/>
      <w14:ligatures w14:val="none"/>
    </w:rPr>
  </w:style>
  <w:style w:type="paragraph" w:styleId="af7">
    <w:name w:val="annotation subject"/>
    <w:basedOn w:val="af5"/>
    <w:next w:val="af5"/>
    <w:link w:val="af8"/>
    <w:uiPriority w:val="99"/>
    <w:semiHidden/>
    <w:unhideWhenUsed/>
    <w:rsid w:val="008B6440"/>
    <w:rPr>
      <w:b/>
      <w:bCs/>
    </w:rPr>
  </w:style>
  <w:style w:type="character" w:customStyle="1" w:styleId="af8">
    <w:name w:val="批注主题 字符"/>
    <w:basedOn w:val="af6"/>
    <w:link w:val="af7"/>
    <w:uiPriority w:val="99"/>
    <w:semiHidden/>
    <w:rsid w:val="008B6440"/>
    <w:rPr>
      <w:b/>
      <w:bCs/>
      <w:sz w:val="21"/>
      <w:szCs w:val="22"/>
      <w14:ligatures w14:val="none"/>
    </w:rPr>
  </w:style>
  <w:style w:type="paragraph" w:styleId="af9">
    <w:name w:val="Revision"/>
    <w:hidden/>
    <w:uiPriority w:val="99"/>
    <w:semiHidden/>
    <w:rsid w:val="00092C8D"/>
    <w:pPr>
      <w:spacing w:after="0" w:line="240" w:lineRule="auto"/>
    </w:pPr>
    <w:rPr>
      <w:sz w:val="21"/>
      <w:szCs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20</TotalTime>
  <Pages>4</Pages>
  <Words>514</Words>
  <Characters>691</Characters>
  <Application>Microsoft Office Word</Application>
  <DocSecurity>0</DocSecurity>
  <Lines>31</Lines>
  <Paragraphs>17</Paragraphs>
  <ScaleCrop>false</ScaleCrop>
  <Company/>
  <LinksUpToDate>false</LinksUpToDate>
  <CharactersWithSpaces>1188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叶蕊</dc:creator>
  <cp:lastModifiedBy>叶蕊</cp:lastModifiedBy>
  <cp:revision>7</cp:revision>
  <dcterms:created xsi:type="dcterms:W3CDTF">2025-05-06T05:37:00Z</dcterms:created>
  <dcterms:modified xsi:type="dcterms:W3CDTF">2025-05-06T06:51:00Z</dcterms:modified>
</cp:coreProperties>
</file>