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59297" w14:textId="77777777" w:rsidR="00565A59" w:rsidRDefault="00AE5C51">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富荣固收：资金宽松，曲线走陡</w:t>
      </w:r>
    </w:p>
    <w:p w14:paraId="5A358751" w14:textId="77777777" w:rsidR="00565A59" w:rsidRDefault="00AE5C51">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52950DCF" w14:textId="77777777" w:rsidR="00565A59" w:rsidRDefault="00AE5C51">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国内方面，4月通胀数据符合预期，展望5月，CPI同比或温和回升，PPI仍将承压。海外方面，美国经济下行风险或不可低估。6月降息预期进一步收缩，外围流动性短期内或难有明显宽松空间。</w:t>
      </w:r>
    </w:p>
    <w:p w14:paraId="3B3FA0CE" w14:textId="77777777" w:rsidR="00565A59" w:rsidRDefault="00AE5C51">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而中美关税对外需的扰动逻辑或未变，预计5-6月出口大概率转弱。资金面宽松状况或将保持，流动性预期较为乐观。短期内货币政策或将围绕5月一揽子政策的落实展开，后续“适度宽松+流动性充裕”仍是大基调。不排除货币、财政政策均有进一步加码的空间。</w:t>
      </w:r>
    </w:p>
    <w:p w14:paraId="1308DA2D" w14:textId="77777777" w:rsidR="00565A59" w:rsidRDefault="00AE5C51">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w:t>
      </w:r>
      <w:r>
        <w:rPr>
          <w:rFonts w:ascii="思源黑体 CN Light" w:eastAsia="思源黑体 CN Light" w:hAnsi="思源黑体 CN Light" w:cs="Times New Roman" w:hint="eastAsia"/>
          <w:color w:val="000000" w:themeColor="text1"/>
          <w:szCs w:val="20"/>
        </w:rPr>
        <w:t>2025年5月6日至2025年5月9日，下同</w:t>
      </w:r>
      <w:r>
        <w:rPr>
          <w:rFonts w:ascii="思源黑体 CN Light" w:eastAsia="思源黑体 CN Light" w:hAnsi="思源黑体 CN Light" w:cs="Times New Roman" w:hint="eastAsia"/>
          <w:szCs w:val="21"/>
        </w:rPr>
        <w:t>）债市呈现“短下长上”行情，周中一揽子金融政策官宣，“双降”随之落地，现券短</w:t>
      </w:r>
      <w:proofErr w:type="gramStart"/>
      <w:r>
        <w:rPr>
          <w:rFonts w:ascii="思源黑体 CN Light" w:eastAsia="思源黑体 CN Light" w:hAnsi="思源黑体 CN Light" w:cs="Times New Roman" w:hint="eastAsia"/>
          <w:szCs w:val="21"/>
        </w:rPr>
        <w:t>端表现</w:t>
      </w:r>
      <w:proofErr w:type="gramEnd"/>
      <w:r>
        <w:rPr>
          <w:rFonts w:ascii="思源黑体 CN Light" w:eastAsia="思源黑体 CN Light" w:hAnsi="思源黑体 CN Light" w:cs="Times New Roman" w:hint="eastAsia"/>
          <w:szCs w:val="21"/>
        </w:rPr>
        <w:t>强势，</w:t>
      </w:r>
      <w:proofErr w:type="gramStart"/>
      <w:r>
        <w:rPr>
          <w:rFonts w:ascii="思源黑体 CN Light" w:eastAsia="思源黑体 CN Light" w:hAnsi="思源黑体 CN Light" w:cs="Times New Roman" w:hint="eastAsia"/>
          <w:szCs w:val="21"/>
        </w:rPr>
        <w:t>长端止盈</w:t>
      </w:r>
      <w:proofErr w:type="gramEnd"/>
      <w:r>
        <w:rPr>
          <w:rFonts w:ascii="思源黑体 CN Light" w:eastAsia="思源黑体 CN Light" w:hAnsi="思源黑体 CN Light" w:cs="Times New Roman" w:hint="eastAsia"/>
          <w:szCs w:val="21"/>
        </w:rPr>
        <w:t>回调。周尾随</w:t>
      </w:r>
      <w:proofErr w:type="gramStart"/>
      <w:r>
        <w:rPr>
          <w:rFonts w:ascii="思源黑体 CN Light" w:eastAsia="思源黑体 CN Light" w:hAnsi="思源黑体 CN Light" w:cs="Times New Roman" w:hint="eastAsia"/>
          <w:szCs w:val="21"/>
        </w:rPr>
        <w:t>着货政报告</w:t>
      </w:r>
      <w:proofErr w:type="gramEnd"/>
      <w:r>
        <w:rPr>
          <w:rFonts w:ascii="思源黑体 CN Light" w:eastAsia="思源黑体 CN Light" w:hAnsi="思源黑体 CN Light" w:cs="Times New Roman" w:hint="eastAsia"/>
          <w:szCs w:val="21"/>
        </w:rPr>
        <w:t>的公布，市场则对恢复国债买卖预期进行了交易。</w:t>
      </w:r>
    </w:p>
    <w:p w14:paraId="55A6B3EF" w14:textId="495ABB79" w:rsidR="00565A59" w:rsidRDefault="00AE5C51">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后期债市或呈中性，资金面预期乐观，预计资金利率中枢将向政策利率附近逐步回归，</w:t>
      </w:r>
      <w:proofErr w:type="gramStart"/>
      <w:r>
        <w:rPr>
          <w:rFonts w:ascii="思源黑体 CN Light" w:eastAsia="思源黑体 CN Light" w:hAnsi="思源黑体 CN Light" w:cs="Times New Roman" w:hint="eastAsia"/>
          <w:szCs w:val="21"/>
        </w:rPr>
        <w:t>宽松大</w:t>
      </w:r>
      <w:proofErr w:type="gramEnd"/>
      <w:r>
        <w:rPr>
          <w:rFonts w:ascii="思源黑体 CN Light" w:eastAsia="思源黑体 CN Light" w:hAnsi="思源黑体 CN Light" w:cs="Times New Roman" w:hint="eastAsia"/>
          <w:szCs w:val="21"/>
        </w:rPr>
        <w:t>概率延续，短</w:t>
      </w:r>
      <w:proofErr w:type="gramStart"/>
      <w:r>
        <w:rPr>
          <w:rFonts w:ascii="思源黑体 CN Light" w:eastAsia="思源黑体 CN Light" w:hAnsi="思源黑体 CN Light" w:cs="Times New Roman" w:hint="eastAsia"/>
          <w:szCs w:val="21"/>
        </w:rPr>
        <w:t>端利率</w:t>
      </w:r>
      <w:proofErr w:type="gramEnd"/>
      <w:r>
        <w:rPr>
          <w:rFonts w:ascii="思源黑体 CN Light" w:eastAsia="思源黑体 CN Light" w:hAnsi="思源黑体 CN Light" w:cs="Times New Roman" w:hint="eastAsia"/>
          <w:szCs w:val="21"/>
        </w:rPr>
        <w:t>仍有进一步下行空间。后续关注国债买入工具的重启，不过工具的恢复或相对审慎。</w:t>
      </w:r>
    </w:p>
    <w:p w14:paraId="7751AB84" w14:textId="77777777" w:rsidR="00565A59" w:rsidRDefault="00AE5C51">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132DE30A" w14:textId="43A73ECE" w:rsidR="00565A59" w:rsidRDefault="00AE5C51">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5月10日至11日中美高层在瑞士举行会谈，针对关税进行谈判，市场对于关税缓和的预期增加，推动市场风险偏好回升。美元指数涨0.38%，非美货币涨跌互现，离岸人民币跌0.40%，欧元跌0.46%，英镑涨0.27%，日元跌0.27%，</w:t>
      </w:r>
      <w:proofErr w:type="gramStart"/>
      <w:r>
        <w:rPr>
          <w:rFonts w:ascii="思源黑体 CN Light" w:eastAsia="思源黑体 CN Light" w:hAnsi="思源黑体 CN Light" w:cs="Times New Roman" w:hint="eastAsia"/>
          <w:szCs w:val="21"/>
        </w:rPr>
        <w:t>瑞郎跌</w:t>
      </w:r>
      <w:proofErr w:type="gramEnd"/>
      <w:r>
        <w:rPr>
          <w:rFonts w:ascii="思源黑体 CN Light" w:eastAsia="思源黑体 CN Light" w:hAnsi="思源黑体 CN Light" w:cs="Times New Roman" w:hint="eastAsia"/>
          <w:szCs w:val="21"/>
        </w:rPr>
        <w:t>0.62%。</w:t>
      </w:r>
    </w:p>
    <w:p w14:paraId="626BA250" w14:textId="77777777" w:rsidR="00565A59" w:rsidRDefault="00AE5C51">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图一：主要货币变化率</w:t>
      </w:r>
    </w:p>
    <w:p w14:paraId="563ED34B" w14:textId="77777777" w:rsidR="00565A59" w:rsidRDefault="00AE5C51">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noProof/>
          <w:sz w:val="16"/>
          <w:szCs w:val="16"/>
        </w:rPr>
        <w:lastRenderedPageBreak/>
        <w:drawing>
          <wp:inline distT="0" distB="0" distL="0" distR="0" wp14:anchorId="33CA0458" wp14:editId="68156AB3">
            <wp:extent cx="5274310" cy="2117725"/>
            <wp:effectExtent l="0" t="0" r="2540" b="0"/>
            <wp:docPr id="9" name="图片 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表, 条形图&#10;&#10;AI 生成的内容可能不正确。"/>
                    <pic:cNvPicPr>
                      <a:picLocks noChangeAspect="1"/>
                    </pic:cNvPicPr>
                  </pic:nvPicPr>
                  <pic:blipFill>
                    <a:blip r:embed="rId6"/>
                    <a:stretch>
                      <a:fillRect/>
                    </a:stretch>
                  </pic:blipFill>
                  <pic:spPr>
                    <a:xfrm>
                      <a:off x="0" y="0"/>
                      <a:ext cx="5274310" cy="211772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数据来源：wind，富荣基金；统计区间：20250506-20250509</w:t>
      </w:r>
      <w:bookmarkStart w:id="1" w:name="_Toc134985520"/>
    </w:p>
    <w:p w14:paraId="433CC43B" w14:textId="77777777" w:rsidR="00565A59" w:rsidRDefault="00AE5C51">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0D40D910" w14:textId="77777777" w:rsidR="00565A59" w:rsidRDefault="00AE5C51">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跨月后月初叠加</w:t>
      </w:r>
      <w:r w:rsidR="00552A56">
        <w:rPr>
          <w:rFonts w:ascii="思源黑体 CN Light" w:eastAsia="思源黑体 CN Light" w:hAnsi="思源黑体 CN Light" w:cs="Times New Roman" w:hint="eastAsia"/>
          <w:b/>
          <w:bCs/>
          <w:sz w:val="22"/>
          <w:szCs w:val="21"/>
          <w14:ligatures w14:val="standardContextual"/>
        </w:rPr>
        <w:t>“</w:t>
      </w:r>
      <w:r>
        <w:rPr>
          <w:rFonts w:ascii="思源黑体 CN Light" w:eastAsia="思源黑体 CN Light" w:hAnsi="思源黑体 CN Light" w:cs="Times New Roman" w:hint="eastAsia"/>
          <w:b/>
          <w:bCs/>
          <w:sz w:val="22"/>
          <w:szCs w:val="21"/>
          <w14:ligatures w14:val="standardContextual"/>
        </w:rPr>
        <w:t>双降</w:t>
      </w:r>
      <w:r w:rsidR="00552A56">
        <w:rPr>
          <w:rFonts w:ascii="思源黑体 CN Light" w:eastAsia="思源黑体 CN Light" w:hAnsi="思源黑体 CN Light" w:cs="Times New Roman" w:hint="eastAsia"/>
          <w:b/>
          <w:bCs/>
          <w:sz w:val="22"/>
          <w:szCs w:val="21"/>
          <w14:ligatures w14:val="standardContextual"/>
        </w:rPr>
        <w:t>”</w:t>
      </w:r>
      <w:r>
        <w:rPr>
          <w:rFonts w:ascii="思源黑体 CN Light" w:eastAsia="思源黑体 CN Light" w:hAnsi="思源黑体 CN Light" w:cs="Times New Roman" w:hint="eastAsia"/>
          <w:b/>
          <w:bCs/>
          <w:sz w:val="22"/>
          <w:szCs w:val="21"/>
          <w14:ligatures w14:val="standardContextual"/>
        </w:rPr>
        <w:t>，资金下行幅度较大。</w:t>
      </w:r>
      <w:r>
        <w:rPr>
          <w:rFonts w:ascii="思源黑体 CN Light" w:eastAsia="思源黑体 CN Light" w:hAnsi="思源黑体 CN Light" w:cs="Times New Roman" w:hint="eastAsia"/>
          <w:sz w:val="22"/>
          <w:szCs w:val="21"/>
          <w14:ligatures w14:val="standardContextual"/>
        </w:rPr>
        <w:t>DR001下行29.45BP至1.49%，DR007下行25.77BP至1.54%，R001下行33.21BP至1.52%，R007下行25.91BP至1.58%。资金整体宽松，4月底以来，央行态度偏暖，资金边际宽松。</w:t>
      </w:r>
    </w:p>
    <w:p w14:paraId="0BD3F52F" w14:textId="22F299C3" w:rsidR="00565A59" w:rsidRDefault="00552A56">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w:t>
      </w:r>
      <w:r w:rsidR="00AE5C51">
        <w:rPr>
          <w:rFonts w:ascii="思源黑体 CN Light" w:eastAsia="思源黑体 CN Light" w:hAnsi="思源黑体 CN Light" w:cs="Times New Roman" w:hint="eastAsia"/>
          <w:b/>
          <w:bCs/>
          <w:sz w:val="22"/>
          <w:szCs w:val="21"/>
          <w14:ligatures w14:val="standardContextual"/>
        </w:rPr>
        <w:t>双降</w:t>
      </w:r>
      <w:r>
        <w:rPr>
          <w:rFonts w:ascii="思源黑体 CN Light" w:eastAsia="思源黑体 CN Light" w:hAnsi="思源黑体 CN Light" w:cs="Times New Roman" w:hint="eastAsia"/>
          <w:b/>
          <w:bCs/>
          <w:sz w:val="22"/>
          <w:szCs w:val="21"/>
          <w14:ligatures w14:val="standardContextual"/>
        </w:rPr>
        <w:t>”落地，</w:t>
      </w:r>
      <w:r w:rsidR="00AE5C51">
        <w:rPr>
          <w:rFonts w:ascii="思源黑体 CN Light" w:eastAsia="思源黑体 CN Light" w:hAnsi="思源黑体 CN Light" w:cs="Times New Roman" w:hint="eastAsia"/>
          <w:b/>
          <w:bCs/>
          <w:sz w:val="22"/>
          <w:szCs w:val="21"/>
          <w14:ligatures w14:val="standardContextual"/>
        </w:rPr>
        <w:t>债券短端下行，但长端及超长</w:t>
      </w:r>
      <w:proofErr w:type="gramStart"/>
      <w:r w:rsidR="00AE5C51">
        <w:rPr>
          <w:rFonts w:ascii="思源黑体 CN Light" w:eastAsia="思源黑体 CN Light" w:hAnsi="思源黑体 CN Light" w:cs="Times New Roman" w:hint="eastAsia"/>
          <w:b/>
          <w:bCs/>
          <w:sz w:val="22"/>
          <w:szCs w:val="21"/>
          <w14:ligatures w14:val="standardContextual"/>
        </w:rPr>
        <w:t>端走出</w:t>
      </w:r>
      <w:proofErr w:type="gramEnd"/>
      <w:r w:rsidR="00AE5C51">
        <w:rPr>
          <w:rFonts w:ascii="思源黑体 CN Light" w:eastAsia="思源黑体 CN Light" w:hAnsi="思源黑体 CN Light" w:cs="Times New Roman" w:hint="eastAsia"/>
          <w:b/>
          <w:bCs/>
          <w:sz w:val="22"/>
          <w:szCs w:val="21"/>
          <w14:ligatures w14:val="standardContextual"/>
        </w:rPr>
        <w:t>利好出尽的行情，整体上行，收益率曲线走陡。</w:t>
      </w:r>
      <w:r w:rsidR="00AE5C51">
        <w:rPr>
          <w:rFonts w:ascii="思源黑体 CN Light" w:eastAsia="思源黑体 CN Light" w:hAnsi="思源黑体 CN Light" w:cs="Times New Roman" w:hint="eastAsia"/>
          <w:sz w:val="22"/>
          <w:szCs w:val="21"/>
          <w14:ligatures w14:val="standardContextual"/>
        </w:rPr>
        <w:t>1Y、5Y、10Y、30Y国债收益率分别较前一周变化-4.05BP、-2.06BP、1.08BP、1.85BP至1.4194%、1.4957%、1.6351%、1.8425%。</w:t>
      </w:r>
    </w:p>
    <w:p w14:paraId="5D71D2A8" w14:textId="77777777" w:rsidR="00565A59" w:rsidRDefault="00AE5C51">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图二：资金面变化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18AB40DA" wp14:editId="7CE3AD47">
            <wp:extent cx="5274310" cy="3388995"/>
            <wp:effectExtent l="0" t="0" r="2540" b="1905"/>
            <wp:docPr id="11" name="图片 10"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条形图&#10;&#10;AI 生成的内容可能不正确。"/>
                    <pic:cNvPicPr>
                      <a:picLocks noChangeAspect="1"/>
                    </pic:cNvPicPr>
                  </pic:nvPicPr>
                  <pic:blipFill>
                    <a:blip r:embed="rId7"/>
                    <a:stretch>
                      <a:fillRect/>
                    </a:stretch>
                  </pic:blipFill>
                  <pic:spPr>
                    <a:xfrm>
                      <a:off x="0" y="0"/>
                      <a:ext cx="5274310" cy="338899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数据来源：wind，富荣基金；统计区间：20250506-20250509</w:t>
      </w:r>
    </w:p>
    <w:p w14:paraId="72AB54EA" w14:textId="77777777" w:rsidR="00565A59" w:rsidRDefault="00AE5C51">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drawing>
          <wp:inline distT="0" distB="0" distL="0" distR="0" wp14:anchorId="457B84F0" wp14:editId="2EA7C6AD">
            <wp:extent cx="5274310" cy="3578860"/>
            <wp:effectExtent l="0" t="0" r="2540" b="2540"/>
            <wp:docPr id="12"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瀑布图&#10;&#10;AI 生成的内容可能不正确。"/>
                    <pic:cNvPicPr>
                      <a:picLocks noChangeAspect="1"/>
                    </pic:cNvPicPr>
                  </pic:nvPicPr>
                  <pic:blipFill>
                    <a:blip r:embed="rId8"/>
                    <a:stretch>
                      <a:fillRect/>
                    </a:stretch>
                  </pic:blipFill>
                  <pic:spPr>
                    <a:xfrm>
                      <a:off x="0" y="0"/>
                      <a:ext cx="5274310" cy="357886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数据来源：wind，富荣基金；统计区间：20250506-20250509</w:t>
      </w:r>
    </w:p>
    <w:p w14:paraId="31E585B3" w14:textId="77777777" w:rsidR="00565A59" w:rsidRDefault="00AE5C51">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央行OMO进一步调降10BP至1.4%，大行跟上大量低价资金供给，资金价格维持</w:t>
      </w:r>
      <w:r>
        <w:rPr>
          <w:rFonts w:ascii="思源黑体 CN Light" w:eastAsia="思源黑体 CN Light" w:hAnsi="思源黑体 CN Light" w:cs="Times New Roman" w:hint="eastAsia"/>
          <w:sz w:val="22"/>
          <w:szCs w:val="21"/>
          <w14:ligatures w14:val="standardContextual"/>
        </w:rPr>
        <w:lastRenderedPageBreak/>
        <w:t>在低位区间。</w:t>
      </w:r>
    </w:p>
    <w:p w14:paraId="4D47050F" w14:textId="77777777" w:rsidR="00565A59" w:rsidRDefault="00AE5C51">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信用债收益率全面下行，</w:t>
      </w:r>
      <w:proofErr w:type="gramStart"/>
      <w:r>
        <w:rPr>
          <w:rFonts w:ascii="思源黑体 CN Light" w:eastAsia="思源黑体 CN Light" w:hAnsi="思源黑体 CN Light" w:cs="Times New Roman" w:hint="eastAsia"/>
          <w:sz w:val="22"/>
          <w:szCs w:val="21"/>
          <w14:ligatures w14:val="standardContextual"/>
        </w:rPr>
        <w:t>中短票及</w:t>
      </w:r>
      <w:proofErr w:type="gramEnd"/>
      <w:r>
        <w:rPr>
          <w:rFonts w:ascii="思源黑体 CN Light" w:eastAsia="思源黑体 CN Light" w:hAnsi="思源黑体 CN Light" w:cs="Times New Roman" w:hint="eastAsia"/>
          <w:sz w:val="22"/>
          <w:szCs w:val="21"/>
          <w14:ligatures w14:val="standardContextual"/>
        </w:rPr>
        <w:t>城投短端下行普遍在6BP以上，长</w:t>
      </w:r>
      <w:proofErr w:type="gramStart"/>
      <w:r>
        <w:rPr>
          <w:rFonts w:ascii="思源黑体 CN Light" w:eastAsia="思源黑体 CN Light" w:hAnsi="思源黑体 CN Light" w:cs="Times New Roman" w:hint="eastAsia"/>
          <w:sz w:val="22"/>
          <w:szCs w:val="21"/>
          <w14:ligatures w14:val="standardContextual"/>
        </w:rPr>
        <w:t>端保持</w:t>
      </w:r>
      <w:proofErr w:type="gramEnd"/>
      <w:r>
        <w:rPr>
          <w:rFonts w:ascii="思源黑体 CN Light" w:eastAsia="思源黑体 CN Light" w:hAnsi="思源黑体 CN Light" w:cs="Times New Roman" w:hint="eastAsia"/>
          <w:sz w:val="22"/>
          <w:szCs w:val="21"/>
          <w14:ligatures w14:val="standardContextual"/>
        </w:rPr>
        <w:t>克制下行在3BP以上，曲线变陡。</w:t>
      </w:r>
      <w:proofErr w:type="gramStart"/>
      <w:r>
        <w:rPr>
          <w:rFonts w:ascii="思源黑体 CN Light" w:eastAsia="思源黑体 CN Light" w:hAnsi="思源黑体 CN Light" w:cs="Times New Roman" w:hint="eastAsia"/>
          <w:sz w:val="22"/>
          <w:szCs w:val="21"/>
          <w14:ligatures w14:val="standardContextual"/>
        </w:rPr>
        <w:t>二永债</w:t>
      </w:r>
      <w:proofErr w:type="gramEnd"/>
      <w:r>
        <w:rPr>
          <w:rFonts w:ascii="思源黑体 CN Light" w:eastAsia="思源黑体 CN Light" w:hAnsi="思源黑体 CN Light" w:cs="Times New Roman" w:hint="eastAsia"/>
          <w:sz w:val="22"/>
          <w:szCs w:val="21"/>
          <w14:ligatures w14:val="standardContextual"/>
        </w:rPr>
        <w:t>及券商债长端下行幅度也较大，曲线更偏平移。信用利差看，</w:t>
      </w:r>
      <w:proofErr w:type="gramStart"/>
      <w:r>
        <w:rPr>
          <w:rFonts w:ascii="思源黑体 CN Light" w:eastAsia="思源黑体 CN Light" w:hAnsi="思源黑体 CN Light" w:cs="Times New Roman" w:hint="eastAsia"/>
          <w:sz w:val="22"/>
          <w:szCs w:val="21"/>
          <w14:ligatures w14:val="standardContextual"/>
        </w:rPr>
        <w:t>短端因下行</w:t>
      </w:r>
      <w:proofErr w:type="gramEnd"/>
      <w:r>
        <w:rPr>
          <w:rFonts w:ascii="思源黑体 CN Light" w:eastAsia="思源黑体 CN Light" w:hAnsi="思源黑体 CN Light" w:cs="Times New Roman" w:hint="eastAsia"/>
          <w:sz w:val="22"/>
          <w:szCs w:val="21"/>
          <w14:ligatures w14:val="standardContextual"/>
        </w:rPr>
        <w:t>阻力不同利差略微扩大，中长端有所收敛。</w:t>
      </w:r>
    </w:p>
    <w:p w14:paraId="3899F2E8" w14:textId="77777777" w:rsidR="00565A59" w:rsidRDefault="00AE5C51">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图四：信用债收益率变化</w:t>
      </w:r>
      <w:r>
        <w:rPr>
          <w:rFonts w:ascii="思源黑体 CN Light" w:eastAsia="思源黑体 CN Light" w:hAnsi="思源黑体 CN Light" w:cs="Times New Roman"/>
          <w:b/>
          <w:noProof/>
          <w:color w:val="000000"/>
          <w:kern w:val="0"/>
          <w:sz w:val="20"/>
          <w:szCs w:val="20"/>
        </w:rPr>
        <w:drawing>
          <wp:inline distT="0" distB="0" distL="0" distR="0" wp14:anchorId="757DAC5E" wp14:editId="714A83F6">
            <wp:extent cx="5274310" cy="2546350"/>
            <wp:effectExtent l="0" t="0" r="2540" b="6350"/>
            <wp:docPr id="1705530774" name="图片 10" descr="图表, 漏斗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530774" name="图片 10" descr="图表, 漏斗图&#10;&#10;AI 生成的内容可能不正确。"/>
                    <pic:cNvPicPr>
                      <a:picLocks noChangeAspect="1"/>
                    </pic:cNvPicPr>
                  </pic:nvPicPr>
                  <pic:blipFill>
                    <a:blip r:embed="rId9"/>
                    <a:stretch>
                      <a:fillRect/>
                    </a:stretch>
                  </pic:blipFill>
                  <pic:spPr>
                    <a:xfrm>
                      <a:off x="0" y="0"/>
                      <a:ext cx="5274310" cy="254635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数据来源：wind，富荣基金；统计区间：20250506-20250509</w:t>
      </w:r>
    </w:p>
    <w:p w14:paraId="05087BB0" w14:textId="77777777" w:rsidR="00565A59" w:rsidRDefault="00AE5C51">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图五：信用利差变化</w:t>
      </w:r>
      <w:r>
        <w:rPr>
          <w:rFonts w:ascii="思源黑体 CN Light" w:eastAsia="思源黑体 CN Light" w:hAnsi="思源黑体 CN Light" w:cs="Times New Roman"/>
          <w:b/>
          <w:noProof/>
          <w:color w:val="000000"/>
          <w:kern w:val="0"/>
          <w:sz w:val="20"/>
          <w:szCs w:val="20"/>
        </w:rPr>
        <w:drawing>
          <wp:inline distT="0" distB="0" distL="0" distR="0" wp14:anchorId="52B57146" wp14:editId="15C75C7B">
            <wp:extent cx="5274310" cy="2206625"/>
            <wp:effectExtent l="0" t="0" r="2540" b="3175"/>
            <wp:docPr id="313424443"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424443" name="图片 11" descr="图表, 瀑布图&#10;&#10;AI 生成的内容可能不正确。"/>
                    <pic:cNvPicPr>
                      <a:picLocks noChangeAspect="1"/>
                    </pic:cNvPicPr>
                  </pic:nvPicPr>
                  <pic:blipFill>
                    <a:blip r:embed="rId10"/>
                    <a:stretch>
                      <a:fillRect/>
                    </a:stretch>
                  </pic:blipFill>
                  <pic:spPr>
                    <a:xfrm>
                      <a:off x="0" y="0"/>
                      <a:ext cx="5274310" cy="220662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数据来源：wind，富荣基金；统计区间：20250506-20250509</w:t>
      </w:r>
    </w:p>
    <w:p w14:paraId="317DB467" w14:textId="77777777" w:rsidR="00565A59" w:rsidRDefault="00565A59">
      <w:pPr>
        <w:ind w:firstLineChars="200" w:firstLine="400"/>
        <w:rPr>
          <w:rFonts w:ascii="思源黑体 CN Light" w:eastAsia="思源黑体 CN Light" w:hAnsi="思源黑体 CN Light" w:hint="eastAsia"/>
          <w:sz w:val="20"/>
          <w:szCs w:val="20"/>
        </w:rPr>
      </w:pPr>
    </w:p>
    <w:p w14:paraId="3E7EA65D" w14:textId="77777777" w:rsidR="00565A59" w:rsidRDefault="00565A59">
      <w:pPr>
        <w:ind w:firstLineChars="200" w:firstLine="400"/>
        <w:rPr>
          <w:rFonts w:ascii="思源黑体 CN Light" w:eastAsia="思源黑体 CN Light" w:hAnsi="思源黑体 CN Light" w:hint="eastAsia"/>
          <w:sz w:val="20"/>
          <w:szCs w:val="20"/>
        </w:rPr>
      </w:pPr>
    </w:p>
    <w:p w14:paraId="1BC11A8D" w14:textId="77777777" w:rsidR="00565A59" w:rsidRDefault="00565A59">
      <w:pPr>
        <w:ind w:firstLineChars="200" w:firstLine="400"/>
        <w:rPr>
          <w:rFonts w:ascii="思源黑体 CN Light" w:eastAsia="思源黑体 CN Light" w:hAnsi="思源黑体 CN Light" w:hint="eastAsia"/>
          <w:sz w:val="20"/>
          <w:szCs w:val="20"/>
        </w:rPr>
      </w:pPr>
    </w:p>
    <w:p w14:paraId="5A2441C0" w14:textId="77777777" w:rsidR="00565A59" w:rsidRDefault="00565A59">
      <w:pPr>
        <w:ind w:firstLineChars="200" w:firstLine="400"/>
        <w:rPr>
          <w:rFonts w:ascii="思源黑体 CN Light" w:eastAsia="思源黑体 CN Light" w:hAnsi="思源黑体 CN Light" w:hint="eastAsia"/>
          <w:sz w:val="20"/>
          <w:szCs w:val="20"/>
        </w:rPr>
      </w:pPr>
    </w:p>
    <w:p w14:paraId="3BFB5B3C" w14:textId="77777777" w:rsidR="00565A59" w:rsidRDefault="00565A59">
      <w:pPr>
        <w:ind w:firstLineChars="200" w:firstLine="400"/>
        <w:rPr>
          <w:rFonts w:ascii="思源黑体 CN Light" w:eastAsia="思源黑体 CN Light" w:hAnsi="思源黑体 CN Light" w:hint="eastAsia"/>
          <w:sz w:val="20"/>
          <w:szCs w:val="20"/>
        </w:rPr>
      </w:pPr>
    </w:p>
    <w:p w14:paraId="34E7E9A2" w14:textId="77777777" w:rsidR="00565A59" w:rsidRDefault="00AE5C51">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3FFAC7B7" w14:textId="77777777" w:rsidR="00565A59" w:rsidRDefault="00AE5C51">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p w14:paraId="12CC857C" w14:textId="77777777" w:rsidR="00565A59" w:rsidRDefault="00565A59">
      <w:pPr>
        <w:rPr>
          <w:rFonts w:hint="eastAsia"/>
        </w:rPr>
      </w:pPr>
    </w:p>
    <w:p w14:paraId="4B299CE5" w14:textId="77777777" w:rsidR="00565A59" w:rsidRDefault="00565A59">
      <w:pPr>
        <w:rPr>
          <w:rFonts w:hint="eastAsia"/>
        </w:rPr>
      </w:pPr>
    </w:p>
    <w:p w14:paraId="1674D589" w14:textId="77777777" w:rsidR="00565A59" w:rsidRDefault="00565A59">
      <w:pPr>
        <w:rPr>
          <w:rFonts w:hint="eastAsia"/>
        </w:rPr>
      </w:pPr>
    </w:p>
    <w:p w14:paraId="1B30A22B" w14:textId="77777777" w:rsidR="00565A59" w:rsidRDefault="00565A59">
      <w:pPr>
        <w:rPr>
          <w:rFonts w:hint="eastAsia"/>
        </w:rPr>
      </w:pPr>
    </w:p>
    <w:sectPr w:rsidR="00565A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56437" w14:textId="77777777" w:rsidR="005326D6" w:rsidRDefault="005326D6">
      <w:pPr>
        <w:rPr>
          <w:rFonts w:hint="eastAsia"/>
        </w:rPr>
      </w:pPr>
      <w:r>
        <w:separator/>
      </w:r>
    </w:p>
  </w:endnote>
  <w:endnote w:type="continuationSeparator" w:id="0">
    <w:p w14:paraId="77D7357C" w14:textId="77777777" w:rsidR="005326D6" w:rsidRDefault="005326D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6A78F" w14:textId="77777777" w:rsidR="005326D6" w:rsidRDefault="005326D6">
      <w:pPr>
        <w:rPr>
          <w:rFonts w:hint="eastAsia"/>
        </w:rPr>
      </w:pPr>
      <w:r>
        <w:separator/>
      </w:r>
    </w:p>
  </w:footnote>
  <w:footnote w:type="continuationSeparator" w:id="0">
    <w:p w14:paraId="56290311" w14:textId="77777777" w:rsidR="005326D6" w:rsidRDefault="005326D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6B82"/>
    <w:rsid w:val="000047E1"/>
    <w:rsid w:val="00116B82"/>
    <w:rsid w:val="002048E8"/>
    <w:rsid w:val="002F63B0"/>
    <w:rsid w:val="005326D6"/>
    <w:rsid w:val="00552A56"/>
    <w:rsid w:val="00565A59"/>
    <w:rsid w:val="00666721"/>
    <w:rsid w:val="006B36EE"/>
    <w:rsid w:val="006C537F"/>
    <w:rsid w:val="00852735"/>
    <w:rsid w:val="00AE5C51"/>
    <w:rsid w:val="00C213B1"/>
    <w:rsid w:val="554763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638FF4"/>
  <w15:docId w15:val="{9FC3AFCF-20BD-49A9-A069-5B693C3D0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Subtitle"/>
    <w:basedOn w:val="a"/>
    <w:next w:val="a"/>
    <w:link w:val="a5"/>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a7"/>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7">
    <w:name w:val="标题 字符"/>
    <w:basedOn w:val="a0"/>
    <w:link w:val="a6"/>
    <w:uiPriority w:val="10"/>
    <w:rPr>
      <w:rFonts w:asciiTheme="majorHAnsi" w:eastAsiaTheme="majorEastAsia" w:hAnsiTheme="majorHAnsi" w:cstheme="majorBidi"/>
      <w:spacing w:val="-10"/>
      <w:kern w:val="28"/>
      <w:sz w:val="56"/>
      <w:szCs w:val="56"/>
    </w:rPr>
  </w:style>
  <w:style w:type="character" w:customStyle="1" w:styleId="a5">
    <w:name w:val="副标题 字符"/>
    <w:basedOn w:val="a0"/>
    <w:link w:val="a4"/>
    <w:uiPriority w:val="11"/>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pPr>
      <w:spacing w:before="160"/>
      <w:jc w:val="center"/>
    </w:pPr>
    <w:rPr>
      <w:i/>
      <w:iCs/>
      <w:color w:val="404040" w:themeColor="text1" w:themeTint="BF"/>
    </w:rPr>
  </w:style>
  <w:style w:type="character" w:customStyle="1" w:styleId="a9">
    <w:name w:val="引用 字符"/>
    <w:basedOn w:val="a0"/>
    <w:link w:val="a8"/>
    <w:uiPriority w:val="29"/>
    <w:rPr>
      <w:i/>
      <w:iCs/>
      <w:color w:val="404040" w:themeColor="text1" w:themeTint="BF"/>
    </w:rPr>
  </w:style>
  <w:style w:type="paragraph" w:styleId="aa">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b">
    <w:name w:val="Intense Quote"/>
    <w:basedOn w:val="a"/>
    <w:next w:val="a"/>
    <w:link w:val="ac"/>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styleId="ad">
    <w:name w:val="annotation reference"/>
    <w:basedOn w:val="a0"/>
    <w:uiPriority w:val="99"/>
    <w:semiHidden/>
    <w:unhideWhenUsed/>
    <w:rPr>
      <w:sz w:val="21"/>
      <w:szCs w:val="21"/>
    </w:rPr>
  </w:style>
  <w:style w:type="paragraph" w:styleId="ae">
    <w:name w:val="Balloon Text"/>
    <w:basedOn w:val="a"/>
    <w:link w:val="af"/>
    <w:uiPriority w:val="99"/>
    <w:semiHidden/>
    <w:unhideWhenUsed/>
    <w:rsid w:val="00552A56"/>
    <w:rPr>
      <w:sz w:val="18"/>
      <w:szCs w:val="18"/>
    </w:rPr>
  </w:style>
  <w:style w:type="character" w:customStyle="1" w:styleId="af">
    <w:name w:val="批注框文本 字符"/>
    <w:basedOn w:val="a0"/>
    <w:link w:val="ae"/>
    <w:uiPriority w:val="99"/>
    <w:semiHidden/>
    <w:rsid w:val="00552A56"/>
    <w:rPr>
      <w:rFonts w:asciiTheme="minorHAnsi" w:eastAsiaTheme="minorEastAsia" w:hAnsiTheme="minorHAnsi" w:cstheme="minorBidi"/>
      <w:kern w:val="2"/>
      <w:sz w:val="18"/>
      <w:szCs w:val="18"/>
    </w:rPr>
  </w:style>
  <w:style w:type="paragraph" w:styleId="af0">
    <w:name w:val="header"/>
    <w:basedOn w:val="a"/>
    <w:link w:val="af1"/>
    <w:uiPriority w:val="99"/>
    <w:unhideWhenUsed/>
    <w:rsid w:val="00552A56"/>
    <w:pPr>
      <w:pBdr>
        <w:bottom w:val="single" w:sz="6" w:space="1" w:color="auto"/>
      </w:pBdr>
      <w:tabs>
        <w:tab w:val="center" w:pos="4153"/>
        <w:tab w:val="right" w:pos="8306"/>
      </w:tabs>
      <w:snapToGrid w:val="0"/>
      <w:jc w:val="center"/>
    </w:pPr>
    <w:rPr>
      <w:sz w:val="18"/>
      <w:szCs w:val="18"/>
    </w:rPr>
  </w:style>
  <w:style w:type="character" w:customStyle="1" w:styleId="af1">
    <w:name w:val="页眉 字符"/>
    <w:basedOn w:val="a0"/>
    <w:link w:val="af0"/>
    <w:uiPriority w:val="99"/>
    <w:rsid w:val="00552A56"/>
    <w:rPr>
      <w:rFonts w:asciiTheme="minorHAnsi" w:eastAsiaTheme="minorEastAsia" w:hAnsiTheme="minorHAnsi" w:cstheme="minorBidi"/>
      <w:kern w:val="2"/>
      <w:sz w:val="18"/>
      <w:szCs w:val="18"/>
    </w:rPr>
  </w:style>
  <w:style w:type="paragraph" w:styleId="af2">
    <w:name w:val="footer"/>
    <w:basedOn w:val="a"/>
    <w:link w:val="af3"/>
    <w:uiPriority w:val="99"/>
    <w:unhideWhenUsed/>
    <w:rsid w:val="00552A56"/>
    <w:pPr>
      <w:tabs>
        <w:tab w:val="center" w:pos="4153"/>
        <w:tab w:val="right" w:pos="8306"/>
      </w:tabs>
      <w:snapToGrid w:val="0"/>
      <w:jc w:val="left"/>
    </w:pPr>
    <w:rPr>
      <w:sz w:val="18"/>
      <w:szCs w:val="18"/>
    </w:rPr>
  </w:style>
  <w:style w:type="character" w:customStyle="1" w:styleId="af3">
    <w:name w:val="页脚 字符"/>
    <w:basedOn w:val="a0"/>
    <w:link w:val="af2"/>
    <w:uiPriority w:val="99"/>
    <w:rsid w:val="00552A56"/>
    <w:rPr>
      <w:rFonts w:asciiTheme="minorHAnsi" w:eastAsiaTheme="minorEastAsia" w:hAnsiTheme="minorHAnsi" w:cstheme="minorBidi"/>
      <w:kern w:val="2"/>
      <w:sz w:val="18"/>
      <w:szCs w:val="18"/>
    </w:rPr>
  </w:style>
  <w:style w:type="paragraph" w:styleId="af4">
    <w:name w:val="Revision"/>
    <w:hidden/>
    <w:uiPriority w:val="99"/>
    <w:unhideWhenUsed/>
    <w:rsid w:val="002048E8"/>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642</Words>
  <Characters>777</Characters>
  <Application>Microsoft Office Word</Application>
  <DocSecurity>0</DocSecurity>
  <Lines>33</Lines>
  <Paragraphs>20</Paragraphs>
  <ScaleCrop>false</ScaleCrop>
  <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3</cp:revision>
  <dcterms:created xsi:type="dcterms:W3CDTF">2025-05-12T07:08:00Z</dcterms:created>
  <dcterms:modified xsi:type="dcterms:W3CDTF">2025-05-12T07:31:00Z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2052-12.1.0.20784</vt:lpwstr>
  </property>
  <property fmtid="{D5CDD505-2E9C-101B-9397-08002B2CF9AE}" pid="4" name="ICV">
    <vt:lpwstr>84EC9C10E57E4F15B80F5BD3B9094681_12</vt:lpwstr>
  </property>
</Properties>
</file>