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D1C5E6" w14:textId="77777777" w:rsidR="00621644" w:rsidRDefault="00010D6D">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富荣权益：把握贸易博弈缓和与国内政策发力下的结构性机会</w:t>
      </w:r>
    </w:p>
    <w:p w14:paraId="57A1C83E" w14:textId="77777777" w:rsidR="00621644" w:rsidRDefault="00010D6D">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
    <w:p w14:paraId="748BDB7F" w14:textId="77777777" w:rsidR="00621644" w:rsidRDefault="00010D6D">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上周（2025年5月6日至2025年5月9日，下同）权益市场指数多数上涨，</w:t>
      </w:r>
      <w:r>
        <w:rPr>
          <w:rFonts w:ascii="思源黑体 CN Light" w:eastAsia="思源黑体 CN Light" w:hAnsi="思源黑体 CN Light" w:cs="Times New Roman"/>
          <w:color w:val="000000" w:themeColor="text1"/>
          <w:sz w:val="21"/>
          <w:szCs w:val="20"/>
        </w:rPr>
        <w:t>深证成指、上证指数、创业板指分别报收</w:t>
      </w:r>
      <w:r>
        <w:rPr>
          <w:rFonts w:ascii="思源黑体 CN Light" w:eastAsia="思源黑体 CN Light" w:hAnsi="思源黑体 CN Light" w:cs="Times New Roman" w:hint="eastAsia"/>
          <w:color w:val="000000" w:themeColor="text1"/>
          <w:sz w:val="21"/>
          <w:szCs w:val="20"/>
        </w:rPr>
        <w:t>10126.83</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3342.00</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2011.77</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其中，创业板50（+4.13%）涨幅最大；创业板指（+3.27%）、深证成指（+2.29%）、中证1000（+2.22%）、沪深300（+2.00%）、创成长（+2.00%）、上证50（+1.93%）、上证指数（+1.92%）、中证500（+1.60%）、科创50（-0.60%）紧随其后。</w:t>
      </w:r>
    </w:p>
    <w:p w14:paraId="34708356" w14:textId="76274C9E" w:rsidR="00621644" w:rsidRPr="00834D8B" w:rsidRDefault="00010D6D">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图：主要股指</w:t>
      </w:r>
      <w:r>
        <w:rPr>
          <w:rFonts w:ascii="思源黑体 CN Light" w:eastAsia="思源黑体 CN Light" w:hAnsi="思源黑体 CN Light" w:cs="Times New Roman" w:hint="eastAsia"/>
          <w:b/>
          <w:sz w:val="21"/>
          <w:szCs w:val="20"/>
        </w:rPr>
        <w:t>周度/月度</w:t>
      </w:r>
      <w:r>
        <w:rPr>
          <w:rFonts w:ascii="思源黑体 CN Light" w:eastAsia="思源黑体 CN Light" w:hAnsi="思源黑体 CN Light" w:cs="Times New Roman"/>
          <w:b/>
          <w:sz w:val="21"/>
          <w:szCs w:val="20"/>
        </w:rPr>
        <w:t>涨跌幅（单位：%）</w:t>
      </w:r>
      <w:r w:rsidR="00834D8B">
        <w:rPr>
          <w:rFonts w:hint="eastAsia"/>
          <w:noProof/>
        </w:rPr>
        <w:drawing>
          <wp:inline distT="0" distB="0" distL="0" distR="0" wp14:anchorId="1A139AB9" wp14:editId="729121E6">
            <wp:extent cx="6479540" cy="3538220"/>
            <wp:effectExtent l="0" t="0" r="0" b="5080"/>
            <wp:docPr id="79944740" name="图片 1"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44740" name="图片 1" descr="图表, 条形图&#10;&#10;AI 生成的内容可能不正确。"/>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79540" cy="3538220"/>
                    </a:xfrm>
                    <a:prstGeom prst="rect">
                      <a:avLst/>
                    </a:prstGeom>
                    <a:noFill/>
                    <a:ln>
                      <a:noFill/>
                    </a:ln>
                  </pic:spPr>
                </pic:pic>
              </a:graphicData>
            </a:graphic>
          </wp:inline>
        </w:drawing>
      </w:r>
    </w:p>
    <w:p w14:paraId="5B6B38CE" w14:textId="77777777" w:rsidR="00621644" w:rsidRDefault="00010D6D">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数据来源：wind，富荣基金管理有限公司</w:t>
      </w:r>
      <w:r>
        <w:rPr>
          <w:rFonts w:ascii="思源黑体 CN Light" w:eastAsia="思源黑体 CN Light" w:hAnsi="思源黑体 CN Light" w:cs="Times New Roman" w:hint="eastAsia"/>
          <w:sz w:val="13"/>
          <w:szCs w:val="20"/>
        </w:rPr>
        <w:t>；周涨跌幅统计区间：20250506-20250509；月涨跌幅统计区间：20250501-20250509</w:t>
      </w:r>
    </w:p>
    <w:p w14:paraId="3B6F2A60" w14:textId="77777777" w:rsidR="00621644" w:rsidRDefault="00010D6D">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各行业的全部上涨，其中申万一级行业指数中，国防军工（+6.33%）、通信（+4.96%）、电力设备（+4.02%）等行业涨幅较大。</w:t>
      </w:r>
    </w:p>
    <w:p w14:paraId="32B98229" w14:textId="77777777" w:rsidR="00621644" w:rsidRDefault="00010D6D">
      <w:pPr>
        <w:ind w:firstLineChars="200" w:firstLine="428"/>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b/>
          <w:sz w:val="21"/>
          <w:szCs w:val="20"/>
        </w:rPr>
        <w:t>图：申万一级行业周涨跌幅（单位：%）</w:t>
      </w:r>
      <w:r>
        <w:rPr>
          <w:rFonts w:ascii="思源黑体 CN Light" w:eastAsia="思源黑体 CN Light" w:hAnsi="思源黑体 CN Light" w:cs="Times New Roman"/>
          <w:b/>
          <w:noProof/>
          <w:sz w:val="21"/>
          <w:szCs w:val="20"/>
        </w:rPr>
        <w:lastRenderedPageBreak/>
        <w:drawing>
          <wp:inline distT="0" distB="0" distL="0" distR="0" wp14:anchorId="07A8B113" wp14:editId="6D9DD27B">
            <wp:extent cx="6479540" cy="4004945"/>
            <wp:effectExtent l="0" t="0" r="0" b="0"/>
            <wp:docPr id="10" name="图片 9" descr="图片包含 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图片包含 图表&#10;&#10;AI 生成的内容可能不正确。"/>
                    <pic:cNvPicPr>
                      <a:picLocks noChangeAspect="1"/>
                    </pic:cNvPicPr>
                  </pic:nvPicPr>
                  <pic:blipFill>
                    <a:blip r:embed="rId8"/>
                    <a:stretch>
                      <a:fillRect/>
                    </a:stretch>
                  </pic:blipFill>
                  <pic:spPr>
                    <a:xfrm>
                      <a:off x="0" y="0"/>
                      <a:ext cx="6479540" cy="4004945"/>
                    </a:xfrm>
                    <a:prstGeom prst="rect">
                      <a:avLst/>
                    </a:prstGeom>
                  </pic:spPr>
                </pic:pic>
              </a:graphicData>
            </a:graphic>
          </wp:inline>
        </w:drawing>
      </w:r>
      <w:r>
        <w:rPr>
          <w:rFonts w:ascii="思源黑体 CN Light" w:eastAsia="思源黑体 CN Light" w:hAnsi="思源黑体 CN Light" w:cs="Times New Roman"/>
          <w:sz w:val="13"/>
          <w:szCs w:val="20"/>
        </w:rPr>
        <w:t>数据来源：wind，富荣基金管理有限公司</w:t>
      </w:r>
      <w:r>
        <w:rPr>
          <w:rFonts w:ascii="思源黑体 CN Light" w:eastAsia="思源黑体 CN Light" w:hAnsi="思源黑体 CN Light" w:cs="Times New Roman" w:hint="eastAsia"/>
          <w:sz w:val="13"/>
          <w:szCs w:val="20"/>
        </w:rPr>
        <w:t>；统计区间：20250506-20250509</w:t>
      </w:r>
    </w:p>
    <w:p w14:paraId="11C33E35" w14:textId="77777777" w:rsidR="00621644" w:rsidRDefault="00621644">
      <w:pPr>
        <w:pStyle w:val="2"/>
        <w:tabs>
          <w:tab w:val="left" w:pos="4364"/>
          <w:tab w:val="right" w:pos="10204"/>
        </w:tabs>
        <w:rPr>
          <w:rFonts w:ascii="思源黑体 CN Light" w:eastAsia="思源黑体 CN Light" w:hAnsi="思源黑体 CN Light" w:cs="Times New Roman" w:hint="eastAsia"/>
          <w:color w:val="000000"/>
          <w:sz w:val="21"/>
          <w:szCs w:val="20"/>
          <w:shd w:val="clear" w:color="auto" w:fill="FFFFFF"/>
        </w:rPr>
      </w:pPr>
    </w:p>
    <w:p w14:paraId="0A362C88" w14:textId="77777777" w:rsidR="00621644" w:rsidRDefault="00010D6D">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二、军工行业点评与展望</w:t>
      </w:r>
    </w:p>
    <w:p w14:paraId="5B571680" w14:textId="77777777" w:rsidR="00621644" w:rsidRDefault="00010D6D">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上周，国防军工上涨6.33%，跑赢沪深300指数4.33%，在所有申万一级行业指数中涨幅居前。</w:t>
      </w:r>
    </w:p>
    <w:p w14:paraId="37071613" w14:textId="77777777" w:rsidR="00621644" w:rsidRDefault="00010D6D">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一方面，过去一周印巴爆发激烈冲突，其中中国军工外贸产品引发高度关注。据巴基斯坦今日新闻电视台巴基斯坦副总理兼外交部长关于“短暂空战”的报道，市场对军贸的理解有望从“单一、零星装备”的输出，转向以“精锐力量为主体的联合作战力量体系”，持续军贸出海预期加强，国防军工装备军贸空间有望进一步上行。</w:t>
      </w:r>
    </w:p>
    <w:p w14:paraId="25E6AE1F" w14:textId="36EFF5A0" w:rsidR="00621644" w:rsidRDefault="00010D6D">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另一方面，关税冲突将持续凸显军工行业的“行业比较优势”。近日，中美经贸高层会谈在瑞士日内瓦举行，关税冲突进入新的不确定阶段，而军工行业自主可控的特点有望持续凸显。同时，随着关税对抗的加剧，地缘政治影响变大，中国将更加重视自身综合实力的提升，有望加大军工行业的投入，或将提高整个行业的成长性。</w:t>
      </w:r>
    </w:p>
    <w:p w14:paraId="1DB29F39" w14:textId="77777777" w:rsidR="00621644" w:rsidRDefault="00010D6D">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展望后市，百年大变局下地缘政治冲突的加剧，军工行业类似的事件驱动行情或更加频繁。同时，年报一季</w:t>
      </w:r>
      <w:r>
        <w:rPr>
          <w:rFonts w:ascii="思源黑体 CN Light" w:eastAsia="思源黑体 CN Light" w:hAnsi="思源黑体 CN Light" w:cs="Times New Roman" w:hint="eastAsia"/>
          <w:color w:val="000000" w:themeColor="text1"/>
          <w:sz w:val="21"/>
          <w:szCs w:val="20"/>
        </w:rPr>
        <w:lastRenderedPageBreak/>
        <w:t>报密集披露后，当前军工板块业绩底部区间特征相对显著。临近十四五收官，相关内需核心装备的需求计划正逐渐明确，有望逐渐形成自下而上的景气扩张预期。预计随着订单交付，业绩逐季改善趋势或将进一步强化，军工基本面的积极变化将有效夯实行业上行基础。</w:t>
      </w:r>
    </w:p>
    <w:p w14:paraId="68931DE1" w14:textId="77777777" w:rsidR="00621644" w:rsidRDefault="00621644">
      <w:pPr>
        <w:tabs>
          <w:tab w:val="left" w:pos="5594"/>
        </w:tabs>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1"/>
    <w:p w14:paraId="6EEE2836" w14:textId="77777777" w:rsidR="00621644" w:rsidRDefault="00010D6D">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b/>
          <w:bCs/>
          <w:sz w:val="22"/>
          <w:szCs w:val="24"/>
        </w:rPr>
        <w:t>三、本周展望</w:t>
      </w:r>
    </w:p>
    <w:p w14:paraId="418999E6" w14:textId="6E95883D" w:rsidR="00621644" w:rsidRDefault="00010D6D">
      <w:pPr>
        <w:ind w:firstLineChars="200" w:firstLine="420"/>
        <w:rPr>
          <w:rFonts w:ascii="思源黑体 CN Light" w:eastAsia="思源黑体 CN Light" w:hAnsi="思源黑体 CN Light" w:cs="Times New Roman" w:hint="eastAsia"/>
          <w:color w:val="000000"/>
          <w:sz w:val="21"/>
          <w:szCs w:val="20"/>
          <w:shd w:val="clear" w:color="auto" w:fill="FFFFFF"/>
        </w:rPr>
      </w:pPr>
      <w:bookmarkStart w:id="2" w:name="OLE_LINK2"/>
      <w:bookmarkStart w:id="3" w:name="OLE_LINK3"/>
      <w:bookmarkStart w:id="4" w:name="OLE_LINK1"/>
      <w:r>
        <w:rPr>
          <w:rFonts w:ascii="思源黑体 CN Light" w:eastAsia="思源黑体 CN Light" w:hAnsi="思源黑体 CN Light" w:cs="Times New Roman" w:hint="eastAsia"/>
          <w:color w:val="000000"/>
          <w:sz w:val="21"/>
          <w:szCs w:val="20"/>
          <w:shd w:val="clear" w:color="auto" w:fill="FFFFFF"/>
        </w:rPr>
        <w:t>上周，A股市场情绪有所修复，市场小幅上涨。行业结构上，军工、通信、电力设备等板块涨幅靠前，而房地产、电子、商贸等板块</w:t>
      </w:r>
      <w:r w:rsidR="00983F10">
        <w:rPr>
          <w:rFonts w:ascii="思源黑体 CN Light" w:eastAsia="思源黑体 CN Light" w:hAnsi="思源黑体 CN Light" w:cs="Times New Roman" w:hint="eastAsia"/>
          <w:color w:val="000000"/>
          <w:sz w:val="21"/>
          <w:szCs w:val="20"/>
          <w:shd w:val="clear" w:color="auto" w:fill="FFFFFF"/>
        </w:rPr>
        <w:t>涨</w:t>
      </w:r>
      <w:r>
        <w:rPr>
          <w:rFonts w:ascii="思源黑体 CN Light" w:eastAsia="思源黑体 CN Light" w:hAnsi="思源黑体 CN Light" w:cs="Times New Roman" w:hint="eastAsia"/>
          <w:color w:val="000000"/>
          <w:sz w:val="21"/>
          <w:szCs w:val="20"/>
          <w:shd w:val="clear" w:color="auto" w:fill="FFFFFF"/>
        </w:rPr>
        <w:t>幅靠</w:t>
      </w:r>
      <w:r w:rsidR="00983F10">
        <w:rPr>
          <w:rFonts w:ascii="思源黑体 CN Light" w:eastAsia="思源黑体 CN Light" w:hAnsi="思源黑体 CN Light" w:cs="Times New Roman" w:hint="eastAsia"/>
          <w:color w:val="000000"/>
          <w:sz w:val="21"/>
          <w:szCs w:val="20"/>
          <w:shd w:val="clear" w:color="auto" w:fill="FFFFFF"/>
        </w:rPr>
        <w:t>后</w:t>
      </w:r>
      <w:r>
        <w:rPr>
          <w:rFonts w:ascii="思源黑体 CN Light" w:eastAsia="思源黑体 CN Light" w:hAnsi="思源黑体 CN Light" w:cs="Times New Roman" w:hint="eastAsia"/>
          <w:color w:val="000000"/>
          <w:sz w:val="21"/>
          <w:szCs w:val="20"/>
          <w:shd w:val="clear" w:color="auto" w:fill="FFFFFF"/>
        </w:rPr>
        <w:t>。</w:t>
      </w:r>
    </w:p>
    <w:p w14:paraId="56E1F72D" w14:textId="77777777" w:rsidR="00621644" w:rsidRDefault="00010D6D">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一方面，5月10日中美经贸高层会议在日内瓦举行，这标志着中美贸易博弈进入一个边际缓和的窗口期。但经历过2018年~2020年上一轮贸易战后，市场投资者普遍对贸易协议的快速达成预期不高。从节奏上看，我们认为贸易博弈预计将呈现中长期态势，伴随着加码、谈判、缓和等反复拉锯的过程，其对市场的影响也将边际减弱。</w:t>
      </w:r>
    </w:p>
    <w:p w14:paraId="35D46565" w14:textId="77777777" w:rsidR="00621644" w:rsidRDefault="00010D6D">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另一方面，国内政策层面积极发力。在5月7日国新办发布会上，中国人民银行、金管局以及证监会围绕“稳市场稳预期”出台了一系列政策组合拳。其中，央行一举推出三大类共十项措施，包括降准降息以及针对科技、消费、养老等领域的结构性再贷款。金管局也推出了8项增量政策，涵盖稳楼市政策、推动保险资金入市、支持小微企业融资、加大科技创新投资等。证监会则在科技创新、并购重组、公募基金改革等方面做出了相关政策安排。在关税战背景下，国内政府机构已做好一揽子政策储备，通过多工具配合，由点及面地稳定市场预期，这也充分显示了政府稳市场、稳预期的决心与信心。</w:t>
      </w:r>
    </w:p>
    <w:p w14:paraId="3042AAAF" w14:textId="77777777" w:rsidR="00621644" w:rsidRDefault="00010D6D">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对于市场而言，指数层面下有支撑，但向上仍需消化外需回落的担忧。因此，把握结构性机会成为当下的核心。</w:t>
      </w:r>
    </w:p>
    <w:bookmarkEnd w:id="2"/>
    <w:bookmarkEnd w:id="3"/>
    <w:p w14:paraId="089AD0FF" w14:textId="77777777" w:rsidR="00621644" w:rsidRDefault="00010D6D">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行业重点关注：1、成长赛道，如国产AI产业链、半导体、医药等板块；2、底部区间有拐点预期板块，如证券、电新、消费等。</w:t>
      </w:r>
    </w:p>
    <w:bookmarkEnd w:id="4"/>
    <w:p w14:paraId="36507CD0" w14:textId="77777777" w:rsidR="00621644" w:rsidRDefault="00010D6D">
      <w:pPr>
        <w:ind w:firstLineChars="200" w:firstLine="428"/>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b/>
          <w:bCs/>
          <w:sz w:val="21"/>
          <w:szCs w:val="24"/>
        </w:rPr>
        <w:t>风险提示</w:t>
      </w:r>
      <w:r>
        <w:rPr>
          <w:rFonts w:ascii="思源黑体 CN Light" w:eastAsia="思源黑体 CN Light" w:hAnsi="思源黑体 CN Light" w:cs="Times New Roman" w:hint="eastAsia"/>
          <w:b/>
          <w:bCs/>
          <w:sz w:val="21"/>
          <w:szCs w:val="24"/>
        </w:rPr>
        <w:t>：</w:t>
      </w:r>
    </w:p>
    <w:p w14:paraId="48D0F78D" w14:textId="77777777" w:rsidR="00621644" w:rsidRDefault="00010D6D">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color w:val="000000"/>
          <w:sz w:val="21"/>
          <w:szCs w:val="20"/>
          <w:shd w:val="clear" w:color="auto" w:fill="FFFFFF"/>
        </w:rPr>
        <w:lastRenderedPageBreak/>
        <w:t>1、宏观经济超预期下行；</w:t>
      </w:r>
      <w:r>
        <w:rPr>
          <w:rFonts w:ascii="思源黑体 CN Light" w:eastAsia="思源黑体 CN Light" w:hAnsi="思源黑体 CN Light" w:cs="Times New Roman" w:hint="eastAsia"/>
          <w:color w:val="000000"/>
          <w:sz w:val="21"/>
          <w:szCs w:val="20"/>
          <w:shd w:val="clear" w:color="auto" w:fill="FFFFFF"/>
        </w:rPr>
        <w:t>2</w:t>
      </w:r>
      <w:r>
        <w:rPr>
          <w:rFonts w:ascii="思源黑体 CN Light" w:eastAsia="思源黑体 CN Light" w:hAnsi="思源黑体 CN Light" w:cs="Times New Roman"/>
          <w:color w:val="000000"/>
          <w:sz w:val="21"/>
          <w:szCs w:val="20"/>
          <w:shd w:val="clear" w:color="auto" w:fill="FFFFFF"/>
        </w:rPr>
        <w:t>、上市公司业绩大幅下滑；</w:t>
      </w:r>
      <w:r>
        <w:rPr>
          <w:rFonts w:ascii="思源黑体 CN Light" w:eastAsia="思源黑体 CN Light" w:hAnsi="思源黑体 CN Light" w:cs="Times New Roman" w:hint="eastAsia"/>
          <w:color w:val="000000"/>
          <w:sz w:val="21"/>
          <w:szCs w:val="20"/>
          <w:shd w:val="clear" w:color="auto" w:fill="FFFFFF"/>
        </w:rPr>
        <w:t>3</w:t>
      </w:r>
      <w:r>
        <w:rPr>
          <w:rFonts w:ascii="思源黑体 CN Light" w:eastAsia="思源黑体 CN Light" w:hAnsi="思源黑体 CN Light" w:cs="Times New Roman"/>
          <w:color w:val="000000"/>
          <w:sz w:val="21"/>
          <w:szCs w:val="20"/>
          <w:shd w:val="clear" w:color="auto" w:fill="FFFFFF"/>
        </w:rPr>
        <w:t>、政策不及预期</w:t>
      </w:r>
      <w:r>
        <w:rPr>
          <w:rFonts w:ascii="思源黑体 CN Light" w:eastAsia="思源黑体 CN Light" w:hAnsi="思源黑体 CN Light" w:cs="Times New Roman" w:hint="eastAsia"/>
          <w:color w:val="000000"/>
          <w:sz w:val="21"/>
          <w:szCs w:val="20"/>
          <w:shd w:val="clear" w:color="auto" w:fill="FFFFFF"/>
        </w:rPr>
        <w:t>。</w:t>
      </w:r>
    </w:p>
    <w:p w14:paraId="13B5BAB6" w14:textId="77777777" w:rsidR="00621644" w:rsidRDefault="00621644">
      <w:pPr>
        <w:rPr>
          <w:rFonts w:ascii="思源黑体 CN Light" w:eastAsia="思源黑体 CN Light" w:hAnsi="思源黑体 CN Light" w:cs="Times New Roman" w:hint="eastAsia"/>
          <w:color w:val="000000"/>
          <w:sz w:val="21"/>
          <w:szCs w:val="20"/>
          <w:shd w:val="clear" w:color="auto" w:fill="FFFFFF"/>
        </w:rPr>
      </w:pPr>
    </w:p>
    <w:p w14:paraId="3DC88D77" w14:textId="77777777" w:rsidR="00621644" w:rsidRDefault="00621644">
      <w:pPr>
        <w:pStyle w:val="af4"/>
        <w:ind w:firstLineChars="0" w:firstLine="0"/>
        <w:rPr>
          <w:rFonts w:ascii="思源黑体 CN Light" w:eastAsia="思源黑体 CN Light" w:hAnsi="思源黑体 CN Light" w:cs="Times New Roman" w:hint="eastAsia"/>
          <w:sz w:val="20"/>
          <w:szCs w:val="20"/>
        </w:rPr>
      </w:pPr>
    </w:p>
    <w:p w14:paraId="51E7F4A8" w14:textId="77777777" w:rsidR="00621644" w:rsidRDefault="00010D6D">
      <w:pPr>
        <w:ind w:firstLineChars="200" w:firstLine="360"/>
        <w:rPr>
          <w:rFonts w:hint="eastAsia"/>
        </w:rPr>
      </w:pPr>
      <w:r>
        <w:rPr>
          <w:rFonts w:ascii="思源黑体 CN Light" w:eastAsia="思源黑体 CN Light" w:hAnsi="思源黑体 CN Light" w:hint="eastAsia"/>
          <w:sz w:val="18"/>
          <w:szCs w:val="15"/>
        </w:rPr>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作出调整。2、本材料中的资料、观点和预测等仅供参考，在任何时候均不构成对任何人的个人推荐。市场有风险，投资需谨慎。</w:t>
      </w:r>
      <w:bookmarkEnd w:id="0"/>
    </w:p>
    <w:p w14:paraId="4AA1B67C" w14:textId="77777777" w:rsidR="00621644" w:rsidRDefault="00621644">
      <w:pPr>
        <w:rPr>
          <w:rFonts w:hint="eastAsia"/>
        </w:rPr>
      </w:pPr>
    </w:p>
    <w:p w14:paraId="38E28AA4" w14:textId="77777777" w:rsidR="00621644" w:rsidRDefault="00621644">
      <w:pPr>
        <w:rPr>
          <w:rFonts w:hint="eastAsia"/>
        </w:rPr>
      </w:pPr>
    </w:p>
    <w:p w14:paraId="65ED7604" w14:textId="77777777" w:rsidR="00621644" w:rsidRDefault="00621644">
      <w:pPr>
        <w:rPr>
          <w:rFonts w:hint="eastAsia"/>
        </w:rPr>
      </w:pPr>
    </w:p>
    <w:p w14:paraId="61D55962" w14:textId="77777777" w:rsidR="00621644" w:rsidRDefault="00621644">
      <w:pPr>
        <w:rPr>
          <w:rFonts w:hint="eastAsia"/>
        </w:rPr>
      </w:pPr>
    </w:p>
    <w:p w14:paraId="50D2EDF3" w14:textId="77777777" w:rsidR="00621644" w:rsidRDefault="00621644">
      <w:pPr>
        <w:rPr>
          <w:rFonts w:hint="eastAsia"/>
        </w:rPr>
      </w:pPr>
    </w:p>
    <w:p w14:paraId="46FF6BF4" w14:textId="77777777" w:rsidR="00621644" w:rsidRDefault="00621644">
      <w:pPr>
        <w:rPr>
          <w:rFonts w:hint="eastAsia"/>
        </w:rPr>
      </w:pPr>
    </w:p>
    <w:p w14:paraId="4FDD3FF7" w14:textId="77777777" w:rsidR="00621644" w:rsidRDefault="00621644">
      <w:pPr>
        <w:rPr>
          <w:rFonts w:hint="eastAsia"/>
        </w:rPr>
      </w:pPr>
    </w:p>
    <w:p w14:paraId="75EBB5C7" w14:textId="77777777" w:rsidR="00621644" w:rsidRDefault="00621644">
      <w:pPr>
        <w:rPr>
          <w:rFonts w:hint="eastAsia"/>
        </w:rPr>
      </w:pPr>
    </w:p>
    <w:sectPr w:rsidR="00621644">
      <w:headerReference w:type="default" r:id="rId9"/>
      <w:footerReference w:type="default" r:id="rId10"/>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FD2F93" w14:textId="77777777" w:rsidR="00CA02E5" w:rsidRDefault="00CA02E5">
      <w:pPr>
        <w:spacing w:line="240" w:lineRule="auto"/>
        <w:rPr>
          <w:rFonts w:hint="eastAsia"/>
        </w:rPr>
      </w:pPr>
      <w:r>
        <w:separator/>
      </w:r>
    </w:p>
  </w:endnote>
  <w:endnote w:type="continuationSeparator" w:id="0">
    <w:p w14:paraId="5F63FF40" w14:textId="77777777" w:rsidR="00CA02E5" w:rsidRDefault="00CA02E5">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353813" w14:textId="77777777" w:rsidR="00621644" w:rsidRDefault="00010D6D">
    <w:pPr>
      <w:pStyle w:val="a5"/>
      <w:tabs>
        <w:tab w:val="center" w:pos="5102"/>
        <w:tab w:val="left" w:pos="6847"/>
      </w:tabs>
      <w:rPr>
        <w:rFonts w:hint="eastAsia"/>
      </w:rPr>
    </w:pPr>
    <w:r>
      <w:tab/>
    </w:r>
    <w:r>
      <w:tab/>
    </w:r>
    <w:sdt>
      <w:sdtPr>
        <w:id w:val="1107850672"/>
      </w:sdtPr>
      <w:sdtContent>
        <w:sdt>
          <w:sdtPr>
            <w:id w:val="1728636285"/>
          </w:sdt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983F10">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983F10">
              <w:rPr>
                <w:b/>
                <w:bCs/>
                <w:noProof/>
              </w:rPr>
              <w:t>4</w:t>
            </w:r>
            <w:r>
              <w:rPr>
                <w:b/>
                <w:bCs/>
                <w:sz w:val="24"/>
                <w:szCs w:val="24"/>
              </w:rPr>
              <w:fldChar w:fldCharType="end"/>
            </w:r>
          </w:sdtContent>
        </w:sdt>
      </w:sdtContent>
    </w:sdt>
    <w:r>
      <w:tab/>
    </w:r>
  </w:p>
  <w:p w14:paraId="2EB51AED" w14:textId="77777777" w:rsidR="00621644" w:rsidRDefault="00621644">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B76C12" w14:textId="77777777" w:rsidR="00CA02E5" w:rsidRDefault="00CA02E5">
      <w:pPr>
        <w:rPr>
          <w:rFonts w:hint="eastAsia"/>
        </w:rPr>
      </w:pPr>
      <w:r>
        <w:separator/>
      </w:r>
    </w:p>
  </w:footnote>
  <w:footnote w:type="continuationSeparator" w:id="0">
    <w:p w14:paraId="45D36ABA" w14:textId="77777777" w:rsidR="00CA02E5" w:rsidRDefault="00CA02E5">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e"/>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621644" w14:paraId="1236B62F" w14:textId="77777777">
      <w:trPr>
        <w:trHeight w:val="424"/>
      </w:trPr>
      <w:tc>
        <w:tcPr>
          <w:tcW w:w="3652" w:type="dxa"/>
          <w:shd w:val="clear" w:color="auto" w:fill="F3F3F3"/>
          <w:vAlign w:val="center"/>
        </w:tcPr>
        <w:p w14:paraId="5E6A7584" w14:textId="77777777" w:rsidR="00621644" w:rsidRDefault="00010D6D">
          <w:pPr>
            <w:pStyle w:val="a7"/>
            <w:pBdr>
              <w:bottom w:val="none" w:sz="0" w:space="0" w:color="auto"/>
            </w:pBdr>
            <w:jc w:val="right"/>
            <w:rPr>
              <w:kern w:val="0"/>
            </w:rPr>
          </w:pPr>
          <w:r>
            <w:rPr>
              <w:rFonts w:hint="eastAsia"/>
              <w:kern w:val="0"/>
            </w:rPr>
            <w:t>证券研究报告</w:t>
          </w:r>
        </w:p>
      </w:tc>
      <w:tc>
        <w:tcPr>
          <w:tcW w:w="284" w:type="dxa"/>
          <w:shd w:val="clear" w:color="auto" w:fill="C3E2F4"/>
        </w:tcPr>
        <w:p w14:paraId="352B4051" w14:textId="77777777" w:rsidR="00621644" w:rsidRDefault="00621644">
          <w:pPr>
            <w:pStyle w:val="a7"/>
            <w:pBdr>
              <w:bottom w:val="none" w:sz="0" w:space="0" w:color="auto"/>
            </w:pBdr>
            <w:jc w:val="left"/>
            <w:rPr>
              <w:kern w:val="0"/>
            </w:rPr>
          </w:pPr>
        </w:p>
      </w:tc>
      <w:tc>
        <w:tcPr>
          <w:tcW w:w="2335" w:type="dxa"/>
          <w:shd w:val="clear" w:color="auto" w:fill="013F98"/>
          <w:vAlign w:val="center"/>
        </w:tcPr>
        <w:p w14:paraId="574F2476" w14:textId="77777777" w:rsidR="00621644" w:rsidRDefault="00010D6D">
          <w:pPr>
            <w:pStyle w:val="a7"/>
            <w:pBdr>
              <w:bottom w:val="none" w:sz="0" w:space="0" w:color="auto"/>
            </w:pBdr>
            <w:rPr>
              <w:kern w:val="0"/>
            </w:rPr>
          </w:pPr>
          <w:r>
            <w:rPr>
              <w:rFonts w:hint="eastAsia"/>
              <w:kern w:val="0"/>
            </w:rPr>
            <w:t>权益周报</w:t>
          </w:r>
        </w:p>
      </w:tc>
    </w:tr>
  </w:tbl>
  <w:p w14:paraId="57F7F174" w14:textId="77777777" w:rsidR="00621644" w:rsidRDefault="00010D6D">
    <w:pPr>
      <w:pStyle w:val="a7"/>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14:anchorId="3B188D2F" wp14:editId="37ED1D77">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B73D3"/>
    <w:rsid w:val="00010D6D"/>
    <w:rsid w:val="00094FF1"/>
    <w:rsid w:val="00096717"/>
    <w:rsid w:val="00123653"/>
    <w:rsid w:val="001947B4"/>
    <w:rsid w:val="002F63B0"/>
    <w:rsid w:val="0045133A"/>
    <w:rsid w:val="005E7B03"/>
    <w:rsid w:val="00621644"/>
    <w:rsid w:val="006A1021"/>
    <w:rsid w:val="006B73D3"/>
    <w:rsid w:val="00834D8B"/>
    <w:rsid w:val="00852735"/>
    <w:rsid w:val="00983F10"/>
    <w:rsid w:val="00B90CB6"/>
    <w:rsid w:val="00C213B1"/>
    <w:rsid w:val="00CA02E5"/>
    <w:rsid w:val="00D4285A"/>
    <w:rsid w:val="294044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7EED33"/>
  <w15:docId w15:val="{3520FFAE-5075-4AC8-A342-F1C455B2C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Subtitle"/>
    <w:basedOn w:val="a"/>
    <w:next w:val="a"/>
    <w:link w:val="aa"/>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b">
    <w:name w:val="Normal (Web)"/>
    <w:basedOn w:val="a"/>
    <w:uiPriority w:val="99"/>
    <w:semiHidden/>
    <w:unhideWhenUsed/>
    <w:qFormat/>
    <w:rPr>
      <w:rFonts w:ascii="Times New Roman" w:hAnsi="Times New Roman" w:cs="Times New Roman"/>
      <w:szCs w:val="24"/>
    </w:rPr>
  </w:style>
  <w:style w:type="paragraph" w:styleId="ac">
    <w:name w:val="Title"/>
    <w:basedOn w:val="a"/>
    <w:next w:val="a"/>
    <w:link w:val="ad"/>
    <w:uiPriority w:val="10"/>
    <w:qFormat/>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table" w:styleId="ae">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d">
    <w:name w:val="标题 字符"/>
    <w:basedOn w:val="a0"/>
    <w:link w:val="ac"/>
    <w:uiPriority w:val="10"/>
    <w:qFormat/>
    <w:rPr>
      <w:rFonts w:asciiTheme="majorHAnsi" w:eastAsiaTheme="majorEastAsia" w:hAnsiTheme="majorHAnsi" w:cstheme="majorBidi"/>
      <w:spacing w:val="-10"/>
      <w:kern w:val="28"/>
      <w:sz w:val="56"/>
      <w:szCs w:val="56"/>
    </w:rPr>
  </w:style>
  <w:style w:type="character" w:customStyle="1" w:styleId="aa">
    <w:name w:val="副标题 字符"/>
    <w:basedOn w:val="a0"/>
    <w:link w:val="a9"/>
    <w:uiPriority w:val="11"/>
    <w:qFormat/>
    <w:rPr>
      <w:rFonts w:asciiTheme="majorHAnsi" w:eastAsiaTheme="majorEastAsia" w:hAnsiTheme="majorHAnsi" w:cstheme="majorBidi"/>
      <w:color w:val="595959" w:themeColor="text1" w:themeTint="A6"/>
      <w:spacing w:val="15"/>
      <w:sz w:val="28"/>
      <w:szCs w:val="28"/>
    </w:rPr>
  </w:style>
  <w:style w:type="paragraph" w:styleId="af">
    <w:name w:val="Quote"/>
    <w:basedOn w:val="a"/>
    <w:next w:val="a"/>
    <w:link w:val="af0"/>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f0">
    <w:name w:val="引用 字符"/>
    <w:basedOn w:val="a0"/>
    <w:link w:val="af"/>
    <w:uiPriority w:val="29"/>
    <w:qFormat/>
    <w:rPr>
      <w:i/>
      <w:iCs/>
      <w:color w:val="404040" w:themeColor="text1" w:themeTint="BF"/>
    </w:rPr>
  </w:style>
  <w:style w:type="paragraph" w:styleId="af1">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2">
    <w:name w:val="Intense Quote"/>
    <w:basedOn w:val="a"/>
    <w:next w:val="a"/>
    <w:link w:val="af3"/>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3">
    <w:name w:val="明显引用 字符"/>
    <w:basedOn w:val="a0"/>
    <w:link w:val="af2"/>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6">
    <w:name w:val="页脚 字符"/>
    <w:basedOn w:val="a0"/>
    <w:link w:val="a5"/>
    <w:uiPriority w:val="99"/>
    <w:qFormat/>
    <w:rPr>
      <w:sz w:val="18"/>
      <w:szCs w:val="18"/>
      <w14:ligatures w14:val="none"/>
    </w:rPr>
  </w:style>
  <w:style w:type="character" w:customStyle="1" w:styleId="a8">
    <w:name w:val="页眉 字符"/>
    <w:basedOn w:val="a0"/>
    <w:link w:val="a7"/>
    <w:uiPriority w:val="99"/>
    <w:qFormat/>
    <w:rPr>
      <w:sz w:val="18"/>
      <w:szCs w:val="18"/>
      <w14:ligatures w14:val="none"/>
    </w:rPr>
  </w:style>
  <w:style w:type="paragraph" w:styleId="af4">
    <w:name w:val="No Spacing"/>
    <w:basedOn w:val="ab"/>
    <w:link w:val="af5"/>
    <w:uiPriority w:val="1"/>
    <w:qFormat/>
    <w:pPr>
      <w:widowControl/>
      <w:shd w:val="clear" w:color="auto" w:fill="FFFFFF"/>
      <w:ind w:firstLineChars="200" w:firstLine="200"/>
      <w:jc w:val="left"/>
    </w:pPr>
    <w:rPr>
      <w:rFonts w:asciiTheme="minorHAnsi" w:hAnsiTheme="minorHAnsi" w:cstheme="minorBidi"/>
      <w:kern w:val="0"/>
      <w:szCs w:val="22"/>
    </w:rPr>
  </w:style>
  <w:style w:type="character" w:customStyle="1" w:styleId="af5">
    <w:name w:val="无间隔 字符"/>
    <w:basedOn w:val="a0"/>
    <w:link w:val="af4"/>
    <w:uiPriority w:val="1"/>
    <w:qFormat/>
    <w:rPr>
      <w:kern w:val="0"/>
      <w:sz w:val="24"/>
      <w:szCs w:val="22"/>
      <w:shd w:val="clear" w:color="auto" w:fill="FFFFFF"/>
      <w14:ligatures w14:val="none"/>
    </w:rPr>
  </w:style>
  <w:style w:type="character" w:styleId="af6">
    <w:name w:val="annotation reference"/>
    <w:basedOn w:val="a0"/>
    <w:uiPriority w:val="99"/>
    <w:semiHidden/>
    <w:unhideWhenUsed/>
    <w:rPr>
      <w:sz w:val="21"/>
      <w:szCs w:val="21"/>
    </w:rPr>
  </w:style>
  <w:style w:type="paragraph" w:styleId="af7">
    <w:name w:val="Balloon Text"/>
    <w:basedOn w:val="a"/>
    <w:link w:val="af8"/>
    <w:uiPriority w:val="99"/>
    <w:semiHidden/>
    <w:unhideWhenUsed/>
    <w:rsid w:val="00983F10"/>
    <w:pPr>
      <w:spacing w:line="240" w:lineRule="auto"/>
    </w:pPr>
    <w:rPr>
      <w:sz w:val="18"/>
      <w:szCs w:val="18"/>
    </w:rPr>
  </w:style>
  <w:style w:type="character" w:customStyle="1" w:styleId="af8">
    <w:name w:val="批注框文本 字符"/>
    <w:basedOn w:val="a0"/>
    <w:link w:val="af7"/>
    <w:uiPriority w:val="99"/>
    <w:semiHidden/>
    <w:rsid w:val="00983F10"/>
    <w:rPr>
      <w:kern w:val="2"/>
      <w:sz w:val="18"/>
      <w:szCs w:val="18"/>
    </w:rPr>
  </w:style>
  <w:style w:type="paragraph" w:styleId="af9">
    <w:name w:val="annotation subject"/>
    <w:basedOn w:val="a3"/>
    <w:next w:val="a3"/>
    <w:link w:val="afa"/>
    <w:uiPriority w:val="99"/>
    <w:semiHidden/>
    <w:unhideWhenUsed/>
    <w:rsid w:val="00983F10"/>
    <w:rPr>
      <w:b/>
      <w:bCs/>
    </w:rPr>
  </w:style>
  <w:style w:type="character" w:customStyle="1" w:styleId="a4">
    <w:name w:val="批注文字 字符"/>
    <w:basedOn w:val="a0"/>
    <w:link w:val="a3"/>
    <w:uiPriority w:val="99"/>
    <w:semiHidden/>
    <w:rsid w:val="00983F10"/>
    <w:rPr>
      <w:kern w:val="2"/>
      <w:sz w:val="24"/>
      <w:szCs w:val="22"/>
    </w:rPr>
  </w:style>
  <w:style w:type="character" w:customStyle="1" w:styleId="afa">
    <w:name w:val="批注主题 字符"/>
    <w:basedOn w:val="a4"/>
    <w:link w:val="af9"/>
    <w:uiPriority w:val="99"/>
    <w:semiHidden/>
    <w:rsid w:val="00983F10"/>
    <w:rPr>
      <w:b/>
      <w:bCs/>
      <w:kern w:val="2"/>
      <w:sz w:val="24"/>
      <w:szCs w:val="22"/>
    </w:rPr>
  </w:style>
  <w:style w:type="paragraph" w:styleId="afb">
    <w:name w:val="Revision"/>
    <w:hidden/>
    <w:uiPriority w:val="99"/>
    <w:unhideWhenUsed/>
    <w:rsid w:val="0045133A"/>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8ADE48-F1F4-416A-9594-8E9DD96207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Pages>
  <Words>880</Words>
  <Characters>969</Characters>
  <Application>Microsoft Office Word</Application>
  <DocSecurity>0</DocSecurity>
  <Lines>32</Lines>
  <Paragraphs>21</Paragraphs>
  <ScaleCrop>false</ScaleCrop>
  <Company/>
  <LinksUpToDate>false</LinksUpToDate>
  <CharactersWithSpaces>1828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4</cp:revision>
  <dcterms:created xsi:type="dcterms:W3CDTF">2025-05-12T07:23:00Z</dcterms:created>
  <dcterms:modified xsi:type="dcterms:W3CDTF">2025-05-12T07:52:00Z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2052-12.1.0.20784</vt:lpwstr>
  </property>
  <property fmtid="{D5CDD505-2E9C-101B-9397-08002B2CF9AE}" pid="4" name="ICV">
    <vt:lpwstr>FD712C0AFDEA4316B1773D8DAA72858B_12</vt:lpwstr>
  </property>
</Properties>
</file>