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3B66FC" w14:textId="77777777" w:rsidR="00F374E6" w:rsidRDefault="00000000">
      <w:pPr>
        <w:jc w:val="center"/>
        <w:rPr>
          <w:rFonts w:ascii="思源黑体 CN Bold" w:eastAsia="思源黑体 CN Bold" w:hAnsi="思源黑体 CN Bold" w:hint="eastAsia"/>
          <w:b/>
          <w:bCs/>
          <w:sz w:val="28"/>
          <w:szCs w:val="28"/>
        </w:rPr>
      </w:pPr>
      <w:r>
        <w:rPr>
          <w:rFonts w:ascii="思源黑体 CN Bold" w:eastAsia="思源黑体 CN Bold" w:hAnsi="思源黑体 CN Bold" w:hint="eastAsia"/>
          <w:b/>
          <w:bCs/>
          <w:sz w:val="28"/>
          <w:szCs w:val="28"/>
        </w:rPr>
        <w:t>富</w:t>
      </w:r>
      <w:proofErr w:type="gramStart"/>
      <w:r>
        <w:rPr>
          <w:rFonts w:ascii="思源黑体 CN Bold" w:eastAsia="思源黑体 CN Bold" w:hAnsi="思源黑体 CN Bold" w:hint="eastAsia"/>
          <w:b/>
          <w:bCs/>
          <w:sz w:val="28"/>
          <w:szCs w:val="28"/>
        </w:rPr>
        <w:t>荣固收</w:t>
      </w:r>
      <w:proofErr w:type="gramEnd"/>
      <w:r>
        <w:rPr>
          <w:rFonts w:ascii="思源黑体 CN Bold" w:eastAsia="思源黑体 CN Bold" w:hAnsi="思源黑体 CN Bold" w:hint="eastAsia"/>
          <w:b/>
          <w:bCs/>
          <w:sz w:val="28"/>
          <w:szCs w:val="28"/>
        </w:rPr>
        <w:t>：资金意外边际收紧，债市震荡偏弱</w:t>
      </w:r>
    </w:p>
    <w:p w14:paraId="06EABA86" w14:textId="77777777" w:rsidR="00F374E6" w:rsidRDefault="00000000">
      <w:pPr>
        <w:rPr>
          <w:rFonts w:ascii="思源黑体 CN Light" w:eastAsia="思源黑体 CN Light" w:hAnsi="思源黑体 CN Light" w:hint="eastAsia"/>
          <w:szCs w:val="21"/>
        </w:rPr>
      </w:pPr>
      <w:r>
        <w:rPr>
          <w:rFonts w:ascii="思源黑体 CN Light" w:eastAsia="思源黑体 CN Light" w:hAnsi="思源黑体 CN Light" w:hint="eastAsia"/>
          <w:szCs w:val="21"/>
        </w:rPr>
        <w:t>观点：</w:t>
      </w:r>
      <w:bookmarkStart w:id="0" w:name="_Toc134985519"/>
    </w:p>
    <w:p w14:paraId="4EA568E2" w14:textId="2777A19F" w:rsidR="00F374E6" w:rsidRDefault="0000000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国内方面，二季度基本面压力有所缓释，央行或进入政策观察期。当前国内需求疲弱，尤其是房地产市场低迷，对工业品价格形成持续压力，通胀数据预计较难改善。资金面缺乏持续收紧的背景，未来一周，资金面仍面临发债与税期的干扰，可进一步观察央行的态度。如若债市利率和汇率不出现明显波动的话，央行重现2025年一季度资金偏紧的概率或较低，并且往后看，央行也需要继续维持资金投放以带动广谱利率下行。</w:t>
      </w:r>
    </w:p>
    <w:p w14:paraId="60F426F8" w14:textId="08DA818A" w:rsidR="00F374E6" w:rsidRDefault="0000000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海外及其他方面，中美双方后续应该维持在斗争中求合作的状态。宏观基本面短期可能不弱，但隐忧并未消除，市场对下一阶段政策发力预期或有所降温。</w:t>
      </w:r>
    </w:p>
    <w:p w14:paraId="6960CFB0" w14:textId="77777777" w:rsidR="00F374E6" w:rsidRDefault="0000000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上周（</w:t>
      </w:r>
      <w:r>
        <w:rPr>
          <w:rFonts w:ascii="思源黑体 CN Light" w:eastAsia="思源黑体 CN Light" w:hAnsi="思源黑体 CN Light" w:cs="Times New Roman" w:hint="eastAsia"/>
          <w:color w:val="000000" w:themeColor="text1"/>
          <w:szCs w:val="20"/>
        </w:rPr>
        <w:t>2025年5月12日至2025年5月16日，下同</w:t>
      </w:r>
      <w:r>
        <w:rPr>
          <w:rFonts w:ascii="思源黑体 CN Light" w:eastAsia="思源黑体 CN Light" w:hAnsi="思源黑体 CN Light" w:cs="Times New Roman" w:hint="eastAsia"/>
          <w:szCs w:val="21"/>
        </w:rPr>
        <w:t>）中美关税税率大幅缓和，4月出口</w:t>
      </w:r>
      <w:proofErr w:type="gramStart"/>
      <w:r>
        <w:rPr>
          <w:rFonts w:ascii="思源黑体 CN Light" w:eastAsia="思源黑体 CN Light" w:hAnsi="思源黑体 CN Light" w:cs="Times New Roman" w:hint="eastAsia"/>
          <w:szCs w:val="21"/>
        </w:rPr>
        <w:t>数据超预期走</w:t>
      </w:r>
      <w:proofErr w:type="gramEnd"/>
      <w:r>
        <w:rPr>
          <w:rFonts w:ascii="思源黑体 CN Light" w:eastAsia="思源黑体 CN Light" w:hAnsi="思源黑体 CN Light" w:cs="Times New Roman" w:hint="eastAsia"/>
          <w:szCs w:val="21"/>
        </w:rPr>
        <w:t>强，但资金意外趋紧，空头力量占据上峰，债市进入阶段性防御，收益率普遍上行。</w:t>
      </w:r>
    </w:p>
    <w:p w14:paraId="51ABDFEE" w14:textId="77777777" w:rsidR="00F374E6" w:rsidRDefault="0000000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展望后市，预计资金收紧上限可控，或不会重演2月-3月持续收紧行情；未来一周，资金面仍面临发债与税期的干扰，3/10/30/50年期国债密集发行，发行规模大且期限偏长，机构可能会提前</w:t>
      </w:r>
      <w:proofErr w:type="gramStart"/>
      <w:r>
        <w:rPr>
          <w:rFonts w:ascii="思源黑体 CN Light" w:eastAsia="思源黑体 CN Light" w:hAnsi="思源黑体 CN Light" w:cs="Times New Roman" w:hint="eastAsia"/>
          <w:szCs w:val="21"/>
        </w:rPr>
        <w:t>进行调仓以</w:t>
      </w:r>
      <w:proofErr w:type="gramEnd"/>
      <w:r>
        <w:rPr>
          <w:rFonts w:ascii="思源黑体 CN Light" w:eastAsia="思源黑体 CN Light" w:hAnsi="思源黑体 CN Light" w:cs="Times New Roman" w:hint="eastAsia"/>
          <w:szCs w:val="21"/>
        </w:rPr>
        <w:t>应对发行中标需求。预计资金利率以震荡为主，短期内债券市场运行可能会延续颇为纠结甚至略微偏弱的走势。</w:t>
      </w:r>
    </w:p>
    <w:p w14:paraId="49BA88A6" w14:textId="77777777" w:rsidR="00F374E6" w:rsidRDefault="00000000">
      <w:pPr>
        <w:pStyle w:val="1"/>
        <w:tabs>
          <w:tab w:val="left" w:pos="6289"/>
        </w:tabs>
        <w:spacing w:line="360" w:lineRule="auto"/>
        <w:rPr>
          <w:rFonts w:ascii="思源黑体 CN Light" w:eastAsia="思源黑体 CN Light" w:hAnsi="思源黑体 CN Light" w:cs="Times New Roman" w:hint="eastAsia"/>
          <w:szCs w:val="21"/>
        </w:rPr>
      </w:pPr>
      <w:r>
        <w:rPr>
          <w:rFonts w:ascii="思源黑体 CN Light" w:eastAsia="思源黑体 CN Light" w:hAnsi="思源黑体 CN Light" w:cs="Arial" w:hint="eastAsia"/>
          <w:sz w:val="36"/>
          <w:szCs w:val="36"/>
        </w:rPr>
        <w:t>1</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高频数据</w:t>
      </w:r>
      <w:bookmarkEnd w:id="0"/>
    </w:p>
    <w:p w14:paraId="14192452" w14:textId="3D08A131" w:rsidR="00F374E6" w:rsidRDefault="00000000">
      <w:pPr>
        <w:spacing w:line="288" w:lineRule="auto"/>
        <w:ind w:firstLineChars="200" w:firstLine="420"/>
        <w:jc w:val="left"/>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中美经贸谈判取得进展，中美同意暂停部分关税政策实施，市场情绪提振。截至5月1</w:t>
      </w:r>
      <w:r w:rsidR="00133046">
        <w:rPr>
          <w:rFonts w:ascii="思源黑体 CN Light" w:eastAsia="思源黑体 CN Light" w:hAnsi="思源黑体 CN Light" w:cs="Times New Roman" w:hint="eastAsia"/>
          <w:szCs w:val="21"/>
        </w:rPr>
        <w:t>6</w:t>
      </w:r>
      <w:r>
        <w:rPr>
          <w:rFonts w:ascii="思源黑体 CN Light" w:eastAsia="思源黑体 CN Light" w:hAnsi="思源黑体 CN Light" w:cs="Times New Roman" w:hint="eastAsia"/>
          <w:szCs w:val="21"/>
        </w:rPr>
        <w:t>日，美元指数涨0.56%，在岸人民币涨0.59%，日元跌0.19%，</w:t>
      </w:r>
      <w:proofErr w:type="gramStart"/>
      <w:r>
        <w:rPr>
          <w:rFonts w:ascii="思源黑体 CN Light" w:eastAsia="思源黑体 CN Light" w:hAnsi="思源黑体 CN Light" w:cs="Times New Roman" w:hint="eastAsia"/>
          <w:szCs w:val="21"/>
        </w:rPr>
        <w:t>瑞郎跌</w:t>
      </w:r>
      <w:proofErr w:type="gramEnd"/>
      <w:r>
        <w:rPr>
          <w:rFonts w:ascii="思源黑体 CN Light" w:eastAsia="思源黑体 CN Light" w:hAnsi="思源黑体 CN Light" w:cs="Times New Roman" w:hint="eastAsia"/>
          <w:szCs w:val="21"/>
        </w:rPr>
        <w:t>0.73%，欧元跌0.76%，英镑跌0.19%。</w:t>
      </w:r>
    </w:p>
    <w:p w14:paraId="5C5AABC1" w14:textId="77777777" w:rsidR="00F374E6"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图一：主要货币变化率</w:t>
      </w:r>
      <w:r>
        <w:rPr>
          <w:rFonts w:ascii="思源黑体 CN Light" w:eastAsia="思源黑体 CN Light" w:hAnsi="思源黑体 CN Light" w:cs="Times New Roman"/>
          <w:b/>
          <w:noProof/>
          <w:color w:val="000000"/>
          <w:kern w:val="0"/>
          <w:sz w:val="20"/>
          <w:szCs w:val="20"/>
        </w:rPr>
        <w:lastRenderedPageBreak/>
        <w:drawing>
          <wp:inline distT="0" distB="0" distL="0" distR="0">
            <wp:extent cx="5274310" cy="2117090"/>
            <wp:effectExtent l="0" t="0" r="2540" b="0"/>
            <wp:docPr id="9" name="图片 8"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图表, 条形图&#10;&#10;AI 生成的内容可能不正确。"/>
                    <pic:cNvPicPr>
                      <a:picLocks noChangeAspect="1"/>
                    </pic:cNvPicPr>
                  </pic:nvPicPr>
                  <pic:blipFill>
                    <a:blip r:embed="rId6"/>
                    <a:stretch>
                      <a:fillRect/>
                    </a:stretch>
                  </pic:blipFill>
                  <pic:spPr>
                    <a:xfrm>
                      <a:off x="0" y="0"/>
                      <a:ext cx="5274310" cy="211709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数据来源：wind，富荣基金；统计区间：20250512-202505</w:t>
      </w:r>
      <w:bookmarkStart w:id="1" w:name="_Toc134985520"/>
      <w:r>
        <w:rPr>
          <w:rFonts w:ascii="思源黑体 CN Light" w:eastAsia="思源黑体 CN Light" w:hAnsi="思源黑体 CN Light" w:cs="Times New Roman" w:hint="eastAsia"/>
          <w:sz w:val="16"/>
          <w:szCs w:val="16"/>
        </w:rPr>
        <w:t>16</w:t>
      </w:r>
    </w:p>
    <w:p w14:paraId="1D7BE435" w14:textId="77777777" w:rsidR="00F374E6" w:rsidRDefault="00000000">
      <w:pPr>
        <w:pStyle w:val="1"/>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2</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债券市场</w:t>
      </w:r>
      <w:bookmarkEnd w:id="1"/>
    </w:p>
    <w:p w14:paraId="5890BD0A" w14:textId="21D2588C" w:rsidR="00F374E6" w:rsidRDefault="00000000">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中美关税缓和，但资金意外边际收紧。</w:t>
      </w:r>
      <w:r>
        <w:rPr>
          <w:rFonts w:ascii="思源黑体 CN Light" w:eastAsia="思源黑体 CN Light" w:hAnsi="思源黑体 CN Light" w:cs="Times New Roman"/>
          <w:sz w:val="22"/>
          <w:szCs w:val="21"/>
          <w14:ligatures w14:val="standardContextual"/>
        </w:rPr>
        <w:t>DR001上行14.05BP至1.63%，DR007上行9.65BP至1.64%，R001上行12.92BP至1.65%，R007上行4.46BP至1.63%，GC001上行7.30BP至1.57%，GC007上行6.30BP至1.64%。</w:t>
      </w:r>
    </w:p>
    <w:p w14:paraId="24F637C7" w14:textId="77777777" w:rsidR="00F374E6" w:rsidRDefault="00000000">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资金后半周边际收敛，债市收益率上行。</w:t>
      </w:r>
      <w:r>
        <w:rPr>
          <w:rFonts w:ascii="思源黑体 CN Light" w:eastAsia="思源黑体 CN Light" w:hAnsi="思源黑体 CN Light" w:cs="Times New Roman" w:hint="eastAsia"/>
          <w:sz w:val="22"/>
          <w:szCs w:val="21"/>
          <w14:ligatures w14:val="standardContextual"/>
        </w:rPr>
        <w:t>1Y、3Y、5Y、10Y、30Y国债收益率分别较前一周的变化为3.14BP、4.37BP、8.13BP、4.42BP、3.55BP。</w:t>
      </w:r>
    </w:p>
    <w:p w14:paraId="2FB59935" w14:textId="77777777" w:rsidR="00F374E6"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图二：资金面变化</w:t>
      </w:r>
      <w:r>
        <w:rPr>
          <w:rFonts w:ascii="思源黑体 CN Light" w:eastAsia="思源黑体 CN Light" w:hAnsi="思源黑体 CN Light" w:cs="Times New Roman"/>
          <w:b/>
          <w:noProof/>
          <w:color w:val="000000"/>
          <w:kern w:val="0"/>
          <w:sz w:val="20"/>
          <w:szCs w:val="20"/>
        </w:rPr>
        <w:lastRenderedPageBreak/>
        <w:drawing>
          <wp:inline distT="0" distB="0" distL="0" distR="0">
            <wp:extent cx="5274310" cy="3388995"/>
            <wp:effectExtent l="0" t="0" r="2540" b="1905"/>
            <wp:docPr id="11" name="图片 10"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图示&#10;&#10;AI 生成的内容可能不正确。"/>
                    <pic:cNvPicPr>
                      <a:picLocks noChangeAspect="1"/>
                    </pic:cNvPicPr>
                  </pic:nvPicPr>
                  <pic:blipFill>
                    <a:blip r:embed="rId7"/>
                    <a:stretch>
                      <a:fillRect/>
                    </a:stretch>
                  </pic:blipFill>
                  <pic:spPr>
                    <a:xfrm>
                      <a:off x="0" y="0"/>
                      <a:ext cx="5274310" cy="338899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数据来源：wind，富荣基金；统计区间：20250512-20250516</w:t>
      </w:r>
    </w:p>
    <w:p w14:paraId="5300C61D" w14:textId="77777777" w:rsidR="00F374E6"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图三：</w:t>
      </w:r>
      <w:proofErr w:type="gramStart"/>
      <w:r>
        <w:rPr>
          <w:rFonts w:ascii="思源黑体 CN Light" w:eastAsia="思源黑体 CN Light" w:hAnsi="思源黑体 CN Light" w:cs="Times New Roman" w:hint="eastAsia"/>
          <w:b/>
          <w:color w:val="000000"/>
          <w:kern w:val="0"/>
          <w:sz w:val="20"/>
          <w:szCs w:val="20"/>
        </w:rPr>
        <w:t>国债周度</w:t>
      </w:r>
      <w:proofErr w:type="gramEnd"/>
      <w:r>
        <w:rPr>
          <w:rFonts w:ascii="思源黑体 CN Light" w:eastAsia="思源黑体 CN Light" w:hAnsi="思源黑体 CN Light" w:cs="Times New Roman" w:hint="eastAsia"/>
          <w:b/>
          <w:color w:val="000000"/>
          <w:kern w:val="0"/>
          <w:sz w:val="20"/>
          <w:szCs w:val="20"/>
        </w:rPr>
        <w:t>变化</w:t>
      </w:r>
      <w:r>
        <w:rPr>
          <w:rFonts w:ascii="思源黑体 CN Light" w:eastAsia="思源黑体 CN Light" w:hAnsi="思源黑体 CN Light" w:cs="Times New Roman"/>
          <w:b/>
          <w:noProof/>
          <w:color w:val="000000"/>
          <w:kern w:val="0"/>
          <w:sz w:val="20"/>
          <w:szCs w:val="20"/>
        </w:rPr>
        <w:drawing>
          <wp:inline distT="0" distB="0" distL="0" distR="0">
            <wp:extent cx="5274310" cy="3587750"/>
            <wp:effectExtent l="0" t="0" r="2540" b="0"/>
            <wp:docPr id="12" name="图片 11"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图表, 条形图&#10;&#10;AI 生成的内容可能不正确。"/>
                    <pic:cNvPicPr>
                      <a:picLocks noChangeAspect="1"/>
                    </pic:cNvPicPr>
                  </pic:nvPicPr>
                  <pic:blipFill>
                    <a:blip r:embed="rId8"/>
                    <a:stretch>
                      <a:fillRect/>
                    </a:stretch>
                  </pic:blipFill>
                  <pic:spPr>
                    <a:xfrm>
                      <a:off x="0" y="0"/>
                      <a:ext cx="5274310" cy="358775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数据来源：wind，富荣基金；统计区间：20250512-20250516</w:t>
      </w:r>
    </w:p>
    <w:p w14:paraId="093C7A15" w14:textId="77777777" w:rsidR="00F374E6" w:rsidRDefault="00000000">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受中美贸易关税政策缓和影响，</w:t>
      </w:r>
      <w:proofErr w:type="gramStart"/>
      <w:r>
        <w:rPr>
          <w:rFonts w:ascii="思源黑体 CN Light" w:eastAsia="思源黑体 CN Light" w:hAnsi="思源黑体 CN Light" w:cs="Times New Roman" w:hint="eastAsia"/>
          <w:sz w:val="22"/>
          <w:szCs w:val="21"/>
          <w14:ligatures w14:val="standardContextual"/>
        </w:rPr>
        <w:t>降准落地</w:t>
      </w:r>
      <w:proofErr w:type="gramEnd"/>
      <w:r>
        <w:rPr>
          <w:rFonts w:ascii="思源黑体 CN Light" w:eastAsia="思源黑体 CN Light" w:hAnsi="思源黑体 CN Light" w:cs="Times New Roman" w:hint="eastAsia"/>
          <w:sz w:val="22"/>
          <w:szCs w:val="21"/>
          <w14:ligatures w14:val="standardContextual"/>
        </w:rPr>
        <w:t>后资金面边际收敛带动债市收益率整体</w:t>
      </w:r>
      <w:r>
        <w:rPr>
          <w:rFonts w:ascii="思源黑体 CN Light" w:eastAsia="思源黑体 CN Light" w:hAnsi="思源黑体 CN Light" w:cs="Times New Roman" w:hint="eastAsia"/>
          <w:sz w:val="22"/>
          <w:szCs w:val="21"/>
          <w14:ligatures w14:val="standardContextual"/>
        </w:rPr>
        <w:lastRenderedPageBreak/>
        <w:t>上行。</w:t>
      </w:r>
    </w:p>
    <w:p w14:paraId="429FB90D" w14:textId="77777777" w:rsidR="00F374E6" w:rsidRDefault="00000000">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信用债长短端收益率表现分化，中短端信用债在前半周资金呵护下收益率继续下行，长端信用债跟随债市调整，但整体表现优于利率债。</w:t>
      </w:r>
    </w:p>
    <w:p w14:paraId="2124C358" w14:textId="77777777" w:rsidR="00F374E6"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图四：信用债收益率变化</w:t>
      </w:r>
      <w:r>
        <w:rPr>
          <w:rFonts w:ascii="思源黑体 CN Light" w:eastAsia="思源黑体 CN Light" w:hAnsi="思源黑体 CN Light" w:cs="Times New Roman"/>
          <w:b/>
          <w:noProof/>
          <w:color w:val="000000"/>
          <w:kern w:val="0"/>
          <w:sz w:val="20"/>
          <w:szCs w:val="20"/>
        </w:rPr>
        <w:drawing>
          <wp:inline distT="0" distB="0" distL="0" distR="0">
            <wp:extent cx="5274310" cy="2548890"/>
            <wp:effectExtent l="0" t="0" r="2540" b="3810"/>
            <wp:docPr id="13" name="图片 12"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descr="图表, 瀑布图&#10;&#10;AI 生成的内容可能不正确。"/>
                    <pic:cNvPicPr>
                      <a:picLocks noChangeAspect="1"/>
                    </pic:cNvPicPr>
                  </pic:nvPicPr>
                  <pic:blipFill>
                    <a:blip r:embed="rId9"/>
                    <a:stretch>
                      <a:fillRect/>
                    </a:stretch>
                  </pic:blipFill>
                  <pic:spPr>
                    <a:xfrm>
                      <a:off x="0" y="0"/>
                      <a:ext cx="5274310" cy="254889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数据来源：wind，富荣基金；统计区间：20250512-20250516</w:t>
      </w:r>
    </w:p>
    <w:p w14:paraId="434B3425" w14:textId="77777777" w:rsidR="00F374E6"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图五：信用利差变化</w:t>
      </w:r>
      <w:r>
        <w:rPr>
          <w:rFonts w:ascii="思源黑体 CN Light" w:eastAsia="思源黑体 CN Light" w:hAnsi="思源黑体 CN Light" w:cs="Times New Roman"/>
          <w:b/>
          <w:noProof/>
          <w:color w:val="000000"/>
          <w:kern w:val="0"/>
          <w:sz w:val="20"/>
          <w:szCs w:val="20"/>
        </w:rPr>
        <w:drawing>
          <wp:inline distT="0" distB="0" distL="0" distR="0">
            <wp:extent cx="5274310" cy="2205990"/>
            <wp:effectExtent l="0" t="0" r="2540" b="3810"/>
            <wp:docPr id="572139032" name="图片 11"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139032" name="图片 11" descr="图表, 瀑布图&#10;&#10;AI 生成的内容可能不正确。"/>
                    <pic:cNvPicPr>
                      <a:picLocks noChangeAspect="1"/>
                    </pic:cNvPicPr>
                  </pic:nvPicPr>
                  <pic:blipFill>
                    <a:blip r:embed="rId10"/>
                    <a:stretch>
                      <a:fillRect/>
                    </a:stretch>
                  </pic:blipFill>
                  <pic:spPr>
                    <a:xfrm>
                      <a:off x="0" y="0"/>
                      <a:ext cx="5274310" cy="220599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数据来源：wind，富荣基金；统计区间：20250512-20250516</w:t>
      </w:r>
    </w:p>
    <w:p w14:paraId="3356A7E6" w14:textId="77777777" w:rsidR="00F374E6" w:rsidRDefault="00F374E6">
      <w:pPr>
        <w:spacing w:line="288" w:lineRule="auto"/>
        <w:jc w:val="left"/>
        <w:rPr>
          <w:rFonts w:ascii="思源黑体 CN Light" w:eastAsia="思源黑体 CN Light" w:hAnsi="思源黑体 CN Light" w:cs="Times New Roman" w:hint="eastAsia"/>
          <w:sz w:val="16"/>
          <w:szCs w:val="16"/>
        </w:rPr>
      </w:pPr>
    </w:p>
    <w:p w14:paraId="1E740311" w14:textId="77777777" w:rsidR="00F374E6" w:rsidRDefault="00F374E6">
      <w:pPr>
        <w:ind w:firstLineChars="200" w:firstLine="400"/>
        <w:rPr>
          <w:rFonts w:ascii="思源黑体 CN Light" w:eastAsia="思源黑体 CN Light" w:hAnsi="思源黑体 CN Light" w:hint="eastAsia"/>
          <w:sz w:val="20"/>
          <w:szCs w:val="20"/>
        </w:rPr>
      </w:pPr>
    </w:p>
    <w:p w14:paraId="63A654DA" w14:textId="77777777" w:rsidR="00F374E6" w:rsidRDefault="00F374E6">
      <w:pPr>
        <w:ind w:firstLineChars="200" w:firstLine="400"/>
        <w:rPr>
          <w:rFonts w:ascii="思源黑体 CN Light" w:eastAsia="思源黑体 CN Light" w:hAnsi="思源黑体 CN Light" w:hint="eastAsia"/>
          <w:sz w:val="20"/>
          <w:szCs w:val="20"/>
        </w:rPr>
      </w:pPr>
    </w:p>
    <w:p w14:paraId="7F121971" w14:textId="77777777" w:rsidR="00F374E6" w:rsidRDefault="00F374E6">
      <w:pPr>
        <w:ind w:firstLineChars="200" w:firstLine="400"/>
        <w:rPr>
          <w:rFonts w:ascii="思源黑体 CN Light" w:eastAsia="思源黑体 CN Light" w:hAnsi="思源黑体 CN Light" w:hint="eastAsia"/>
          <w:sz w:val="20"/>
          <w:szCs w:val="20"/>
        </w:rPr>
      </w:pPr>
    </w:p>
    <w:p w14:paraId="7466F39E" w14:textId="77777777" w:rsidR="00F374E6" w:rsidRDefault="00F374E6">
      <w:pPr>
        <w:ind w:firstLineChars="200" w:firstLine="400"/>
        <w:rPr>
          <w:rFonts w:ascii="思源黑体 CN Light" w:eastAsia="思源黑体 CN Light" w:hAnsi="思源黑体 CN Light" w:hint="eastAsia"/>
          <w:sz w:val="20"/>
          <w:szCs w:val="20"/>
        </w:rPr>
      </w:pPr>
    </w:p>
    <w:p w14:paraId="2C9CE012" w14:textId="77777777" w:rsidR="00F374E6" w:rsidRDefault="00F374E6">
      <w:pPr>
        <w:ind w:firstLineChars="200" w:firstLine="400"/>
        <w:rPr>
          <w:rFonts w:ascii="思源黑体 CN Light" w:eastAsia="思源黑体 CN Light" w:hAnsi="思源黑体 CN Light" w:hint="eastAsia"/>
          <w:sz w:val="20"/>
          <w:szCs w:val="20"/>
        </w:rPr>
      </w:pPr>
    </w:p>
    <w:p w14:paraId="194CED21" w14:textId="77777777" w:rsidR="00F374E6" w:rsidRDefault="00000000">
      <w:pPr>
        <w:ind w:firstLineChars="200" w:firstLine="400"/>
        <w:rPr>
          <w:rFonts w:ascii="思源黑体 CN Light" w:eastAsia="思源黑体 CN Light" w:hAnsi="思源黑体 CN Light" w:cs="Times New Roman" w:hint="eastAsia"/>
          <w:sz w:val="20"/>
          <w:szCs w:val="20"/>
        </w:rPr>
      </w:pPr>
      <w:r>
        <w:rPr>
          <w:rFonts w:ascii="思源黑体 CN Light" w:eastAsia="思源黑体 CN Light" w:hAnsi="思源黑体 CN Light" w:hint="eastAsia"/>
          <w:sz w:val="20"/>
          <w:szCs w:val="20"/>
        </w:rPr>
        <w:t>风险提示：</w:t>
      </w:r>
    </w:p>
    <w:p w14:paraId="3731D59E" w14:textId="77777777" w:rsidR="00F374E6" w:rsidRDefault="00000000">
      <w:pPr>
        <w:rPr>
          <w:rFonts w:hint="eastAsia"/>
        </w:rPr>
      </w:pPr>
      <w:r>
        <w:rPr>
          <w:rFonts w:ascii="思源黑体 CN Light" w:eastAsia="思源黑体 CN Light" w:hAnsi="思源黑体 CN Light"/>
          <w:sz w:val="20"/>
          <w:szCs w:val="20"/>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20"/>
          <w:szCs w:val="20"/>
        </w:rPr>
        <w:t>作出</w:t>
      </w:r>
      <w:proofErr w:type="gramEnd"/>
      <w:r>
        <w:rPr>
          <w:rFonts w:ascii="思源黑体 CN Light" w:eastAsia="思源黑体 CN Light" w:hAnsi="思源黑体 CN Light"/>
          <w:sz w:val="20"/>
          <w:szCs w:val="20"/>
        </w:rPr>
        <w:t>调整。2、本材料中的资料、观点和预测等仅供参考，在任何时候均不构成对任何人的个人推荐。市场有风险，投资需谨慎。</w:t>
      </w:r>
    </w:p>
    <w:p w14:paraId="0DDCE4F2" w14:textId="77777777" w:rsidR="00F374E6" w:rsidRDefault="00F374E6">
      <w:pPr>
        <w:rPr>
          <w:rFonts w:hint="eastAsia"/>
        </w:rPr>
      </w:pPr>
    </w:p>
    <w:p w14:paraId="6E47C385" w14:textId="77777777" w:rsidR="00F374E6" w:rsidRDefault="00F374E6">
      <w:pPr>
        <w:rPr>
          <w:rFonts w:hint="eastAsia"/>
        </w:rPr>
      </w:pPr>
    </w:p>
    <w:p w14:paraId="5224BA94" w14:textId="77777777" w:rsidR="00F374E6" w:rsidRDefault="00F374E6">
      <w:pPr>
        <w:rPr>
          <w:rFonts w:hint="eastAsia"/>
        </w:rPr>
      </w:pPr>
    </w:p>
    <w:p w14:paraId="6616A3F1" w14:textId="77777777" w:rsidR="00F374E6" w:rsidRDefault="00F374E6">
      <w:pPr>
        <w:rPr>
          <w:rFonts w:hint="eastAsia"/>
        </w:rPr>
      </w:pPr>
    </w:p>
    <w:p w14:paraId="0E5FDEEB" w14:textId="77777777" w:rsidR="00F374E6" w:rsidRDefault="00F374E6">
      <w:pPr>
        <w:rPr>
          <w:rFonts w:hint="eastAsia"/>
        </w:rPr>
      </w:pPr>
    </w:p>
    <w:sectPr w:rsidR="00F374E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25BA6F" w14:textId="77777777" w:rsidR="009E6226" w:rsidRDefault="009E6226">
      <w:pPr>
        <w:rPr>
          <w:rFonts w:hint="eastAsia"/>
        </w:rPr>
      </w:pPr>
      <w:r>
        <w:separator/>
      </w:r>
    </w:p>
  </w:endnote>
  <w:endnote w:type="continuationSeparator" w:id="0">
    <w:p w14:paraId="7B4533E8" w14:textId="77777777" w:rsidR="009E6226" w:rsidRDefault="009E622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4E8600" w14:textId="77777777" w:rsidR="009E6226" w:rsidRDefault="009E6226">
      <w:pPr>
        <w:rPr>
          <w:rFonts w:hint="eastAsia"/>
        </w:rPr>
      </w:pPr>
      <w:r>
        <w:separator/>
      </w:r>
    </w:p>
  </w:footnote>
  <w:footnote w:type="continuationSeparator" w:id="0">
    <w:p w14:paraId="70D72977" w14:textId="77777777" w:rsidR="009E6226" w:rsidRDefault="009E6226">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FB2"/>
    <w:rsid w:val="00133046"/>
    <w:rsid w:val="002F63B0"/>
    <w:rsid w:val="00367346"/>
    <w:rsid w:val="0039645C"/>
    <w:rsid w:val="00781789"/>
    <w:rsid w:val="00852735"/>
    <w:rsid w:val="009E6226"/>
    <w:rsid w:val="00C64FB2"/>
    <w:rsid w:val="00F374E6"/>
    <w:rsid w:val="22DD53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E43869"/>
  <w15:docId w15:val="{DB4803F5-9B73-497D-AA32-E401EDD6A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Subtitle"/>
    <w:basedOn w:val="a"/>
    <w:next w:val="a"/>
    <w:link w:val="a5"/>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6">
    <w:name w:val="Title"/>
    <w:basedOn w:val="a"/>
    <w:next w:val="a"/>
    <w:link w:val="a7"/>
    <w:uiPriority w:val="10"/>
    <w:qFormat/>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7">
    <w:name w:val="标题 字符"/>
    <w:basedOn w:val="a0"/>
    <w:link w:val="a6"/>
    <w:uiPriority w:val="10"/>
    <w:rPr>
      <w:rFonts w:asciiTheme="majorHAnsi" w:eastAsiaTheme="majorEastAsia" w:hAnsiTheme="majorHAnsi" w:cstheme="majorBidi"/>
      <w:spacing w:val="-10"/>
      <w:kern w:val="28"/>
      <w:sz w:val="56"/>
      <w:szCs w:val="56"/>
    </w:rPr>
  </w:style>
  <w:style w:type="character" w:customStyle="1" w:styleId="a5">
    <w:name w:val="副标题 字符"/>
    <w:basedOn w:val="a0"/>
    <w:link w:val="a4"/>
    <w:uiPriority w:val="11"/>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9">
    <w:name w:val="引用 字符"/>
    <w:basedOn w:val="a0"/>
    <w:link w:val="a8"/>
    <w:uiPriority w:val="29"/>
    <w:rPr>
      <w:i/>
      <w:iCs/>
      <w:color w:val="404040" w:themeColor="text1" w:themeTint="BF"/>
    </w:rPr>
  </w:style>
  <w:style w:type="paragraph" w:styleId="aa">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b">
    <w:name w:val="Intense Quote"/>
    <w:basedOn w:val="a"/>
    <w:next w:val="a"/>
    <w:link w:val="ac"/>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c">
    <w:name w:val="明显引用 字符"/>
    <w:basedOn w:val="a0"/>
    <w:link w:val="ab"/>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styleId="ad">
    <w:name w:val="annotation reference"/>
    <w:basedOn w:val="a0"/>
    <w:uiPriority w:val="99"/>
    <w:semiHidden/>
    <w:unhideWhenUsed/>
    <w:rPr>
      <w:sz w:val="21"/>
      <w:szCs w:val="21"/>
    </w:rPr>
  </w:style>
  <w:style w:type="paragraph" w:styleId="ae">
    <w:name w:val="Revision"/>
    <w:hidden/>
    <w:uiPriority w:val="99"/>
    <w:unhideWhenUsed/>
    <w:rsid w:val="00133046"/>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5</Pages>
  <Words>629</Words>
  <Characters>769</Characters>
  <Application>Microsoft Office Word</Application>
  <DocSecurity>0</DocSecurity>
  <Lines>34</Lines>
  <Paragraphs>20</Paragraphs>
  <ScaleCrop>false</ScaleCrop>
  <Company/>
  <LinksUpToDate>false</LinksUpToDate>
  <CharactersWithSpaces>1378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2</cp:revision>
  <dcterms:created xsi:type="dcterms:W3CDTF">2025-05-19T01:19:00Z</dcterms:created>
  <dcterms:modified xsi:type="dcterms:W3CDTF">2025-05-19T06:05:00Z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2052-12.1.0.21171</vt:lpwstr>
  </property>
  <property fmtid="{D5CDD505-2E9C-101B-9397-08002B2CF9AE}" pid="4" name="ICV">
    <vt:lpwstr>F980E4F40F22437893891889FE14D635_12</vt:lpwstr>
  </property>
</Properties>
</file>