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EE5D2" w14:textId="77777777" w:rsidR="00775B47" w:rsidRDefault="0000000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富荣权益：把握结构性机会，关注新兴成长方向</w:t>
      </w:r>
    </w:p>
    <w:p w14:paraId="0903AE4A" w14:textId="77777777" w:rsidR="00775B47"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6D42103E" w14:textId="77777777" w:rsidR="00775B47"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上周（2025年5月12日至2025年5月16日，下同）权益市场指数多数上涨，</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10179.60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3367.46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2039.45</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。其中，创业板50（+2.00%）涨幅最大；创业板指（+1.38%）、上证50（+1.22%）、沪深300（+1.12%）、上证指数（+0.76%）、深证成指（+0.52%）、创成长（+0.43%）、中证500（-0.10%）、中证1000（-0.23%）、</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50（-1.10%）紧随其后。</w:t>
      </w:r>
    </w:p>
    <w:p w14:paraId="1A75FFAE" w14:textId="77777777" w:rsidR="00775B47" w:rsidRDefault="00000000">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768DA11C" wp14:editId="326AACAE">
            <wp:extent cx="6479540" cy="3775075"/>
            <wp:effectExtent l="0" t="0" r="0" b="0"/>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6"/>
                    <a:stretch>
                      <a:fillRect/>
                    </a:stretch>
                  </pic:blipFill>
                  <pic:spPr>
                    <a:xfrm>
                      <a:off x="0" y="0"/>
                      <a:ext cx="6479540" cy="3775075"/>
                    </a:xfrm>
                    <a:prstGeom prst="rect">
                      <a:avLst/>
                    </a:prstGeom>
                  </pic:spPr>
                </pic:pic>
              </a:graphicData>
            </a:graphic>
          </wp:inline>
        </w:drawing>
      </w:r>
    </w:p>
    <w:p w14:paraId="3BDE7214" w14:textId="77777777" w:rsidR="00775B47" w:rsidRDefault="00000000">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区间：20250512-20250516；月涨跌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区间：20250501-20250516</w:t>
      </w:r>
    </w:p>
    <w:p w14:paraId="5FCB4820" w14:textId="77777777" w:rsidR="00775B47" w:rsidRDefault="0000000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有所分化，其中</w:t>
      </w:r>
      <w:proofErr w:type="gramStart"/>
      <w:r>
        <w:rPr>
          <w:rFonts w:ascii="思源黑体 CN Light" w:eastAsia="思源黑体 CN Light" w:hAnsi="思源黑体 CN Light" w:cs="Times New Roman" w:hint="eastAsia"/>
          <w:color w:val="000000" w:themeColor="text1"/>
          <w:sz w:val="21"/>
          <w:szCs w:val="20"/>
        </w:rPr>
        <w:t>申万行业</w:t>
      </w:r>
      <w:proofErr w:type="gramEnd"/>
      <w:r>
        <w:rPr>
          <w:rFonts w:ascii="思源黑体 CN Light" w:eastAsia="思源黑体 CN Light" w:hAnsi="思源黑体 CN Light" w:cs="Times New Roman" w:hint="eastAsia"/>
          <w:color w:val="000000" w:themeColor="text1"/>
          <w:sz w:val="21"/>
          <w:szCs w:val="20"/>
        </w:rPr>
        <w:t>指数中，美容护理（+3.08%）、非银金融（+2.49%）、汽车（+2.40%）等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较大，传媒（-0.77%）、国防军工（-1.18%）、计算机（-1.26%）等行业跌幅较大。</w:t>
      </w:r>
    </w:p>
    <w:p w14:paraId="149ACBD2" w14:textId="77777777" w:rsidR="00775B47" w:rsidRDefault="0000000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416F4C47" wp14:editId="65CE1B0E">
            <wp:extent cx="6479540" cy="4044950"/>
            <wp:effectExtent l="0" t="0" r="0" b="0"/>
            <wp:docPr id="10" name="图片 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片包含 图表&#10;&#10;AI 生成的内容可能不正确。"/>
                    <pic:cNvPicPr>
                      <a:picLocks noChangeAspect="1"/>
                    </pic:cNvPicPr>
                  </pic:nvPicPr>
                  <pic:blipFill>
                    <a:blip r:embed="rId7"/>
                    <a:stretch>
                      <a:fillRect/>
                    </a:stretch>
                  </pic:blipFill>
                  <pic:spPr>
                    <a:xfrm>
                      <a:off x="0" y="0"/>
                      <a:ext cx="6479540" cy="404495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；统计区间：20250512-20250516</w:t>
      </w:r>
    </w:p>
    <w:p w14:paraId="1189E2C0" w14:textId="77777777" w:rsidR="00775B47" w:rsidRDefault="00775B47">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71CCA0B6" w14:textId="77777777" w:rsidR="00775B47"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二、美容护理行业点评与展望</w:t>
      </w:r>
    </w:p>
    <w:p w14:paraId="523E5276" w14:textId="76D023BB" w:rsidR="00775B47"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中，美容护理行业指数累计上涨3.08%，</w:t>
      </w:r>
      <w:proofErr w:type="gramStart"/>
      <w:r>
        <w:rPr>
          <w:rFonts w:ascii="思源黑体 CN Light" w:eastAsia="思源黑体 CN Light" w:hAnsi="思源黑体 CN Light" w:cs="Times New Roman" w:hint="eastAsia"/>
          <w:color w:val="000000" w:themeColor="text1"/>
          <w:sz w:val="21"/>
          <w:szCs w:val="20"/>
        </w:rPr>
        <w:t>跑赢沪深</w:t>
      </w:r>
      <w:proofErr w:type="gramEnd"/>
      <w:r>
        <w:rPr>
          <w:rFonts w:ascii="思源黑体 CN Light" w:eastAsia="思源黑体 CN Light" w:hAnsi="思源黑体 CN Light" w:cs="Times New Roman" w:hint="eastAsia"/>
          <w:color w:val="000000" w:themeColor="text1"/>
          <w:sz w:val="21"/>
          <w:szCs w:val="20"/>
        </w:rPr>
        <w:t>300指数1.96%的涨幅，居</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榜首。但美容护理行业波动较大，其中5月15日行业单日涨幅达3.68%，创周内高点，同期沪深300表现相对平稳。</w:t>
      </w:r>
    </w:p>
    <w:p w14:paraId="3BEE6BE2" w14:textId="77777777" w:rsidR="00775B47"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美容护理行业的上涨主要受益于消费升级趋势，化妆品及护肤品需求回暖。与此同时，技术创新的不断推进，如重组胶原蛋白、智能检测设备等应用范围的扩大，也为行业估值修复提供了有力支撑。此外，</w:t>
      </w:r>
      <w:proofErr w:type="gramStart"/>
      <w:r>
        <w:rPr>
          <w:rFonts w:ascii="思源黑体 CN Light" w:eastAsia="思源黑体 CN Light" w:hAnsi="思源黑体 CN Light" w:cs="Times New Roman" w:hint="eastAsia"/>
          <w:color w:val="000000" w:themeColor="text1"/>
          <w:sz w:val="21"/>
          <w:szCs w:val="20"/>
        </w:rPr>
        <w:t>麦角硫因等</w:t>
      </w:r>
      <w:proofErr w:type="gramEnd"/>
      <w:r>
        <w:rPr>
          <w:rFonts w:ascii="思源黑体 CN Light" w:eastAsia="思源黑体 CN Light" w:hAnsi="思源黑体 CN Light" w:cs="Times New Roman" w:hint="eastAsia"/>
          <w:color w:val="000000" w:themeColor="text1"/>
          <w:sz w:val="21"/>
          <w:szCs w:val="20"/>
        </w:rPr>
        <w:t>热门物质的出现，更是引爆了相关个股的市场投资热情，推动估值明显提升。随着6.18电商促销节点的临近，叠加部分企业一季度</w:t>
      </w:r>
      <w:proofErr w:type="gramStart"/>
      <w:r>
        <w:rPr>
          <w:rFonts w:ascii="思源黑体 CN Light" w:eastAsia="思源黑体 CN Light" w:hAnsi="思源黑体 CN Light" w:cs="Times New Roman" w:hint="eastAsia"/>
          <w:color w:val="000000" w:themeColor="text1"/>
          <w:sz w:val="21"/>
          <w:szCs w:val="20"/>
        </w:rPr>
        <w:t>业绩超</w:t>
      </w:r>
      <w:proofErr w:type="gramEnd"/>
      <w:r>
        <w:rPr>
          <w:rFonts w:ascii="思源黑体 CN Light" w:eastAsia="思源黑体 CN Light" w:hAnsi="思源黑体 CN Light" w:cs="Times New Roman" w:hint="eastAsia"/>
          <w:color w:val="000000" w:themeColor="text1"/>
          <w:sz w:val="21"/>
          <w:szCs w:val="20"/>
        </w:rPr>
        <w:t>预期，市场信心进一步得到提振。在这一背景下，抗衰、轻医美等细分赛道成交活跃，成为行业增长的主要贡献领域。</w:t>
      </w:r>
    </w:p>
    <w:p w14:paraId="44AD8FF9" w14:textId="77777777" w:rsidR="00775B47" w:rsidRDefault="0000000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lastRenderedPageBreak/>
        <w:t>从短期来看，该板块或将延续震荡态势。但消费的韧性以及政策红利仍将为行业提供有力支撑，美容行业仍具备结构性机会。后续建议重点关注具有国产替代潜力、技术创新领先的龙头企业，同时需警惕市场情绪波动可能带来的回调风险。</w:t>
      </w:r>
    </w:p>
    <w:p w14:paraId="51791940" w14:textId="77777777" w:rsidR="00775B47" w:rsidRDefault="00775B47">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2DCA8544" w14:textId="77777777" w:rsidR="00775B47" w:rsidRDefault="0000000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4D675373" w14:textId="77777777" w:rsidR="00775B47"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2"/>
      <w:bookmarkStart w:id="3" w:name="OLE_LINK3"/>
      <w:bookmarkStart w:id="4" w:name="OLE_LINK1"/>
      <w:r>
        <w:rPr>
          <w:rFonts w:ascii="思源黑体 CN Light" w:eastAsia="思源黑体 CN Light" w:hAnsi="思源黑体 CN Light" w:cs="Times New Roman" w:hint="eastAsia"/>
          <w:color w:val="000000"/>
          <w:sz w:val="21"/>
          <w:szCs w:val="20"/>
          <w:shd w:val="clear" w:color="auto" w:fill="FFFFFF"/>
        </w:rPr>
        <w:t>上周，A股市场走势偏震荡。中美日内瓦经贸会议联合声明公布，中美关税迎来90天的暂缓期。这一进展在节奏上超出了市场预期。然而，由于上一轮中美经贸谈判中也曾出现过反复，因而并未改变市场对中美</w:t>
      </w:r>
      <w:proofErr w:type="gramStart"/>
      <w:r>
        <w:rPr>
          <w:rFonts w:ascii="思源黑体 CN Light" w:eastAsia="思源黑体 CN Light" w:hAnsi="思源黑体 CN Light" w:cs="Times New Roman" w:hint="eastAsia"/>
          <w:color w:val="000000"/>
          <w:sz w:val="21"/>
          <w:szCs w:val="20"/>
          <w:shd w:val="clear" w:color="auto" w:fill="FFFFFF"/>
        </w:rPr>
        <w:t>经贸中期</w:t>
      </w:r>
      <w:proofErr w:type="gramEnd"/>
      <w:r>
        <w:rPr>
          <w:rFonts w:ascii="思源黑体 CN Light" w:eastAsia="思源黑体 CN Light" w:hAnsi="思源黑体 CN Light" w:cs="Times New Roman" w:hint="eastAsia"/>
          <w:color w:val="000000"/>
          <w:sz w:val="21"/>
          <w:szCs w:val="20"/>
          <w:shd w:val="clear" w:color="auto" w:fill="FFFFFF"/>
        </w:rPr>
        <w:t>不确定性的预期。结合当下大部分股指已修复4月7日的下跌，A股市场在短期冲高之后，出现了震荡下跌。</w:t>
      </w:r>
    </w:p>
    <w:p w14:paraId="0FF94323" w14:textId="77777777" w:rsidR="00775B47"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由于90天的暂缓期，二季度可能出现“抢出口”现象，同时在国内一揽子政策的支撑下，基本面未必比市场想象中差。结合宽松的货币政策以及中长期资金向资本市场的流入，我们认为A股的下行风险相对可控。短期来看，市场下有支撑，但向上仍需消化外需不确定性带来的担忧。因此，把握结构性机会是当下的核心，重点关注具备中期产业逻辑的新兴成长方向，如AI、半导体、机器人等领域。</w:t>
      </w:r>
    </w:p>
    <w:bookmarkEnd w:id="2"/>
    <w:bookmarkEnd w:id="3"/>
    <w:bookmarkEnd w:id="4"/>
    <w:p w14:paraId="68915FD1" w14:textId="77777777" w:rsidR="00775B47" w:rsidRDefault="00000000">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2C15C76B" w14:textId="77777777" w:rsidR="00775B47" w:rsidRDefault="0000000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5A901C53" w14:textId="77777777" w:rsidR="00775B47" w:rsidRDefault="00775B47">
      <w:pPr>
        <w:rPr>
          <w:rFonts w:ascii="思源黑体 CN Light" w:eastAsia="思源黑体 CN Light" w:hAnsi="思源黑体 CN Light" w:cs="Times New Roman" w:hint="eastAsia"/>
          <w:color w:val="000000"/>
          <w:sz w:val="21"/>
          <w:szCs w:val="20"/>
          <w:shd w:val="clear" w:color="auto" w:fill="FFFFFF"/>
        </w:rPr>
      </w:pPr>
    </w:p>
    <w:p w14:paraId="659B8ECA" w14:textId="77777777" w:rsidR="00775B47" w:rsidRDefault="00775B47">
      <w:pPr>
        <w:pStyle w:val="af2"/>
        <w:ind w:firstLineChars="0" w:firstLine="0"/>
        <w:rPr>
          <w:rFonts w:ascii="思源黑体 CN Light" w:eastAsia="思源黑体 CN Light" w:hAnsi="思源黑体 CN Light" w:cs="Times New Roman" w:hint="eastAsia"/>
          <w:sz w:val="20"/>
          <w:szCs w:val="20"/>
        </w:rPr>
      </w:pPr>
    </w:p>
    <w:p w14:paraId="1BC1D824" w14:textId="77777777" w:rsidR="00775B47" w:rsidRDefault="0000000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sectPr w:rsidR="00775B47">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8A5E1" w14:textId="77777777" w:rsidR="00FC53B0" w:rsidRDefault="00FC53B0">
      <w:pPr>
        <w:spacing w:line="240" w:lineRule="auto"/>
        <w:rPr>
          <w:rFonts w:hint="eastAsia"/>
        </w:rPr>
      </w:pPr>
      <w:r>
        <w:separator/>
      </w:r>
    </w:p>
  </w:endnote>
  <w:endnote w:type="continuationSeparator" w:id="0">
    <w:p w14:paraId="43EA09CA" w14:textId="77777777" w:rsidR="00FC53B0" w:rsidRDefault="00FC53B0">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FEEF3" w14:textId="77777777" w:rsidR="00775B47" w:rsidRDefault="00000000">
    <w:pPr>
      <w:pStyle w:val="a3"/>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Pr>
                <w:b/>
                <w:bCs/>
              </w:rPr>
              <w:t>4</w:t>
            </w:r>
            <w:r>
              <w:rPr>
                <w:b/>
                <w:bCs/>
                <w:sz w:val="24"/>
                <w:szCs w:val="24"/>
              </w:rPr>
              <w:fldChar w:fldCharType="end"/>
            </w:r>
          </w:sdtContent>
        </w:sdt>
      </w:sdtContent>
    </w:sdt>
    <w:r>
      <w:tab/>
    </w:r>
  </w:p>
  <w:p w14:paraId="06AEDF36" w14:textId="77777777" w:rsidR="00775B47" w:rsidRDefault="00775B47">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FA8F1" w14:textId="77777777" w:rsidR="00FC53B0" w:rsidRDefault="00FC53B0">
      <w:pPr>
        <w:rPr>
          <w:rFonts w:hint="eastAsia"/>
        </w:rPr>
      </w:pPr>
      <w:r>
        <w:separator/>
      </w:r>
    </w:p>
  </w:footnote>
  <w:footnote w:type="continuationSeparator" w:id="0">
    <w:p w14:paraId="7405616C" w14:textId="77777777" w:rsidR="00FC53B0" w:rsidRDefault="00FC53B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75B47" w14:paraId="7DC0F0D5" w14:textId="77777777">
      <w:trPr>
        <w:trHeight w:val="424"/>
      </w:trPr>
      <w:tc>
        <w:tcPr>
          <w:tcW w:w="3652" w:type="dxa"/>
          <w:shd w:val="clear" w:color="auto" w:fill="F3F3F3"/>
          <w:vAlign w:val="center"/>
        </w:tcPr>
        <w:p w14:paraId="44855F45" w14:textId="77777777" w:rsidR="00775B47" w:rsidRDefault="00000000">
          <w:pPr>
            <w:pStyle w:val="a5"/>
            <w:pBdr>
              <w:bottom w:val="none" w:sz="0" w:space="0" w:color="auto"/>
            </w:pBdr>
            <w:jc w:val="right"/>
            <w:rPr>
              <w:rFonts w:ascii="Times New Roman" w:eastAsia="宋体" w:hAnsi="Times New Roman" w:cs="Times New Roman"/>
              <w:kern w:val="0"/>
            </w:rPr>
          </w:pPr>
          <w:r>
            <w:rPr>
              <w:rFonts w:ascii="Times New Roman" w:eastAsia="宋体" w:hAnsi="Times New Roman" w:cs="Times New Roman" w:hint="eastAsia"/>
              <w:kern w:val="0"/>
            </w:rPr>
            <w:t>证券研究报告</w:t>
          </w:r>
        </w:p>
      </w:tc>
      <w:tc>
        <w:tcPr>
          <w:tcW w:w="284" w:type="dxa"/>
          <w:shd w:val="clear" w:color="auto" w:fill="C3E2F4"/>
        </w:tcPr>
        <w:p w14:paraId="4BA4A704" w14:textId="77777777" w:rsidR="00775B47" w:rsidRDefault="00775B47">
          <w:pPr>
            <w:pStyle w:val="a5"/>
            <w:pBdr>
              <w:bottom w:val="none" w:sz="0" w:space="0" w:color="auto"/>
            </w:pBdr>
            <w:jc w:val="left"/>
            <w:rPr>
              <w:rFonts w:ascii="Times New Roman" w:eastAsia="宋体" w:hAnsi="Times New Roman" w:cs="Times New Roman"/>
              <w:kern w:val="0"/>
            </w:rPr>
          </w:pPr>
        </w:p>
      </w:tc>
      <w:tc>
        <w:tcPr>
          <w:tcW w:w="2335" w:type="dxa"/>
          <w:shd w:val="clear" w:color="auto" w:fill="013F98"/>
          <w:vAlign w:val="center"/>
        </w:tcPr>
        <w:p w14:paraId="06A83333" w14:textId="77777777" w:rsidR="00775B47" w:rsidRDefault="00000000">
          <w:pPr>
            <w:pStyle w:val="a5"/>
            <w:pBdr>
              <w:bottom w:val="none" w:sz="0" w:space="0" w:color="auto"/>
            </w:pBdr>
            <w:rPr>
              <w:rFonts w:ascii="Times New Roman" w:eastAsia="宋体" w:hAnsi="Times New Roman" w:cs="Times New Roman"/>
              <w:kern w:val="0"/>
            </w:rPr>
          </w:pPr>
          <w:r>
            <w:rPr>
              <w:rFonts w:ascii="Times New Roman" w:eastAsia="宋体" w:hAnsi="Times New Roman" w:cs="Times New Roman" w:hint="eastAsia"/>
              <w:kern w:val="0"/>
            </w:rPr>
            <w:t>权益周报</w:t>
          </w:r>
        </w:p>
      </w:tc>
    </w:tr>
  </w:tbl>
  <w:p w14:paraId="6DE41C41" w14:textId="77777777" w:rsidR="00775B47" w:rsidRDefault="00000000">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2847628F" wp14:editId="559CC2D8">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56B1"/>
    <w:rsid w:val="00137CDE"/>
    <w:rsid w:val="002F63B0"/>
    <w:rsid w:val="003F56B1"/>
    <w:rsid w:val="00775B47"/>
    <w:rsid w:val="00781789"/>
    <w:rsid w:val="00852735"/>
    <w:rsid w:val="008F3A4A"/>
    <w:rsid w:val="00A62284"/>
    <w:rsid w:val="00C06E1F"/>
    <w:rsid w:val="00DE7DFE"/>
    <w:rsid w:val="00E71521"/>
    <w:rsid w:val="00FC53B0"/>
    <w:rsid w:val="6B275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057739"/>
  <w15:docId w15:val="{D8D20F15-4811-4B0B-8B42-EA040953F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Revision"/>
    <w:hidden/>
    <w:uiPriority w:val="99"/>
    <w:unhideWhenUsed/>
    <w:rsid w:val="00A62284"/>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Pages>
  <Words>717</Words>
  <Characters>818</Characters>
  <Application>Microsoft Office Word</Application>
  <DocSecurity>0</DocSecurity>
  <Lines>24</Lines>
  <Paragraphs>17</Paragraphs>
  <ScaleCrop>false</ScaleCrop>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2</cp:revision>
  <dcterms:created xsi:type="dcterms:W3CDTF">2025-05-19T01:19:00Z</dcterms:created>
  <dcterms:modified xsi:type="dcterms:W3CDTF">2025-05-19T06:06:00Z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2C92A04F64C14FD695E86AB6C2088F1D_12</vt:lpwstr>
  </property>
</Properties>
</file>