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3168D" w14:textId="77777777" w:rsidR="003149BE" w:rsidRDefault="008A1752">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富荣固收：债市维持震荡行情</w:t>
      </w:r>
    </w:p>
    <w:p w14:paraId="49C4E176" w14:textId="77777777" w:rsidR="003149BE" w:rsidRDefault="008A1752">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210A3539" w14:textId="09DCD13E" w:rsidR="003149BE" w:rsidRDefault="008A1752">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由于关税暂缓，未来三个月抢出口支撑基本面的可能性进一步提升，但可能并不会导致利率向上反弹太多。</w:t>
      </w:r>
    </w:p>
    <w:p w14:paraId="1FA89EE1" w14:textId="77777777" w:rsidR="003149BE" w:rsidRDefault="008A1752">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后续关税政策仍存较大不确定性，若贸易摩擦缓和，叠加内需改善，央行或适度收紧流动性，利率向上突破；若贸易摩擦加剧，叠加内需偏弱，经济悲观预期更浓烈，流动性或更为宽松，利率向下突破。</w:t>
      </w:r>
    </w:p>
    <w:p w14:paraId="22E3E90B" w14:textId="77777777" w:rsidR="003149BE" w:rsidRDefault="008A1752">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2025年5月19日至2025年5月23日，下同</w:t>
      </w:r>
      <w:r>
        <w:rPr>
          <w:rFonts w:ascii="思源黑体 CN Light" w:eastAsia="思源黑体 CN Light" w:hAnsi="思源黑体 CN Light" w:cs="Times New Roman" w:hint="eastAsia"/>
          <w:szCs w:val="21"/>
        </w:rPr>
        <w:t>），央行操作积极，资金整体偏松。10年国债在存款利率调降窗口短暂下行，随后持续调整，整周走势呈</w:t>
      </w:r>
      <w:proofErr w:type="gramStart"/>
      <w:r>
        <w:rPr>
          <w:rFonts w:ascii="思源黑体 CN Light" w:eastAsia="思源黑体 CN Light" w:hAnsi="思源黑体 CN Light" w:cs="Times New Roman" w:hint="eastAsia"/>
          <w:szCs w:val="21"/>
        </w:rPr>
        <w:t>“</w:t>
      </w:r>
      <w:proofErr w:type="gramEnd"/>
      <w:r>
        <w:rPr>
          <w:rFonts w:ascii="思源黑体 CN Light" w:eastAsia="思源黑体 CN Light" w:hAnsi="思源黑体 CN Light" w:cs="Times New Roman" w:hint="eastAsia"/>
          <w:szCs w:val="21"/>
        </w:rPr>
        <w:t>V“型。</w:t>
      </w:r>
    </w:p>
    <w:p w14:paraId="1C701387" w14:textId="5BB0E1C7" w:rsidR="003149BE" w:rsidRDefault="008A1752">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债市短期或维持</w:t>
      </w:r>
      <w:proofErr w:type="gramStart"/>
      <w:r>
        <w:rPr>
          <w:rFonts w:ascii="思源黑体 CN Light" w:eastAsia="思源黑体 CN Light" w:hAnsi="思源黑体 CN Light" w:cs="Times New Roman" w:hint="eastAsia"/>
          <w:szCs w:val="21"/>
        </w:rPr>
        <w:t>窄</w:t>
      </w:r>
      <w:proofErr w:type="gramEnd"/>
      <w:r>
        <w:rPr>
          <w:rFonts w:ascii="思源黑体 CN Light" w:eastAsia="思源黑体 CN Light" w:hAnsi="思源黑体 CN Light" w:cs="Times New Roman" w:hint="eastAsia"/>
          <w:szCs w:val="21"/>
        </w:rPr>
        <w:t>区间震荡，建议关注股债跷跷板带来的利空扰动。长期来看，</w:t>
      </w:r>
      <w:proofErr w:type="gramStart"/>
      <w:r>
        <w:rPr>
          <w:rFonts w:ascii="思源黑体 CN Light" w:eastAsia="思源黑体 CN Light" w:hAnsi="思源黑体 CN Light" w:cs="Times New Roman" w:hint="eastAsia"/>
          <w:szCs w:val="21"/>
        </w:rPr>
        <w:t>长债需关注</w:t>
      </w:r>
      <w:proofErr w:type="gramEnd"/>
      <w:r>
        <w:rPr>
          <w:rFonts w:ascii="思源黑体 CN Light" w:eastAsia="思源黑体 CN Light" w:hAnsi="思源黑体 CN Light" w:cs="Times New Roman" w:hint="eastAsia"/>
          <w:szCs w:val="21"/>
        </w:rPr>
        <w:t>下一次降息预期发酵或其他契机。</w:t>
      </w:r>
    </w:p>
    <w:p w14:paraId="12A9F54B" w14:textId="77777777" w:rsidR="003149BE" w:rsidRDefault="008A1752">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1D33EA28" w14:textId="77777777" w:rsidR="003149BE" w:rsidRDefault="008A1752">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美国消费者信心指数不及市场预期，加之美联储可能放缓加息步伐，未来政策可能转松。截至5月23日，美元指数下行1.84%，离岸人民币涨0.52%，欧元、英镑等非美货币上涨。</w:t>
      </w:r>
    </w:p>
    <w:p w14:paraId="6BAAC4F0" w14:textId="77777777" w:rsidR="003149BE" w:rsidRDefault="008A175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Pr>
          <w:rFonts w:ascii="思源黑体 CN Light" w:eastAsia="思源黑体 CN Light" w:hAnsi="思源黑体 CN Light" w:cs="Times New Roman"/>
          <w:b/>
          <w:noProof/>
          <w:color w:val="000000"/>
          <w:kern w:val="0"/>
          <w:sz w:val="20"/>
          <w:szCs w:val="20"/>
        </w:rPr>
        <w:drawing>
          <wp:inline distT="0" distB="0" distL="0" distR="0" wp14:anchorId="3B599214" wp14:editId="7645EB7E">
            <wp:extent cx="5274310" cy="2117090"/>
            <wp:effectExtent l="0" t="0" r="2540" b="0"/>
            <wp:docPr id="9" name="图片 8" descr="图形用户界面,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形用户界面, 图表&#10;&#10;AI 生成的内容可能不正确。"/>
                    <pic:cNvPicPr>
                      <a:picLocks noChangeAspect="1"/>
                    </pic:cNvPicPr>
                  </pic:nvPicPr>
                  <pic:blipFill>
                    <a:blip r:embed="rId7"/>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lastRenderedPageBreak/>
        <w:t>数据来源：wind，富荣基金；统计区间：20250519-202505</w:t>
      </w:r>
      <w:bookmarkStart w:id="1" w:name="_Toc134985520"/>
      <w:r>
        <w:rPr>
          <w:rFonts w:ascii="思源黑体 CN Light" w:eastAsia="思源黑体 CN Light" w:hAnsi="思源黑体 CN Light" w:cs="Times New Roman" w:hint="eastAsia"/>
          <w:sz w:val="16"/>
          <w:szCs w:val="16"/>
        </w:rPr>
        <w:t>23</w:t>
      </w:r>
    </w:p>
    <w:p w14:paraId="1152252D" w14:textId="77777777" w:rsidR="003149BE" w:rsidRDefault="008A1752">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1768D7BD" w14:textId="77777777" w:rsidR="003149BE" w:rsidRDefault="008A1752">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特别国债发行和税</w:t>
      </w:r>
      <w:proofErr w:type="gramStart"/>
      <w:r>
        <w:rPr>
          <w:rFonts w:ascii="思源黑体 CN Light" w:eastAsia="思源黑体 CN Light" w:hAnsi="思源黑体 CN Light" w:cs="Times New Roman" w:hint="eastAsia"/>
          <w:b/>
          <w:bCs/>
          <w:sz w:val="22"/>
          <w:szCs w:val="21"/>
          <w14:ligatures w14:val="standardContextual"/>
        </w:rPr>
        <w:t>期走款</w:t>
      </w:r>
      <w:proofErr w:type="gramEnd"/>
      <w:r>
        <w:rPr>
          <w:rFonts w:ascii="思源黑体 CN Light" w:eastAsia="思源黑体 CN Light" w:hAnsi="思源黑体 CN Light" w:cs="Times New Roman" w:hint="eastAsia"/>
          <w:b/>
          <w:bCs/>
          <w:sz w:val="22"/>
          <w:szCs w:val="21"/>
          <w14:ligatures w14:val="standardContextual"/>
        </w:rPr>
        <w:t>首日，资金面边际收紧，资金整体下行。</w:t>
      </w:r>
      <w:r>
        <w:rPr>
          <w:rFonts w:ascii="思源黑体 CN Light" w:eastAsia="思源黑体 CN Light" w:hAnsi="思源黑体 CN Light" w:cs="Times New Roman"/>
          <w:sz w:val="22"/>
          <w:szCs w:val="21"/>
          <w14:ligatures w14:val="standardContextual"/>
        </w:rPr>
        <w:t>DR001下行6.61BP至1.57%，DR007下行5.14BP至1.59%，R001下行3.94BP至1.61%，R007上行0.15BP至1.63%。GC001上行10.90BP至1.67%，</w:t>
      </w:r>
      <w:r>
        <w:rPr>
          <w:rFonts w:ascii="Arial" w:eastAsia="思源黑体 CN Light" w:hAnsi="Arial" w:cs="Arial"/>
          <w:sz w:val="22"/>
          <w:szCs w:val="21"/>
          <w14:ligatures w14:val="standardContextual"/>
        </w:rPr>
        <w:t>​</w:t>
      </w:r>
      <w:r>
        <w:rPr>
          <w:rFonts w:ascii="思源黑体 CN Light" w:eastAsia="思源黑体 CN Light" w:hAnsi="思源黑体 CN Light" w:cs="Times New Roman"/>
          <w:sz w:val="22"/>
          <w:szCs w:val="21"/>
          <w14:ligatures w14:val="standardContextual"/>
        </w:rPr>
        <w:t>GC007上行7.00BP至1.71%。</w:t>
      </w:r>
    </w:p>
    <w:p w14:paraId="2C291D77" w14:textId="6DF4C1EE" w:rsidR="003149BE" w:rsidRDefault="008A1752">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受市场流动性宽松影响，短</w:t>
      </w:r>
      <w:proofErr w:type="gramStart"/>
      <w:r>
        <w:rPr>
          <w:rFonts w:ascii="思源黑体 CN Light" w:eastAsia="思源黑体 CN Light" w:hAnsi="思源黑体 CN Light" w:cs="Times New Roman" w:hint="eastAsia"/>
          <w:b/>
          <w:bCs/>
          <w:sz w:val="22"/>
          <w:szCs w:val="21"/>
          <w14:ligatures w14:val="standardContextual"/>
        </w:rPr>
        <w:t>端持续</w:t>
      </w:r>
      <w:proofErr w:type="gramEnd"/>
      <w:r>
        <w:rPr>
          <w:rFonts w:ascii="思源黑体 CN Light" w:eastAsia="思源黑体 CN Light" w:hAnsi="思源黑体 CN Light" w:cs="Times New Roman" w:hint="eastAsia"/>
          <w:b/>
          <w:bCs/>
          <w:sz w:val="22"/>
          <w:szCs w:val="21"/>
          <w14:ligatures w14:val="standardContextual"/>
        </w:rPr>
        <w:t>下行，长端受供压力影响整体上行。</w:t>
      </w:r>
      <w:r>
        <w:rPr>
          <w:rFonts w:ascii="思源黑体 CN Light" w:eastAsia="思源黑体 CN Light" w:hAnsi="思源黑体 CN Light" w:cs="Times New Roman" w:hint="eastAsia"/>
          <w:sz w:val="22"/>
          <w:szCs w:val="21"/>
          <w14:ligatures w14:val="standardContextual"/>
        </w:rPr>
        <w:t>1Y、5Y、10Y、30Y国债收益率分别较前一周变化-0.27</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、-1.20</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、4.15</w:t>
      </w:r>
      <w:r>
        <w:rPr>
          <w:rFonts w:ascii="思源黑体 CN Light" w:eastAsia="思源黑体 CN Light" w:hAnsi="思源黑体 CN Light" w:cs="Times New Roman"/>
          <w:sz w:val="22"/>
          <w:szCs w:val="21"/>
          <w14:ligatures w14:val="standardContextual"/>
        </w:rPr>
        <w:t>BP</w:t>
      </w:r>
      <w:r>
        <w:rPr>
          <w:rFonts w:ascii="思源黑体 CN Light" w:eastAsia="思源黑体 CN Light" w:hAnsi="思源黑体 CN Light" w:cs="Times New Roman" w:hint="eastAsia"/>
          <w:sz w:val="22"/>
          <w:szCs w:val="21"/>
          <w14:ligatures w14:val="standardContextual"/>
        </w:rPr>
        <w:t>、1.1BP至1.4481%、1.5650%、1.7208%、1.8890%。</w:t>
      </w:r>
    </w:p>
    <w:p w14:paraId="405C33B9" w14:textId="77777777" w:rsidR="003149BE" w:rsidRDefault="008A175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drawing>
          <wp:inline distT="0" distB="0" distL="0" distR="0" wp14:anchorId="736845FE" wp14:editId="02521FFB">
            <wp:extent cx="5274310" cy="3388360"/>
            <wp:effectExtent l="0" t="0" r="2540" b="2540"/>
            <wp:docPr id="12" name="图片 11"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折线图&#10;&#10;AI 生成的内容可能不正确。"/>
                    <pic:cNvPicPr>
                      <a:picLocks noChangeAspect="1"/>
                    </pic:cNvPicPr>
                  </pic:nvPicPr>
                  <pic:blipFill>
                    <a:blip r:embed="rId8"/>
                    <a:stretch>
                      <a:fillRect/>
                    </a:stretch>
                  </pic:blipFill>
                  <pic:spPr>
                    <a:xfrm>
                      <a:off x="0" y="0"/>
                      <a:ext cx="5274310" cy="338836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数据来源：wind，富荣基金；统计区间：20250519-20250523</w:t>
      </w:r>
    </w:p>
    <w:p w14:paraId="2C3923B7" w14:textId="77777777" w:rsidR="003149BE" w:rsidRDefault="008A175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23A199A8" wp14:editId="099081BA">
            <wp:extent cx="5274310" cy="3431540"/>
            <wp:effectExtent l="0" t="0" r="2540" b="0"/>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9"/>
                    <a:stretch>
                      <a:fillRect/>
                    </a:stretch>
                  </pic:blipFill>
                  <pic:spPr>
                    <a:xfrm>
                      <a:off x="0" y="0"/>
                      <a:ext cx="5274310" cy="343154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数据来源：wind，富荣基金；统计区间：20250519-20250523</w:t>
      </w:r>
    </w:p>
    <w:p w14:paraId="271BDF5A" w14:textId="77777777" w:rsidR="003149BE" w:rsidRDefault="008A1752">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在政府债券缴款、税</w:t>
      </w:r>
      <w:proofErr w:type="gramStart"/>
      <w:r>
        <w:rPr>
          <w:rFonts w:ascii="思源黑体 CN Light" w:eastAsia="思源黑体 CN Light" w:hAnsi="思源黑体 CN Light" w:cs="Times New Roman" w:hint="eastAsia"/>
          <w:sz w:val="22"/>
          <w:szCs w:val="21"/>
          <w14:ligatures w14:val="standardContextual"/>
        </w:rPr>
        <w:t>期走款</w:t>
      </w:r>
      <w:proofErr w:type="gramEnd"/>
      <w:r>
        <w:rPr>
          <w:rFonts w:ascii="思源黑体 CN Light" w:eastAsia="思源黑体 CN Light" w:hAnsi="思源黑体 CN Light" w:cs="Times New Roman" w:hint="eastAsia"/>
          <w:sz w:val="22"/>
          <w:szCs w:val="21"/>
          <w14:ligatures w14:val="standardContextual"/>
        </w:rPr>
        <w:t>扰动下，央行OMO投放超万亿，存款利率下调带动市场情绪，但资金投放价格难以继续下行，导致债市呈现略微下行后震荡特征。</w:t>
      </w:r>
    </w:p>
    <w:p w14:paraId="73543830" w14:textId="77777777" w:rsidR="003149BE" w:rsidRDefault="008A1752">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信用债收益率普遍下行，信用利差收窄，长</w:t>
      </w:r>
      <w:proofErr w:type="gramStart"/>
      <w:r>
        <w:rPr>
          <w:rFonts w:ascii="思源黑体 CN Light" w:eastAsia="思源黑体 CN Light" w:hAnsi="思源黑体 CN Light" w:cs="Times New Roman" w:hint="eastAsia"/>
          <w:sz w:val="22"/>
          <w:szCs w:val="21"/>
          <w14:ligatures w14:val="standardContextual"/>
        </w:rPr>
        <w:t>端品种</w:t>
      </w:r>
      <w:proofErr w:type="gramEnd"/>
      <w:r>
        <w:rPr>
          <w:rFonts w:ascii="思源黑体 CN Light" w:eastAsia="思源黑体 CN Light" w:hAnsi="思源黑体 CN Light" w:cs="Times New Roman" w:hint="eastAsia"/>
          <w:sz w:val="22"/>
          <w:szCs w:val="21"/>
          <w14:ligatures w14:val="standardContextual"/>
        </w:rPr>
        <w:t>表现相对较好。</w:t>
      </w:r>
      <w:proofErr w:type="gramStart"/>
      <w:r>
        <w:rPr>
          <w:rFonts w:ascii="思源黑体 CN Light" w:eastAsia="思源黑体 CN Light" w:hAnsi="思源黑体 CN Light" w:cs="Times New Roman" w:hint="eastAsia"/>
          <w:sz w:val="22"/>
          <w:szCs w:val="21"/>
          <w14:ligatures w14:val="standardContextual"/>
        </w:rPr>
        <w:t>中短票各</w:t>
      </w:r>
      <w:proofErr w:type="gramEnd"/>
      <w:r>
        <w:rPr>
          <w:rFonts w:ascii="思源黑体 CN Light" w:eastAsia="思源黑体 CN Light" w:hAnsi="思源黑体 CN Light" w:cs="Times New Roman" w:hint="eastAsia"/>
          <w:sz w:val="22"/>
          <w:szCs w:val="21"/>
          <w14:ligatures w14:val="standardContextual"/>
        </w:rPr>
        <w:t>品种收益率普遍下行0-7BP，除2Y隐含评级AAA品种信用</w:t>
      </w:r>
      <w:proofErr w:type="gramStart"/>
      <w:r>
        <w:rPr>
          <w:rFonts w:ascii="思源黑体 CN Light" w:eastAsia="思源黑体 CN Light" w:hAnsi="思源黑体 CN Light" w:cs="Times New Roman" w:hint="eastAsia"/>
          <w:sz w:val="22"/>
          <w:szCs w:val="21"/>
          <w14:ligatures w14:val="standardContextual"/>
        </w:rPr>
        <w:t>利差走阔</w:t>
      </w:r>
      <w:proofErr w:type="gramEnd"/>
      <w:r>
        <w:rPr>
          <w:rFonts w:ascii="思源黑体 CN Light" w:eastAsia="思源黑体 CN Light" w:hAnsi="思源黑体 CN Light" w:cs="Times New Roman" w:hint="eastAsia"/>
          <w:sz w:val="22"/>
          <w:szCs w:val="21"/>
          <w14:ligatures w14:val="standardContextual"/>
        </w:rPr>
        <w:t>1BP外，其余各品种信用利差普遍收窄0-6BP。</w:t>
      </w:r>
    </w:p>
    <w:p w14:paraId="00FC87FF" w14:textId="77777777" w:rsidR="003149BE" w:rsidRDefault="008A175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14:anchorId="07CD6FD3" wp14:editId="6F47AE6B">
            <wp:extent cx="5274310" cy="2540000"/>
            <wp:effectExtent l="0" t="0" r="2540" b="0"/>
            <wp:docPr id="266513770"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513770" name="图片 10" descr="图表, 瀑布图&#10;&#10;AI 生成的内容可能不正确。"/>
                    <pic:cNvPicPr>
                      <a:picLocks noChangeAspect="1"/>
                    </pic:cNvPicPr>
                  </pic:nvPicPr>
                  <pic:blipFill>
                    <a:blip r:embed="rId10"/>
                    <a:stretch>
                      <a:fillRect/>
                    </a:stretch>
                  </pic:blipFill>
                  <pic:spPr>
                    <a:xfrm>
                      <a:off x="0" y="0"/>
                      <a:ext cx="5274310" cy="2540000"/>
                    </a:xfrm>
                    <a:prstGeom prst="rect">
                      <a:avLst/>
                    </a:prstGeom>
                  </pic:spPr>
                </pic:pic>
              </a:graphicData>
            </a:graphic>
          </wp:inline>
        </w:drawing>
      </w:r>
      <w:r>
        <w:rPr>
          <w:rFonts w:ascii="思源黑体 CN Light" w:eastAsia="思源黑体 CN Light" w:hAnsi="思源黑体 CN Light" w:cs="Times New Roman" w:hint="eastAsia"/>
          <w:sz w:val="16"/>
          <w:szCs w:val="16"/>
        </w:rPr>
        <w:lastRenderedPageBreak/>
        <w:t>数据来源：wind，富荣基金；统计区间：20250519-20250523</w:t>
      </w:r>
    </w:p>
    <w:p w14:paraId="72F9ED2B" w14:textId="77777777" w:rsidR="003149BE" w:rsidRDefault="008A1752">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2BFB24A0" wp14:editId="5CB8DB60">
            <wp:extent cx="5274310" cy="2205990"/>
            <wp:effectExtent l="0" t="0" r="2540" b="3810"/>
            <wp:docPr id="530142110"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142110" name="图片 11" descr="图表, 瀑布图&#10;&#10;AI 生成的内容可能不正确。"/>
                    <pic:cNvPicPr>
                      <a:picLocks noChangeAspect="1"/>
                    </pic:cNvPicPr>
                  </pic:nvPicPr>
                  <pic:blipFill>
                    <a:blip r:embed="rId11"/>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数据来源：wind，富荣基金；统计区间：20250519-20250523</w:t>
      </w:r>
    </w:p>
    <w:p w14:paraId="790C78EA" w14:textId="77777777" w:rsidR="003149BE" w:rsidRDefault="003149BE">
      <w:pPr>
        <w:spacing w:line="288" w:lineRule="auto"/>
        <w:jc w:val="left"/>
        <w:rPr>
          <w:rFonts w:ascii="思源黑体 CN Light" w:eastAsia="思源黑体 CN Light" w:hAnsi="思源黑体 CN Light" w:cs="Times New Roman" w:hint="eastAsia"/>
          <w:sz w:val="16"/>
          <w:szCs w:val="16"/>
        </w:rPr>
      </w:pPr>
    </w:p>
    <w:p w14:paraId="6E879CC5" w14:textId="77777777" w:rsidR="003149BE" w:rsidRDefault="003149BE">
      <w:pPr>
        <w:ind w:firstLineChars="200" w:firstLine="400"/>
        <w:rPr>
          <w:rFonts w:ascii="思源黑体 CN Light" w:eastAsia="思源黑体 CN Light" w:hAnsi="思源黑体 CN Light" w:hint="eastAsia"/>
          <w:sz w:val="20"/>
          <w:szCs w:val="20"/>
        </w:rPr>
      </w:pPr>
    </w:p>
    <w:p w14:paraId="639623D5" w14:textId="77777777" w:rsidR="003149BE" w:rsidRDefault="003149BE">
      <w:pPr>
        <w:ind w:firstLineChars="200" w:firstLine="400"/>
        <w:rPr>
          <w:rFonts w:ascii="思源黑体 CN Light" w:eastAsia="思源黑体 CN Light" w:hAnsi="思源黑体 CN Light" w:hint="eastAsia"/>
          <w:sz w:val="20"/>
          <w:szCs w:val="20"/>
        </w:rPr>
      </w:pPr>
    </w:p>
    <w:p w14:paraId="11E97C5F" w14:textId="77777777" w:rsidR="003149BE" w:rsidRDefault="003149BE">
      <w:pPr>
        <w:ind w:firstLineChars="200" w:firstLine="400"/>
        <w:rPr>
          <w:rFonts w:ascii="思源黑体 CN Light" w:eastAsia="思源黑体 CN Light" w:hAnsi="思源黑体 CN Light" w:hint="eastAsia"/>
          <w:sz w:val="20"/>
          <w:szCs w:val="20"/>
        </w:rPr>
      </w:pPr>
    </w:p>
    <w:p w14:paraId="455501C2" w14:textId="77777777" w:rsidR="003149BE" w:rsidRDefault="003149BE">
      <w:pPr>
        <w:ind w:firstLineChars="200" w:firstLine="400"/>
        <w:rPr>
          <w:rFonts w:ascii="思源黑体 CN Light" w:eastAsia="思源黑体 CN Light" w:hAnsi="思源黑体 CN Light" w:hint="eastAsia"/>
          <w:sz w:val="20"/>
          <w:szCs w:val="20"/>
        </w:rPr>
      </w:pPr>
    </w:p>
    <w:p w14:paraId="6931409F" w14:textId="77777777" w:rsidR="003149BE" w:rsidRDefault="003149BE">
      <w:pPr>
        <w:ind w:firstLineChars="200" w:firstLine="400"/>
        <w:rPr>
          <w:rFonts w:ascii="思源黑体 CN Light" w:eastAsia="思源黑体 CN Light" w:hAnsi="思源黑体 CN Light" w:hint="eastAsia"/>
          <w:sz w:val="20"/>
          <w:szCs w:val="20"/>
        </w:rPr>
      </w:pPr>
    </w:p>
    <w:p w14:paraId="2189091A" w14:textId="77777777" w:rsidR="003149BE" w:rsidRDefault="008A1752">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212EEF28" w14:textId="77777777" w:rsidR="003149BE" w:rsidRDefault="008A1752">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20999AAA" w14:textId="77777777" w:rsidR="003149BE" w:rsidRDefault="003149BE">
      <w:pPr>
        <w:rPr>
          <w:rFonts w:hint="eastAsia"/>
        </w:rPr>
      </w:pPr>
    </w:p>
    <w:p w14:paraId="3FCF2A06" w14:textId="77777777" w:rsidR="003149BE" w:rsidRDefault="003149BE">
      <w:pPr>
        <w:rPr>
          <w:rFonts w:hint="eastAsia"/>
        </w:rPr>
      </w:pPr>
    </w:p>
    <w:p w14:paraId="098BFFD9" w14:textId="77777777" w:rsidR="003149BE" w:rsidRDefault="003149BE">
      <w:pPr>
        <w:rPr>
          <w:rFonts w:hint="eastAsia"/>
        </w:rPr>
      </w:pPr>
    </w:p>
    <w:p w14:paraId="5AE2EF3D" w14:textId="77777777" w:rsidR="003149BE" w:rsidRDefault="003149BE">
      <w:pPr>
        <w:rPr>
          <w:rFonts w:hint="eastAsia"/>
        </w:rPr>
      </w:pPr>
    </w:p>
    <w:p w14:paraId="6DF717D1" w14:textId="77777777" w:rsidR="003149BE" w:rsidRDefault="003149BE">
      <w:pPr>
        <w:rPr>
          <w:rFonts w:hint="eastAsia"/>
        </w:rPr>
      </w:pPr>
    </w:p>
    <w:sectPr w:rsidR="003149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158BF" w14:textId="77777777" w:rsidR="00E8627F" w:rsidRDefault="00E8627F">
      <w:pPr>
        <w:rPr>
          <w:rFonts w:hint="eastAsia"/>
        </w:rPr>
      </w:pPr>
      <w:r>
        <w:separator/>
      </w:r>
    </w:p>
  </w:endnote>
  <w:endnote w:type="continuationSeparator" w:id="0">
    <w:p w14:paraId="4069FA88" w14:textId="77777777" w:rsidR="00E8627F" w:rsidRDefault="00E8627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17B23" w14:textId="77777777" w:rsidR="00E8627F" w:rsidRDefault="00E8627F">
      <w:pPr>
        <w:rPr>
          <w:rFonts w:hint="eastAsia"/>
        </w:rPr>
      </w:pPr>
      <w:r>
        <w:separator/>
      </w:r>
    </w:p>
  </w:footnote>
  <w:footnote w:type="continuationSeparator" w:id="0">
    <w:p w14:paraId="484136BC" w14:textId="77777777" w:rsidR="00E8627F" w:rsidRDefault="00E8627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7F9"/>
    <w:rsid w:val="000226A0"/>
    <w:rsid w:val="002F63B0"/>
    <w:rsid w:val="003149BE"/>
    <w:rsid w:val="003577CF"/>
    <w:rsid w:val="00361599"/>
    <w:rsid w:val="00371E8A"/>
    <w:rsid w:val="005F495C"/>
    <w:rsid w:val="007C47F9"/>
    <w:rsid w:val="00852735"/>
    <w:rsid w:val="008A1752"/>
    <w:rsid w:val="009F1F07"/>
    <w:rsid w:val="00E8627F"/>
    <w:rsid w:val="00EB76F6"/>
    <w:rsid w:val="3B000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D828A1"/>
  <w15:docId w15:val="{0B9311DB-A440-48A3-AC79-B969B627D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Pr>
      <w:i/>
      <w:iCs/>
      <w:color w:val="404040" w:themeColor="text1" w:themeTint="BF"/>
    </w:rPr>
  </w:style>
  <w:style w:type="paragraph" w:styleId="a9">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b">
    <w:name w:val="明显引用 字符"/>
    <w:basedOn w:val="a0"/>
    <w:link w:val="aa"/>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c">
    <w:name w:val="Balloon Text"/>
    <w:basedOn w:val="a"/>
    <w:link w:val="ad"/>
    <w:uiPriority w:val="99"/>
    <w:semiHidden/>
    <w:unhideWhenUsed/>
    <w:rsid w:val="00EB76F6"/>
    <w:rPr>
      <w:sz w:val="18"/>
      <w:szCs w:val="18"/>
    </w:rPr>
  </w:style>
  <w:style w:type="character" w:customStyle="1" w:styleId="ad">
    <w:name w:val="批注框文本 字符"/>
    <w:basedOn w:val="a0"/>
    <w:link w:val="ac"/>
    <w:uiPriority w:val="99"/>
    <w:semiHidden/>
    <w:rsid w:val="00EB76F6"/>
    <w:rPr>
      <w:kern w:val="2"/>
      <w:sz w:val="18"/>
      <w:szCs w:val="18"/>
    </w:rPr>
  </w:style>
  <w:style w:type="paragraph" w:styleId="ae">
    <w:name w:val="header"/>
    <w:basedOn w:val="a"/>
    <w:link w:val="af"/>
    <w:uiPriority w:val="99"/>
    <w:unhideWhenUsed/>
    <w:rsid w:val="00EB76F6"/>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EB76F6"/>
    <w:rPr>
      <w:kern w:val="2"/>
      <w:sz w:val="18"/>
      <w:szCs w:val="18"/>
    </w:rPr>
  </w:style>
  <w:style w:type="paragraph" w:styleId="af0">
    <w:name w:val="footer"/>
    <w:basedOn w:val="a"/>
    <w:link w:val="af1"/>
    <w:uiPriority w:val="99"/>
    <w:unhideWhenUsed/>
    <w:rsid w:val="00EB76F6"/>
    <w:pPr>
      <w:tabs>
        <w:tab w:val="center" w:pos="4153"/>
        <w:tab w:val="right" w:pos="8306"/>
      </w:tabs>
      <w:snapToGrid w:val="0"/>
      <w:jc w:val="left"/>
    </w:pPr>
    <w:rPr>
      <w:sz w:val="18"/>
      <w:szCs w:val="18"/>
    </w:rPr>
  </w:style>
  <w:style w:type="character" w:customStyle="1" w:styleId="af1">
    <w:name w:val="页脚 字符"/>
    <w:basedOn w:val="a0"/>
    <w:link w:val="af0"/>
    <w:uiPriority w:val="99"/>
    <w:rsid w:val="00EB76F6"/>
    <w:rPr>
      <w:kern w:val="2"/>
      <w:sz w:val="18"/>
      <w:szCs w:val="18"/>
    </w:rPr>
  </w:style>
  <w:style w:type="paragraph" w:styleId="af2">
    <w:name w:val="Revision"/>
    <w:hidden/>
    <w:uiPriority w:val="99"/>
    <w:unhideWhenUsed/>
    <w:rsid w:val="000226A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F80F3-67E2-4D5E-8F7A-185EB932E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560</Words>
  <Characters>706</Characters>
  <Application>Microsoft Office Word</Application>
  <DocSecurity>0</DocSecurity>
  <Lines>33</Lines>
  <Paragraphs>20</Paragraphs>
  <ScaleCrop>false</ScaleCrop>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2025-05-26T06:55:00Z</dcterms:created>
  <dcterms:modified xsi:type="dcterms:W3CDTF">2025-05-26T07:37:00Z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402B7E76144B49D8B29AAAAD642B432A_12</vt:lpwstr>
  </property>
</Properties>
</file>