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268F4" w14:textId="77777777" w:rsidR="000A1DA7" w:rsidRDefault="002F01D0">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富荣权益：震荡区间，把握结构性机会</w:t>
      </w:r>
    </w:p>
    <w:p w14:paraId="0B1108D3" w14:textId="77777777" w:rsidR="000A1DA7" w:rsidRDefault="002F01D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278C3243" w14:textId="1C59994F" w:rsidR="000A1DA7" w:rsidRDefault="002F01D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上周（2025年5月19日至2025年5月23日，下同）权益市场主要指数全部下跌，</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10132.41</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3348.37</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2021.50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。其中，沪深300（-0.18%）、上证50（-0.18%）跌幅最小；深证成指（-0.46%）、上证指数（-0.57%）、创业板50（-0.83%）、创业板指（-0.88%）、中证500（-1.10%）、中证1000（-1.29%）、</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50（-1.47%）、创成长（-1.91%）紧随其后。</w:t>
      </w:r>
    </w:p>
    <w:p w14:paraId="4871033D" w14:textId="77777777" w:rsidR="000A1DA7" w:rsidRDefault="002F01D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49C17252" wp14:editId="1D4B8324">
            <wp:extent cx="6479540" cy="3717290"/>
            <wp:effectExtent l="0" t="0" r="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6479540" cy="3717290"/>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区间：20250519-20250523；月涨跌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区间：20250501-20250523</w:t>
      </w:r>
    </w:p>
    <w:p w14:paraId="32961F44" w14:textId="77777777" w:rsidR="000A1DA7" w:rsidRDefault="002F01D0">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指数中，医药生物（+1.78%）、综合（+1.41%）、有色金属（+1.26%）等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较大，通信（-2.31%）、机械设备（-2.48%）、计算机（-3.02%）等行业跌幅较大。</w:t>
      </w:r>
    </w:p>
    <w:p w14:paraId="443A40F4" w14:textId="77777777" w:rsidR="000A1DA7" w:rsidRDefault="002F01D0">
      <w:pPr>
        <w:ind w:firstLineChars="200" w:firstLine="428"/>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74F2BD43" wp14:editId="1F53B498">
            <wp:extent cx="6479540" cy="4256405"/>
            <wp:effectExtent l="0" t="0" r="0" b="0"/>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6479540" cy="4256405"/>
                    </a:xfrm>
                    <a:prstGeom prst="rect">
                      <a:avLst/>
                    </a:prstGeom>
                  </pic:spPr>
                </pic:pic>
              </a:graphicData>
            </a:graphic>
          </wp:inline>
        </w:drawing>
      </w: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；统计区间：20250519-20250523</w:t>
      </w:r>
    </w:p>
    <w:p w14:paraId="09DAB4E6" w14:textId="77777777" w:rsidR="000A1DA7" w:rsidRDefault="000A1DA7">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265A9062" w14:textId="77777777" w:rsidR="000A1DA7" w:rsidRDefault="002F01D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二、生物医药行业点评与展望</w:t>
      </w:r>
    </w:p>
    <w:p w14:paraId="7B61B53F" w14:textId="0D134378" w:rsidR="000A1DA7" w:rsidRDefault="002F01D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上周医药生物（801150.SL）上涨1.78%，相对于沪深300的超额收益为1.96%，在所有</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指数中排名第一。其中，创新</w:t>
      </w:r>
      <w:proofErr w:type="gramStart"/>
      <w:r>
        <w:rPr>
          <w:rFonts w:ascii="思源黑体 CN Light" w:eastAsia="思源黑体 CN Light" w:hAnsi="思源黑体 CN Light" w:cs="Times New Roman" w:hint="eastAsia"/>
          <w:color w:val="000000" w:themeColor="text1"/>
          <w:sz w:val="21"/>
          <w:szCs w:val="20"/>
        </w:rPr>
        <w:t>药板块</w:t>
      </w:r>
      <w:proofErr w:type="gramEnd"/>
      <w:r>
        <w:rPr>
          <w:rFonts w:ascii="思源黑体 CN Light" w:eastAsia="思源黑体 CN Light" w:hAnsi="思源黑体 CN Light" w:cs="Times New Roman" w:hint="eastAsia"/>
          <w:color w:val="000000" w:themeColor="text1"/>
          <w:sz w:val="21"/>
          <w:szCs w:val="20"/>
        </w:rPr>
        <w:t>表现尤为突出，</w:t>
      </w:r>
      <w:r w:rsidR="0054479B">
        <w:rPr>
          <w:rFonts w:ascii="思源黑体 CN Light" w:eastAsia="思源黑体 CN Light" w:hAnsi="思源黑体 CN Light" w:cs="Times New Roman" w:hint="eastAsia"/>
          <w:color w:val="000000" w:themeColor="text1"/>
          <w:sz w:val="21"/>
          <w:szCs w:val="20"/>
        </w:rPr>
        <w:t>是因为</w:t>
      </w:r>
      <w:r>
        <w:rPr>
          <w:rFonts w:ascii="思源黑体 CN Light" w:eastAsia="思源黑体 CN Light" w:hAnsi="思源黑体 CN Light" w:cs="Times New Roman" w:hint="eastAsia"/>
          <w:color w:val="000000" w:themeColor="text1"/>
          <w:sz w:val="21"/>
          <w:szCs w:val="20"/>
        </w:rPr>
        <w:t>2025年的ASCO大会即将于5月30日正式开始，大量临床管线的数据或将得到验证。</w:t>
      </w:r>
    </w:p>
    <w:p w14:paraId="6E73342F" w14:textId="50E23383" w:rsidR="000A1DA7" w:rsidRDefault="002F01D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公司层面，</w:t>
      </w:r>
      <w:proofErr w:type="gramStart"/>
      <w:r>
        <w:rPr>
          <w:rFonts w:ascii="思源黑体 CN Light" w:eastAsia="思源黑体 CN Light" w:hAnsi="思源黑体 CN Light" w:cs="Times New Roman" w:hint="eastAsia"/>
          <w:color w:val="000000" w:themeColor="text1"/>
          <w:sz w:val="21"/>
          <w:szCs w:val="20"/>
        </w:rPr>
        <w:t>某国内</w:t>
      </w:r>
      <w:proofErr w:type="gramEnd"/>
      <w:r>
        <w:rPr>
          <w:rFonts w:ascii="思源黑体 CN Light" w:eastAsia="思源黑体 CN Light" w:hAnsi="思源黑体 CN Light" w:cs="Times New Roman" w:hint="eastAsia"/>
          <w:color w:val="000000" w:themeColor="text1"/>
          <w:sz w:val="21"/>
          <w:szCs w:val="20"/>
        </w:rPr>
        <w:t>头部创新</w:t>
      </w:r>
      <w:proofErr w:type="gramStart"/>
      <w:r>
        <w:rPr>
          <w:rFonts w:ascii="思源黑体 CN Light" w:eastAsia="思源黑体 CN Light" w:hAnsi="思源黑体 CN Light" w:cs="Times New Roman" w:hint="eastAsia"/>
          <w:color w:val="000000" w:themeColor="text1"/>
          <w:sz w:val="21"/>
          <w:szCs w:val="20"/>
        </w:rPr>
        <w:t>药企业</w:t>
      </w:r>
      <w:proofErr w:type="gramEnd"/>
      <w:r>
        <w:rPr>
          <w:rFonts w:ascii="思源黑体 CN Light" w:eastAsia="思源黑体 CN Light" w:hAnsi="思源黑体 CN Light" w:cs="Times New Roman" w:hint="eastAsia"/>
          <w:color w:val="000000" w:themeColor="text1"/>
          <w:sz w:val="21"/>
          <w:szCs w:val="20"/>
        </w:rPr>
        <w:t>正式登录港股，当日股价大涨，打消了市场对于公司港股上市折价的顾虑。此外，两家</w:t>
      </w:r>
      <w:proofErr w:type="gramStart"/>
      <w:r>
        <w:rPr>
          <w:rFonts w:ascii="思源黑体 CN Light" w:eastAsia="思源黑体 CN Light" w:hAnsi="思源黑体 CN Light" w:cs="Times New Roman" w:hint="eastAsia"/>
          <w:color w:val="000000" w:themeColor="text1"/>
          <w:sz w:val="21"/>
          <w:szCs w:val="20"/>
        </w:rPr>
        <w:t>药企完成</w:t>
      </w:r>
      <w:proofErr w:type="gramEnd"/>
      <w:r>
        <w:rPr>
          <w:rFonts w:ascii="思源黑体 CN Light" w:eastAsia="思源黑体 CN Light" w:hAnsi="思源黑体 CN Light" w:cs="Times New Roman" w:hint="eastAsia"/>
          <w:color w:val="000000" w:themeColor="text1"/>
          <w:sz w:val="21"/>
          <w:szCs w:val="20"/>
        </w:rPr>
        <w:t>重磅BD交易，交易首付款高达12.5亿美元，总金额为48亿美元，此次交易是年内较为重磅的交易之一，证明了我国创新</w:t>
      </w:r>
      <w:proofErr w:type="gramStart"/>
      <w:r>
        <w:rPr>
          <w:rFonts w:ascii="思源黑体 CN Light" w:eastAsia="思源黑体 CN Light" w:hAnsi="思源黑体 CN Light" w:cs="Times New Roman" w:hint="eastAsia"/>
          <w:color w:val="000000" w:themeColor="text1"/>
          <w:sz w:val="21"/>
          <w:szCs w:val="20"/>
        </w:rPr>
        <w:t>药企业</w:t>
      </w:r>
      <w:proofErr w:type="gramEnd"/>
      <w:r>
        <w:rPr>
          <w:rFonts w:ascii="思源黑体 CN Light" w:eastAsia="思源黑体 CN Light" w:hAnsi="思源黑体 CN Light" w:cs="Times New Roman" w:hint="eastAsia"/>
          <w:color w:val="000000" w:themeColor="text1"/>
          <w:sz w:val="21"/>
          <w:szCs w:val="20"/>
        </w:rPr>
        <w:t>出海的可行性。</w:t>
      </w:r>
    </w:p>
    <w:p w14:paraId="54A5EA7B" w14:textId="77777777" w:rsidR="000A1DA7" w:rsidRDefault="002F01D0">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展望后市，我们认为我国创新</w:t>
      </w:r>
      <w:proofErr w:type="gramStart"/>
      <w:r>
        <w:rPr>
          <w:rFonts w:ascii="思源黑体 CN Light" w:eastAsia="思源黑体 CN Light" w:hAnsi="思源黑体 CN Light" w:cs="Times New Roman" w:hint="eastAsia"/>
          <w:color w:val="000000" w:themeColor="text1"/>
          <w:sz w:val="21"/>
          <w:szCs w:val="20"/>
        </w:rPr>
        <w:t>药企业</w:t>
      </w:r>
      <w:proofErr w:type="gramEnd"/>
      <w:r>
        <w:rPr>
          <w:rFonts w:ascii="思源黑体 CN Light" w:eastAsia="思源黑体 CN Light" w:hAnsi="思源黑体 CN Light" w:cs="Times New Roman" w:hint="eastAsia"/>
          <w:color w:val="000000" w:themeColor="text1"/>
          <w:sz w:val="21"/>
          <w:szCs w:val="20"/>
        </w:rPr>
        <w:t>处在快速增长阶段，未来3-5年或将蓬勃发展，出海BD是我国创新</w:t>
      </w:r>
      <w:proofErr w:type="gramStart"/>
      <w:r>
        <w:rPr>
          <w:rFonts w:ascii="思源黑体 CN Light" w:eastAsia="思源黑体 CN Light" w:hAnsi="思源黑体 CN Light" w:cs="Times New Roman" w:hint="eastAsia"/>
          <w:color w:val="000000" w:themeColor="text1"/>
          <w:sz w:val="21"/>
          <w:szCs w:val="20"/>
        </w:rPr>
        <w:t>药产业</w:t>
      </w:r>
      <w:proofErr w:type="gramEnd"/>
      <w:r>
        <w:rPr>
          <w:rFonts w:ascii="思源黑体 CN Light" w:eastAsia="思源黑体 CN Light" w:hAnsi="思源黑体 CN Light" w:cs="Times New Roman" w:hint="eastAsia"/>
          <w:color w:val="000000" w:themeColor="text1"/>
          <w:sz w:val="21"/>
          <w:szCs w:val="20"/>
        </w:rPr>
        <w:t>链的主旋律。</w:t>
      </w:r>
    </w:p>
    <w:p w14:paraId="7C2150D0" w14:textId="77777777" w:rsidR="000A1DA7" w:rsidRDefault="000A1DA7">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25263D7D" w14:textId="77777777" w:rsidR="000A1DA7" w:rsidRDefault="002F01D0">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4711BD0D" w14:textId="77777777" w:rsidR="000A1DA7" w:rsidRDefault="002F01D0">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近两周权益市场走势整体偏弱，前期引领市场情绪的科技成长持续走弱，成交额占比也回落至较低区间，短期资金抱团的小微盘出现了阶段见顶迹象。</w:t>
      </w:r>
    </w:p>
    <w:p w14:paraId="0E8E70FF" w14:textId="22A4CA81" w:rsidR="000A1DA7" w:rsidRDefault="002F01D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从趋势上看，我们认为权益市场仍处于震荡区间，无需过分悲观或乐观。一方面，市场向上需要消化外需的不确定性。虽然中美经贸联合声明关税迎来90天的暂缓期，但这并未改变市场对于中美贸易中期不确定</w:t>
      </w:r>
      <w:r w:rsidR="0081730F">
        <w:rPr>
          <w:rFonts w:ascii="思源黑体 CN Light" w:eastAsia="思源黑体 CN Light" w:hAnsi="思源黑体 CN Light" w:cs="Times New Roman" w:hint="eastAsia"/>
          <w:color w:val="000000"/>
          <w:sz w:val="21"/>
          <w:szCs w:val="20"/>
          <w:shd w:val="clear" w:color="auto" w:fill="FFFFFF"/>
        </w:rPr>
        <w:t>性</w:t>
      </w:r>
      <w:r>
        <w:rPr>
          <w:rFonts w:ascii="思源黑体 CN Light" w:eastAsia="思源黑体 CN Light" w:hAnsi="思源黑体 CN Light" w:cs="Times New Roman" w:hint="eastAsia"/>
          <w:color w:val="000000"/>
          <w:sz w:val="21"/>
          <w:szCs w:val="20"/>
          <w:shd w:val="clear" w:color="auto" w:fill="FFFFFF"/>
        </w:rPr>
        <w:t>的预期。另一方面，国内政策“组合拳”对市场形成了较强的支撑。5月7日国新办发布会上，中国人民银行、国家金融监督管理总局以及证监会围绕“稳市场稳预期”出台了一系列政策，</w:t>
      </w:r>
      <w:proofErr w:type="gramStart"/>
      <w:r>
        <w:rPr>
          <w:rFonts w:ascii="思源黑体 CN Light" w:eastAsia="思源黑体 CN Light" w:hAnsi="思源黑体 CN Light" w:cs="Times New Roman" w:hint="eastAsia"/>
          <w:color w:val="000000"/>
          <w:sz w:val="21"/>
          <w:szCs w:val="20"/>
          <w:shd w:val="clear" w:color="auto" w:fill="FFFFFF"/>
        </w:rPr>
        <w:t>包括降准降息</w:t>
      </w:r>
      <w:proofErr w:type="gramEnd"/>
      <w:r>
        <w:rPr>
          <w:rFonts w:ascii="思源黑体 CN Light" w:eastAsia="思源黑体 CN Light" w:hAnsi="思源黑体 CN Light" w:cs="Times New Roman" w:hint="eastAsia"/>
          <w:color w:val="000000"/>
          <w:sz w:val="21"/>
          <w:szCs w:val="20"/>
          <w:shd w:val="clear" w:color="auto" w:fill="FFFFFF"/>
        </w:rPr>
        <w:t>、推动长期资金入市、放开并购重组等。</w:t>
      </w:r>
    </w:p>
    <w:p w14:paraId="09918EE0" w14:textId="77777777" w:rsidR="000A1DA7" w:rsidRDefault="002F01D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目前，权益市场多数指数已反弹到了“中美关税战”前的位置，市场短期情绪回落也无需过于担心。把握结构性机会是当下的核心要点，重点关注具备中期产业逻辑的新兴成长方向，如AI、半导体、机器人等。</w:t>
      </w:r>
    </w:p>
    <w:bookmarkEnd w:id="2"/>
    <w:p w14:paraId="3022EF9B" w14:textId="77777777" w:rsidR="000A1DA7" w:rsidRDefault="002F01D0">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474EEB0B" w14:textId="77777777" w:rsidR="000A1DA7" w:rsidRDefault="002F01D0">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399BE7C1" w14:textId="77777777" w:rsidR="000A1DA7" w:rsidRDefault="000A1DA7">
      <w:pPr>
        <w:rPr>
          <w:rFonts w:ascii="思源黑体 CN Light" w:eastAsia="思源黑体 CN Light" w:hAnsi="思源黑体 CN Light" w:cs="Times New Roman" w:hint="eastAsia"/>
          <w:color w:val="000000"/>
          <w:sz w:val="21"/>
          <w:szCs w:val="20"/>
          <w:shd w:val="clear" w:color="auto" w:fill="FFFFFF"/>
        </w:rPr>
      </w:pPr>
    </w:p>
    <w:p w14:paraId="2D169A07" w14:textId="77777777" w:rsidR="000A1DA7" w:rsidRDefault="000A1DA7">
      <w:pPr>
        <w:pStyle w:val="af3"/>
        <w:ind w:firstLineChars="0" w:firstLine="0"/>
        <w:rPr>
          <w:rFonts w:ascii="思源黑体 CN Light" w:eastAsia="思源黑体 CN Light" w:hAnsi="思源黑体 CN Light" w:cs="Times New Roman" w:hint="eastAsia"/>
          <w:sz w:val="20"/>
          <w:szCs w:val="20"/>
        </w:rPr>
      </w:pPr>
    </w:p>
    <w:p w14:paraId="571FB9E3" w14:textId="77777777" w:rsidR="000A1DA7" w:rsidRDefault="002F01D0">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772B0DE8" w14:textId="77777777" w:rsidR="000A1DA7" w:rsidRDefault="000A1DA7">
      <w:pPr>
        <w:rPr>
          <w:rFonts w:hint="eastAsia"/>
        </w:rPr>
      </w:pPr>
    </w:p>
    <w:sectPr w:rsidR="000A1DA7">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8FF80" w14:textId="77777777" w:rsidR="00D53E4D" w:rsidRDefault="00D53E4D">
      <w:pPr>
        <w:spacing w:line="240" w:lineRule="auto"/>
        <w:rPr>
          <w:rFonts w:hint="eastAsia"/>
        </w:rPr>
      </w:pPr>
      <w:r>
        <w:separator/>
      </w:r>
    </w:p>
  </w:endnote>
  <w:endnote w:type="continuationSeparator" w:id="0">
    <w:p w14:paraId="2C271A5A" w14:textId="77777777" w:rsidR="00D53E4D" w:rsidRDefault="00D53E4D">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10C2D" w14:textId="77777777" w:rsidR="000A1DA7" w:rsidRDefault="002F01D0">
    <w:pPr>
      <w:pStyle w:val="a4"/>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4479B">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4479B">
              <w:rPr>
                <w:b/>
                <w:bCs/>
                <w:noProof/>
              </w:rPr>
              <w:t>3</w:t>
            </w:r>
            <w:r>
              <w:rPr>
                <w:b/>
                <w:bCs/>
                <w:sz w:val="24"/>
                <w:szCs w:val="24"/>
              </w:rPr>
              <w:fldChar w:fldCharType="end"/>
            </w:r>
          </w:sdtContent>
        </w:sdt>
      </w:sdtContent>
    </w:sdt>
    <w:r>
      <w:tab/>
    </w:r>
  </w:p>
  <w:p w14:paraId="592CF90E" w14:textId="77777777" w:rsidR="000A1DA7" w:rsidRDefault="000A1DA7">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93AF8" w14:textId="77777777" w:rsidR="00D53E4D" w:rsidRDefault="00D53E4D">
      <w:pPr>
        <w:rPr>
          <w:rFonts w:hint="eastAsia"/>
        </w:rPr>
      </w:pPr>
      <w:r>
        <w:separator/>
      </w:r>
    </w:p>
  </w:footnote>
  <w:footnote w:type="continuationSeparator" w:id="0">
    <w:p w14:paraId="30742EC0" w14:textId="77777777" w:rsidR="00D53E4D" w:rsidRDefault="00D53E4D">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d"/>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0A1DA7" w14:paraId="0AE81177" w14:textId="77777777">
      <w:trPr>
        <w:trHeight w:val="424"/>
      </w:trPr>
      <w:tc>
        <w:tcPr>
          <w:tcW w:w="3652" w:type="dxa"/>
          <w:shd w:val="clear" w:color="auto" w:fill="F3F3F3"/>
          <w:vAlign w:val="center"/>
        </w:tcPr>
        <w:p w14:paraId="7FD35AB5" w14:textId="77777777" w:rsidR="000A1DA7" w:rsidRDefault="002F01D0">
          <w:pPr>
            <w:pStyle w:val="a6"/>
            <w:pBdr>
              <w:bottom w:val="none" w:sz="0" w:space="0" w:color="auto"/>
            </w:pBdr>
            <w:jc w:val="right"/>
            <w:rPr>
              <w:kern w:val="0"/>
            </w:rPr>
          </w:pPr>
          <w:r>
            <w:rPr>
              <w:rFonts w:hint="eastAsia"/>
              <w:kern w:val="0"/>
            </w:rPr>
            <w:t>证券研究报告</w:t>
          </w:r>
        </w:p>
      </w:tc>
      <w:tc>
        <w:tcPr>
          <w:tcW w:w="284" w:type="dxa"/>
          <w:shd w:val="clear" w:color="auto" w:fill="C3E2F4"/>
        </w:tcPr>
        <w:p w14:paraId="6A4BCEE2" w14:textId="77777777" w:rsidR="000A1DA7" w:rsidRDefault="000A1DA7">
          <w:pPr>
            <w:pStyle w:val="a6"/>
            <w:pBdr>
              <w:bottom w:val="none" w:sz="0" w:space="0" w:color="auto"/>
            </w:pBdr>
            <w:jc w:val="left"/>
            <w:rPr>
              <w:kern w:val="0"/>
            </w:rPr>
          </w:pPr>
        </w:p>
      </w:tc>
      <w:tc>
        <w:tcPr>
          <w:tcW w:w="2335" w:type="dxa"/>
          <w:shd w:val="clear" w:color="auto" w:fill="013F98"/>
          <w:vAlign w:val="center"/>
        </w:tcPr>
        <w:p w14:paraId="794C9B20" w14:textId="77777777" w:rsidR="000A1DA7" w:rsidRDefault="002F01D0">
          <w:pPr>
            <w:pStyle w:val="a6"/>
            <w:pBdr>
              <w:bottom w:val="none" w:sz="0" w:space="0" w:color="auto"/>
            </w:pBdr>
            <w:rPr>
              <w:kern w:val="0"/>
            </w:rPr>
          </w:pPr>
          <w:r>
            <w:rPr>
              <w:rFonts w:hint="eastAsia"/>
              <w:kern w:val="0"/>
            </w:rPr>
            <w:t>权益周报</w:t>
          </w:r>
        </w:p>
      </w:tc>
    </w:tr>
  </w:tbl>
  <w:p w14:paraId="03F2B902" w14:textId="77777777" w:rsidR="000A1DA7" w:rsidRDefault="002F01D0">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0CC3DDB9" wp14:editId="511DA8DF">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77C2"/>
    <w:rsid w:val="000A1DA7"/>
    <w:rsid w:val="000B00B2"/>
    <w:rsid w:val="000F50D8"/>
    <w:rsid w:val="000F77C2"/>
    <w:rsid w:val="00124A69"/>
    <w:rsid w:val="002F01D0"/>
    <w:rsid w:val="002F63B0"/>
    <w:rsid w:val="003577CF"/>
    <w:rsid w:val="0054479B"/>
    <w:rsid w:val="0081730F"/>
    <w:rsid w:val="00852735"/>
    <w:rsid w:val="00891C4D"/>
    <w:rsid w:val="00926446"/>
    <w:rsid w:val="00A10D4F"/>
    <w:rsid w:val="00A624DA"/>
    <w:rsid w:val="00C26701"/>
    <w:rsid w:val="00CD7891"/>
    <w:rsid w:val="00D53E4D"/>
    <w:rsid w:val="1F045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A4EF36"/>
  <w15:docId w15:val="{D957E7F2-9499-4D3B-A288-D9D11F281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a">
    <w:name w:val="Normal (Web)"/>
    <w:basedOn w:val="a"/>
    <w:uiPriority w:val="99"/>
    <w:semiHidden/>
    <w:unhideWhenUsed/>
    <w:rPr>
      <w:rFonts w:ascii="Times New Roman" w:hAnsi="Times New Roman" w:cs="Times New Roman"/>
      <w:szCs w:val="24"/>
    </w:rPr>
  </w:style>
  <w:style w:type="paragraph" w:styleId="ab">
    <w:name w:val="Title"/>
    <w:basedOn w:val="a"/>
    <w:next w:val="a"/>
    <w:link w:val="ac"/>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d">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c">
    <w:name w:val="标题 字符"/>
    <w:basedOn w:val="a0"/>
    <w:link w:val="ab"/>
    <w:uiPriority w:val="10"/>
    <w:qFormat/>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
    <w:name w:val="引用 字符"/>
    <w:basedOn w:val="a0"/>
    <w:link w:val="ae"/>
    <w:uiPriority w:val="29"/>
    <w:qFormat/>
    <w:rPr>
      <w:i/>
      <w:iCs/>
      <w:color w:val="404040" w:themeColor="text1" w:themeTint="BF"/>
    </w:rPr>
  </w:style>
  <w:style w:type="paragraph" w:styleId="af0">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5">
    <w:name w:val="页脚 字符"/>
    <w:basedOn w:val="a0"/>
    <w:link w:val="a4"/>
    <w:uiPriority w:val="99"/>
    <w:qFormat/>
    <w:rPr>
      <w:sz w:val="18"/>
      <w:szCs w:val="18"/>
      <w14:ligatures w14:val="none"/>
    </w:rPr>
  </w:style>
  <w:style w:type="character" w:customStyle="1" w:styleId="a7">
    <w:name w:val="页眉 字符"/>
    <w:basedOn w:val="a0"/>
    <w:link w:val="a6"/>
    <w:uiPriority w:val="99"/>
    <w:qFormat/>
    <w:rPr>
      <w:sz w:val="18"/>
      <w:szCs w:val="18"/>
      <w14:ligatures w14:val="none"/>
    </w:rPr>
  </w:style>
  <w:style w:type="paragraph" w:styleId="af3">
    <w:name w:val="No Spacing"/>
    <w:basedOn w:val="aa"/>
    <w:link w:val="af4"/>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4">
    <w:name w:val="无间隔 字符"/>
    <w:basedOn w:val="a0"/>
    <w:link w:val="af3"/>
    <w:uiPriority w:val="1"/>
    <w:qFormat/>
    <w:rPr>
      <w:kern w:val="0"/>
      <w:sz w:val="24"/>
      <w:szCs w:val="22"/>
      <w:shd w:val="clear" w:color="auto" w:fill="FFFFFF"/>
      <w14:ligatures w14:val="none"/>
    </w:rPr>
  </w:style>
  <w:style w:type="character" w:styleId="af5">
    <w:name w:val="annotation reference"/>
    <w:basedOn w:val="a0"/>
    <w:uiPriority w:val="99"/>
    <w:semiHidden/>
    <w:unhideWhenUsed/>
    <w:rPr>
      <w:sz w:val="21"/>
      <w:szCs w:val="21"/>
    </w:rPr>
  </w:style>
  <w:style w:type="paragraph" w:styleId="af6">
    <w:name w:val="Balloon Text"/>
    <w:basedOn w:val="a"/>
    <w:link w:val="af7"/>
    <w:uiPriority w:val="99"/>
    <w:semiHidden/>
    <w:unhideWhenUsed/>
    <w:rsid w:val="000F50D8"/>
    <w:pPr>
      <w:spacing w:line="240" w:lineRule="auto"/>
    </w:pPr>
    <w:rPr>
      <w:sz w:val="18"/>
      <w:szCs w:val="18"/>
    </w:rPr>
  </w:style>
  <w:style w:type="character" w:customStyle="1" w:styleId="af7">
    <w:name w:val="批注框文本 字符"/>
    <w:basedOn w:val="a0"/>
    <w:link w:val="af6"/>
    <w:uiPriority w:val="99"/>
    <w:semiHidden/>
    <w:rsid w:val="000F50D8"/>
    <w:rPr>
      <w:kern w:val="2"/>
      <w:sz w:val="18"/>
      <w:szCs w:val="18"/>
    </w:rPr>
  </w:style>
  <w:style w:type="paragraph" w:styleId="af8">
    <w:name w:val="Revision"/>
    <w:hidden/>
    <w:uiPriority w:val="99"/>
    <w:unhideWhenUsed/>
    <w:rsid w:val="0081730F"/>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672</Words>
  <Characters>780</Characters>
  <Application>Microsoft Office Word</Application>
  <DocSecurity>0</DocSecurity>
  <Lines>23</Lines>
  <Paragraphs>17</Paragraphs>
  <ScaleCrop>false</ScaleCrop>
  <Company/>
  <LinksUpToDate>false</LinksUpToDate>
  <CharactersWithSpaces>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2025-05-26T06:40:00Z</dcterms:created>
  <dcterms:modified xsi:type="dcterms:W3CDTF">2025-05-26T07:39:00Z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2052-12.1.0.21171</vt:lpwstr>
  </property>
  <property fmtid="{D5CDD505-2E9C-101B-9397-08002B2CF9AE}" pid="4" name="ICV">
    <vt:lpwstr>3571F34C68FE47C596BB3B31F9BA8D2F_12</vt:lpwstr>
  </property>
</Properties>
</file>