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00D732" w14:textId="77777777" w:rsidR="008C5566" w:rsidRDefault="00412056">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w:t>
      </w:r>
      <w:proofErr w:type="gramStart"/>
      <w:r>
        <w:rPr>
          <w:rFonts w:ascii="思源黑体 CN Bold" w:eastAsia="思源黑体 CN Bold" w:hAnsi="思源黑体 CN Bold" w:hint="eastAsia"/>
          <w:b/>
          <w:bCs/>
          <w:sz w:val="28"/>
          <w:szCs w:val="28"/>
        </w:rPr>
        <w:t>荣固收</w:t>
      </w:r>
      <w:proofErr w:type="gramEnd"/>
      <w:r>
        <w:rPr>
          <w:rFonts w:ascii="思源黑体 CN Bold" w:eastAsia="思源黑体 CN Bold" w:hAnsi="思源黑体 CN Bold" w:hint="eastAsia"/>
          <w:b/>
          <w:bCs/>
          <w:sz w:val="28"/>
          <w:szCs w:val="28"/>
        </w:rPr>
        <w:t>：债市或将延续震荡</w:t>
      </w:r>
    </w:p>
    <w:p w14:paraId="304C964C" w14:textId="77777777" w:rsidR="008C5566" w:rsidRDefault="00412056">
      <w:pPr>
        <w:rPr>
          <w:rFonts w:ascii="思源黑体 CN Light" w:eastAsia="思源黑体 CN Light" w:hAnsi="思源黑体 CN Light" w:hint="eastAsia"/>
          <w:szCs w:val="21"/>
        </w:rPr>
      </w:pPr>
      <w:r>
        <w:rPr>
          <w:rFonts w:ascii="思源黑体 CN Light" w:eastAsia="思源黑体 CN Light" w:hAnsi="思源黑体 CN Light" w:hint="eastAsia"/>
          <w:szCs w:val="21"/>
        </w:rPr>
        <w:t>观点：</w:t>
      </w:r>
      <w:bookmarkStart w:id="0" w:name="_Toc134985519"/>
    </w:p>
    <w:p w14:paraId="052EA247" w14:textId="72AFAE09" w:rsidR="008C5566" w:rsidRDefault="00412056">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5月PMI如期修复但幅度不大，内需</w:t>
      </w:r>
      <w:r w:rsidR="000E1287">
        <w:rPr>
          <w:rFonts w:ascii="思源黑体 CN Light" w:eastAsia="思源黑体 CN Light" w:hAnsi="思源黑体 CN Light" w:cs="Times New Roman" w:hint="eastAsia"/>
          <w:szCs w:val="21"/>
        </w:rPr>
        <w:t>偏弱</w:t>
      </w:r>
      <w:r>
        <w:rPr>
          <w:rFonts w:ascii="思源黑体 CN Light" w:eastAsia="思源黑体 CN Light" w:hAnsi="思源黑体 CN Light" w:cs="Times New Roman" w:hint="eastAsia"/>
          <w:szCs w:val="21"/>
        </w:rPr>
        <w:t>或意味着基本面压力仍存。近一两月的经济表现仍需观察，PPI同比大概率进一步下探，工业企业利润回升或将持续性受制约。</w:t>
      </w:r>
    </w:p>
    <w:p w14:paraId="691427E7" w14:textId="77777777" w:rsidR="008C5566" w:rsidRDefault="00412056">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从目前情况看，央行或将继续呵护流动性，资金面大概率无虞。但6月央行连续双降的可能性不大，同时曲线也显示，市场</w:t>
      </w:r>
      <w:proofErr w:type="gramStart"/>
      <w:r>
        <w:rPr>
          <w:rFonts w:ascii="思源黑体 CN Light" w:eastAsia="思源黑体 CN Light" w:hAnsi="思源黑体 CN Light" w:cs="Times New Roman" w:hint="eastAsia"/>
          <w:szCs w:val="21"/>
        </w:rPr>
        <w:t>对降准降息</w:t>
      </w:r>
      <w:proofErr w:type="gramEnd"/>
      <w:r>
        <w:rPr>
          <w:rFonts w:ascii="思源黑体 CN Light" w:eastAsia="思源黑体 CN Light" w:hAnsi="思源黑体 CN Light" w:cs="Times New Roman" w:hint="eastAsia"/>
          <w:szCs w:val="21"/>
        </w:rPr>
        <w:t>预期较低。</w:t>
      </w:r>
    </w:p>
    <w:p w14:paraId="454BA5E7" w14:textId="77777777" w:rsidR="008C5566" w:rsidRDefault="00412056">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海外方面，尽管美国关税政策再现反复，但市场对此</w:t>
      </w:r>
      <w:proofErr w:type="gramStart"/>
      <w:r>
        <w:rPr>
          <w:rFonts w:ascii="思源黑体 CN Light" w:eastAsia="思源黑体 CN Light" w:hAnsi="思源黑体 CN Light" w:cs="Times New Roman" w:hint="eastAsia"/>
          <w:szCs w:val="21"/>
        </w:rPr>
        <w:t>类冲击</w:t>
      </w:r>
      <w:proofErr w:type="gramEnd"/>
      <w:r>
        <w:rPr>
          <w:rFonts w:ascii="思源黑体 CN Light" w:eastAsia="思源黑体 CN Light" w:hAnsi="思源黑体 CN Light" w:cs="Times New Roman" w:hint="eastAsia"/>
          <w:szCs w:val="21"/>
        </w:rPr>
        <w:t>的脱敏效应或将日益凸显。</w:t>
      </w:r>
    </w:p>
    <w:p w14:paraId="022878B9" w14:textId="77777777" w:rsidR="008C5566" w:rsidRDefault="00412056">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上周（</w:t>
      </w:r>
      <w:r>
        <w:rPr>
          <w:rFonts w:ascii="思源黑体 CN Light" w:eastAsia="思源黑体 CN Light" w:hAnsi="思源黑体 CN Light" w:cs="Times New Roman" w:hint="eastAsia"/>
          <w:color w:val="000000" w:themeColor="text1"/>
          <w:szCs w:val="20"/>
        </w:rPr>
        <w:t>2025年5月26日至2025年5月30日，下同</w:t>
      </w:r>
      <w:r>
        <w:rPr>
          <w:rFonts w:ascii="思源黑体 CN Light" w:eastAsia="思源黑体 CN Light" w:hAnsi="思源黑体 CN Light" w:cs="Times New Roman" w:hint="eastAsia"/>
          <w:szCs w:val="21"/>
        </w:rPr>
        <w:t>），</w:t>
      </w:r>
      <w:proofErr w:type="gramStart"/>
      <w:r>
        <w:rPr>
          <w:rFonts w:ascii="思源黑体 CN Light" w:eastAsia="思源黑体 CN Light" w:hAnsi="思源黑体 CN Light" w:cs="Times New Roman" w:hint="eastAsia"/>
          <w:szCs w:val="21"/>
        </w:rPr>
        <w:t>在债基赎回</w:t>
      </w:r>
      <w:proofErr w:type="gramEnd"/>
      <w:r>
        <w:rPr>
          <w:rFonts w:ascii="思源黑体 CN Light" w:eastAsia="思源黑体 CN Light" w:hAnsi="思源黑体 CN Light" w:cs="Times New Roman" w:hint="eastAsia"/>
          <w:szCs w:val="21"/>
        </w:rPr>
        <w:t>叠加关税反复等因素的扰动下，债市收益率先上后下。</w:t>
      </w:r>
    </w:p>
    <w:p w14:paraId="65ABF09A" w14:textId="13274153" w:rsidR="008C5566" w:rsidRDefault="00412056">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6月债市预计延续震荡格局，10年国债收益率或阶段性波动。</w:t>
      </w:r>
    </w:p>
    <w:p w14:paraId="103A21E9" w14:textId="77777777" w:rsidR="008C5566" w:rsidRDefault="00412056">
      <w:pPr>
        <w:pStyle w:val="1"/>
        <w:tabs>
          <w:tab w:val="left" w:pos="6289"/>
        </w:tabs>
        <w:spacing w:line="360" w:lineRule="auto"/>
        <w:rPr>
          <w:rFonts w:ascii="思源黑体 CN Light" w:eastAsia="思源黑体 CN Light" w:hAnsi="思源黑体 CN Light" w:cs="Times New Roman" w:hint="eastAsia"/>
          <w:szCs w:val="21"/>
        </w:rPr>
      </w:pPr>
      <w:r>
        <w:rPr>
          <w:rFonts w:ascii="思源黑体 CN Light" w:eastAsia="思源黑体 CN Light" w:hAnsi="思源黑体 CN Light" w:cs="Arial" w:hint="eastAsia"/>
          <w:sz w:val="36"/>
          <w:szCs w:val="36"/>
        </w:rPr>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高频数据</w:t>
      </w:r>
      <w:bookmarkEnd w:id="0"/>
    </w:p>
    <w:p w14:paraId="2133A995" w14:textId="77777777" w:rsidR="008C5566" w:rsidRDefault="00412056">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美联储会议纪要显示可能在未来几个月面临艰难的权衡，通胀上升和失业率上升影响政策调整。截至5月30日，美元指数上涨0.32%，非美货币普遍下跌，在岸人民币跌0.08%，日元跌1.05%，英镑跌0.64%。</w:t>
      </w:r>
    </w:p>
    <w:p w14:paraId="55FD8CF9" w14:textId="77777777" w:rsidR="008C5566" w:rsidRDefault="00412056">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图一：主要货币变化率</w:t>
      </w:r>
      <w:r>
        <w:rPr>
          <w:rFonts w:ascii="思源黑体 CN Light" w:eastAsia="思源黑体 CN Light" w:hAnsi="思源黑体 CN Light" w:cs="Times New Roman"/>
          <w:b/>
          <w:noProof/>
          <w:color w:val="000000"/>
          <w:kern w:val="0"/>
          <w:sz w:val="20"/>
          <w:szCs w:val="20"/>
        </w:rPr>
        <w:drawing>
          <wp:inline distT="0" distB="0" distL="0" distR="0" wp14:anchorId="04D9C750" wp14:editId="31BFF159">
            <wp:extent cx="5274310" cy="2117090"/>
            <wp:effectExtent l="0" t="0" r="2540" b="0"/>
            <wp:docPr id="9" name="图片 8"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图形用户界面, 应用程序&#10;&#10;AI 生成的内容可能不正确。"/>
                    <pic:cNvPicPr>
                      <a:picLocks noChangeAspect="1"/>
                    </pic:cNvPicPr>
                  </pic:nvPicPr>
                  <pic:blipFill>
                    <a:blip r:embed="rId6"/>
                    <a:stretch>
                      <a:fillRect/>
                    </a:stretch>
                  </pic:blipFill>
                  <pic:spPr>
                    <a:xfrm>
                      <a:off x="0" y="0"/>
                      <a:ext cx="5274310" cy="2117090"/>
                    </a:xfrm>
                    <a:prstGeom prst="rect">
                      <a:avLst/>
                    </a:prstGeom>
                  </pic:spPr>
                </pic:pic>
              </a:graphicData>
            </a:graphic>
          </wp:inline>
        </w:drawing>
      </w:r>
      <w:r>
        <w:rPr>
          <w:rFonts w:ascii="思源黑体 CN Light" w:eastAsia="思源黑体 CN Light" w:hAnsi="思源黑体 CN Light" w:cs="Times New Roman" w:hint="eastAsia"/>
          <w:sz w:val="16"/>
          <w:szCs w:val="16"/>
        </w:rPr>
        <w:lastRenderedPageBreak/>
        <w:t>数据来源：wind，富荣基金；统计区间：20250526-202505</w:t>
      </w:r>
      <w:bookmarkStart w:id="1" w:name="_Toc134985520"/>
      <w:r>
        <w:rPr>
          <w:rFonts w:ascii="思源黑体 CN Light" w:eastAsia="思源黑体 CN Light" w:hAnsi="思源黑体 CN Light" w:cs="Times New Roman" w:hint="eastAsia"/>
          <w:sz w:val="16"/>
          <w:szCs w:val="16"/>
        </w:rPr>
        <w:t>30</w:t>
      </w:r>
    </w:p>
    <w:p w14:paraId="7B16101C" w14:textId="77777777" w:rsidR="008C5566" w:rsidRDefault="00412056">
      <w:pPr>
        <w:pStyle w:val="1"/>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2</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1"/>
    </w:p>
    <w:p w14:paraId="1874F258" w14:textId="77777777" w:rsidR="008C5566" w:rsidRDefault="00412056">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税</w:t>
      </w:r>
      <w:proofErr w:type="gramStart"/>
      <w:r>
        <w:rPr>
          <w:rFonts w:ascii="思源黑体 CN Light" w:eastAsia="思源黑体 CN Light" w:hAnsi="思源黑体 CN Light" w:cs="Times New Roman" w:hint="eastAsia"/>
          <w:b/>
          <w:bCs/>
          <w:sz w:val="22"/>
          <w:szCs w:val="21"/>
          <w14:ligatures w14:val="standardContextual"/>
        </w:rPr>
        <w:t>期走款</w:t>
      </w:r>
      <w:proofErr w:type="gramEnd"/>
      <w:r>
        <w:rPr>
          <w:rFonts w:ascii="思源黑体 CN Light" w:eastAsia="思源黑体 CN Light" w:hAnsi="思源黑体 CN Light" w:cs="Times New Roman" w:hint="eastAsia"/>
          <w:b/>
          <w:bCs/>
          <w:sz w:val="22"/>
          <w:szCs w:val="21"/>
          <w14:ligatures w14:val="standardContextual"/>
        </w:rPr>
        <w:t>叠加跨月压力，央行持续呵护流动性，资金</w:t>
      </w:r>
      <w:proofErr w:type="gramStart"/>
      <w:r>
        <w:rPr>
          <w:rFonts w:ascii="思源黑体 CN Light" w:eastAsia="思源黑体 CN Light" w:hAnsi="思源黑体 CN Light" w:cs="Times New Roman" w:hint="eastAsia"/>
          <w:b/>
          <w:bCs/>
          <w:sz w:val="22"/>
          <w:szCs w:val="21"/>
          <w14:ligatures w14:val="standardContextual"/>
        </w:rPr>
        <w:t>面整体</w:t>
      </w:r>
      <w:proofErr w:type="gramEnd"/>
      <w:r>
        <w:rPr>
          <w:rFonts w:ascii="思源黑体 CN Light" w:eastAsia="思源黑体 CN Light" w:hAnsi="思源黑体 CN Light" w:cs="Times New Roman" w:hint="eastAsia"/>
          <w:b/>
          <w:bCs/>
          <w:sz w:val="22"/>
          <w:szCs w:val="21"/>
          <w14:ligatures w14:val="standardContextual"/>
        </w:rPr>
        <w:t>维持宽松。</w:t>
      </w:r>
      <w:r>
        <w:rPr>
          <w:rFonts w:ascii="思源黑体 CN Light" w:eastAsia="思源黑体 CN Light" w:hAnsi="思源黑体 CN Light" w:cs="Times New Roman" w:hint="eastAsia"/>
          <w:sz w:val="22"/>
          <w:szCs w:val="21"/>
          <w14:ligatures w14:val="standardContextual"/>
        </w:rPr>
        <w:t>DR001下行8.30bp至1.48%，DR007上行7.85bp至1.66%，R001下行4.52bp至1.57%，R007上行7.06bp至1.70%，GC001下行5.10bp至1.62，GC007下行7.30bp至1.64。</w:t>
      </w:r>
    </w:p>
    <w:p w14:paraId="5981CA4C" w14:textId="77777777" w:rsidR="008C5566" w:rsidRDefault="00412056">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资金延续宽松，债市整体下行。</w:t>
      </w:r>
      <w:r>
        <w:rPr>
          <w:rFonts w:ascii="思源黑体 CN Light" w:eastAsia="思源黑体 CN Light" w:hAnsi="思源黑体 CN Light" w:cs="Times New Roman" w:hint="eastAsia"/>
          <w:sz w:val="22"/>
          <w:szCs w:val="21"/>
          <w14:ligatures w14:val="standardContextual"/>
        </w:rPr>
        <w:t>1Y、5Y、10Y、30Y国债收益率分别较前一周变化0.71bp、-0.10bp、-4.96bp、0.7bp至1.4552%、1.5640%、1.6712%、1.8960%。</w:t>
      </w:r>
    </w:p>
    <w:p w14:paraId="633AA584" w14:textId="77777777" w:rsidR="008C5566" w:rsidRDefault="00412056">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图二：资金面变化</w:t>
      </w:r>
      <w:r>
        <w:rPr>
          <w:rFonts w:ascii="思源黑体 CN Light" w:eastAsia="思源黑体 CN Light" w:hAnsi="思源黑体 CN Light" w:cs="Times New Roman"/>
          <w:b/>
          <w:noProof/>
          <w:color w:val="000000"/>
          <w:kern w:val="0"/>
          <w:sz w:val="20"/>
          <w:szCs w:val="20"/>
        </w:rPr>
        <w:drawing>
          <wp:inline distT="0" distB="0" distL="0" distR="0" wp14:anchorId="2B9AC065" wp14:editId="6AD3AD18">
            <wp:extent cx="5274310" cy="3388360"/>
            <wp:effectExtent l="0" t="0" r="2540" b="2540"/>
            <wp:docPr id="11" name="图片 10" descr="图表, 折线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图表, 折线图&#10;&#10;AI 生成的内容可能不正确。"/>
                    <pic:cNvPicPr>
                      <a:picLocks noChangeAspect="1"/>
                    </pic:cNvPicPr>
                  </pic:nvPicPr>
                  <pic:blipFill>
                    <a:blip r:embed="rId7"/>
                    <a:stretch>
                      <a:fillRect/>
                    </a:stretch>
                  </pic:blipFill>
                  <pic:spPr>
                    <a:xfrm>
                      <a:off x="0" y="0"/>
                      <a:ext cx="5274310" cy="338836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数据来源：wind，富荣基金；统计区间：20250526-20250530</w:t>
      </w:r>
    </w:p>
    <w:p w14:paraId="5BECA5F9" w14:textId="77777777" w:rsidR="008C5566" w:rsidRDefault="00412056">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图三：</w:t>
      </w:r>
      <w:proofErr w:type="gramStart"/>
      <w:r>
        <w:rPr>
          <w:rFonts w:ascii="思源黑体 CN Light" w:eastAsia="思源黑体 CN Light" w:hAnsi="思源黑体 CN Light" w:cs="Times New Roman" w:hint="eastAsia"/>
          <w:b/>
          <w:color w:val="000000"/>
          <w:kern w:val="0"/>
          <w:sz w:val="20"/>
          <w:szCs w:val="20"/>
        </w:rPr>
        <w:t>国债周度</w:t>
      </w:r>
      <w:proofErr w:type="gramEnd"/>
      <w:r>
        <w:rPr>
          <w:rFonts w:ascii="思源黑体 CN Light" w:eastAsia="思源黑体 CN Light" w:hAnsi="思源黑体 CN Light" w:cs="Times New Roman" w:hint="eastAsia"/>
          <w:b/>
          <w:color w:val="000000"/>
          <w:kern w:val="0"/>
          <w:sz w:val="20"/>
          <w:szCs w:val="20"/>
        </w:rPr>
        <w:t>变化</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55A459B8" wp14:editId="1D12C62E">
            <wp:extent cx="5274310" cy="3140710"/>
            <wp:effectExtent l="0" t="0" r="2540" b="2540"/>
            <wp:docPr id="12" name="图片 11"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图表, 瀑布图&#10;&#10;AI 生成的内容可能不正确。"/>
                    <pic:cNvPicPr>
                      <a:picLocks noChangeAspect="1"/>
                    </pic:cNvPicPr>
                  </pic:nvPicPr>
                  <pic:blipFill>
                    <a:blip r:embed="rId8"/>
                    <a:stretch>
                      <a:fillRect/>
                    </a:stretch>
                  </pic:blipFill>
                  <pic:spPr>
                    <a:xfrm>
                      <a:off x="0" y="0"/>
                      <a:ext cx="5274310" cy="314071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数据来源：wind，富荣基金；统计区间：20250526-20250530</w:t>
      </w:r>
    </w:p>
    <w:p w14:paraId="20A82650" w14:textId="77777777" w:rsidR="008C5566" w:rsidRDefault="00412056">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央行OMO延续净投放，在银行存款挂牌利率调降、存单到期及跨月扰动下，资金面宽松短暂收敛。</w:t>
      </w:r>
    </w:p>
    <w:p w14:paraId="2C4FC129" w14:textId="77777777" w:rsidR="00FD6D8C" w:rsidRDefault="00FD6D8C" w:rsidP="00FD6D8C">
      <w:pPr>
        <w:spacing w:line="288" w:lineRule="auto"/>
        <w:ind w:firstLineChars="200" w:firstLine="440"/>
        <w:jc w:val="left"/>
        <w:rPr>
          <w:rFonts w:ascii="思源黑体 CN Light" w:eastAsia="思源黑体 CN Light" w:hAnsi="思源黑体 CN Light" w:cs="Times New Roman"/>
          <w:sz w:val="22"/>
          <w:szCs w:val="21"/>
          <w14:ligatures w14:val="standardContextual"/>
        </w:rPr>
      </w:pPr>
      <w:r w:rsidRPr="00FD6D8C">
        <w:rPr>
          <w:rFonts w:ascii="思源黑体 CN Light" w:eastAsia="思源黑体 CN Light" w:hAnsi="思源黑体 CN Light" w:cs="Times New Roman" w:hint="eastAsia"/>
          <w:sz w:val="22"/>
          <w:szCs w:val="21"/>
          <w14:ligatures w14:val="standardContextual"/>
        </w:rPr>
        <w:t>信用债收益率走势不一，1Y以内收益率普遍上行 3-4bp，5Y收益率略微上行1bp。信用利差短端走阔1-2bp，5Y收窄1BP左右，整体利差呈现进一步扁平化特征。</w:t>
      </w:r>
    </w:p>
    <w:p w14:paraId="421BE579" w14:textId="66BAEE2A" w:rsidR="008C5566" w:rsidRDefault="00412056">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图四：信用债收益率变化</w:t>
      </w:r>
      <w:r>
        <w:rPr>
          <w:rFonts w:ascii="思源黑体 CN Light" w:eastAsia="思源黑体 CN Light" w:hAnsi="思源黑体 CN Light" w:cs="Times New Roman"/>
          <w:b/>
          <w:noProof/>
          <w:color w:val="000000"/>
          <w:kern w:val="0"/>
          <w:sz w:val="20"/>
          <w:szCs w:val="20"/>
        </w:rPr>
        <w:drawing>
          <wp:inline distT="0" distB="0" distL="0" distR="0" wp14:anchorId="7449A07C" wp14:editId="479EA3B7">
            <wp:extent cx="5274310" cy="2546350"/>
            <wp:effectExtent l="0" t="0" r="2540" b="6350"/>
            <wp:docPr id="2091965465" name="图片 10"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965465" name="图片 10" descr="图表, 条形图&#10;&#10;AI 生成的内容可能不正确。"/>
                    <pic:cNvPicPr>
                      <a:picLocks noChangeAspect="1"/>
                    </pic:cNvPicPr>
                  </pic:nvPicPr>
                  <pic:blipFill>
                    <a:blip r:embed="rId9"/>
                    <a:stretch>
                      <a:fillRect/>
                    </a:stretch>
                  </pic:blipFill>
                  <pic:spPr>
                    <a:xfrm>
                      <a:off x="0" y="0"/>
                      <a:ext cx="5274310" cy="254635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数据来源：wind，富荣基金；统计区间：20250526-20250530</w:t>
      </w:r>
    </w:p>
    <w:p w14:paraId="433F31E4" w14:textId="77777777" w:rsidR="008C5566" w:rsidRDefault="00412056">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图五：信用利差变化</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2BFB8843" wp14:editId="6BA73194">
            <wp:extent cx="5274310" cy="2206625"/>
            <wp:effectExtent l="0" t="0" r="2540" b="3175"/>
            <wp:docPr id="511252580" name="图片 11" descr="图表, 条形图,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252580" name="图片 11" descr="图表, 条形图, 瀑布图&#10;&#10;AI 生成的内容可能不正确。"/>
                    <pic:cNvPicPr>
                      <a:picLocks noChangeAspect="1"/>
                    </pic:cNvPicPr>
                  </pic:nvPicPr>
                  <pic:blipFill>
                    <a:blip r:embed="rId10"/>
                    <a:stretch>
                      <a:fillRect/>
                    </a:stretch>
                  </pic:blipFill>
                  <pic:spPr>
                    <a:xfrm>
                      <a:off x="0" y="0"/>
                      <a:ext cx="5274310" cy="220662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数据来源：wind，富荣基金；统计区间：20250526-20250530</w:t>
      </w:r>
    </w:p>
    <w:p w14:paraId="6A69D6FC" w14:textId="77777777" w:rsidR="008C5566" w:rsidRDefault="008C5566">
      <w:pPr>
        <w:ind w:firstLineChars="200" w:firstLine="400"/>
        <w:rPr>
          <w:rFonts w:ascii="思源黑体 CN Light" w:eastAsia="思源黑体 CN Light" w:hAnsi="思源黑体 CN Light" w:hint="eastAsia"/>
          <w:sz w:val="20"/>
          <w:szCs w:val="20"/>
        </w:rPr>
      </w:pPr>
    </w:p>
    <w:p w14:paraId="7969759C" w14:textId="77777777" w:rsidR="008C5566" w:rsidRDefault="008C5566">
      <w:pPr>
        <w:ind w:firstLineChars="200" w:firstLine="400"/>
        <w:rPr>
          <w:rFonts w:ascii="思源黑体 CN Light" w:eastAsia="思源黑体 CN Light" w:hAnsi="思源黑体 CN Light" w:hint="eastAsia"/>
          <w:sz w:val="20"/>
          <w:szCs w:val="20"/>
        </w:rPr>
      </w:pPr>
    </w:p>
    <w:p w14:paraId="5DD1C95F" w14:textId="77777777" w:rsidR="008C5566" w:rsidRDefault="008C5566">
      <w:pPr>
        <w:ind w:firstLineChars="200" w:firstLine="400"/>
        <w:rPr>
          <w:rFonts w:ascii="思源黑体 CN Light" w:eastAsia="思源黑体 CN Light" w:hAnsi="思源黑体 CN Light" w:hint="eastAsia"/>
          <w:sz w:val="20"/>
          <w:szCs w:val="20"/>
        </w:rPr>
      </w:pPr>
    </w:p>
    <w:p w14:paraId="54272A56" w14:textId="77777777" w:rsidR="008C5566" w:rsidRDefault="008C5566">
      <w:pPr>
        <w:ind w:firstLineChars="200" w:firstLine="400"/>
        <w:rPr>
          <w:rFonts w:ascii="思源黑体 CN Light" w:eastAsia="思源黑体 CN Light" w:hAnsi="思源黑体 CN Light" w:hint="eastAsia"/>
          <w:sz w:val="20"/>
          <w:szCs w:val="20"/>
        </w:rPr>
      </w:pPr>
    </w:p>
    <w:p w14:paraId="7D900380" w14:textId="77777777" w:rsidR="008C5566" w:rsidRDefault="008C5566">
      <w:pPr>
        <w:ind w:firstLineChars="200" w:firstLine="400"/>
        <w:rPr>
          <w:rFonts w:ascii="思源黑体 CN Light" w:eastAsia="思源黑体 CN Light" w:hAnsi="思源黑体 CN Light" w:hint="eastAsia"/>
          <w:sz w:val="20"/>
          <w:szCs w:val="20"/>
        </w:rPr>
      </w:pPr>
    </w:p>
    <w:p w14:paraId="18E332AC" w14:textId="77777777" w:rsidR="008C5566" w:rsidRDefault="00412056">
      <w:pPr>
        <w:ind w:firstLineChars="200" w:firstLine="400"/>
        <w:rPr>
          <w:rFonts w:ascii="思源黑体 CN Light" w:eastAsia="思源黑体 CN Light" w:hAnsi="思源黑体 CN Light" w:cs="Times New Roman" w:hint="eastAsia"/>
          <w:sz w:val="20"/>
          <w:szCs w:val="20"/>
        </w:rPr>
      </w:pPr>
      <w:r>
        <w:rPr>
          <w:rFonts w:ascii="思源黑体 CN Light" w:eastAsia="思源黑体 CN Light" w:hAnsi="思源黑体 CN Light" w:hint="eastAsia"/>
          <w:sz w:val="20"/>
          <w:szCs w:val="20"/>
        </w:rPr>
        <w:t>风险提示：</w:t>
      </w:r>
    </w:p>
    <w:p w14:paraId="5F1BBCFC" w14:textId="77777777" w:rsidR="008C5566" w:rsidRDefault="00412056">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20"/>
          <w:szCs w:val="20"/>
        </w:rPr>
        <w:t>作出</w:t>
      </w:r>
      <w:proofErr w:type="gramEnd"/>
      <w:r>
        <w:rPr>
          <w:rFonts w:ascii="思源黑体 CN Light" w:eastAsia="思源黑体 CN Light" w:hAnsi="思源黑体 CN Light"/>
          <w:sz w:val="20"/>
          <w:szCs w:val="20"/>
        </w:rPr>
        <w:t>调整。2、本材料中的资料、观点和预测等仅供参考，在任何时候均不构成对任何人的个人推荐。市场有风险，投资需谨慎。</w:t>
      </w:r>
    </w:p>
    <w:p w14:paraId="462DFAD8" w14:textId="77777777" w:rsidR="008C5566" w:rsidRDefault="008C5566">
      <w:pPr>
        <w:rPr>
          <w:rFonts w:hint="eastAsia"/>
        </w:rPr>
      </w:pPr>
    </w:p>
    <w:p w14:paraId="6CFD0E80" w14:textId="77777777" w:rsidR="008C5566" w:rsidRDefault="008C5566">
      <w:pPr>
        <w:rPr>
          <w:rFonts w:hint="eastAsia"/>
        </w:rPr>
      </w:pPr>
    </w:p>
    <w:p w14:paraId="43224321" w14:textId="77777777" w:rsidR="008C5566" w:rsidRDefault="008C5566">
      <w:pPr>
        <w:rPr>
          <w:rFonts w:hint="eastAsia"/>
        </w:rPr>
      </w:pPr>
    </w:p>
    <w:p w14:paraId="147621EE" w14:textId="77777777" w:rsidR="008C5566" w:rsidRDefault="008C5566">
      <w:pPr>
        <w:rPr>
          <w:rFonts w:hint="eastAsia"/>
        </w:rPr>
      </w:pPr>
    </w:p>
    <w:p w14:paraId="1300723E" w14:textId="77777777" w:rsidR="008C5566" w:rsidRDefault="008C5566">
      <w:pPr>
        <w:rPr>
          <w:rFonts w:hint="eastAsia"/>
        </w:rPr>
      </w:pPr>
    </w:p>
    <w:p w14:paraId="132B72A4" w14:textId="77777777" w:rsidR="008C5566" w:rsidRDefault="008C5566">
      <w:pPr>
        <w:rPr>
          <w:rFonts w:hint="eastAsia"/>
        </w:rPr>
      </w:pPr>
    </w:p>
    <w:sectPr w:rsidR="008C556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65F408" w14:textId="77777777" w:rsidR="00993FEF" w:rsidRDefault="00993FEF">
      <w:pPr>
        <w:rPr>
          <w:rFonts w:hint="eastAsia"/>
        </w:rPr>
      </w:pPr>
      <w:r>
        <w:separator/>
      </w:r>
    </w:p>
  </w:endnote>
  <w:endnote w:type="continuationSeparator" w:id="0">
    <w:p w14:paraId="1B49BB81" w14:textId="77777777" w:rsidR="00993FEF" w:rsidRDefault="00993FE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301A31" w14:textId="77777777" w:rsidR="00993FEF" w:rsidRDefault="00993FEF">
      <w:pPr>
        <w:rPr>
          <w:rFonts w:hint="eastAsia"/>
        </w:rPr>
      </w:pPr>
      <w:r>
        <w:separator/>
      </w:r>
    </w:p>
  </w:footnote>
  <w:footnote w:type="continuationSeparator" w:id="0">
    <w:p w14:paraId="759A2F80" w14:textId="77777777" w:rsidR="00993FEF" w:rsidRDefault="00993FEF">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24D2A"/>
    <w:rsid w:val="000E1287"/>
    <w:rsid w:val="00100DE9"/>
    <w:rsid w:val="002F63B0"/>
    <w:rsid w:val="00412056"/>
    <w:rsid w:val="004F5425"/>
    <w:rsid w:val="00524D2A"/>
    <w:rsid w:val="00574F8E"/>
    <w:rsid w:val="005D1C9E"/>
    <w:rsid w:val="00850E03"/>
    <w:rsid w:val="00852735"/>
    <w:rsid w:val="008C5566"/>
    <w:rsid w:val="00982E53"/>
    <w:rsid w:val="00993FEF"/>
    <w:rsid w:val="009E4270"/>
    <w:rsid w:val="00BD368A"/>
    <w:rsid w:val="00BF7D1F"/>
    <w:rsid w:val="00CA1525"/>
    <w:rsid w:val="00CE0BB7"/>
    <w:rsid w:val="00FD6D8C"/>
    <w:rsid w:val="6FBF75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D7AA06"/>
  <w15:docId w15:val="{DBEFA5DA-1B1A-497A-B8A9-60A7AE3C8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5">
    <w:name w:val="Title"/>
    <w:basedOn w:val="a"/>
    <w:next w:val="a"/>
    <w:link w:val="a6"/>
    <w:uiPriority w:val="10"/>
    <w:qFormat/>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6">
    <w:name w:val="标题 字符"/>
    <w:basedOn w:val="a0"/>
    <w:link w:val="a5"/>
    <w:uiPriority w:val="10"/>
    <w:qFormat/>
    <w:rPr>
      <w:rFonts w:asciiTheme="majorHAnsi" w:eastAsiaTheme="majorEastAsia" w:hAnsiTheme="majorHAnsi" w:cstheme="majorBidi"/>
      <w:spacing w:val="-10"/>
      <w:kern w:val="28"/>
      <w:sz w:val="56"/>
      <w:szCs w:val="56"/>
    </w:rPr>
  </w:style>
  <w:style w:type="character" w:customStyle="1" w:styleId="a4">
    <w:name w:val="副标题 字符"/>
    <w:basedOn w:val="a0"/>
    <w:link w:val="a3"/>
    <w:uiPriority w:val="11"/>
    <w:qFormat/>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8">
    <w:name w:val="引用 字符"/>
    <w:basedOn w:val="a0"/>
    <w:link w:val="a7"/>
    <w:uiPriority w:val="29"/>
    <w:rPr>
      <w:i/>
      <w:iCs/>
      <w:color w:val="404040" w:themeColor="text1" w:themeTint="BF"/>
    </w:rPr>
  </w:style>
  <w:style w:type="paragraph" w:styleId="a9">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a">
    <w:name w:val="Intense Quote"/>
    <w:basedOn w:val="a"/>
    <w:next w:val="a"/>
    <w:link w:val="ab"/>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b">
    <w:name w:val="明显引用 字符"/>
    <w:basedOn w:val="a0"/>
    <w:link w:val="aa"/>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paragraph" w:styleId="ac">
    <w:name w:val="Balloon Text"/>
    <w:basedOn w:val="a"/>
    <w:link w:val="ad"/>
    <w:uiPriority w:val="99"/>
    <w:semiHidden/>
    <w:unhideWhenUsed/>
    <w:rsid w:val="00CE0BB7"/>
    <w:rPr>
      <w:sz w:val="18"/>
      <w:szCs w:val="18"/>
    </w:rPr>
  </w:style>
  <w:style w:type="character" w:customStyle="1" w:styleId="ad">
    <w:name w:val="批注框文本 字符"/>
    <w:basedOn w:val="a0"/>
    <w:link w:val="ac"/>
    <w:uiPriority w:val="99"/>
    <w:semiHidden/>
    <w:rsid w:val="00CE0BB7"/>
    <w:rPr>
      <w:kern w:val="2"/>
      <w:sz w:val="18"/>
      <w:szCs w:val="18"/>
    </w:rPr>
  </w:style>
  <w:style w:type="paragraph" w:styleId="ae">
    <w:name w:val="header"/>
    <w:basedOn w:val="a"/>
    <w:link w:val="af"/>
    <w:uiPriority w:val="99"/>
    <w:unhideWhenUsed/>
    <w:rsid w:val="00CE0BB7"/>
    <w:pPr>
      <w:pBdr>
        <w:bottom w:val="single" w:sz="6" w:space="1" w:color="auto"/>
      </w:pBdr>
      <w:tabs>
        <w:tab w:val="center" w:pos="4153"/>
        <w:tab w:val="right" w:pos="8306"/>
      </w:tabs>
      <w:snapToGrid w:val="0"/>
      <w:jc w:val="center"/>
    </w:pPr>
    <w:rPr>
      <w:sz w:val="18"/>
      <w:szCs w:val="18"/>
    </w:rPr>
  </w:style>
  <w:style w:type="character" w:customStyle="1" w:styleId="af">
    <w:name w:val="页眉 字符"/>
    <w:basedOn w:val="a0"/>
    <w:link w:val="ae"/>
    <w:uiPriority w:val="99"/>
    <w:rsid w:val="00CE0BB7"/>
    <w:rPr>
      <w:kern w:val="2"/>
      <w:sz w:val="18"/>
      <w:szCs w:val="18"/>
    </w:rPr>
  </w:style>
  <w:style w:type="paragraph" w:styleId="af0">
    <w:name w:val="footer"/>
    <w:basedOn w:val="a"/>
    <w:link w:val="af1"/>
    <w:uiPriority w:val="99"/>
    <w:unhideWhenUsed/>
    <w:rsid w:val="00CE0BB7"/>
    <w:pPr>
      <w:tabs>
        <w:tab w:val="center" w:pos="4153"/>
        <w:tab w:val="right" w:pos="8306"/>
      </w:tabs>
      <w:snapToGrid w:val="0"/>
      <w:jc w:val="left"/>
    </w:pPr>
    <w:rPr>
      <w:sz w:val="18"/>
      <w:szCs w:val="18"/>
    </w:rPr>
  </w:style>
  <w:style w:type="character" w:customStyle="1" w:styleId="af1">
    <w:name w:val="页脚 字符"/>
    <w:basedOn w:val="a0"/>
    <w:link w:val="af0"/>
    <w:uiPriority w:val="99"/>
    <w:rsid w:val="00CE0BB7"/>
    <w:rPr>
      <w:kern w:val="2"/>
      <w:sz w:val="18"/>
      <w:szCs w:val="18"/>
    </w:rPr>
  </w:style>
  <w:style w:type="character" w:styleId="af2">
    <w:name w:val="annotation reference"/>
    <w:basedOn w:val="a0"/>
    <w:uiPriority w:val="99"/>
    <w:semiHidden/>
    <w:unhideWhenUsed/>
    <w:rsid w:val="00BF7D1F"/>
    <w:rPr>
      <w:sz w:val="21"/>
      <w:szCs w:val="21"/>
    </w:rPr>
  </w:style>
  <w:style w:type="paragraph" w:styleId="af3">
    <w:name w:val="annotation text"/>
    <w:basedOn w:val="a"/>
    <w:link w:val="af4"/>
    <w:uiPriority w:val="99"/>
    <w:semiHidden/>
    <w:unhideWhenUsed/>
    <w:rsid w:val="00BF7D1F"/>
    <w:pPr>
      <w:jc w:val="left"/>
    </w:pPr>
  </w:style>
  <w:style w:type="character" w:customStyle="1" w:styleId="af4">
    <w:name w:val="批注文字 字符"/>
    <w:basedOn w:val="a0"/>
    <w:link w:val="af3"/>
    <w:uiPriority w:val="99"/>
    <w:semiHidden/>
    <w:rsid w:val="00BF7D1F"/>
    <w:rPr>
      <w:kern w:val="2"/>
      <w:sz w:val="21"/>
      <w:szCs w:val="22"/>
    </w:rPr>
  </w:style>
  <w:style w:type="paragraph" w:styleId="af5">
    <w:name w:val="annotation subject"/>
    <w:basedOn w:val="af3"/>
    <w:next w:val="af3"/>
    <w:link w:val="af6"/>
    <w:uiPriority w:val="99"/>
    <w:semiHidden/>
    <w:unhideWhenUsed/>
    <w:rsid w:val="00BF7D1F"/>
    <w:rPr>
      <w:b/>
      <w:bCs/>
    </w:rPr>
  </w:style>
  <w:style w:type="character" w:customStyle="1" w:styleId="af6">
    <w:name w:val="批注主题 字符"/>
    <w:basedOn w:val="af4"/>
    <w:link w:val="af5"/>
    <w:uiPriority w:val="99"/>
    <w:semiHidden/>
    <w:rsid w:val="00BF7D1F"/>
    <w:rPr>
      <w:b/>
      <w:bCs/>
      <w:kern w:val="2"/>
      <w:sz w:val="21"/>
      <w:szCs w:val="22"/>
    </w:rPr>
  </w:style>
  <w:style w:type="paragraph" w:styleId="af7">
    <w:name w:val="Revision"/>
    <w:hidden/>
    <w:uiPriority w:val="99"/>
    <w:unhideWhenUsed/>
    <w:rsid w:val="000E1287"/>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4</Pages>
  <Words>536</Words>
  <Characters>688</Characters>
  <Application>Microsoft Office Word</Application>
  <DocSecurity>0</DocSecurity>
  <Lines>32</Lines>
  <Paragraphs>21</Paragraphs>
  <ScaleCrop>false</ScaleCrop>
  <Company/>
  <LinksUpToDate>false</LinksUpToDate>
  <CharactersWithSpaces>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5</cp:revision>
  <dcterms:created xsi:type="dcterms:W3CDTF">2025-06-03T05:42:00Z</dcterms:created>
  <dcterms:modified xsi:type="dcterms:W3CDTF">2025-06-03T08:21:00Z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2052-12.1.0.21171</vt:lpwstr>
  </property>
  <property fmtid="{D5CDD505-2E9C-101B-9397-08002B2CF9AE}" pid="4" name="ICV">
    <vt:lpwstr>AFD99B0A3228472687C4937BF2E0532B_12</vt:lpwstr>
  </property>
</Properties>
</file>