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227000" w14:textId="77777777" w:rsidR="001A6E48" w:rsidRDefault="00000000">
      <w:pPr>
        <w:pStyle w:val="2"/>
        <w:tabs>
          <w:tab w:val="left" w:pos="4364"/>
          <w:tab w:val="right" w:pos="10204"/>
        </w:tabs>
        <w:jc w:val="center"/>
        <w:rPr>
          <w:rFonts w:ascii="思源黑体 CN Bold" w:eastAsia="思源黑体 CN Bold" w:hAnsi="思源黑体 CN Bold" w:cs="Times New Roman" w:hint="eastAsia"/>
          <w:b/>
          <w:color w:val="FA842D"/>
          <w:kern w:val="0"/>
          <w:sz w:val="24"/>
          <w:szCs w:val="18"/>
        </w:rPr>
      </w:pPr>
      <w:bookmarkStart w:id="0" w:name="_Hlk182226954"/>
      <w:r>
        <w:rPr>
          <w:rFonts w:ascii="思源黑体 CN Bold" w:eastAsia="思源黑体 CN Bold" w:hAnsi="思源黑体 CN Bold" w:cs="Times New Roman" w:hint="eastAsia"/>
          <w:b/>
          <w:color w:val="FA842D"/>
          <w:kern w:val="0"/>
          <w:sz w:val="24"/>
          <w:szCs w:val="18"/>
        </w:rPr>
        <w:t>富荣权益：市场弱震荡，科技板块或迎来中期布局良机</w:t>
      </w:r>
    </w:p>
    <w:p w14:paraId="212F5431" w14:textId="77777777" w:rsidR="001A6E48" w:rsidRDefault="00000000">
      <w:pPr>
        <w:pStyle w:val="2"/>
        <w:tabs>
          <w:tab w:val="left" w:pos="4364"/>
          <w:tab w:val="right" w:pos="10204"/>
        </w:tabs>
        <w:rPr>
          <w:rFonts w:ascii="思源黑体 CN Light" w:eastAsia="思源黑体 CN Light" w:hAnsi="思源黑体 CN Light" w:cs="Times New Roman" w:hint="eastAsia"/>
          <w:b/>
          <w:bCs/>
          <w:sz w:val="22"/>
          <w:szCs w:val="24"/>
        </w:rPr>
      </w:pPr>
      <w:r>
        <w:rPr>
          <w:rFonts w:ascii="思源黑体 CN Light" w:eastAsia="思源黑体 CN Light" w:hAnsi="思源黑体 CN Light" w:cs="Times New Roman" w:hint="eastAsia"/>
          <w:b/>
          <w:bCs/>
          <w:sz w:val="22"/>
          <w:szCs w:val="24"/>
        </w:rPr>
        <w:t>一</w:t>
      </w:r>
      <w:r>
        <w:rPr>
          <w:rFonts w:ascii="思源黑体 CN Light" w:eastAsia="思源黑体 CN Light" w:hAnsi="思源黑体 CN Light" w:cs="Times New Roman"/>
          <w:b/>
          <w:bCs/>
          <w:sz w:val="22"/>
          <w:szCs w:val="24"/>
        </w:rPr>
        <w:t>、</w:t>
      </w:r>
      <w:r>
        <w:rPr>
          <w:rFonts w:ascii="思源黑体 CN Light" w:eastAsia="思源黑体 CN Light" w:hAnsi="思源黑体 CN Light" w:cs="Times New Roman" w:hint="eastAsia"/>
          <w:b/>
          <w:bCs/>
          <w:sz w:val="22"/>
          <w:szCs w:val="24"/>
        </w:rPr>
        <w:t>权益</w:t>
      </w:r>
      <w:proofErr w:type="gramStart"/>
      <w:r>
        <w:rPr>
          <w:rFonts w:ascii="思源黑体 CN Light" w:eastAsia="思源黑体 CN Light" w:hAnsi="思源黑体 CN Light" w:cs="Times New Roman"/>
          <w:b/>
          <w:bCs/>
          <w:sz w:val="22"/>
          <w:szCs w:val="24"/>
        </w:rPr>
        <w:t>市场</w:t>
      </w:r>
      <w:r>
        <w:rPr>
          <w:rFonts w:ascii="思源黑体 CN Light" w:eastAsia="思源黑体 CN Light" w:hAnsi="思源黑体 CN Light" w:cs="Times New Roman" w:hint="eastAsia"/>
          <w:b/>
          <w:bCs/>
          <w:sz w:val="22"/>
          <w:szCs w:val="24"/>
        </w:rPr>
        <w:t>周度表现</w:t>
      </w:r>
      <w:proofErr w:type="gramEnd"/>
    </w:p>
    <w:p w14:paraId="2FBDAB61" w14:textId="77777777" w:rsidR="001A6E48" w:rsidRDefault="00000000">
      <w:pPr>
        <w:ind w:firstLineChars="200" w:firstLine="420"/>
        <w:jc w:val="left"/>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上周（2025年5月26日至2025年5月30日，下同）权益市场主要指数多数下跌，</w:t>
      </w:r>
      <w:r>
        <w:rPr>
          <w:rFonts w:ascii="思源黑体 CN Light" w:eastAsia="思源黑体 CN Light" w:hAnsi="思源黑体 CN Light" w:cs="Times New Roman"/>
          <w:color w:val="000000" w:themeColor="text1"/>
          <w:sz w:val="21"/>
          <w:szCs w:val="20"/>
        </w:rPr>
        <w:t>深证成指、上证指数、创业板指分别报收</w:t>
      </w:r>
      <w:r>
        <w:rPr>
          <w:rFonts w:ascii="思源黑体 CN Light" w:eastAsia="思源黑体 CN Light" w:hAnsi="思源黑体 CN Light" w:cs="Times New Roman" w:hint="eastAsia"/>
          <w:color w:val="000000" w:themeColor="text1"/>
          <w:sz w:val="21"/>
          <w:szCs w:val="20"/>
        </w:rPr>
        <w:t>10040.63</w:t>
      </w:r>
      <w:r>
        <w:rPr>
          <w:rFonts w:ascii="思源黑体 CN Light" w:eastAsia="思源黑体 CN Light" w:hAnsi="思源黑体 CN Light" w:cs="Times New Roman"/>
          <w:color w:val="000000" w:themeColor="text1"/>
          <w:sz w:val="21"/>
          <w:szCs w:val="20"/>
        </w:rPr>
        <w:t>点、</w:t>
      </w:r>
      <w:r>
        <w:rPr>
          <w:rFonts w:ascii="思源黑体 CN Light" w:eastAsia="思源黑体 CN Light" w:hAnsi="思源黑体 CN Light" w:cs="Times New Roman" w:hint="eastAsia"/>
          <w:color w:val="000000" w:themeColor="text1"/>
          <w:sz w:val="21"/>
          <w:szCs w:val="20"/>
        </w:rPr>
        <w:t>3347.49</w:t>
      </w:r>
      <w:r>
        <w:rPr>
          <w:rFonts w:ascii="思源黑体 CN Light" w:eastAsia="思源黑体 CN Light" w:hAnsi="思源黑体 CN Light" w:cs="Times New Roman"/>
          <w:color w:val="000000" w:themeColor="text1"/>
          <w:sz w:val="21"/>
          <w:szCs w:val="20"/>
        </w:rPr>
        <w:t>点、</w:t>
      </w:r>
      <w:r>
        <w:rPr>
          <w:rFonts w:ascii="思源黑体 CN Light" w:eastAsia="思源黑体 CN Light" w:hAnsi="思源黑体 CN Light" w:cs="Times New Roman" w:hint="eastAsia"/>
          <w:color w:val="000000" w:themeColor="text1"/>
          <w:sz w:val="21"/>
          <w:szCs w:val="20"/>
        </w:rPr>
        <w:t>1993.19</w:t>
      </w:r>
      <w:r>
        <w:rPr>
          <w:rFonts w:ascii="思源黑体 CN Light" w:eastAsia="思源黑体 CN Light" w:hAnsi="思源黑体 CN Light" w:cs="Times New Roman"/>
          <w:color w:val="000000" w:themeColor="text1"/>
          <w:sz w:val="21"/>
          <w:szCs w:val="20"/>
        </w:rPr>
        <w:t>点</w:t>
      </w:r>
      <w:r>
        <w:rPr>
          <w:rFonts w:ascii="思源黑体 CN Light" w:eastAsia="思源黑体 CN Light" w:hAnsi="思源黑体 CN Light" w:cs="Times New Roman" w:hint="eastAsia"/>
          <w:color w:val="000000" w:themeColor="text1"/>
          <w:sz w:val="21"/>
          <w:szCs w:val="20"/>
        </w:rPr>
        <w:t>。其中，中证1000（+0.62%）涨幅最大；中证500（+0.32%）、上证指数（-0.03%）、</w:t>
      </w:r>
      <w:proofErr w:type="gramStart"/>
      <w:r>
        <w:rPr>
          <w:rFonts w:ascii="思源黑体 CN Light" w:eastAsia="思源黑体 CN Light" w:hAnsi="思源黑体 CN Light" w:cs="Times New Roman" w:hint="eastAsia"/>
          <w:color w:val="000000" w:themeColor="text1"/>
          <w:sz w:val="21"/>
          <w:szCs w:val="20"/>
        </w:rPr>
        <w:t>科创</w:t>
      </w:r>
      <w:proofErr w:type="gramEnd"/>
      <w:r>
        <w:rPr>
          <w:rFonts w:ascii="思源黑体 CN Light" w:eastAsia="思源黑体 CN Light" w:hAnsi="思源黑体 CN Light" w:cs="Times New Roman" w:hint="eastAsia"/>
          <w:color w:val="000000" w:themeColor="text1"/>
          <w:sz w:val="21"/>
          <w:szCs w:val="20"/>
        </w:rPr>
        <w:t>50（-0.36%）、创成长（-0.87%）、深证成指（-0.91%）、沪深300（-1.08%）、上证50（-1.22%）、创业板指（-1.40%）、创业板50（-2.10%）紧随其后。</w:t>
      </w:r>
    </w:p>
    <w:p w14:paraId="5941ABE4" w14:textId="155060D6" w:rsidR="000D428C" w:rsidRPr="00182DA3" w:rsidRDefault="00000000">
      <w:pPr>
        <w:ind w:firstLineChars="200" w:firstLine="428"/>
        <w:jc w:val="left"/>
        <w:rPr>
          <w:rFonts w:ascii="思源黑体 CN Light" w:eastAsia="思源黑体 CN Light" w:hAnsi="思源黑体 CN Light" w:cs="Times New Roman" w:hint="eastAsia"/>
          <w:b/>
          <w:sz w:val="21"/>
          <w:szCs w:val="20"/>
        </w:rPr>
      </w:pPr>
      <w:r>
        <w:rPr>
          <w:rFonts w:ascii="思源黑体 CN Light" w:eastAsia="思源黑体 CN Light" w:hAnsi="思源黑体 CN Light" w:cs="Times New Roman"/>
          <w:b/>
          <w:sz w:val="21"/>
          <w:szCs w:val="20"/>
        </w:rPr>
        <w:t>图：主要</w:t>
      </w:r>
      <w:proofErr w:type="gramStart"/>
      <w:r>
        <w:rPr>
          <w:rFonts w:ascii="思源黑体 CN Light" w:eastAsia="思源黑体 CN Light" w:hAnsi="思源黑体 CN Light" w:cs="Times New Roman"/>
          <w:b/>
          <w:sz w:val="21"/>
          <w:szCs w:val="20"/>
        </w:rPr>
        <w:t>股指</w:t>
      </w:r>
      <w:r>
        <w:rPr>
          <w:rFonts w:ascii="思源黑体 CN Light" w:eastAsia="思源黑体 CN Light" w:hAnsi="思源黑体 CN Light" w:cs="Times New Roman" w:hint="eastAsia"/>
          <w:b/>
          <w:sz w:val="21"/>
          <w:szCs w:val="20"/>
        </w:rPr>
        <w:t>周度</w:t>
      </w:r>
      <w:proofErr w:type="gramEnd"/>
      <w:r>
        <w:rPr>
          <w:rFonts w:ascii="思源黑体 CN Light" w:eastAsia="思源黑体 CN Light" w:hAnsi="思源黑体 CN Light" w:cs="Times New Roman" w:hint="eastAsia"/>
          <w:b/>
          <w:sz w:val="21"/>
          <w:szCs w:val="20"/>
        </w:rPr>
        <w:t>/月度</w:t>
      </w:r>
      <w:r>
        <w:rPr>
          <w:rFonts w:ascii="思源黑体 CN Light" w:eastAsia="思源黑体 CN Light" w:hAnsi="思源黑体 CN Light" w:cs="Times New Roman"/>
          <w:b/>
          <w:sz w:val="21"/>
          <w:szCs w:val="20"/>
        </w:rPr>
        <w:t>涨跌幅（单位：%）</w:t>
      </w:r>
      <w:r w:rsidR="00182DA3">
        <w:rPr>
          <w:rFonts w:hint="eastAsia"/>
          <w:noProof/>
        </w:rPr>
        <w:drawing>
          <wp:inline distT="0" distB="0" distL="0" distR="0" wp14:anchorId="152FFC5A" wp14:editId="4E920053">
            <wp:extent cx="6324600" cy="3688080"/>
            <wp:effectExtent l="0" t="0" r="0" b="7620"/>
            <wp:docPr id="1289597425" name="图片 1" descr="图表, 瀑布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9597425" name="图片 1" descr="图表, 瀑布图&#10;&#10;AI 生成的内容可能不正确。"/>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324600" cy="3688080"/>
                    </a:xfrm>
                    <a:prstGeom prst="rect">
                      <a:avLst/>
                    </a:prstGeom>
                    <a:noFill/>
                    <a:ln>
                      <a:noFill/>
                    </a:ln>
                  </pic:spPr>
                </pic:pic>
              </a:graphicData>
            </a:graphic>
          </wp:inline>
        </w:drawing>
      </w:r>
    </w:p>
    <w:p w14:paraId="1A646379" w14:textId="4C00E443" w:rsidR="001A6E48" w:rsidRDefault="00000000">
      <w:pPr>
        <w:ind w:firstLineChars="200" w:firstLine="260"/>
        <w:jc w:val="left"/>
        <w:rPr>
          <w:rFonts w:ascii="思源黑体 CN Light" w:eastAsia="思源黑体 CN Light" w:hAnsi="思源黑体 CN Light" w:cs="Times New Roman" w:hint="eastAsia"/>
          <w:sz w:val="13"/>
          <w:szCs w:val="20"/>
        </w:rPr>
      </w:pPr>
      <w:r>
        <w:rPr>
          <w:rFonts w:ascii="思源黑体 CN Light" w:eastAsia="思源黑体 CN Light" w:hAnsi="思源黑体 CN Light" w:cs="Times New Roman"/>
          <w:sz w:val="13"/>
          <w:szCs w:val="20"/>
        </w:rPr>
        <w:t>数据来源：wind，富</w:t>
      </w:r>
      <w:proofErr w:type="gramStart"/>
      <w:r>
        <w:rPr>
          <w:rFonts w:ascii="思源黑体 CN Light" w:eastAsia="思源黑体 CN Light" w:hAnsi="思源黑体 CN Light" w:cs="Times New Roman"/>
          <w:sz w:val="13"/>
          <w:szCs w:val="20"/>
        </w:rPr>
        <w:t>荣基金</w:t>
      </w:r>
      <w:proofErr w:type="gramEnd"/>
      <w:r>
        <w:rPr>
          <w:rFonts w:ascii="思源黑体 CN Light" w:eastAsia="思源黑体 CN Light" w:hAnsi="思源黑体 CN Light" w:cs="Times New Roman"/>
          <w:sz w:val="13"/>
          <w:szCs w:val="20"/>
        </w:rPr>
        <w:t>管理有限公司</w:t>
      </w:r>
      <w:r>
        <w:rPr>
          <w:rFonts w:ascii="思源黑体 CN Light" w:eastAsia="思源黑体 CN Light" w:hAnsi="思源黑体 CN Light" w:cs="Times New Roman" w:hint="eastAsia"/>
          <w:sz w:val="13"/>
          <w:szCs w:val="20"/>
        </w:rPr>
        <w:t>；周涨跌</w:t>
      </w:r>
      <w:proofErr w:type="gramStart"/>
      <w:r>
        <w:rPr>
          <w:rFonts w:ascii="思源黑体 CN Light" w:eastAsia="思源黑体 CN Light" w:hAnsi="思源黑体 CN Light" w:cs="Times New Roman" w:hint="eastAsia"/>
          <w:sz w:val="13"/>
          <w:szCs w:val="20"/>
        </w:rPr>
        <w:t>幅统计</w:t>
      </w:r>
      <w:proofErr w:type="gramEnd"/>
      <w:r>
        <w:rPr>
          <w:rFonts w:ascii="思源黑体 CN Light" w:eastAsia="思源黑体 CN Light" w:hAnsi="思源黑体 CN Light" w:cs="Times New Roman" w:hint="eastAsia"/>
          <w:sz w:val="13"/>
          <w:szCs w:val="20"/>
        </w:rPr>
        <w:t>区间：20250526-20250530；月涨跌</w:t>
      </w:r>
      <w:proofErr w:type="gramStart"/>
      <w:r>
        <w:rPr>
          <w:rFonts w:ascii="思源黑体 CN Light" w:eastAsia="思源黑体 CN Light" w:hAnsi="思源黑体 CN Light" w:cs="Times New Roman" w:hint="eastAsia"/>
          <w:sz w:val="13"/>
          <w:szCs w:val="20"/>
        </w:rPr>
        <w:t>幅统计</w:t>
      </w:r>
      <w:proofErr w:type="gramEnd"/>
      <w:r>
        <w:rPr>
          <w:rFonts w:ascii="思源黑体 CN Light" w:eastAsia="思源黑体 CN Light" w:hAnsi="思源黑体 CN Light" w:cs="Times New Roman" w:hint="eastAsia"/>
          <w:sz w:val="13"/>
          <w:szCs w:val="20"/>
        </w:rPr>
        <w:t>区间：20250501-20250530</w:t>
      </w:r>
    </w:p>
    <w:p w14:paraId="6E8ED61D" w14:textId="77777777" w:rsidR="001A6E48" w:rsidRDefault="00000000">
      <w:pPr>
        <w:ind w:firstLineChars="200" w:firstLine="420"/>
        <w:jc w:val="left"/>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各行业的涨跌</w:t>
      </w:r>
      <w:proofErr w:type="gramStart"/>
      <w:r>
        <w:rPr>
          <w:rFonts w:ascii="思源黑体 CN Light" w:eastAsia="思源黑体 CN Light" w:hAnsi="思源黑体 CN Light" w:cs="Times New Roman" w:hint="eastAsia"/>
          <w:color w:val="000000" w:themeColor="text1"/>
          <w:sz w:val="21"/>
          <w:szCs w:val="20"/>
        </w:rPr>
        <w:t>幅表现</w:t>
      </w:r>
      <w:proofErr w:type="gramEnd"/>
      <w:r>
        <w:rPr>
          <w:rFonts w:ascii="思源黑体 CN Light" w:eastAsia="思源黑体 CN Light" w:hAnsi="思源黑体 CN Light" w:cs="Times New Roman" w:hint="eastAsia"/>
          <w:color w:val="000000" w:themeColor="text1"/>
          <w:sz w:val="21"/>
          <w:szCs w:val="20"/>
        </w:rPr>
        <w:t>有所分化，</w:t>
      </w:r>
      <w:proofErr w:type="gramStart"/>
      <w:r>
        <w:rPr>
          <w:rFonts w:ascii="思源黑体 CN Light" w:eastAsia="思源黑体 CN Light" w:hAnsi="思源黑体 CN Light" w:cs="Times New Roman" w:hint="eastAsia"/>
          <w:color w:val="000000" w:themeColor="text1"/>
          <w:sz w:val="21"/>
          <w:szCs w:val="20"/>
        </w:rPr>
        <w:t>申万一级行业</w:t>
      </w:r>
      <w:proofErr w:type="gramEnd"/>
      <w:r>
        <w:rPr>
          <w:rFonts w:ascii="思源黑体 CN Light" w:eastAsia="思源黑体 CN Light" w:hAnsi="思源黑体 CN Light" w:cs="Times New Roman" w:hint="eastAsia"/>
          <w:color w:val="000000" w:themeColor="text1"/>
          <w:sz w:val="21"/>
          <w:szCs w:val="20"/>
        </w:rPr>
        <w:t>指数中，环保（+3.42%）、医药生物（+2.21%）、国防军工（+2.13%）等</w:t>
      </w:r>
      <w:proofErr w:type="gramStart"/>
      <w:r>
        <w:rPr>
          <w:rFonts w:ascii="思源黑体 CN Light" w:eastAsia="思源黑体 CN Light" w:hAnsi="思源黑体 CN Light" w:cs="Times New Roman" w:hint="eastAsia"/>
          <w:color w:val="000000" w:themeColor="text1"/>
          <w:sz w:val="21"/>
          <w:szCs w:val="20"/>
        </w:rPr>
        <w:t>行业涨幅</w:t>
      </w:r>
      <w:proofErr w:type="gramEnd"/>
      <w:r>
        <w:rPr>
          <w:rFonts w:ascii="思源黑体 CN Light" w:eastAsia="思源黑体 CN Light" w:hAnsi="思源黑体 CN Light" w:cs="Times New Roman" w:hint="eastAsia"/>
          <w:color w:val="000000" w:themeColor="text1"/>
          <w:sz w:val="21"/>
          <w:szCs w:val="20"/>
        </w:rPr>
        <w:t>较大，有色金属（-2.40%）、电力设备（-2.44%）、汽车（-4.11%）等行业跌幅较大。</w:t>
      </w:r>
    </w:p>
    <w:p w14:paraId="3C577A3E" w14:textId="77777777" w:rsidR="001A6E48" w:rsidRDefault="00000000">
      <w:pPr>
        <w:ind w:firstLineChars="200" w:firstLine="428"/>
        <w:jc w:val="left"/>
        <w:rPr>
          <w:rFonts w:ascii="思源黑体 CN Light" w:eastAsia="思源黑体 CN Light" w:hAnsi="思源黑体 CN Light" w:cs="Times New Roman" w:hint="eastAsia"/>
          <w:sz w:val="13"/>
          <w:szCs w:val="20"/>
        </w:rPr>
      </w:pPr>
      <w:r>
        <w:rPr>
          <w:rFonts w:ascii="思源黑体 CN Light" w:eastAsia="思源黑体 CN Light" w:hAnsi="思源黑体 CN Light" w:cs="Times New Roman"/>
          <w:b/>
          <w:sz w:val="21"/>
          <w:szCs w:val="20"/>
        </w:rPr>
        <w:t>图：</w:t>
      </w:r>
      <w:proofErr w:type="gramStart"/>
      <w:r>
        <w:rPr>
          <w:rFonts w:ascii="思源黑体 CN Light" w:eastAsia="思源黑体 CN Light" w:hAnsi="思源黑体 CN Light" w:cs="Times New Roman"/>
          <w:b/>
          <w:sz w:val="21"/>
          <w:szCs w:val="20"/>
        </w:rPr>
        <w:t>申万一级行业周涨跌</w:t>
      </w:r>
      <w:proofErr w:type="gramEnd"/>
      <w:r>
        <w:rPr>
          <w:rFonts w:ascii="思源黑体 CN Light" w:eastAsia="思源黑体 CN Light" w:hAnsi="思源黑体 CN Light" w:cs="Times New Roman"/>
          <w:b/>
          <w:sz w:val="21"/>
          <w:szCs w:val="20"/>
        </w:rPr>
        <w:t>幅（单位：%）</w:t>
      </w:r>
      <w:r>
        <w:rPr>
          <w:rFonts w:ascii="思源黑体 CN Light" w:eastAsia="思源黑体 CN Light" w:hAnsi="思源黑体 CN Light" w:cs="Times New Roman"/>
          <w:b/>
          <w:noProof/>
          <w:sz w:val="21"/>
          <w:szCs w:val="20"/>
        </w:rPr>
        <w:lastRenderedPageBreak/>
        <w:drawing>
          <wp:inline distT="0" distB="0" distL="0" distR="0" wp14:anchorId="78ADAD6C" wp14:editId="39E31028">
            <wp:extent cx="6479540" cy="3793490"/>
            <wp:effectExtent l="0" t="0" r="0" b="0"/>
            <wp:docPr id="9" name="图片 8" descr="图片包含 形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descr="图片包含 形状&#10;&#10;AI 生成的内容可能不正确。"/>
                    <pic:cNvPicPr>
                      <a:picLocks noChangeAspect="1"/>
                    </pic:cNvPicPr>
                  </pic:nvPicPr>
                  <pic:blipFill>
                    <a:blip r:embed="rId7"/>
                    <a:stretch>
                      <a:fillRect/>
                    </a:stretch>
                  </pic:blipFill>
                  <pic:spPr>
                    <a:xfrm>
                      <a:off x="0" y="0"/>
                      <a:ext cx="6479540" cy="3793490"/>
                    </a:xfrm>
                    <a:prstGeom prst="rect">
                      <a:avLst/>
                    </a:prstGeom>
                  </pic:spPr>
                </pic:pic>
              </a:graphicData>
            </a:graphic>
          </wp:inline>
        </w:drawing>
      </w:r>
      <w:r>
        <w:rPr>
          <w:rFonts w:ascii="思源黑体 CN Light" w:eastAsia="思源黑体 CN Light" w:hAnsi="思源黑体 CN Light" w:cs="Times New Roman"/>
          <w:sz w:val="13"/>
          <w:szCs w:val="20"/>
        </w:rPr>
        <w:t>数据来源：wind，富</w:t>
      </w:r>
      <w:proofErr w:type="gramStart"/>
      <w:r>
        <w:rPr>
          <w:rFonts w:ascii="思源黑体 CN Light" w:eastAsia="思源黑体 CN Light" w:hAnsi="思源黑体 CN Light" w:cs="Times New Roman"/>
          <w:sz w:val="13"/>
          <w:szCs w:val="20"/>
        </w:rPr>
        <w:t>荣基金</w:t>
      </w:r>
      <w:proofErr w:type="gramEnd"/>
      <w:r>
        <w:rPr>
          <w:rFonts w:ascii="思源黑体 CN Light" w:eastAsia="思源黑体 CN Light" w:hAnsi="思源黑体 CN Light" w:cs="Times New Roman"/>
          <w:sz w:val="13"/>
          <w:szCs w:val="20"/>
        </w:rPr>
        <w:t>管理有限公司</w:t>
      </w:r>
      <w:r>
        <w:rPr>
          <w:rFonts w:ascii="思源黑体 CN Light" w:eastAsia="思源黑体 CN Light" w:hAnsi="思源黑体 CN Light" w:cs="Times New Roman" w:hint="eastAsia"/>
          <w:sz w:val="13"/>
          <w:szCs w:val="20"/>
        </w:rPr>
        <w:t>；统计区间：20250526-20250530</w:t>
      </w:r>
    </w:p>
    <w:p w14:paraId="02F96B2A" w14:textId="77777777" w:rsidR="001A6E48" w:rsidRDefault="001A6E48">
      <w:pPr>
        <w:pStyle w:val="2"/>
        <w:tabs>
          <w:tab w:val="left" w:pos="4364"/>
          <w:tab w:val="right" w:pos="10204"/>
        </w:tabs>
        <w:rPr>
          <w:rFonts w:ascii="思源黑体 CN Light" w:eastAsia="思源黑体 CN Light" w:hAnsi="思源黑体 CN Light" w:cs="Times New Roman" w:hint="eastAsia"/>
          <w:color w:val="000000"/>
          <w:sz w:val="21"/>
          <w:szCs w:val="20"/>
          <w:shd w:val="clear" w:color="auto" w:fill="FFFFFF"/>
        </w:rPr>
      </w:pPr>
    </w:p>
    <w:p w14:paraId="3590E2C1" w14:textId="77777777" w:rsidR="001A6E48" w:rsidRDefault="00000000">
      <w:pPr>
        <w:pStyle w:val="2"/>
        <w:tabs>
          <w:tab w:val="left" w:pos="4364"/>
          <w:tab w:val="right" w:pos="10204"/>
        </w:tabs>
        <w:rPr>
          <w:rFonts w:ascii="思源黑体 CN Light" w:eastAsia="思源黑体 CN Light" w:hAnsi="思源黑体 CN Light" w:cs="Times New Roman" w:hint="eastAsia"/>
          <w:b/>
          <w:bCs/>
          <w:sz w:val="22"/>
          <w:szCs w:val="24"/>
        </w:rPr>
      </w:pPr>
      <w:r>
        <w:rPr>
          <w:rFonts w:ascii="思源黑体 CN Light" w:eastAsia="思源黑体 CN Light" w:hAnsi="思源黑体 CN Light" w:cs="Times New Roman" w:hint="eastAsia"/>
          <w:b/>
          <w:bCs/>
          <w:sz w:val="22"/>
          <w:szCs w:val="24"/>
        </w:rPr>
        <w:t>二、生物医药行业点评与展望</w:t>
      </w:r>
    </w:p>
    <w:p w14:paraId="58CDAA86" w14:textId="08C15F43" w:rsidR="001A6E48" w:rsidRDefault="00000000">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bookmarkStart w:id="1" w:name="_Hlk140420797"/>
      <w:r>
        <w:rPr>
          <w:rFonts w:ascii="思源黑体 CN Light" w:eastAsia="思源黑体 CN Light" w:hAnsi="思源黑体 CN Light" w:cs="Times New Roman" w:hint="eastAsia"/>
          <w:color w:val="000000" w:themeColor="text1"/>
          <w:sz w:val="21"/>
          <w:szCs w:val="20"/>
        </w:rPr>
        <w:t>上周医药生物（801150.SL）上涨2.21%，相对于沪深300的超额收益为3.29%，在所有</w:t>
      </w:r>
      <w:proofErr w:type="gramStart"/>
      <w:r>
        <w:rPr>
          <w:rFonts w:ascii="思源黑体 CN Light" w:eastAsia="思源黑体 CN Light" w:hAnsi="思源黑体 CN Light" w:cs="Times New Roman" w:hint="eastAsia"/>
          <w:color w:val="000000" w:themeColor="text1"/>
          <w:sz w:val="21"/>
          <w:szCs w:val="20"/>
        </w:rPr>
        <w:t>申万一级行业</w:t>
      </w:r>
      <w:proofErr w:type="gramEnd"/>
      <w:r>
        <w:rPr>
          <w:rFonts w:ascii="思源黑体 CN Light" w:eastAsia="思源黑体 CN Light" w:hAnsi="思源黑体 CN Light" w:cs="Times New Roman" w:hint="eastAsia"/>
          <w:color w:val="000000" w:themeColor="text1"/>
          <w:sz w:val="21"/>
          <w:szCs w:val="20"/>
        </w:rPr>
        <w:t>指数里涨幅排名第二。</w:t>
      </w:r>
      <w:proofErr w:type="gramStart"/>
      <w:r>
        <w:rPr>
          <w:rFonts w:ascii="思源黑体 CN Light" w:eastAsia="思源黑体 CN Light" w:hAnsi="思源黑体 CN Light" w:cs="Times New Roman" w:hint="eastAsia"/>
          <w:color w:val="000000" w:themeColor="text1"/>
          <w:sz w:val="21"/>
          <w:szCs w:val="20"/>
        </w:rPr>
        <w:t>分板块</w:t>
      </w:r>
      <w:proofErr w:type="gramEnd"/>
      <w:r>
        <w:rPr>
          <w:rFonts w:ascii="思源黑体 CN Light" w:eastAsia="思源黑体 CN Light" w:hAnsi="思源黑体 CN Light" w:cs="Times New Roman" w:hint="eastAsia"/>
          <w:color w:val="000000" w:themeColor="text1"/>
          <w:sz w:val="21"/>
          <w:szCs w:val="20"/>
        </w:rPr>
        <w:t>来看，生物制品板块涨幅最大，上涨4.65%；化学制剂上涨4.27%；医疗研发外包板块上涨4.00%；疫苗上涨2.06%；原料药上涨1.58%；体外诊断上涨1.12%；医疗耗材上涨0.76%；血液制品上涨0.74%；医药流通上涨0.70%；而线下药店跌幅最大，下跌2.69％。</w:t>
      </w:r>
    </w:p>
    <w:p w14:paraId="54D95356" w14:textId="6B1B2910" w:rsidR="001A6E48" w:rsidRDefault="00000000">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展望后市，2023年是我国创新药出海的元年，在未来2-3年的时间里，我国创新药出海管线数量和美国研发管线总数的差距或将不断缩小。期间有望不断出现销售峰值可观的大单品，未来我国创新</w:t>
      </w:r>
      <w:proofErr w:type="gramStart"/>
      <w:r>
        <w:rPr>
          <w:rFonts w:ascii="思源黑体 CN Light" w:eastAsia="思源黑体 CN Light" w:hAnsi="思源黑体 CN Light" w:cs="Times New Roman" w:hint="eastAsia"/>
          <w:color w:val="000000" w:themeColor="text1"/>
          <w:sz w:val="21"/>
          <w:szCs w:val="20"/>
        </w:rPr>
        <w:t>药企业</w:t>
      </w:r>
      <w:proofErr w:type="gramEnd"/>
      <w:r>
        <w:rPr>
          <w:rFonts w:ascii="思源黑体 CN Light" w:eastAsia="思源黑体 CN Light" w:hAnsi="思源黑体 CN Light" w:cs="Times New Roman" w:hint="eastAsia"/>
          <w:color w:val="000000" w:themeColor="text1"/>
          <w:sz w:val="21"/>
          <w:szCs w:val="20"/>
        </w:rPr>
        <w:t>在全球市场份额或将持续增长。</w:t>
      </w:r>
    </w:p>
    <w:p w14:paraId="65CA06CA" w14:textId="77777777" w:rsidR="000D428C" w:rsidRDefault="000D428C">
      <w:pPr>
        <w:tabs>
          <w:tab w:val="left" w:pos="5594"/>
        </w:tabs>
        <w:ind w:firstLineChars="200" w:firstLine="420"/>
        <w:rPr>
          <w:rFonts w:ascii="思源黑体 CN Light" w:eastAsia="思源黑体 CN Light" w:hAnsi="思源黑体 CN Light" w:cs="Times New Roman" w:hint="eastAsia"/>
          <w:color w:val="000000"/>
          <w:sz w:val="21"/>
          <w:szCs w:val="20"/>
          <w:shd w:val="clear" w:color="auto" w:fill="FFFFFF"/>
        </w:rPr>
      </w:pPr>
    </w:p>
    <w:bookmarkEnd w:id="1"/>
    <w:p w14:paraId="305EFD09" w14:textId="77777777" w:rsidR="001A6E48" w:rsidRDefault="00000000">
      <w:pPr>
        <w:pStyle w:val="2"/>
        <w:tabs>
          <w:tab w:val="left" w:pos="4364"/>
          <w:tab w:val="right" w:pos="10204"/>
        </w:tabs>
        <w:rPr>
          <w:rFonts w:ascii="思源黑体 CN Light" w:eastAsia="思源黑体 CN Light" w:hAnsi="思源黑体 CN Light" w:cs="Times New Roman" w:hint="eastAsia"/>
          <w:b/>
          <w:bCs/>
          <w:sz w:val="22"/>
          <w:szCs w:val="24"/>
        </w:rPr>
      </w:pPr>
      <w:r>
        <w:rPr>
          <w:rFonts w:ascii="思源黑体 CN Light" w:eastAsia="思源黑体 CN Light" w:hAnsi="思源黑体 CN Light" w:cs="Times New Roman"/>
          <w:b/>
          <w:bCs/>
          <w:sz w:val="22"/>
          <w:szCs w:val="24"/>
        </w:rPr>
        <w:lastRenderedPageBreak/>
        <w:t>三、本周展望</w:t>
      </w:r>
    </w:p>
    <w:p w14:paraId="63608263" w14:textId="77777777" w:rsidR="001A6E48" w:rsidRDefault="00000000">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hint="eastAsia"/>
          <w:color w:val="000000"/>
          <w:sz w:val="21"/>
          <w:szCs w:val="20"/>
          <w:shd w:val="clear" w:color="auto" w:fill="FFFFFF"/>
        </w:rPr>
        <w:t>上周权益市场延续了弱震荡趋势。行业结构上，环保、医药生物、军工等板块涨幅靠前，汽车、电新、有色等板块跌幅靠前。整体来看，权益市场情绪仍然偏弱，市场目前处于震荡区间的下行波段。</w:t>
      </w:r>
    </w:p>
    <w:p w14:paraId="65B4B16E" w14:textId="77777777" w:rsidR="001A6E48" w:rsidRDefault="00000000">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hint="eastAsia"/>
          <w:color w:val="000000"/>
          <w:sz w:val="21"/>
          <w:szCs w:val="20"/>
          <w:shd w:val="clear" w:color="auto" w:fill="FFFFFF"/>
        </w:rPr>
        <w:t>5月28日美国国际贸易法院做出禁止</w:t>
      </w:r>
      <w:proofErr w:type="gramStart"/>
      <w:r>
        <w:rPr>
          <w:rFonts w:ascii="思源黑体 CN Light" w:eastAsia="思源黑体 CN Light" w:hAnsi="思源黑体 CN Light" w:cs="Times New Roman" w:hint="eastAsia"/>
          <w:color w:val="000000"/>
          <w:sz w:val="21"/>
          <w:szCs w:val="20"/>
          <w:shd w:val="clear" w:color="auto" w:fill="FFFFFF"/>
        </w:rPr>
        <w:t>特朗普</w:t>
      </w:r>
      <w:proofErr w:type="gramEnd"/>
      <w:r>
        <w:rPr>
          <w:rFonts w:ascii="思源黑体 CN Light" w:eastAsia="思源黑体 CN Light" w:hAnsi="思源黑体 CN Light" w:cs="Times New Roman" w:hint="eastAsia"/>
          <w:color w:val="000000"/>
          <w:sz w:val="21"/>
          <w:szCs w:val="20"/>
          <w:shd w:val="clear" w:color="auto" w:fill="FFFFFF"/>
        </w:rPr>
        <w:t>关税的行政令，但随后美国政府上诉恢复了</w:t>
      </w:r>
      <w:proofErr w:type="gramStart"/>
      <w:r>
        <w:rPr>
          <w:rFonts w:ascii="思源黑体 CN Light" w:eastAsia="思源黑体 CN Light" w:hAnsi="思源黑体 CN Light" w:cs="Times New Roman" w:hint="eastAsia"/>
          <w:color w:val="000000"/>
          <w:sz w:val="21"/>
          <w:szCs w:val="20"/>
          <w:shd w:val="clear" w:color="auto" w:fill="FFFFFF"/>
        </w:rPr>
        <w:t>特朗普</w:t>
      </w:r>
      <w:proofErr w:type="gramEnd"/>
      <w:r>
        <w:rPr>
          <w:rFonts w:ascii="思源黑体 CN Light" w:eastAsia="思源黑体 CN Light" w:hAnsi="思源黑体 CN Light" w:cs="Times New Roman" w:hint="eastAsia"/>
          <w:color w:val="000000"/>
          <w:sz w:val="21"/>
          <w:szCs w:val="20"/>
          <w:shd w:val="clear" w:color="auto" w:fill="FFFFFF"/>
        </w:rPr>
        <w:t>关税的执行。“贸易战”的不确定性依然存在，且未出现大的边际变化。</w:t>
      </w:r>
    </w:p>
    <w:p w14:paraId="5D8016A7" w14:textId="77777777" w:rsidR="001A6E48" w:rsidRDefault="00000000">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hint="eastAsia"/>
          <w:color w:val="000000"/>
          <w:sz w:val="21"/>
          <w:szCs w:val="20"/>
          <w:shd w:val="clear" w:color="auto" w:fill="FFFFFF"/>
        </w:rPr>
        <w:t>国内为应对外部不确定性，采取了“稳市场稳预期”的对冲政策，市场下行风险或相对可控。但当下也未看到政策出现大的加码。</w:t>
      </w:r>
    </w:p>
    <w:p w14:paraId="65D00AEB" w14:textId="77777777" w:rsidR="001A6E48" w:rsidRDefault="00000000">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hint="eastAsia"/>
          <w:color w:val="000000"/>
          <w:sz w:val="21"/>
          <w:szCs w:val="20"/>
          <w:shd w:val="clear" w:color="auto" w:fill="FFFFFF"/>
        </w:rPr>
        <w:t>综合来看，我们认为权益市场仍处于震荡区间，当下的波动更多源于资金面与股价的相对位置。前期热度较高的科技板块成交额占比已回落至2023年以来的阶段低位区间，市场预期也已降至低位区间。但相关产业仍处于不断向上发展阶段，如DeepSeek-R1模型的最新更新版本性能已堪比OpenAI的旗舰模型O3。我们认为科技板块或已进入中期布局节点，建议重点关注。</w:t>
      </w:r>
    </w:p>
    <w:p w14:paraId="7092C296" w14:textId="77777777" w:rsidR="001A6E48" w:rsidRDefault="00000000">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hint="eastAsia"/>
          <w:color w:val="000000"/>
          <w:sz w:val="21"/>
          <w:szCs w:val="20"/>
          <w:shd w:val="clear" w:color="auto" w:fill="FFFFFF"/>
        </w:rPr>
        <w:t>尽管市场短期情绪有所回落，但无需过于担心。把握结构性机会是当下的核心，重点关注具备中期产业逻辑的AI、半导体、机器人等新兴成长方向。</w:t>
      </w:r>
    </w:p>
    <w:p w14:paraId="68850BBD" w14:textId="77777777" w:rsidR="001A6E48" w:rsidRDefault="00000000">
      <w:pPr>
        <w:ind w:firstLineChars="200" w:firstLine="428"/>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b/>
          <w:bCs/>
          <w:sz w:val="21"/>
          <w:szCs w:val="24"/>
        </w:rPr>
        <w:t>风险提示</w:t>
      </w:r>
      <w:r>
        <w:rPr>
          <w:rFonts w:ascii="思源黑体 CN Light" w:eastAsia="思源黑体 CN Light" w:hAnsi="思源黑体 CN Light" w:cs="Times New Roman" w:hint="eastAsia"/>
          <w:b/>
          <w:bCs/>
          <w:sz w:val="21"/>
          <w:szCs w:val="24"/>
        </w:rPr>
        <w:t>：</w:t>
      </w:r>
    </w:p>
    <w:p w14:paraId="532047BF" w14:textId="77777777" w:rsidR="001A6E48" w:rsidRDefault="00000000">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color w:val="000000"/>
          <w:sz w:val="21"/>
          <w:szCs w:val="20"/>
          <w:shd w:val="clear" w:color="auto" w:fill="FFFFFF"/>
        </w:rPr>
        <w:t>1、宏观经济超预期下行；</w:t>
      </w:r>
      <w:r>
        <w:rPr>
          <w:rFonts w:ascii="思源黑体 CN Light" w:eastAsia="思源黑体 CN Light" w:hAnsi="思源黑体 CN Light" w:cs="Times New Roman" w:hint="eastAsia"/>
          <w:color w:val="000000"/>
          <w:sz w:val="21"/>
          <w:szCs w:val="20"/>
          <w:shd w:val="clear" w:color="auto" w:fill="FFFFFF"/>
        </w:rPr>
        <w:t>2</w:t>
      </w:r>
      <w:r>
        <w:rPr>
          <w:rFonts w:ascii="思源黑体 CN Light" w:eastAsia="思源黑体 CN Light" w:hAnsi="思源黑体 CN Light" w:cs="Times New Roman"/>
          <w:color w:val="000000"/>
          <w:sz w:val="21"/>
          <w:szCs w:val="20"/>
          <w:shd w:val="clear" w:color="auto" w:fill="FFFFFF"/>
        </w:rPr>
        <w:t>、上市公司业绩大幅下滑；</w:t>
      </w:r>
      <w:r>
        <w:rPr>
          <w:rFonts w:ascii="思源黑体 CN Light" w:eastAsia="思源黑体 CN Light" w:hAnsi="思源黑体 CN Light" w:cs="Times New Roman" w:hint="eastAsia"/>
          <w:color w:val="000000"/>
          <w:sz w:val="21"/>
          <w:szCs w:val="20"/>
          <w:shd w:val="clear" w:color="auto" w:fill="FFFFFF"/>
        </w:rPr>
        <w:t>3</w:t>
      </w:r>
      <w:r>
        <w:rPr>
          <w:rFonts w:ascii="思源黑体 CN Light" w:eastAsia="思源黑体 CN Light" w:hAnsi="思源黑体 CN Light" w:cs="Times New Roman"/>
          <w:color w:val="000000"/>
          <w:sz w:val="21"/>
          <w:szCs w:val="20"/>
          <w:shd w:val="clear" w:color="auto" w:fill="FFFFFF"/>
        </w:rPr>
        <w:t>、政策不及预期</w:t>
      </w:r>
      <w:r>
        <w:rPr>
          <w:rFonts w:ascii="思源黑体 CN Light" w:eastAsia="思源黑体 CN Light" w:hAnsi="思源黑体 CN Light" w:cs="Times New Roman" w:hint="eastAsia"/>
          <w:color w:val="000000"/>
          <w:sz w:val="21"/>
          <w:szCs w:val="20"/>
          <w:shd w:val="clear" w:color="auto" w:fill="FFFFFF"/>
        </w:rPr>
        <w:t>。</w:t>
      </w:r>
    </w:p>
    <w:p w14:paraId="186D4E6B" w14:textId="77777777" w:rsidR="001A6E48" w:rsidRDefault="001A6E48">
      <w:pPr>
        <w:rPr>
          <w:rFonts w:ascii="思源黑体 CN Light" w:eastAsia="思源黑体 CN Light" w:hAnsi="思源黑体 CN Light" w:cs="Times New Roman" w:hint="eastAsia"/>
          <w:color w:val="000000"/>
          <w:sz w:val="21"/>
          <w:szCs w:val="20"/>
          <w:shd w:val="clear" w:color="auto" w:fill="FFFFFF"/>
        </w:rPr>
      </w:pPr>
    </w:p>
    <w:p w14:paraId="34662528" w14:textId="77777777" w:rsidR="001A6E48" w:rsidRDefault="001A6E48">
      <w:pPr>
        <w:pStyle w:val="af3"/>
        <w:ind w:firstLineChars="0" w:firstLine="0"/>
        <w:rPr>
          <w:rFonts w:ascii="思源黑体 CN Light" w:eastAsia="思源黑体 CN Light" w:hAnsi="思源黑体 CN Light" w:cs="Times New Roman" w:hint="eastAsia"/>
          <w:sz w:val="20"/>
          <w:szCs w:val="20"/>
        </w:rPr>
      </w:pPr>
    </w:p>
    <w:p w14:paraId="61F57C4F" w14:textId="77777777" w:rsidR="001A6E48" w:rsidRDefault="00000000">
      <w:pPr>
        <w:ind w:firstLineChars="200" w:firstLine="360"/>
        <w:rPr>
          <w:rFonts w:hint="eastAsia"/>
        </w:rPr>
      </w:pPr>
      <w:r>
        <w:rPr>
          <w:rFonts w:ascii="思源黑体 CN Light" w:eastAsia="思源黑体 CN Light" w:hAnsi="思源黑体 CN Light" w:hint="eastAsia"/>
          <w:sz w:val="18"/>
          <w:szCs w:val="15"/>
        </w:rPr>
        <w:t>风险提示：</w:t>
      </w:r>
      <w:r>
        <w:rPr>
          <w:rFonts w:ascii="思源黑体 CN Light" w:eastAsia="思源黑体 CN Light" w:hAnsi="思源黑体 CN Light"/>
          <w:sz w:val="18"/>
          <w:szCs w:val="15"/>
        </w:rPr>
        <w:t>1、本材料中的信息均来源于我们认为可靠的已公开资料和合作客户的研究成果，但本公司及研究人员对这些信息的准确性和完整性不作任何保证，也不保证本材料所包含的信息或建议在本材料发出后不会发生任何变更，且本材料仅反映发布时的资料、观点和预测，可能在随后会</w:t>
      </w:r>
      <w:proofErr w:type="gramStart"/>
      <w:r>
        <w:rPr>
          <w:rFonts w:ascii="思源黑体 CN Light" w:eastAsia="思源黑体 CN Light" w:hAnsi="思源黑体 CN Light"/>
          <w:sz w:val="18"/>
          <w:szCs w:val="15"/>
        </w:rPr>
        <w:t>作出</w:t>
      </w:r>
      <w:proofErr w:type="gramEnd"/>
      <w:r>
        <w:rPr>
          <w:rFonts w:ascii="思源黑体 CN Light" w:eastAsia="思源黑体 CN Light" w:hAnsi="思源黑体 CN Light"/>
          <w:sz w:val="18"/>
          <w:szCs w:val="15"/>
        </w:rPr>
        <w:t>调整。2、本材料中的资料、观点和预测等仅供参考，在任何时候均不构成对任何人的个人推荐。市场有风险，投资需谨慎。</w:t>
      </w:r>
      <w:bookmarkEnd w:id="0"/>
    </w:p>
    <w:p w14:paraId="134595B5" w14:textId="77777777" w:rsidR="001A6E48" w:rsidRDefault="001A6E48">
      <w:pPr>
        <w:rPr>
          <w:rFonts w:hint="eastAsia"/>
        </w:rPr>
      </w:pPr>
    </w:p>
    <w:sectPr w:rsidR="001A6E48">
      <w:headerReference w:type="default" r:id="rId8"/>
      <w:footerReference w:type="default" r:id="rId9"/>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68AAF1" w14:textId="77777777" w:rsidR="00955BA8" w:rsidRDefault="00955BA8">
      <w:pPr>
        <w:spacing w:line="240" w:lineRule="auto"/>
        <w:rPr>
          <w:rFonts w:hint="eastAsia"/>
        </w:rPr>
      </w:pPr>
      <w:r>
        <w:separator/>
      </w:r>
    </w:p>
  </w:endnote>
  <w:endnote w:type="continuationSeparator" w:id="0">
    <w:p w14:paraId="43E59024" w14:textId="77777777" w:rsidR="00955BA8" w:rsidRDefault="00955BA8">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思源黑体 CN Bold">
    <w:altName w:val="黑体"/>
    <w:panose1 w:val="020B0800000000000000"/>
    <w:charset w:val="86"/>
    <w:family w:val="swiss"/>
    <w:notTrueType/>
    <w:pitch w:val="variable"/>
    <w:sig w:usb0="20000207" w:usb1="2ADF3C10" w:usb2="00000016" w:usb3="00000000" w:csb0="00060107" w:csb1="00000000"/>
  </w:font>
  <w:font w:name="思源黑体 CN Light">
    <w:altName w:val="黑体"/>
    <w:panose1 w:val="020B0300000000000000"/>
    <w:charset w:val="86"/>
    <w:family w:val="swiss"/>
    <w:notTrueType/>
    <w:pitch w:val="variable"/>
    <w:sig w:usb0="20000207" w:usb1="2ADF3C10" w:usb2="00000016" w:usb3="00000000" w:csb0="0006010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83E599" w14:textId="77777777" w:rsidR="001A6E48" w:rsidRDefault="00000000">
    <w:pPr>
      <w:pStyle w:val="a4"/>
      <w:tabs>
        <w:tab w:val="center" w:pos="5102"/>
        <w:tab w:val="left" w:pos="6847"/>
      </w:tabs>
      <w:rPr>
        <w:rFonts w:hint="eastAsia"/>
      </w:rPr>
    </w:pPr>
    <w:r>
      <w:tab/>
    </w:r>
    <w:r>
      <w:tab/>
    </w:r>
    <w:sdt>
      <w:sdtPr>
        <w:id w:val="1107850672"/>
      </w:sdtPr>
      <w:sdtContent>
        <w:sdt>
          <w:sdtPr>
            <w:id w:val="1728636285"/>
          </w:sdtPr>
          <w:sdtContent>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w:t>
            </w:r>
            <w:r>
              <w:rPr>
                <w:lang w:val="zh-CN"/>
              </w:rPr>
              <w:t xml:space="preserve">/ </w:t>
            </w:r>
            <w:r>
              <w:rPr>
                <w:b/>
                <w:bCs/>
                <w:sz w:val="24"/>
                <w:szCs w:val="24"/>
              </w:rPr>
              <w:fldChar w:fldCharType="begin"/>
            </w:r>
            <w:r>
              <w:rPr>
                <w:b/>
                <w:bCs/>
              </w:rPr>
              <w:instrText>NUMPAGES</w:instrText>
            </w:r>
            <w:r>
              <w:rPr>
                <w:b/>
                <w:bCs/>
                <w:sz w:val="24"/>
                <w:szCs w:val="24"/>
              </w:rPr>
              <w:fldChar w:fldCharType="separate"/>
            </w:r>
            <w:r>
              <w:rPr>
                <w:b/>
                <w:bCs/>
              </w:rPr>
              <w:t>3</w:t>
            </w:r>
            <w:r>
              <w:rPr>
                <w:b/>
                <w:bCs/>
                <w:sz w:val="24"/>
                <w:szCs w:val="24"/>
              </w:rPr>
              <w:fldChar w:fldCharType="end"/>
            </w:r>
          </w:sdtContent>
        </w:sdt>
      </w:sdtContent>
    </w:sdt>
    <w:r>
      <w:tab/>
    </w:r>
  </w:p>
  <w:p w14:paraId="030C113A" w14:textId="77777777" w:rsidR="001A6E48" w:rsidRDefault="001A6E48">
    <w:pPr>
      <w:pStyle w:val="a4"/>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776C84" w14:textId="77777777" w:rsidR="00955BA8" w:rsidRDefault="00955BA8">
      <w:pPr>
        <w:rPr>
          <w:rFonts w:hint="eastAsia"/>
        </w:rPr>
      </w:pPr>
      <w:r>
        <w:separator/>
      </w:r>
    </w:p>
  </w:footnote>
  <w:footnote w:type="continuationSeparator" w:id="0">
    <w:p w14:paraId="09E4C385" w14:textId="77777777" w:rsidR="00955BA8" w:rsidRDefault="00955BA8">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d"/>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1A6E48" w14:paraId="311B90E2" w14:textId="77777777">
      <w:trPr>
        <w:trHeight w:val="424"/>
      </w:trPr>
      <w:tc>
        <w:tcPr>
          <w:tcW w:w="3652" w:type="dxa"/>
          <w:shd w:val="clear" w:color="auto" w:fill="F3F3F3"/>
          <w:vAlign w:val="center"/>
        </w:tcPr>
        <w:p w14:paraId="2BD7B168" w14:textId="77777777" w:rsidR="001A6E48" w:rsidRDefault="00000000">
          <w:pPr>
            <w:pStyle w:val="a6"/>
            <w:pBdr>
              <w:bottom w:val="none" w:sz="0" w:space="0" w:color="auto"/>
            </w:pBdr>
            <w:jc w:val="right"/>
            <w:rPr>
              <w:kern w:val="0"/>
            </w:rPr>
          </w:pPr>
          <w:r>
            <w:rPr>
              <w:rFonts w:hint="eastAsia"/>
              <w:kern w:val="0"/>
            </w:rPr>
            <w:t>证券研究报告</w:t>
          </w:r>
        </w:p>
      </w:tc>
      <w:tc>
        <w:tcPr>
          <w:tcW w:w="284" w:type="dxa"/>
          <w:shd w:val="clear" w:color="auto" w:fill="C3E2F4"/>
        </w:tcPr>
        <w:p w14:paraId="0CBDB5A8" w14:textId="77777777" w:rsidR="001A6E48" w:rsidRDefault="001A6E48">
          <w:pPr>
            <w:pStyle w:val="a6"/>
            <w:pBdr>
              <w:bottom w:val="none" w:sz="0" w:space="0" w:color="auto"/>
            </w:pBdr>
            <w:jc w:val="left"/>
            <w:rPr>
              <w:kern w:val="0"/>
            </w:rPr>
          </w:pPr>
        </w:p>
      </w:tc>
      <w:tc>
        <w:tcPr>
          <w:tcW w:w="2335" w:type="dxa"/>
          <w:shd w:val="clear" w:color="auto" w:fill="013F98"/>
          <w:vAlign w:val="center"/>
        </w:tcPr>
        <w:p w14:paraId="64EE9D75" w14:textId="77777777" w:rsidR="001A6E48" w:rsidRDefault="00000000">
          <w:pPr>
            <w:pStyle w:val="a6"/>
            <w:pBdr>
              <w:bottom w:val="none" w:sz="0" w:space="0" w:color="auto"/>
            </w:pBdr>
            <w:rPr>
              <w:kern w:val="0"/>
            </w:rPr>
          </w:pPr>
          <w:r>
            <w:rPr>
              <w:rFonts w:hint="eastAsia"/>
              <w:kern w:val="0"/>
            </w:rPr>
            <w:t>权益周报</w:t>
          </w:r>
        </w:p>
      </w:tc>
    </w:tr>
  </w:tbl>
  <w:p w14:paraId="0991FFDA" w14:textId="77777777" w:rsidR="001A6E48" w:rsidRDefault="00000000">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rPr>
        <w:rFonts w:hint="eastAsia"/>
      </w:rPr>
    </w:pPr>
    <w:r>
      <w:rPr>
        <w:noProof/>
      </w:rPr>
      <w:drawing>
        <wp:inline distT="0" distB="0" distL="0" distR="0" wp14:anchorId="56EF9530" wp14:editId="403B374B">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2A2F"/>
    <w:rsid w:val="000D428C"/>
    <w:rsid w:val="00182DA3"/>
    <w:rsid w:val="001A6E48"/>
    <w:rsid w:val="002F63B0"/>
    <w:rsid w:val="003D40D9"/>
    <w:rsid w:val="00453F6E"/>
    <w:rsid w:val="004E480C"/>
    <w:rsid w:val="004F21DC"/>
    <w:rsid w:val="004F5425"/>
    <w:rsid w:val="005658AD"/>
    <w:rsid w:val="006D2A2F"/>
    <w:rsid w:val="0081598B"/>
    <w:rsid w:val="00850E03"/>
    <w:rsid w:val="00852735"/>
    <w:rsid w:val="00952796"/>
    <w:rsid w:val="00955BA8"/>
    <w:rsid w:val="00A0000E"/>
    <w:rsid w:val="00A555B4"/>
    <w:rsid w:val="00AC555B"/>
    <w:rsid w:val="00CF5ABA"/>
    <w:rsid w:val="248B7E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5767205"/>
  <w15:docId w15:val="{DBEFA5DA-1B1A-497A-B8A9-60A7AE3C86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0"/>
    <w:uiPriority w:val="9"/>
    <w:qFormat/>
    <w:pPr>
      <w:keepNext/>
      <w:keepLines/>
      <w:spacing w:before="480" w:after="80" w:line="278" w:lineRule="auto"/>
      <w:jc w:val="left"/>
      <w:outlineLvl w:val="0"/>
    </w:pPr>
    <w:rPr>
      <w:rFonts w:asciiTheme="majorHAnsi" w:eastAsiaTheme="majorEastAsia" w:hAnsiTheme="majorHAnsi" w:cstheme="majorBidi"/>
      <w:color w:val="0F4761" w:themeColor="accent1" w:themeShade="BF"/>
      <w:sz w:val="48"/>
      <w:szCs w:val="48"/>
      <w14:ligatures w14:val="standardContextual"/>
    </w:rPr>
  </w:style>
  <w:style w:type="paragraph" w:styleId="2">
    <w:name w:val="heading 2"/>
    <w:basedOn w:val="a"/>
    <w:next w:val="a"/>
    <w:link w:val="20"/>
    <w:uiPriority w:val="9"/>
    <w:unhideWhenUsed/>
    <w:qFormat/>
    <w:pPr>
      <w:keepNext/>
      <w:keepLines/>
      <w:spacing w:before="160" w:after="80" w:line="278" w:lineRule="auto"/>
      <w:jc w:val="left"/>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
    <w:name w:val="heading 3"/>
    <w:basedOn w:val="a"/>
    <w:next w:val="a"/>
    <w:link w:val="30"/>
    <w:uiPriority w:val="9"/>
    <w:semiHidden/>
    <w:unhideWhenUsed/>
    <w:qFormat/>
    <w:pPr>
      <w:keepNext/>
      <w:keepLines/>
      <w:spacing w:before="160" w:after="80" w:line="278" w:lineRule="auto"/>
      <w:jc w:val="left"/>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
    <w:name w:val="heading 4"/>
    <w:basedOn w:val="a"/>
    <w:next w:val="a"/>
    <w:link w:val="40"/>
    <w:uiPriority w:val="9"/>
    <w:semiHidden/>
    <w:unhideWhenUsed/>
    <w:qFormat/>
    <w:pPr>
      <w:keepNext/>
      <w:keepLines/>
      <w:spacing w:before="80" w:after="40" w:line="278" w:lineRule="auto"/>
      <w:jc w:val="left"/>
      <w:outlineLvl w:val="3"/>
    </w:pPr>
    <w:rPr>
      <w:rFonts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pPr>
      <w:keepNext/>
      <w:keepLines/>
      <w:spacing w:before="80" w:after="40" w:line="278" w:lineRule="auto"/>
      <w:jc w:val="left"/>
      <w:outlineLvl w:val="4"/>
    </w:pPr>
    <w:rPr>
      <w:rFonts w:cstheme="majorBidi"/>
      <w:color w:val="0F4761" w:themeColor="accent1" w:themeShade="BF"/>
      <w:szCs w:val="24"/>
      <w14:ligatures w14:val="standardContextual"/>
    </w:rPr>
  </w:style>
  <w:style w:type="paragraph" w:styleId="6">
    <w:name w:val="heading 6"/>
    <w:basedOn w:val="a"/>
    <w:next w:val="a"/>
    <w:link w:val="60"/>
    <w:uiPriority w:val="9"/>
    <w:semiHidden/>
    <w:unhideWhenUsed/>
    <w:qFormat/>
    <w:pPr>
      <w:keepNext/>
      <w:keepLines/>
      <w:spacing w:before="40" w:line="278" w:lineRule="auto"/>
      <w:jc w:val="left"/>
      <w:outlineLvl w:val="5"/>
    </w:pPr>
    <w:rPr>
      <w:rFonts w:cstheme="majorBidi"/>
      <w:b/>
      <w:bCs/>
      <w:color w:val="0F4761" w:themeColor="accent1" w:themeShade="BF"/>
      <w:sz w:val="22"/>
      <w:szCs w:val="24"/>
      <w14:ligatures w14:val="standardContextual"/>
    </w:rPr>
  </w:style>
  <w:style w:type="paragraph" w:styleId="7">
    <w:name w:val="heading 7"/>
    <w:basedOn w:val="a"/>
    <w:next w:val="a"/>
    <w:link w:val="70"/>
    <w:uiPriority w:val="9"/>
    <w:semiHidden/>
    <w:unhideWhenUsed/>
    <w:qFormat/>
    <w:pPr>
      <w:keepNext/>
      <w:keepLines/>
      <w:spacing w:before="40" w:line="278" w:lineRule="auto"/>
      <w:jc w:val="left"/>
      <w:outlineLvl w:val="6"/>
    </w:pPr>
    <w:rPr>
      <w:rFonts w:cstheme="majorBidi"/>
      <w:b/>
      <w:bCs/>
      <w:color w:val="595959" w:themeColor="text1" w:themeTint="A6"/>
      <w:sz w:val="22"/>
      <w:szCs w:val="24"/>
      <w14:ligatures w14:val="standardContextual"/>
    </w:rPr>
  </w:style>
  <w:style w:type="paragraph" w:styleId="8">
    <w:name w:val="heading 8"/>
    <w:basedOn w:val="a"/>
    <w:next w:val="a"/>
    <w:link w:val="80"/>
    <w:uiPriority w:val="9"/>
    <w:semiHidden/>
    <w:unhideWhenUsed/>
    <w:qFormat/>
    <w:pPr>
      <w:keepNext/>
      <w:keepLines/>
      <w:spacing w:line="278" w:lineRule="auto"/>
      <w:jc w:val="left"/>
      <w:outlineLvl w:val="7"/>
    </w:pPr>
    <w:rPr>
      <w:rFonts w:cstheme="majorBidi"/>
      <w:color w:val="595959" w:themeColor="text1" w:themeTint="A6"/>
      <w:sz w:val="22"/>
      <w:szCs w:val="24"/>
      <w14:ligatures w14:val="standardContextual"/>
    </w:rPr>
  </w:style>
  <w:style w:type="paragraph" w:styleId="9">
    <w:name w:val="heading 9"/>
    <w:basedOn w:val="a"/>
    <w:next w:val="a"/>
    <w:link w:val="90"/>
    <w:uiPriority w:val="9"/>
    <w:semiHidden/>
    <w:unhideWhenUsed/>
    <w:qFormat/>
    <w:pPr>
      <w:keepNext/>
      <w:keepLines/>
      <w:spacing w:line="278" w:lineRule="auto"/>
      <w:jc w:val="left"/>
      <w:outlineLvl w:val="8"/>
    </w:pPr>
    <w:rPr>
      <w:rFonts w:eastAsiaTheme="majorEastAsia" w:cstheme="majorBidi"/>
      <w:color w:val="595959" w:themeColor="text1" w:themeTint="A6"/>
      <w:sz w:val="2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pPr>
      <w:jc w:val="left"/>
    </w:pPr>
  </w:style>
  <w:style w:type="paragraph" w:styleId="a4">
    <w:name w:val="footer"/>
    <w:basedOn w:val="a"/>
    <w:link w:val="a5"/>
    <w:uiPriority w:val="99"/>
    <w:unhideWhenUsed/>
    <w:qFormat/>
    <w:pPr>
      <w:tabs>
        <w:tab w:val="center" w:pos="4153"/>
        <w:tab w:val="right" w:pos="8306"/>
      </w:tabs>
      <w:snapToGrid w:val="0"/>
      <w:jc w:val="left"/>
    </w:pPr>
    <w:rPr>
      <w:sz w:val="18"/>
      <w:szCs w:val="18"/>
    </w:rPr>
  </w:style>
  <w:style w:type="paragraph" w:styleId="a6">
    <w:name w:val="header"/>
    <w:basedOn w:val="a"/>
    <w:link w:val="a7"/>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Subtitle"/>
    <w:basedOn w:val="a"/>
    <w:next w:val="a"/>
    <w:link w:val="a9"/>
    <w:uiPriority w:val="11"/>
    <w:qFormat/>
    <w:pPr>
      <w:spacing w:after="160" w:line="278"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paragraph" w:styleId="aa">
    <w:name w:val="Normal (Web)"/>
    <w:basedOn w:val="a"/>
    <w:uiPriority w:val="99"/>
    <w:semiHidden/>
    <w:unhideWhenUsed/>
    <w:rPr>
      <w:rFonts w:ascii="Times New Roman" w:hAnsi="Times New Roman" w:cs="Times New Roman"/>
      <w:szCs w:val="24"/>
    </w:rPr>
  </w:style>
  <w:style w:type="paragraph" w:styleId="ab">
    <w:name w:val="Title"/>
    <w:basedOn w:val="a"/>
    <w:next w:val="a"/>
    <w:link w:val="ac"/>
    <w:uiPriority w:val="10"/>
    <w:qFormat/>
    <w:pPr>
      <w:spacing w:after="80" w:line="240" w:lineRule="auto"/>
      <w:contextualSpacing/>
      <w:jc w:val="center"/>
    </w:pPr>
    <w:rPr>
      <w:rFonts w:asciiTheme="majorHAnsi" w:eastAsiaTheme="majorEastAsia" w:hAnsiTheme="majorHAnsi" w:cstheme="majorBidi"/>
      <w:spacing w:val="-10"/>
      <w:kern w:val="28"/>
      <w:sz w:val="56"/>
      <w:szCs w:val="56"/>
      <w14:ligatures w14:val="standardContextual"/>
    </w:rPr>
  </w:style>
  <w:style w:type="table" w:styleId="ad">
    <w:name w:val="Table Grid"/>
    <w:basedOn w:val="a1"/>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qFormat/>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Pr>
      <w:rFonts w:cstheme="majorBidi"/>
      <w:color w:val="0F4761" w:themeColor="accent1" w:themeShade="BF"/>
      <w:sz w:val="28"/>
      <w:szCs w:val="28"/>
    </w:rPr>
  </w:style>
  <w:style w:type="character" w:customStyle="1" w:styleId="50">
    <w:name w:val="标题 5 字符"/>
    <w:basedOn w:val="a0"/>
    <w:link w:val="5"/>
    <w:uiPriority w:val="9"/>
    <w:semiHidden/>
    <w:rPr>
      <w:rFonts w:cstheme="majorBidi"/>
      <w:color w:val="0F4761" w:themeColor="accent1" w:themeShade="BF"/>
      <w:sz w:val="24"/>
    </w:rPr>
  </w:style>
  <w:style w:type="character" w:customStyle="1" w:styleId="60">
    <w:name w:val="标题 6 字符"/>
    <w:basedOn w:val="a0"/>
    <w:link w:val="6"/>
    <w:uiPriority w:val="9"/>
    <w:semiHidden/>
    <w:rPr>
      <w:rFonts w:cstheme="majorBidi"/>
      <w:b/>
      <w:bCs/>
      <w:color w:val="0F4761" w:themeColor="accent1" w:themeShade="BF"/>
    </w:rPr>
  </w:style>
  <w:style w:type="character" w:customStyle="1" w:styleId="70">
    <w:name w:val="标题 7 字符"/>
    <w:basedOn w:val="a0"/>
    <w:link w:val="7"/>
    <w:uiPriority w:val="9"/>
    <w:semiHidden/>
    <w:rPr>
      <w:rFonts w:cstheme="majorBidi"/>
      <w:b/>
      <w:bCs/>
      <w:color w:val="595959" w:themeColor="text1" w:themeTint="A6"/>
    </w:rPr>
  </w:style>
  <w:style w:type="character" w:customStyle="1" w:styleId="80">
    <w:name w:val="标题 8 字符"/>
    <w:basedOn w:val="a0"/>
    <w:link w:val="8"/>
    <w:uiPriority w:val="9"/>
    <w:semiHidden/>
    <w:rPr>
      <w:rFonts w:cstheme="majorBidi"/>
      <w:color w:val="595959" w:themeColor="text1" w:themeTint="A6"/>
    </w:rPr>
  </w:style>
  <w:style w:type="character" w:customStyle="1" w:styleId="90">
    <w:name w:val="标题 9 字符"/>
    <w:basedOn w:val="a0"/>
    <w:link w:val="9"/>
    <w:uiPriority w:val="9"/>
    <w:semiHidden/>
    <w:rPr>
      <w:rFonts w:eastAsiaTheme="majorEastAsia" w:cstheme="majorBidi"/>
      <w:color w:val="595959" w:themeColor="text1" w:themeTint="A6"/>
    </w:rPr>
  </w:style>
  <w:style w:type="character" w:customStyle="1" w:styleId="ac">
    <w:name w:val="标题 字符"/>
    <w:basedOn w:val="a0"/>
    <w:link w:val="ab"/>
    <w:uiPriority w:val="10"/>
    <w:rPr>
      <w:rFonts w:asciiTheme="majorHAnsi" w:eastAsiaTheme="majorEastAsia" w:hAnsiTheme="majorHAnsi" w:cstheme="majorBidi"/>
      <w:spacing w:val="-10"/>
      <w:kern w:val="28"/>
      <w:sz w:val="56"/>
      <w:szCs w:val="56"/>
    </w:rPr>
  </w:style>
  <w:style w:type="character" w:customStyle="1" w:styleId="a9">
    <w:name w:val="副标题 字符"/>
    <w:basedOn w:val="a0"/>
    <w:link w:val="a8"/>
    <w:uiPriority w:val="11"/>
    <w:rPr>
      <w:rFonts w:asciiTheme="majorHAnsi" w:eastAsiaTheme="majorEastAsia" w:hAnsiTheme="majorHAnsi" w:cstheme="majorBidi"/>
      <w:color w:val="595959" w:themeColor="text1" w:themeTint="A6"/>
      <w:spacing w:val="15"/>
      <w:sz w:val="28"/>
      <w:szCs w:val="28"/>
    </w:rPr>
  </w:style>
  <w:style w:type="paragraph" w:styleId="ae">
    <w:name w:val="Quote"/>
    <w:basedOn w:val="a"/>
    <w:next w:val="a"/>
    <w:link w:val="af"/>
    <w:uiPriority w:val="29"/>
    <w:qFormat/>
    <w:pPr>
      <w:spacing w:before="160" w:after="160" w:line="278" w:lineRule="auto"/>
      <w:jc w:val="center"/>
    </w:pPr>
    <w:rPr>
      <w:i/>
      <w:iCs/>
      <w:color w:val="404040" w:themeColor="text1" w:themeTint="BF"/>
      <w:sz w:val="22"/>
      <w:szCs w:val="24"/>
      <w14:ligatures w14:val="standardContextual"/>
    </w:rPr>
  </w:style>
  <w:style w:type="character" w:customStyle="1" w:styleId="af">
    <w:name w:val="引用 字符"/>
    <w:basedOn w:val="a0"/>
    <w:link w:val="ae"/>
    <w:uiPriority w:val="29"/>
    <w:rPr>
      <w:i/>
      <w:iCs/>
      <w:color w:val="404040" w:themeColor="text1" w:themeTint="BF"/>
    </w:rPr>
  </w:style>
  <w:style w:type="paragraph" w:styleId="af0">
    <w:name w:val="List Paragraph"/>
    <w:basedOn w:val="a"/>
    <w:uiPriority w:val="34"/>
    <w:qFormat/>
    <w:pPr>
      <w:spacing w:after="160" w:line="278" w:lineRule="auto"/>
      <w:ind w:left="720"/>
      <w:contextualSpacing/>
      <w:jc w:val="left"/>
    </w:pPr>
    <w:rPr>
      <w:sz w:val="22"/>
      <w:szCs w:val="24"/>
      <w14:ligatures w14:val="standardContextual"/>
    </w:rPr>
  </w:style>
  <w:style w:type="character" w:customStyle="1" w:styleId="11">
    <w:name w:val="明显强调1"/>
    <w:basedOn w:val="a0"/>
    <w:uiPriority w:val="21"/>
    <w:qFormat/>
    <w:rPr>
      <w:i/>
      <w:iCs/>
      <w:color w:val="0F4761" w:themeColor="accent1" w:themeShade="BF"/>
    </w:rPr>
  </w:style>
  <w:style w:type="paragraph" w:styleId="af1">
    <w:name w:val="Intense Quote"/>
    <w:basedOn w:val="a"/>
    <w:next w:val="a"/>
    <w:link w:val="af2"/>
    <w:uiPriority w:val="30"/>
    <w:qFormat/>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2"/>
      <w:szCs w:val="24"/>
      <w14:ligatures w14:val="standardContextual"/>
    </w:rPr>
  </w:style>
  <w:style w:type="character" w:customStyle="1" w:styleId="af2">
    <w:name w:val="明显引用 字符"/>
    <w:basedOn w:val="a0"/>
    <w:link w:val="af1"/>
    <w:uiPriority w:val="30"/>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character" w:customStyle="1" w:styleId="a5">
    <w:name w:val="页脚 字符"/>
    <w:basedOn w:val="a0"/>
    <w:link w:val="a4"/>
    <w:uiPriority w:val="99"/>
    <w:qFormat/>
    <w:rPr>
      <w:sz w:val="18"/>
      <w:szCs w:val="18"/>
      <w14:ligatures w14:val="none"/>
    </w:rPr>
  </w:style>
  <w:style w:type="character" w:customStyle="1" w:styleId="a7">
    <w:name w:val="页眉 字符"/>
    <w:basedOn w:val="a0"/>
    <w:link w:val="a6"/>
    <w:uiPriority w:val="99"/>
    <w:qFormat/>
    <w:rPr>
      <w:sz w:val="18"/>
      <w:szCs w:val="18"/>
      <w14:ligatures w14:val="none"/>
    </w:rPr>
  </w:style>
  <w:style w:type="paragraph" w:styleId="af3">
    <w:name w:val="No Spacing"/>
    <w:basedOn w:val="aa"/>
    <w:link w:val="af4"/>
    <w:uiPriority w:val="1"/>
    <w:qFormat/>
    <w:pPr>
      <w:widowControl/>
      <w:shd w:val="clear" w:color="auto" w:fill="FFFFFF"/>
      <w:ind w:firstLineChars="200" w:firstLine="200"/>
      <w:jc w:val="left"/>
    </w:pPr>
    <w:rPr>
      <w:rFonts w:asciiTheme="minorHAnsi" w:hAnsiTheme="minorHAnsi" w:cstheme="minorBidi"/>
      <w:kern w:val="0"/>
      <w:szCs w:val="22"/>
    </w:rPr>
  </w:style>
  <w:style w:type="character" w:customStyle="1" w:styleId="af4">
    <w:name w:val="无间隔 字符"/>
    <w:basedOn w:val="a0"/>
    <w:link w:val="af3"/>
    <w:uiPriority w:val="1"/>
    <w:qFormat/>
    <w:rPr>
      <w:kern w:val="0"/>
      <w:sz w:val="24"/>
      <w:szCs w:val="22"/>
      <w:shd w:val="clear" w:color="auto" w:fill="FFFFFF"/>
      <w14:ligatures w14:val="none"/>
    </w:rPr>
  </w:style>
  <w:style w:type="character" w:styleId="af5">
    <w:name w:val="annotation reference"/>
    <w:basedOn w:val="a0"/>
    <w:uiPriority w:val="99"/>
    <w:semiHidden/>
    <w:unhideWhenUsed/>
    <w:rPr>
      <w:sz w:val="21"/>
      <w:szCs w:val="21"/>
    </w:rPr>
  </w:style>
  <w:style w:type="paragraph" w:styleId="af6">
    <w:name w:val="Revision"/>
    <w:hidden/>
    <w:uiPriority w:val="99"/>
    <w:unhideWhenUsed/>
    <w:rsid w:val="00453F6E"/>
    <w:rPr>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3</Pages>
  <Words>716</Words>
  <Characters>853</Characters>
  <Application>Microsoft Office Word</Application>
  <DocSecurity>0</DocSecurity>
  <Lines>25</Lines>
  <Paragraphs>19</Paragraphs>
  <ScaleCrop>false</ScaleCrop>
  <Company/>
  <LinksUpToDate>false</LinksUpToDate>
  <CharactersWithSpaces>1550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叶蕊</dc:creator>
  <cp:lastModifiedBy>叶蕊</cp:lastModifiedBy>
  <cp:revision>5</cp:revision>
  <dcterms:created xsi:type="dcterms:W3CDTF">2025-06-03T01:33:00Z</dcterms:created>
  <dcterms:modified xsi:type="dcterms:W3CDTF">2025-06-03T08:36:00Z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eyJoZGlkIjoiYWEyZTA3M2M5N2Q0MmQwMWJkYjAxYzAyY2RhYmU3MjYiLCJ1c2VySWQiOiIxNTIwODY1NzQwIn0=</vt:lpwstr>
  </property>
  <property fmtid="{D5CDD505-2E9C-101B-9397-08002B2CF9AE}" pid="3" name="KSOProductBuildVer">
    <vt:lpwstr>2052-12.1.0.21171</vt:lpwstr>
  </property>
  <property fmtid="{D5CDD505-2E9C-101B-9397-08002B2CF9AE}" pid="4" name="ICV">
    <vt:lpwstr>16A3BFE861F1459E8E236D63D29E181B_12</vt:lpwstr>
  </property>
</Properties>
</file>