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A70E5" w14:textId="77777777" w:rsidR="008B233C"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富荣权益：市场情绪回暖，科技板块或具三大优势</w:t>
      </w:r>
    </w:p>
    <w:p w14:paraId="6379D9D4" w14:textId="77777777" w:rsidR="008B233C"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54A695A5" w14:textId="77777777" w:rsidR="008B233C"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上周（2025年6月3日至2025年6月6日，下同）权益市场主要指数多数上涨，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10183.70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3385.36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2039.44</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。其中，创成长（+3.93%）涨幅最大；创业板指（+2.32%）、创业板50（+2.23%）、中证1000（+2.10%）、中证500（+1.60%）、</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50（+1.50%）、深证成指（+1.42%）、上证指数（+1.13%）、沪深300（+0.88%）、上证50（+0.38%）紧随其后。</w:t>
      </w:r>
    </w:p>
    <w:p w14:paraId="15C7CFE8" w14:textId="77777777" w:rsidR="008B233C"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7C699C75" wp14:editId="7AA42E1C">
            <wp:extent cx="5782945" cy="3103880"/>
            <wp:effectExtent l="0" t="0" r="8255" b="1270"/>
            <wp:docPr id="1912472308"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72308" name="图片 8" descr="图表, 条形图&#10;&#10;AI 生成的内容可能不正确。"/>
                    <pic:cNvPicPr>
                      <a:picLocks noChangeAspect="1"/>
                    </pic:cNvPicPr>
                  </pic:nvPicPr>
                  <pic:blipFill>
                    <a:blip r:embed="rId6"/>
                    <a:stretch>
                      <a:fillRect/>
                    </a:stretch>
                  </pic:blipFill>
                  <pic:spPr>
                    <a:xfrm>
                      <a:off x="0" y="0"/>
                      <a:ext cx="5783450" cy="3103944"/>
                    </a:xfrm>
                    <a:prstGeom prst="rect">
                      <a:avLst/>
                    </a:prstGeom>
                  </pic:spPr>
                </pic:pic>
              </a:graphicData>
            </a:graphic>
          </wp:inline>
        </w:drawing>
      </w:r>
    </w:p>
    <w:p w14:paraId="2D7FBF83" w14:textId="77777777" w:rsidR="008B233C"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区间：20250603-20250606；月涨跌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区间：20250601-20250606</w:t>
      </w:r>
    </w:p>
    <w:p w14:paraId="18E2E254" w14:textId="77777777" w:rsidR="008B233C"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指数中，通信（+5.27%）、有色金属（+3.74%）、电子（+3.60%）等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较大，交通运输（-0.54%）、食品饮料（-1.06%）、家用电器（-1.79%）等行业跌幅较大。</w:t>
      </w:r>
    </w:p>
    <w:p w14:paraId="53116CE8" w14:textId="77777777" w:rsidR="008B233C"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0789E0E3" wp14:editId="4F85098E">
            <wp:extent cx="5198110" cy="3103880"/>
            <wp:effectExtent l="0" t="0" r="2540" b="1270"/>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5198306" cy="3103944"/>
                    </a:xfrm>
                    <a:prstGeom prst="rect">
                      <a:avLst/>
                    </a:prstGeom>
                  </pic:spPr>
                </pic:pic>
              </a:graphicData>
            </a:graphic>
          </wp:inline>
        </w:drawing>
      </w:r>
    </w:p>
    <w:p w14:paraId="5E8BE98E" w14:textId="77777777" w:rsidR="008B233C"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；统计区间：20250603-20250606</w:t>
      </w:r>
    </w:p>
    <w:p w14:paraId="388BCE4B" w14:textId="77777777" w:rsidR="008B233C" w:rsidRDefault="008B233C">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6675E7B0" w14:textId="77777777" w:rsidR="008B233C"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二、通信行业点评与展望</w:t>
      </w:r>
    </w:p>
    <w:p w14:paraId="54463FF9"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上周申万通信指数上涨5.27%，在所有申万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指数中涨幅第一，同期沪深300上涨0.88%。</w:t>
      </w:r>
    </w:p>
    <w:p w14:paraId="26112905"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2" w:name="OLE_LINK1"/>
      <w:r>
        <w:rPr>
          <w:rFonts w:ascii="思源黑体 CN Light" w:eastAsia="思源黑体 CN Light" w:hAnsi="思源黑体 CN Light" w:cs="Times New Roman" w:hint="eastAsia"/>
          <w:color w:val="000000" w:themeColor="text1"/>
          <w:sz w:val="21"/>
          <w:szCs w:val="20"/>
        </w:rPr>
        <w:t>通信行业近期涨幅较大，主要是由于多重因素的叠加，引发了市场对海外</w:t>
      </w:r>
      <w:proofErr w:type="gramStart"/>
      <w:r>
        <w:rPr>
          <w:rFonts w:ascii="思源黑体 CN Light" w:eastAsia="思源黑体 CN Light" w:hAnsi="思源黑体 CN Light" w:cs="Times New Roman" w:hint="eastAsia"/>
          <w:color w:val="000000" w:themeColor="text1"/>
          <w:sz w:val="21"/>
          <w:szCs w:val="20"/>
        </w:rPr>
        <w:t>算力需求</w:t>
      </w:r>
      <w:proofErr w:type="gramEnd"/>
      <w:r>
        <w:rPr>
          <w:rFonts w:ascii="思源黑体 CN Light" w:eastAsia="思源黑体 CN Light" w:hAnsi="思源黑体 CN Light" w:cs="Times New Roman" w:hint="eastAsia"/>
          <w:color w:val="000000" w:themeColor="text1"/>
          <w:sz w:val="21"/>
          <w:szCs w:val="20"/>
        </w:rPr>
        <w:t>的重估。</w:t>
      </w:r>
    </w:p>
    <w:p w14:paraId="7B5F7E6D"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首先，海外多家科技巨头的</w:t>
      </w:r>
      <w:proofErr w:type="gramStart"/>
      <w:r>
        <w:rPr>
          <w:rFonts w:ascii="思源黑体 CN Light" w:eastAsia="思源黑体 CN Light" w:hAnsi="思源黑体 CN Light" w:cs="Times New Roman" w:hint="eastAsia"/>
          <w:color w:val="000000" w:themeColor="text1"/>
          <w:sz w:val="21"/>
          <w:szCs w:val="20"/>
        </w:rPr>
        <w:t>一</w:t>
      </w:r>
      <w:proofErr w:type="gramEnd"/>
      <w:r>
        <w:rPr>
          <w:rFonts w:ascii="思源黑体 CN Light" w:eastAsia="思源黑体 CN Light" w:hAnsi="思源黑体 CN Light" w:cs="Times New Roman" w:hint="eastAsia"/>
          <w:color w:val="000000" w:themeColor="text1"/>
          <w:sz w:val="21"/>
          <w:szCs w:val="20"/>
        </w:rPr>
        <w:t>季报并未下修全年资本开支预期，甚至部分企业进行了上修，并未印证DeepSeek出现后市场</w:t>
      </w:r>
      <w:proofErr w:type="gramStart"/>
      <w:r>
        <w:rPr>
          <w:rFonts w:ascii="思源黑体 CN Light" w:eastAsia="思源黑体 CN Light" w:hAnsi="思源黑体 CN Light" w:cs="Times New Roman" w:hint="eastAsia"/>
          <w:color w:val="000000" w:themeColor="text1"/>
          <w:sz w:val="21"/>
          <w:szCs w:val="20"/>
        </w:rPr>
        <w:t>对算力通</w:t>
      </w:r>
      <w:proofErr w:type="gramEnd"/>
      <w:r>
        <w:rPr>
          <w:rFonts w:ascii="思源黑体 CN Light" w:eastAsia="思源黑体 CN Light" w:hAnsi="思源黑体 CN Light" w:cs="Times New Roman" w:hint="eastAsia"/>
          <w:color w:val="000000" w:themeColor="text1"/>
          <w:sz w:val="21"/>
          <w:szCs w:val="20"/>
        </w:rPr>
        <w:t>缩的预期。</w:t>
      </w:r>
    </w:p>
    <w:p w14:paraId="19822518"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其次，某海外芯片龙头公司</w:t>
      </w:r>
      <w:proofErr w:type="gramStart"/>
      <w:r>
        <w:rPr>
          <w:rFonts w:ascii="思源黑体 CN Light" w:eastAsia="思源黑体 CN Light" w:hAnsi="思源黑体 CN Light" w:cs="Times New Roman" w:hint="eastAsia"/>
          <w:color w:val="000000" w:themeColor="text1"/>
          <w:sz w:val="21"/>
          <w:szCs w:val="20"/>
        </w:rPr>
        <w:t>一</w:t>
      </w:r>
      <w:proofErr w:type="gramEnd"/>
      <w:r>
        <w:rPr>
          <w:rFonts w:ascii="思源黑体 CN Light" w:eastAsia="思源黑体 CN Light" w:hAnsi="思源黑体 CN Light" w:cs="Times New Roman" w:hint="eastAsia"/>
          <w:color w:val="000000" w:themeColor="text1"/>
          <w:sz w:val="21"/>
          <w:szCs w:val="20"/>
        </w:rPr>
        <w:t>季报显示，在计提H20存货减值的基础上，业绩依旧超出市场预期。这表明Blackwell系列产品在良率和交付速度方面都有提升。</w:t>
      </w:r>
    </w:p>
    <w:p w14:paraId="30D5C92F"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再次，海外某半导体公司新一代交换芯片Tomahawk6提前半年启动交付。Tomahawk6采用3nm制程，支持102.4T交换容量，</w:t>
      </w:r>
      <w:proofErr w:type="gramStart"/>
      <w:r>
        <w:rPr>
          <w:rFonts w:ascii="思源黑体 CN Light" w:eastAsia="思源黑体 CN Light" w:hAnsi="思源黑体 CN Light" w:cs="Times New Roman" w:hint="eastAsia"/>
          <w:color w:val="000000" w:themeColor="text1"/>
          <w:sz w:val="21"/>
          <w:szCs w:val="20"/>
        </w:rPr>
        <w:t>将标配</w:t>
      </w:r>
      <w:proofErr w:type="gramEnd"/>
      <w:r>
        <w:rPr>
          <w:rFonts w:ascii="思源黑体 CN Light" w:eastAsia="思源黑体 CN Light" w:hAnsi="思源黑体 CN Light" w:cs="Times New Roman" w:hint="eastAsia"/>
          <w:color w:val="000000" w:themeColor="text1"/>
          <w:sz w:val="21"/>
          <w:szCs w:val="20"/>
        </w:rPr>
        <w:t>1.6T光模块。</w:t>
      </w:r>
    </w:p>
    <w:p w14:paraId="1493E426"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在种种催化因素的作用下，市场上修了2026年海外</w:t>
      </w:r>
      <w:proofErr w:type="gramStart"/>
      <w:r>
        <w:rPr>
          <w:rFonts w:ascii="思源黑体 CN Light" w:eastAsia="思源黑体 CN Light" w:hAnsi="思源黑体 CN Light" w:cs="Times New Roman" w:hint="eastAsia"/>
          <w:color w:val="000000" w:themeColor="text1"/>
          <w:sz w:val="21"/>
          <w:szCs w:val="20"/>
        </w:rPr>
        <w:t>算力需求</w:t>
      </w:r>
      <w:proofErr w:type="gramEnd"/>
      <w:r>
        <w:rPr>
          <w:rFonts w:ascii="思源黑体 CN Light" w:eastAsia="思源黑体 CN Light" w:hAnsi="思源黑体 CN Light" w:cs="Times New Roman" w:hint="eastAsia"/>
          <w:color w:val="000000" w:themeColor="text1"/>
          <w:sz w:val="21"/>
          <w:szCs w:val="20"/>
        </w:rPr>
        <w:t>强度，对需求持续性的担忧也逐渐减弱。我们认为，这种变化背后的核心因素在于推理侧流量需求或超预期。近半</w:t>
      </w:r>
      <w:proofErr w:type="gramStart"/>
      <w:r>
        <w:rPr>
          <w:rFonts w:ascii="思源黑体 CN Light" w:eastAsia="思源黑体 CN Light" w:hAnsi="思源黑体 CN Light" w:cs="Times New Roman" w:hint="eastAsia"/>
          <w:color w:val="000000" w:themeColor="text1"/>
          <w:sz w:val="21"/>
          <w:szCs w:val="20"/>
        </w:rPr>
        <w:t>年海外</w:t>
      </w:r>
      <w:proofErr w:type="gramEnd"/>
      <w:r>
        <w:rPr>
          <w:rFonts w:ascii="思源黑体 CN Light" w:eastAsia="思源黑体 CN Light" w:hAnsi="思源黑体 CN Light" w:cs="Times New Roman" w:hint="eastAsia"/>
          <w:color w:val="000000" w:themeColor="text1"/>
          <w:sz w:val="21"/>
          <w:szCs w:val="20"/>
        </w:rPr>
        <w:t>AI产品迭代迅速，各家均推出性能</w:t>
      </w:r>
      <w:r>
        <w:rPr>
          <w:rFonts w:ascii="思源黑体 CN Light" w:eastAsia="思源黑体 CN Light" w:hAnsi="思源黑体 CN Light" w:cs="Times New Roman" w:hint="eastAsia"/>
          <w:color w:val="000000" w:themeColor="text1"/>
          <w:sz w:val="21"/>
          <w:szCs w:val="20"/>
        </w:rPr>
        <w:lastRenderedPageBreak/>
        <w:t>强大的推理模型和多模态模型，这导致推理需求快速增加。同时，AI编程应用流量的快速增长，也体现</w:t>
      </w:r>
      <w:proofErr w:type="gramStart"/>
      <w:r>
        <w:rPr>
          <w:rFonts w:ascii="思源黑体 CN Light" w:eastAsia="思源黑体 CN Light" w:hAnsi="思源黑体 CN Light" w:cs="Times New Roman" w:hint="eastAsia"/>
          <w:color w:val="000000" w:themeColor="text1"/>
          <w:sz w:val="21"/>
          <w:szCs w:val="20"/>
        </w:rPr>
        <w:t>出爆款应用</w:t>
      </w:r>
      <w:proofErr w:type="gramEnd"/>
      <w:r>
        <w:rPr>
          <w:rFonts w:ascii="思源黑体 CN Light" w:eastAsia="思源黑体 CN Light" w:hAnsi="思源黑体 CN Light" w:cs="Times New Roman" w:hint="eastAsia"/>
          <w:color w:val="000000" w:themeColor="text1"/>
          <w:sz w:val="21"/>
          <w:szCs w:val="20"/>
        </w:rPr>
        <w:t>的巨大潜力。</w:t>
      </w:r>
    </w:p>
    <w:p w14:paraId="08A431A4" w14:textId="77777777" w:rsidR="008B233C"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展望后市，我们认为在AI技术快速进步的背景下，推理侧的</w:t>
      </w:r>
      <w:proofErr w:type="gramStart"/>
      <w:r>
        <w:rPr>
          <w:rFonts w:ascii="思源黑体 CN Light" w:eastAsia="思源黑体 CN Light" w:hAnsi="思源黑体 CN Light" w:cs="Times New Roman" w:hint="eastAsia"/>
          <w:color w:val="000000" w:themeColor="text1"/>
          <w:sz w:val="21"/>
          <w:szCs w:val="20"/>
        </w:rPr>
        <w:t>算力需求</w:t>
      </w:r>
      <w:proofErr w:type="gramEnd"/>
      <w:r>
        <w:rPr>
          <w:rFonts w:ascii="思源黑体 CN Light" w:eastAsia="思源黑体 CN Light" w:hAnsi="思源黑体 CN Light" w:cs="Times New Roman" w:hint="eastAsia"/>
          <w:color w:val="000000" w:themeColor="text1"/>
          <w:sz w:val="21"/>
          <w:szCs w:val="20"/>
        </w:rPr>
        <w:t>或将非常庞大且具有持续性。承接海外</w:t>
      </w:r>
      <w:proofErr w:type="gramStart"/>
      <w:r>
        <w:rPr>
          <w:rFonts w:ascii="思源黑体 CN Light" w:eastAsia="思源黑体 CN Light" w:hAnsi="思源黑体 CN Light" w:cs="Times New Roman" w:hint="eastAsia"/>
          <w:color w:val="000000" w:themeColor="text1"/>
          <w:sz w:val="21"/>
          <w:szCs w:val="20"/>
        </w:rPr>
        <w:t>算力需求</w:t>
      </w:r>
      <w:proofErr w:type="gramEnd"/>
      <w:r>
        <w:rPr>
          <w:rFonts w:ascii="思源黑体 CN Light" w:eastAsia="思源黑体 CN Light" w:hAnsi="思源黑体 CN Light" w:cs="Times New Roman" w:hint="eastAsia"/>
          <w:color w:val="000000" w:themeColor="text1"/>
          <w:sz w:val="21"/>
          <w:szCs w:val="20"/>
        </w:rPr>
        <w:t>的国内企业，业绩或将持续受益。</w:t>
      </w:r>
      <w:bookmarkEnd w:id="2"/>
    </w:p>
    <w:p w14:paraId="1E111E06" w14:textId="77777777" w:rsidR="008B233C" w:rsidRDefault="008B233C">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11B97D90" w14:textId="77777777" w:rsidR="008B233C"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1412A554" w14:textId="77777777" w:rsidR="008B233C"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上周以AI为代表的科技板块涨幅靠前，带动A股市</w:t>
      </w:r>
      <w:proofErr w:type="gramStart"/>
      <w:r>
        <w:rPr>
          <w:rFonts w:ascii="思源黑体 CN Light" w:eastAsia="思源黑体 CN Light" w:hAnsi="思源黑体 CN Light" w:cs="Times New Roman" w:hint="eastAsia"/>
          <w:color w:val="000000"/>
          <w:sz w:val="21"/>
          <w:szCs w:val="20"/>
          <w:shd w:val="clear" w:color="auto" w:fill="FFFFFF"/>
        </w:rPr>
        <w:t>场情绪</w:t>
      </w:r>
      <w:proofErr w:type="gramEnd"/>
      <w:r>
        <w:rPr>
          <w:rFonts w:ascii="思源黑体 CN Light" w:eastAsia="思源黑体 CN Light" w:hAnsi="思源黑体 CN Light" w:cs="Times New Roman" w:hint="eastAsia"/>
          <w:color w:val="000000"/>
          <w:sz w:val="21"/>
          <w:szCs w:val="20"/>
          <w:shd w:val="clear" w:color="auto" w:fill="FFFFFF"/>
        </w:rPr>
        <w:t>回暖。</w:t>
      </w:r>
    </w:p>
    <w:p w14:paraId="2A5D3AD8" w14:textId="44D7DE91" w:rsidR="008B233C"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回顾科技板块的上涨，原因主要有两个方面。一方面，中美元首电话会谈成功举行，这提振了短期市场情绪；另一方面，从板块结构来看，海外AI链龙头公司的业绩持续景气，部分龙头公司股价创出历史新高。与此同时科技板块的成交额占比跌至阶段低位区间，市场资金有从高位的新消费、红利等板块切换至科技板块的迹象。我们认为，科技板块短期的驱动因素可能更多是资金面的轮动和海外的映射，短期更倾向于市场轮动下的反弹。但科技板块在资金面、股价位置、短期催化等方面或有相对优势。</w:t>
      </w:r>
    </w:p>
    <w:p w14:paraId="55A73434" w14:textId="3607C9DC" w:rsidR="008B233C"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从市场整体来看，短期</w:t>
      </w:r>
      <w:r w:rsidR="00251E6E">
        <w:rPr>
          <w:rFonts w:ascii="思源黑体 CN Light" w:eastAsia="思源黑体 CN Light" w:hAnsi="思源黑体 CN Light" w:cs="Times New Roman" w:hint="eastAsia"/>
          <w:color w:val="000000"/>
          <w:sz w:val="21"/>
          <w:szCs w:val="20"/>
          <w:shd w:val="clear" w:color="auto" w:fill="FFFFFF"/>
        </w:rPr>
        <w:t>可能</w:t>
      </w:r>
      <w:r>
        <w:rPr>
          <w:rFonts w:ascii="思源黑体 CN Light" w:eastAsia="思源黑体 CN Light" w:hAnsi="思源黑体 CN Light" w:cs="Times New Roman" w:hint="eastAsia"/>
          <w:color w:val="000000"/>
          <w:sz w:val="21"/>
          <w:szCs w:val="20"/>
          <w:shd w:val="clear" w:color="auto" w:fill="FFFFFF"/>
        </w:rPr>
        <w:t>仍处于大的震荡结构中。大指数短期内有望在科技板块的带动下挑战震荡的上沿。但要实现向上突破，可能至少需要以下三者之一出现方向性变化：海外贸易摩擦、国内刺激政策、科技产业的突破式创新。</w:t>
      </w:r>
    </w:p>
    <w:p w14:paraId="0A8A9087" w14:textId="77777777" w:rsidR="008B233C"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中期看好具备产业景气逻辑的新兴成长方向，如AI、半导体、机器人等领域。</w:t>
      </w:r>
    </w:p>
    <w:p w14:paraId="00D73229" w14:textId="77777777" w:rsidR="008B233C" w:rsidRDefault="0000000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5AABFB53" w14:textId="77777777" w:rsidR="008B233C"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12D59458" w14:textId="77777777" w:rsidR="008B233C" w:rsidRDefault="008B233C">
      <w:pPr>
        <w:rPr>
          <w:rFonts w:ascii="思源黑体 CN Light" w:eastAsia="思源黑体 CN Light" w:hAnsi="思源黑体 CN Light" w:cs="Times New Roman" w:hint="eastAsia"/>
          <w:color w:val="000000"/>
          <w:sz w:val="21"/>
          <w:szCs w:val="20"/>
          <w:shd w:val="clear" w:color="auto" w:fill="FFFFFF"/>
        </w:rPr>
      </w:pPr>
    </w:p>
    <w:p w14:paraId="26A8B635" w14:textId="77777777" w:rsidR="008B233C" w:rsidRDefault="008B233C">
      <w:pPr>
        <w:pStyle w:val="af2"/>
        <w:ind w:firstLineChars="0" w:firstLine="0"/>
        <w:rPr>
          <w:rFonts w:ascii="思源黑体 CN Light" w:eastAsia="思源黑体 CN Light" w:hAnsi="思源黑体 CN Light" w:cs="Times New Roman" w:hint="eastAsia"/>
          <w:sz w:val="20"/>
          <w:szCs w:val="20"/>
        </w:rPr>
      </w:pPr>
    </w:p>
    <w:p w14:paraId="3162D89C" w14:textId="77777777" w:rsidR="008B233C"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w:t>
      </w:r>
      <w:r>
        <w:rPr>
          <w:rFonts w:ascii="思源黑体 CN Light" w:eastAsia="思源黑体 CN Light" w:hAnsi="思源黑体 CN Light"/>
          <w:sz w:val="18"/>
          <w:szCs w:val="15"/>
        </w:rPr>
        <w:lastRenderedPageBreak/>
        <w:t>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381CABD8" w14:textId="77777777" w:rsidR="008B233C" w:rsidRDefault="008B233C">
      <w:pPr>
        <w:rPr>
          <w:rFonts w:hint="eastAsia"/>
        </w:rPr>
      </w:pPr>
    </w:p>
    <w:p w14:paraId="3EF948C6" w14:textId="77777777" w:rsidR="008B233C" w:rsidRDefault="008B233C">
      <w:pPr>
        <w:rPr>
          <w:rFonts w:hint="eastAsia"/>
        </w:rPr>
      </w:pPr>
    </w:p>
    <w:sectPr w:rsidR="008B233C">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B68F0" w14:textId="77777777" w:rsidR="00590FE9" w:rsidRDefault="00590FE9">
      <w:pPr>
        <w:spacing w:line="240" w:lineRule="auto"/>
        <w:rPr>
          <w:rFonts w:hint="eastAsia"/>
        </w:rPr>
      </w:pPr>
      <w:r>
        <w:separator/>
      </w:r>
    </w:p>
  </w:endnote>
  <w:endnote w:type="continuationSeparator" w:id="0">
    <w:p w14:paraId="3C34265F" w14:textId="77777777" w:rsidR="00590FE9" w:rsidRDefault="00590FE9">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7319C" w14:textId="77777777" w:rsidR="008B233C"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2D86DDA1" w14:textId="77777777" w:rsidR="008B233C" w:rsidRDefault="008B233C">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85B0D" w14:textId="77777777" w:rsidR="00590FE9" w:rsidRDefault="00590FE9">
      <w:pPr>
        <w:rPr>
          <w:rFonts w:hint="eastAsia"/>
        </w:rPr>
      </w:pPr>
      <w:r>
        <w:separator/>
      </w:r>
    </w:p>
  </w:footnote>
  <w:footnote w:type="continuationSeparator" w:id="0">
    <w:p w14:paraId="68871A2C" w14:textId="77777777" w:rsidR="00590FE9" w:rsidRDefault="00590FE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8B233C" w14:paraId="48CBDF7F" w14:textId="77777777">
      <w:trPr>
        <w:trHeight w:val="424"/>
      </w:trPr>
      <w:tc>
        <w:tcPr>
          <w:tcW w:w="3652" w:type="dxa"/>
          <w:shd w:val="clear" w:color="auto" w:fill="F3F3F3"/>
          <w:vAlign w:val="center"/>
        </w:tcPr>
        <w:p w14:paraId="21E1A64E" w14:textId="77777777" w:rsidR="008B233C" w:rsidRDefault="00000000">
          <w:pPr>
            <w:pStyle w:val="a5"/>
            <w:pBdr>
              <w:bottom w:val="none" w:sz="0" w:space="0" w:color="auto"/>
            </w:pBdr>
            <w:jc w:val="right"/>
            <w:rPr>
              <w:kern w:val="0"/>
            </w:rPr>
          </w:pPr>
          <w:r>
            <w:rPr>
              <w:rFonts w:hint="eastAsia"/>
              <w:kern w:val="0"/>
            </w:rPr>
            <w:t>证券研究报告</w:t>
          </w:r>
        </w:p>
      </w:tc>
      <w:tc>
        <w:tcPr>
          <w:tcW w:w="284" w:type="dxa"/>
          <w:shd w:val="clear" w:color="auto" w:fill="C3E2F4"/>
        </w:tcPr>
        <w:p w14:paraId="68B5CD02" w14:textId="77777777" w:rsidR="008B233C" w:rsidRDefault="008B233C">
          <w:pPr>
            <w:pStyle w:val="a5"/>
            <w:pBdr>
              <w:bottom w:val="none" w:sz="0" w:space="0" w:color="auto"/>
            </w:pBdr>
            <w:jc w:val="left"/>
            <w:rPr>
              <w:kern w:val="0"/>
            </w:rPr>
          </w:pPr>
        </w:p>
      </w:tc>
      <w:tc>
        <w:tcPr>
          <w:tcW w:w="2335" w:type="dxa"/>
          <w:shd w:val="clear" w:color="auto" w:fill="013F98"/>
          <w:vAlign w:val="center"/>
        </w:tcPr>
        <w:p w14:paraId="2186BB4B" w14:textId="77777777" w:rsidR="008B233C" w:rsidRDefault="00000000">
          <w:pPr>
            <w:pStyle w:val="a5"/>
            <w:pBdr>
              <w:bottom w:val="none" w:sz="0" w:space="0" w:color="auto"/>
            </w:pBdr>
            <w:rPr>
              <w:kern w:val="0"/>
            </w:rPr>
          </w:pPr>
          <w:r>
            <w:rPr>
              <w:rFonts w:hint="eastAsia"/>
              <w:kern w:val="0"/>
            </w:rPr>
            <w:t>权益周报</w:t>
          </w:r>
        </w:p>
      </w:tc>
    </w:tr>
  </w:tbl>
  <w:p w14:paraId="5049EE44" w14:textId="77777777" w:rsidR="008B233C"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590497D0" wp14:editId="2040DE61">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413"/>
    <w:rsid w:val="000E06D1"/>
    <w:rsid w:val="0015391A"/>
    <w:rsid w:val="00251E6E"/>
    <w:rsid w:val="002B5F7E"/>
    <w:rsid w:val="002D4935"/>
    <w:rsid w:val="002F63B0"/>
    <w:rsid w:val="00590FE9"/>
    <w:rsid w:val="0069710F"/>
    <w:rsid w:val="006F4D3E"/>
    <w:rsid w:val="00852735"/>
    <w:rsid w:val="008B233C"/>
    <w:rsid w:val="009B2455"/>
    <w:rsid w:val="00A07574"/>
    <w:rsid w:val="00AD3815"/>
    <w:rsid w:val="00AF70C3"/>
    <w:rsid w:val="00D875C4"/>
    <w:rsid w:val="00E63A18"/>
    <w:rsid w:val="00F11413"/>
    <w:rsid w:val="13EC53B7"/>
    <w:rsid w:val="7755503F"/>
    <w:rsid w:val="79E95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03FC91"/>
  <w15:docId w15:val="{3EEAACD2-1550-4FAC-92F5-8E8CBF5D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A07574"/>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4</Pages>
  <Words>799</Words>
  <Characters>919</Characters>
  <Application>Microsoft Office Word</Application>
  <DocSecurity>0</DocSecurity>
  <Lines>28</Lines>
  <Paragraphs>24</Paragraphs>
  <ScaleCrop>false</ScaleCrop>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2025-06-09T01:11:00Z</dcterms:created>
  <dcterms:modified xsi:type="dcterms:W3CDTF">2025-06-09T07:58:00Z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365A8BE7CDCF407E809179D28F96238B_13</vt:lpwstr>
  </property>
</Properties>
</file>