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C88205" w14:textId="77777777" w:rsidR="001D51ED" w:rsidRDefault="00DE6E5D">
      <w:pPr>
        <w:jc w:val="center"/>
        <w:rPr>
          <w:rFonts w:ascii="思源黑体 CN Bold" w:eastAsia="思源黑体 CN Bold" w:hAnsi="思源黑体 CN Bold" w:hint="eastAsia"/>
          <w:b/>
          <w:bCs/>
          <w:sz w:val="28"/>
          <w:szCs w:val="28"/>
        </w:rPr>
      </w:pPr>
      <w:r>
        <w:rPr>
          <w:rFonts w:ascii="思源黑体 CN Bold" w:eastAsia="思源黑体 CN Bold" w:hAnsi="思源黑体 CN Bold" w:hint="eastAsia"/>
          <w:b/>
          <w:bCs/>
          <w:sz w:val="28"/>
          <w:szCs w:val="28"/>
        </w:rPr>
        <w:t>富荣固收：债市短期震荡，后续或有下行机会</w:t>
      </w:r>
    </w:p>
    <w:p w14:paraId="2A30EFD5" w14:textId="77777777" w:rsidR="001D51ED" w:rsidRDefault="00DE6E5D">
      <w:pPr>
        <w:rPr>
          <w:rFonts w:ascii="思源黑体 CN Light" w:eastAsia="思源黑体 CN Light" w:hAnsi="思源黑体 CN Light" w:hint="eastAsia"/>
          <w:szCs w:val="21"/>
        </w:rPr>
      </w:pPr>
      <w:r>
        <w:rPr>
          <w:rFonts w:ascii="思源黑体 CN Light" w:eastAsia="思源黑体 CN Light" w:hAnsi="思源黑体 CN Light" w:hint="eastAsia"/>
          <w:szCs w:val="21"/>
        </w:rPr>
        <w:t>观点：</w:t>
      </w:r>
      <w:bookmarkStart w:id="0" w:name="_Toc134985519"/>
    </w:p>
    <w:p w14:paraId="326D7514" w14:textId="77777777" w:rsidR="001D51ED" w:rsidRDefault="00DE6E5D">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国内方面：当前经济内需偏弱、内生修复动力有待巩固，基本面仍将承压。在三季度政策真空期的背景下，基本面惯性趋势难改。</w:t>
      </w:r>
    </w:p>
    <w:p w14:paraId="2C314AAC" w14:textId="77777777" w:rsidR="001D51ED" w:rsidRDefault="00DE6E5D">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央行持续呵护市场态度明确，资金利率有望维持在相对低位区间运行。短期虽有税期、跨季等扰动，但风险总体可控，预计税期后跨季前资金面或迎来宽松时段，货币政策或将维持稳健偏松基调。</w:t>
      </w:r>
    </w:p>
    <w:p w14:paraId="7A0A6A1E" w14:textId="5410B098" w:rsidR="001D51ED" w:rsidRDefault="00DE6E5D">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海外及其他：外部环境对国内债市边际影响在增加。美联储降息预期波动可能引发美债利率变动。特朗普关税全面落地及地缘冲突升级可能阶段性扰动全球贸易、资本流动及风险偏好。</w:t>
      </w:r>
    </w:p>
    <w:p w14:paraId="22618C6F" w14:textId="77777777" w:rsidR="001D51ED" w:rsidRDefault="00DE6E5D">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上周（2025年6月9日-2025年6月13日，以下简称上周）债市呈现窄幅波动特征，关键利率点位博弈加剧。展望后市，长债利率下行阻力仍存，短期内或维持震荡偏多。破局关键点或在于：1.银行增配；2.存单收益率持续下行；3.货币政策的新增利多等。</w:t>
      </w:r>
    </w:p>
    <w:p w14:paraId="13554DAD" w14:textId="49C75847" w:rsidR="001D51ED" w:rsidRDefault="00DE6E5D">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重启买债预期下短端确定性或较强，若短端进一步打开想象空间，长端利率或将迎来更为明确的走势，曲线有望整体下移。</w:t>
      </w:r>
    </w:p>
    <w:p w14:paraId="50C1DF28" w14:textId="77777777" w:rsidR="001D51ED" w:rsidRDefault="001D51ED">
      <w:pPr>
        <w:spacing w:line="288" w:lineRule="auto"/>
        <w:ind w:firstLineChars="200" w:firstLine="420"/>
        <w:rPr>
          <w:rFonts w:ascii="思源黑体 CN Light" w:eastAsia="思源黑体 CN Light" w:hAnsi="思源黑体 CN Light" w:cs="Times New Roman" w:hint="eastAsia"/>
          <w:szCs w:val="21"/>
        </w:rPr>
      </w:pPr>
    </w:p>
    <w:p w14:paraId="389AE809" w14:textId="77777777" w:rsidR="001D51ED" w:rsidRDefault="00DE6E5D">
      <w:pPr>
        <w:pStyle w:val="1"/>
        <w:tabs>
          <w:tab w:val="left" w:pos="6289"/>
        </w:tabs>
        <w:spacing w:line="360" w:lineRule="auto"/>
        <w:rPr>
          <w:rFonts w:ascii="思源黑体 CN Light" w:eastAsia="思源黑体 CN Light" w:hAnsi="思源黑体 CN Light" w:cs="Times New Roman" w:hint="eastAsia"/>
          <w:szCs w:val="21"/>
        </w:rPr>
      </w:pPr>
      <w:r>
        <w:rPr>
          <w:rFonts w:ascii="思源黑体 CN Light" w:eastAsia="思源黑体 CN Light" w:hAnsi="思源黑体 CN Light" w:cs="Arial" w:hint="eastAsia"/>
          <w:sz w:val="36"/>
          <w:szCs w:val="36"/>
        </w:rPr>
        <w:t>1</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高频数据</w:t>
      </w:r>
      <w:bookmarkEnd w:id="0"/>
    </w:p>
    <w:p w14:paraId="29C46754" w14:textId="77777777" w:rsidR="001D51ED" w:rsidRDefault="00DE6E5D">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美通胀放缓，美国5月核心PPI环比温和增值0.1%，低于预期，导致美联储降息预期升温。截至6月13日，美元指数下跌1.07%，在岸人民币涨0.05%，英镑涨0.35%，欧元涨1.37%。</w:t>
      </w:r>
    </w:p>
    <w:p w14:paraId="6EBCD4FC" w14:textId="77777777" w:rsidR="001D51ED" w:rsidRDefault="00DE6E5D">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图一：主要货币变化率</w:t>
      </w:r>
      <w:r>
        <w:rPr>
          <w:rFonts w:ascii="思源黑体 CN Light" w:eastAsia="思源黑体 CN Light" w:hAnsi="思源黑体 CN Light" w:cs="Times New Roman"/>
          <w:b/>
          <w:noProof/>
          <w:color w:val="000000"/>
          <w:kern w:val="0"/>
          <w:sz w:val="20"/>
          <w:szCs w:val="20"/>
        </w:rPr>
        <w:lastRenderedPageBreak/>
        <w:drawing>
          <wp:inline distT="0" distB="0" distL="0" distR="0" wp14:anchorId="551F98E6" wp14:editId="383992FC">
            <wp:extent cx="5274310" cy="2124075"/>
            <wp:effectExtent l="0" t="0" r="2540" b="9525"/>
            <wp:docPr id="10" name="图片 9"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图形用户界面&#10;&#10;AI 生成的内容可能不正确。"/>
                    <pic:cNvPicPr>
                      <a:picLocks noChangeAspect="1"/>
                    </pic:cNvPicPr>
                  </pic:nvPicPr>
                  <pic:blipFill>
                    <a:blip r:embed="rId6"/>
                    <a:stretch>
                      <a:fillRect/>
                    </a:stretch>
                  </pic:blipFill>
                  <pic:spPr>
                    <a:xfrm>
                      <a:off x="0" y="0"/>
                      <a:ext cx="5274310" cy="212407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数据来源：wind，富荣基金；统计区间：20250609-2025</w:t>
      </w:r>
      <w:bookmarkStart w:id="1" w:name="_Toc134985520"/>
      <w:r>
        <w:rPr>
          <w:rFonts w:ascii="思源黑体 CN Light" w:eastAsia="思源黑体 CN Light" w:hAnsi="思源黑体 CN Light" w:cs="Times New Roman" w:hint="eastAsia"/>
          <w:sz w:val="16"/>
          <w:szCs w:val="16"/>
        </w:rPr>
        <w:t>0613</w:t>
      </w:r>
    </w:p>
    <w:p w14:paraId="5D43AEB9" w14:textId="77777777" w:rsidR="001D51ED" w:rsidRDefault="00DE6E5D">
      <w:pPr>
        <w:pStyle w:val="1"/>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2</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债券市场</w:t>
      </w:r>
      <w:bookmarkEnd w:id="1"/>
    </w:p>
    <w:p w14:paraId="0892CDB2" w14:textId="77777777" w:rsidR="001D51ED" w:rsidRDefault="00DE6E5D">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资金面整体宽松。</w:t>
      </w:r>
      <w:r>
        <w:rPr>
          <w:rFonts w:ascii="思源黑体 CN Light" w:eastAsia="思源黑体 CN Light" w:hAnsi="思源黑体 CN Light" w:cs="Times New Roman" w:hint="eastAsia"/>
          <w:sz w:val="22"/>
          <w:szCs w:val="21"/>
          <w14:ligatures w14:val="standardContextual"/>
        </w:rPr>
        <w:t>DR001下行0.02bp至1.41%，DR007下行3.03bp至1.50%，R001上行1.43bp至1.46％，R007上行2.97bp至1.58％，GC001上行11.70bp至1.58%，GC007上行3.70bp至1.60％。</w:t>
      </w:r>
    </w:p>
    <w:p w14:paraId="02E9DB04" w14:textId="77777777" w:rsidR="001D51ED" w:rsidRDefault="00DE6E5D">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受资金宽松支撑，债市整体下行。</w:t>
      </w:r>
      <w:r>
        <w:rPr>
          <w:rFonts w:ascii="思源黑体 CN Light" w:eastAsia="思源黑体 CN Light" w:hAnsi="思源黑体 CN Light" w:cs="Times New Roman" w:hint="eastAsia"/>
          <w:sz w:val="22"/>
          <w:szCs w:val="21"/>
          <w14:ligatures w14:val="standardContextual"/>
        </w:rPr>
        <w:t>1Y、5Y、10Y、30Y国债收益率分别较前一周变化-1.00bp、-0.12bp、-1.07bp、-2.65bp至1.4002％、1.5447％、1.6440％、1.8495％。</w:t>
      </w:r>
    </w:p>
    <w:p w14:paraId="1A4C50C3" w14:textId="77777777" w:rsidR="002C6DA5" w:rsidRDefault="00DE6E5D">
      <w:pPr>
        <w:spacing w:line="288" w:lineRule="auto"/>
        <w:jc w:val="left"/>
        <w:rPr>
          <w:rFonts w:ascii="思源黑体 CN Light" w:eastAsia="思源黑体 CN Light" w:hAnsi="思源黑体 CN Light" w:cs="Times New Roman"/>
          <w:b/>
          <w:color w:val="000000"/>
          <w:kern w:val="0"/>
          <w:sz w:val="20"/>
          <w:szCs w:val="20"/>
        </w:rPr>
      </w:pPr>
      <w:r>
        <w:rPr>
          <w:rFonts w:ascii="思源黑体 CN Light" w:eastAsia="思源黑体 CN Light" w:hAnsi="思源黑体 CN Light" w:cs="Times New Roman" w:hint="eastAsia"/>
          <w:b/>
          <w:color w:val="000000"/>
          <w:kern w:val="0"/>
          <w:sz w:val="20"/>
          <w:szCs w:val="20"/>
        </w:rPr>
        <w:t>图二：资金面变化</w:t>
      </w:r>
      <w:r>
        <w:rPr>
          <w:rFonts w:ascii="思源黑体 CN Light" w:eastAsia="思源黑体 CN Light" w:hAnsi="思源黑体 CN Light" w:cs="Times New Roman"/>
          <w:b/>
          <w:noProof/>
          <w:color w:val="000000"/>
          <w:kern w:val="0"/>
          <w:sz w:val="20"/>
          <w:szCs w:val="20"/>
        </w:rPr>
        <w:drawing>
          <wp:inline distT="0" distB="0" distL="0" distR="0" wp14:anchorId="13C8A8D0" wp14:editId="1400F02F">
            <wp:extent cx="4666615" cy="2976880"/>
            <wp:effectExtent l="0" t="0" r="635" b="0"/>
            <wp:docPr id="11" name="图片 10"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图表&#10;&#10;AI 生成的内容可能不正确。"/>
                    <pic:cNvPicPr>
                      <a:picLocks noChangeAspect="1"/>
                    </pic:cNvPicPr>
                  </pic:nvPicPr>
                  <pic:blipFill>
                    <a:blip r:embed="rId7"/>
                    <a:stretch>
                      <a:fillRect/>
                    </a:stretch>
                  </pic:blipFill>
                  <pic:spPr>
                    <a:xfrm>
                      <a:off x="0" y="0"/>
                      <a:ext cx="4666648" cy="2977260"/>
                    </a:xfrm>
                    <a:prstGeom prst="rect">
                      <a:avLst/>
                    </a:prstGeom>
                  </pic:spPr>
                </pic:pic>
              </a:graphicData>
            </a:graphic>
          </wp:inline>
        </w:drawing>
      </w:r>
    </w:p>
    <w:p w14:paraId="6083E884" w14:textId="2FF9B973" w:rsidR="001D51ED" w:rsidRDefault="00DE6E5D">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sz w:val="16"/>
          <w:szCs w:val="16"/>
        </w:rPr>
        <w:lastRenderedPageBreak/>
        <w:t>数据来源：wind，富荣基金；统计区间：20250609-20250613</w:t>
      </w:r>
    </w:p>
    <w:p w14:paraId="3F7BF569" w14:textId="77777777" w:rsidR="001D51ED" w:rsidRDefault="00DE6E5D">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图三：国债周度变化</w:t>
      </w:r>
      <w:r>
        <w:rPr>
          <w:rFonts w:ascii="思源黑体 CN Light" w:eastAsia="思源黑体 CN Light" w:hAnsi="思源黑体 CN Light" w:cs="Times New Roman"/>
          <w:b/>
          <w:noProof/>
          <w:color w:val="000000"/>
          <w:kern w:val="0"/>
          <w:sz w:val="20"/>
          <w:szCs w:val="20"/>
        </w:rPr>
        <w:drawing>
          <wp:inline distT="0" distB="0" distL="0" distR="0" wp14:anchorId="030AEC88" wp14:editId="5520CC63">
            <wp:extent cx="4523105" cy="3074035"/>
            <wp:effectExtent l="0" t="0" r="0" b="0"/>
            <wp:docPr id="12" name="图片 11"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图表, 瀑布图&#10;&#10;AI 生成的内容可能不正确。"/>
                    <pic:cNvPicPr>
                      <a:picLocks noChangeAspect="1"/>
                    </pic:cNvPicPr>
                  </pic:nvPicPr>
                  <pic:blipFill>
                    <a:blip r:embed="rId8"/>
                    <a:stretch>
                      <a:fillRect/>
                    </a:stretch>
                  </pic:blipFill>
                  <pic:spPr>
                    <a:xfrm>
                      <a:off x="0" y="0"/>
                      <a:ext cx="4523725" cy="3074550"/>
                    </a:xfrm>
                    <a:prstGeom prst="rect">
                      <a:avLst/>
                    </a:prstGeom>
                  </pic:spPr>
                </pic:pic>
              </a:graphicData>
            </a:graphic>
          </wp:inline>
        </w:drawing>
      </w:r>
    </w:p>
    <w:p w14:paraId="11828561" w14:textId="77777777" w:rsidR="001D51ED" w:rsidRDefault="00DE6E5D">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sz w:val="16"/>
          <w:szCs w:val="16"/>
        </w:rPr>
        <w:t>数据来源：wind，富荣基金；统计区间：20250609-20250613</w:t>
      </w:r>
    </w:p>
    <w:p w14:paraId="5743919C" w14:textId="1CA8068C" w:rsidR="001D51ED" w:rsidRDefault="00DE6E5D">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上周超万亿存单到期，但资金面整体平稳。</w:t>
      </w:r>
    </w:p>
    <w:p w14:paraId="5635F06D" w14:textId="77777777" w:rsidR="001D51ED" w:rsidRDefault="00DE6E5D">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信用债收益率整呈全面下行趋势，5Y品种下行幅度更大达到5bp左右，曲线进一步平坦化。利差方面，长端利差收窄幅度明显更大，短端各品种有上有下，相较压缩并不明显。</w:t>
      </w:r>
    </w:p>
    <w:p w14:paraId="6E556EDF" w14:textId="77777777" w:rsidR="001D51ED" w:rsidRDefault="00DE6E5D">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图四：信用债收益率变化</w:t>
      </w:r>
      <w:r>
        <w:rPr>
          <w:rFonts w:ascii="思源黑体 CN Light" w:eastAsia="思源黑体 CN Light" w:hAnsi="思源黑体 CN Light" w:cs="Times New Roman"/>
          <w:b/>
          <w:noProof/>
          <w:color w:val="000000"/>
          <w:kern w:val="0"/>
          <w:sz w:val="20"/>
          <w:szCs w:val="20"/>
        </w:rPr>
        <w:drawing>
          <wp:inline distT="0" distB="0" distL="0" distR="0" wp14:anchorId="664DC789" wp14:editId="50ECADE2">
            <wp:extent cx="5274310" cy="2546350"/>
            <wp:effectExtent l="0" t="0" r="2540" b="6350"/>
            <wp:docPr id="352689790" name="图片 10"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689790" name="图片 10" descr="图表, 瀑布图&#10;&#10;AI 生成的内容可能不正确。"/>
                    <pic:cNvPicPr>
                      <a:picLocks noChangeAspect="1"/>
                    </pic:cNvPicPr>
                  </pic:nvPicPr>
                  <pic:blipFill>
                    <a:blip r:embed="rId9"/>
                    <a:stretch>
                      <a:fillRect/>
                    </a:stretch>
                  </pic:blipFill>
                  <pic:spPr>
                    <a:xfrm>
                      <a:off x="0" y="0"/>
                      <a:ext cx="5274310" cy="254635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数据来源：wind，富荣基金；统计区间：20250609-20250613</w:t>
      </w:r>
    </w:p>
    <w:p w14:paraId="5E8B42B7" w14:textId="77777777" w:rsidR="001D51ED" w:rsidRDefault="00DE6E5D">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lastRenderedPageBreak/>
        <w:t>图五：信用利差变化</w:t>
      </w:r>
      <w:r>
        <w:rPr>
          <w:rFonts w:ascii="思源黑体 CN Light" w:eastAsia="思源黑体 CN Light" w:hAnsi="思源黑体 CN Light" w:cs="Times New Roman"/>
          <w:b/>
          <w:noProof/>
          <w:color w:val="000000"/>
          <w:kern w:val="0"/>
          <w:sz w:val="20"/>
          <w:szCs w:val="20"/>
        </w:rPr>
        <w:drawing>
          <wp:inline distT="0" distB="0" distL="0" distR="0" wp14:anchorId="22D78C26" wp14:editId="42284780">
            <wp:extent cx="5274310" cy="2206625"/>
            <wp:effectExtent l="0" t="0" r="2540" b="3175"/>
            <wp:docPr id="641893610" name="图片 11"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893610" name="图片 11" descr="图表, 瀑布图&#10;&#10;AI 生成的内容可能不正确。"/>
                    <pic:cNvPicPr>
                      <a:picLocks noChangeAspect="1"/>
                    </pic:cNvPicPr>
                  </pic:nvPicPr>
                  <pic:blipFill>
                    <a:blip r:embed="rId10"/>
                    <a:stretch>
                      <a:fillRect/>
                    </a:stretch>
                  </pic:blipFill>
                  <pic:spPr>
                    <a:xfrm>
                      <a:off x="0" y="0"/>
                      <a:ext cx="5274310" cy="220662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数据来源：wind，富荣基金；统计区间：20250609-20250613</w:t>
      </w:r>
    </w:p>
    <w:p w14:paraId="1F8B614A" w14:textId="77777777" w:rsidR="001D51ED" w:rsidRDefault="001D51ED">
      <w:pPr>
        <w:ind w:firstLineChars="200" w:firstLine="400"/>
        <w:rPr>
          <w:rFonts w:ascii="思源黑体 CN Light" w:eastAsia="思源黑体 CN Light" w:hAnsi="思源黑体 CN Light" w:hint="eastAsia"/>
          <w:sz w:val="20"/>
          <w:szCs w:val="20"/>
        </w:rPr>
      </w:pPr>
    </w:p>
    <w:p w14:paraId="4120228F" w14:textId="77777777" w:rsidR="001D51ED" w:rsidRDefault="001D51ED">
      <w:pPr>
        <w:ind w:firstLineChars="200" w:firstLine="400"/>
        <w:rPr>
          <w:rFonts w:ascii="思源黑体 CN Light" w:eastAsia="思源黑体 CN Light" w:hAnsi="思源黑体 CN Light" w:hint="eastAsia"/>
          <w:sz w:val="20"/>
          <w:szCs w:val="20"/>
        </w:rPr>
      </w:pPr>
    </w:p>
    <w:p w14:paraId="08DA9727" w14:textId="77777777" w:rsidR="001D51ED" w:rsidRDefault="001D51ED">
      <w:pPr>
        <w:ind w:firstLineChars="200" w:firstLine="400"/>
        <w:rPr>
          <w:rFonts w:ascii="思源黑体 CN Light" w:eastAsia="思源黑体 CN Light" w:hAnsi="思源黑体 CN Light" w:hint="eastAsia"/>
          <w:sz w:val="20"/>
          <w:szCs w:val="20"/>
        </w:rPr>
      </w:pPr>
    </w:p>
    <w:p w14:paraId="44E5666B" w14:textId="77777777" w:rsidR="001D51ED" w:rsidRDefault="00DE6E5D">
      <w:pPr>
        <w:ind w:firstLineChars="200" w:firstLine="400"/>
        <w:rPr>
          <w:rFonts w:ascii="思源黑体 CN Light" w:eastAsia="思源黑体 CN Light" w:hAnsi="思源黑体 CN Light" w:cs="Times New Roman" w:hint="eastAsia"/>
          <w:sz w:val="20"/>
          <w:szCs w:val="20"/>
        </w:rPr>
      </w:pPr>
      <w:r>
        <w:rPr>
          <w:rFonts w:ascii="思源黑体 CN Light" w:eastAsia="思源黑体 CN Light" w:hAnsi="思源黑体 CN Light" w:hint="eastAsia"/>
          <w:sz w:val="20"/>
          <w:szCs w:val="20"/>
        </w:rPr>
        <w:t>风险提示：</w:t>
      </w:r>
    </w:p>
    <w:p w14:paraId="2F96FA01" w14:textId="77777777" w:rsidR="001D51ED" w:rsidRDefault="00DE6E5D">
      <w:pPr>
        <w:rPr>
          <w:rFonts w:hint="eastAsia"/>
        </w:rPr>
      </w:pPr>
      <w:r>
        <w:rPr>
          <w:rFonts w:ascii="思源黑体 CN Light" w:eastAsia="思源黑体 CN Light" w:hAnsi="思源黑体 CN Light"/>
          <w:sz w:val="20"/>
          <w:szCs w:val="20"/>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作出调整。2、本材料中的资料、观点和预测等仅供参考，在任何时候均不构成对任何人的个人推荐。市场有风险，投资需谨慎。</w:t>
      </w:r>
    </w:p>
    <w:p w14:paraId="4E01B7C1" w14:textId="77777777" w:rsidR="001D51ED" w:rsidRDefault="001D51ED">
      <w:pPr>
        <w:rPr>
          <w:rFonts w:hint="eastAsia"/>
        </w:rPr>
      </w:pPr>
    </w:p>
    <w:p w14:paraId="32F33437" w14:textId="77777777" w:rsidR="001D51ED" w:rsidRDefault="001D51ED">
      <w:pPr>
        <w:rPr>
          <w:rFonts w:hint="eastAsia"/>
        </w:rPr>
      </w:pPr>
    </w:p>
    <w:p w14:paraId="3726F84C" w14:textId="77777777" w:rsidR="001D51ED" w:rsidRDefault="001D51ED">
      <w:pPr>
        <w:rPr>
          <w:rFonts w:hint="eastAsia"/>
        </w:rPr>
      </w:pPr>
    </w:p>
    <w:p w14:paraId="6D105F09" w14:textId="77777777" w:rsidR="001D51ED" w:rsidRDefault="001D51ED">
      <w:pPr>
        <w:rPr>
          <w:rFonts w:hint="eastAsia"/>
        </w:rPr>
      </w:pPr>
    </w:p>
    <w:p w14:paraId="281ADDE6" w14:textId="77777777" w:rsidR="001D51ED" w:rsidRDefault="001D51ED">
      <w:pPr>
        <w:rPr>
          <w:rFonts w:hint="eastAsia"/>
        </w:rPr>
      </w:pPr>
    </w:p>
    <w:p w14:paraId="29BF7D53" w14:textId="77777777" w:rsidR="001D51ED" w:rsidRDefault="001D51ED">
      <w:pPr>
        <w:rPr>
          <w:rFonts w:hint="eastAsia"/>
        </w:rPr>
      </w:pPr>
    </w:p>
    <w:p w14:paraId="3237988B" w14:textId="77777777" w:rsidR="001D51ED" w:rsidRDefault="001D51ED">
      <w:pPr>
        <w:rPr>
          <w:rFonts w:hint="eastAsia"/>
        </w:rPr>
      </w:pPr>
    </w:p>
    <w:p w14:paraId="19E3D99A" w14:textId="77777777" w:rsidR="001D51ED" w:rsidRDefault="001D51ED">
      <w:pPr>
        <w:rPr>
          <w:rFonts w:hint="eastAsia"/>
        </w:rPr>
      </w:pPr>
    </w:p>
    <w:sectPr w:rsidR="001D51E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CE6A69" w14:textId="77777777" w:rsidR="00BB75C0" w:rsidRDefault="00BB75C0">
      <w:pPr>
        <w:rPr>
          <w:rFonts w:hint="eastAsia"/>
        </w:rPr>
      </w:pPr>
      <w:r>
        <w:separator/>
      </w:r>
    </w:p>
  </w:endnote>
  <w:endnote w:type="continuationSeparator" w:id="0">
    <w:p w14:paraId="68DBABB5" w14:textId="77777777" w:rsidR="00BB75C0" w:rsidRDefault="00BB75C0">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3A9BBB" w14:textId="77777777" w:rsidR="00BB75C0" w:rsidRDefault="00BB75C0">
      <w:pPr>
        <w:rPr>
          <w:rFonts w:hint="eastAsia"/>
        </w:rPr>
      </w:pPr>
      <w:r>
        <w:separator/>
      </w:r>
    </w:p>
  </w:footnote>
  <w:footnote w:type="continuationSeparator" w:id="0">
    <w:p w14:paraId="07A277E4" w14:textId="77777777" w:rsidR="00BB75C0" w:rsidRDefault="00BB75C0">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E0385"/>
    <w:rsid w:val="001D51ED"/>
    <w:rsid w:val="002C6DA5"/>
    <w:rsid w:val="002F63B0"/>
    <w:rsid w:val="004E0385"/>
    <w:rsid w:val="005326C5"/>
    <w:rsid w:val="006C3EAB"/>
    <w:rsid w:val="0070785E"/>
    <w:rsid w:val="00852735"/>
    <w:rsid w:val="00984F03"/>
    <w:rsid w:val="009A159C"/>
    <w:rsid w:val="00AB3EC5"/>
    <w:rsid w:val="00BB75C0"/>
    <w:rsid w:val="00DE6E5D"/>
    <w:rsid w:val="6A402F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F4EF28"/>
  <w15:docId w15:val="{16BAEC4B-80D3-4179-BA04-83FF7922B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Subtitle"/>
    <w:basedOn w:val="a"/>
    <w:next w:val="a"/>
    <w:link w:val="a6"/>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7">
    <w:name w:val="Title"/>
    <w:basedOn w:val="a"/>
    <w:next w:val="a"/>
    <w:link w:val="a8"/>
    <w:uiPriority w:val="10"/>
    <w:qFormat/>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8">
    <w:name w:val="标题 字符"/>
    <w:basedOn w:val="a0"/>
    <w:link w:val="a7"/>
    <w:uiPriority w:val="10"/>
    <w:qFormat/>
    <w:rPr>
      <w:rFonts w:asciiTheme="majorHAnsi" w:eastAsiaTheme="majorEastAsia" w:hAnsiTheme="majorHAnsi" w:cstheme="majorBidi"/>
      <w:spacing w:val="-10"/>
      <w:kern w:val="28"/>
      <w:sz w:val="56"/>
      <w:szCs w:val="56"/>
    </w:rPr>
  </w:style>
  <w:style w:type="character" w:customStyle="1" w:styleId="a6">
    <w:name w:val="副标题 字符"/>
    <w:basedOn w:val="a0"/>
    <w:link w:val="a5"/>
    <w:uiPriority w:val="11"/>
    <w:rPr>
      <w:rFonts w:asciiTheme="majorHAnsi" w:eastAsiaTheme="majorEastAsia" w:hAnsiTheme="majorHAnsi" w:cstheme="majorBidi"/>
      <w:color w:val="595959" w:themeColor="text1" w:themeTint="A6"/>
      <w:spacing w:val="15"/>
      <w:sz w:val="28"/>
      <w:szCs w:val="28"/>
    </w:rPr>
  </w:style>
  <w:style w:type="paragraph" w:styleId="a9">
    <w:name w:val="Quote"/>
    <w:basedOn w:val="a"/>
    <w:next w:val="a"/>
    <w:link w:val="aa"/>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a">
    <w:name w:val="引用 字符"/>
    <w:basedOn w:val="a0"/>
    <w:link w:val="a9"/>
    <w:uiPriority w:val="29"/>
    <w:rPr>
      <w:i/>
      <w:iCs/>
      <w:color w:val="404040" w:themeColor="text1" w:themeTint="BF"/>
    </w:rPr>
  </w:style>
  <w:style w:type="paragraph" w:styleId="ab">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c">
    <w:name w:val="Intense Quote"/>
    <w:basedOn w:val="a"/>
    <w:next w:val="a"/>
    <w:link w:val="ad"/>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d">
    <w:name w:val="明显引用 字符"/>
    <w:basedOn w:val="a0"/>
    <w:link w:val="ac"/>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styleId="ae">
    <w:name w:val="annotation reference"/>
    <w:basedOn w:val="a0"/>
    <w:uiPriority w:val="99"/>
    <w:semiHidden/>
    <w:unhideWhenUsed/>
    <w:rPr>
      <w:sz w:val="21"/>
      <w:szCs w:val="21"/>
    </w:rPr>
  </w:style>
  <w:style w:type="paragraph" w:styleId="af">
    <w:name w:val="Balloon Text"/>
    <w:basedOn w:val="a"/>
    <w:link w:val="af0"/>
    <w:uiPriority w:val="99"/>
    <w:semiHidden/>
    <w:unhideWhenUsed/>
    <w:rsid w:val="00984F03"/>
    <w:rPr>
      <w:sz w:val="18"/>
      <w:szCs w:val="18"/>
    </w:rPr>
  </w:style>
  <w:style w:type="character" w:customStyle="1" w:styleId="af0">
    <w:name w:val="批注框文本 字符"/>
    <w:basedOn w:val="a0"/>
    <w:link w:val="af"/>
    <w:uiPriority w:val="99"/>
    <w:semiHidden/>
    <w:rsid w:val="00984F03"/>
    <w:rPr>
      <w:kern w:val="2"/>
      <w:sz w:val="18"/>
      <w:szCs w:val="18"/>
    </w:rPr>
  </w:style>
  <w:style w:type="paragraph" w:styleId="af1">
    <w:name w:val="header"/>
    <w:basedOn w:val="a"/>
    <w:link w:val="af2"/>
    <w:uiPriority w:val="99"/>
    <w:unhideWhenUsed/>
    <w:rsid w:val="00984F03"/>
    <w:pPr>
      <w:pBdr>
        <w:bottom w:val="single" w:sz="6" w:space="1" w:color="auto"/>
      </w:pBdr>
      <w:tabs>
        <w:tab w:val="center" w:pos="4153"/>
        <w:tab w:val="right" w:pos="8306"/>
      </w:tabs>
      <w:snapToGrid w:val="0"/>
      <w:jc w:val="center"/>
    </w:pPr>
    <w:rPr>
      <w:sz w:val="18"/>
      <w:szCs w:val="18"/>
    </w:rPr>
  </w:style>
  <w:style w:type="character" w:customStyle="1" w:styleId="af2">
    <w:name w:val="页眉 字符"/>
    <w:basedOn w:val="a0"/>
    <w:link w:val="af1"/>
    <w:uiPriority w:val="99"/>
    <w:rsid w:val="00984F03"/>
    <w:rPr>
      <w:kern w:val="2"/>
      <w:sz w:val="18"/>
      <w:szCs w:val="18"/>
    </w:rPr>
  </w:style>
  <w:style w:type="paragraph" w:styleId="af3">
    <w:name w:val="footer"/>
    <w:basedOn w:val="a"/>
    <w:link w:val="af4"/>
    <w:uiPriority w:val="99"/>
    <w:unhideWhenUsed/>
    <w:rsid w:val="00984F03"/>
    <w:pPr>
      <w:tabs>
        <w:tab w:val="center" w:pos="4153"/>
        <w:tab w:val="right" w:pos="8306"/>
      </w:tabs>
      <w:snapToGrid w:val="0"/>
      <w:jc w:val="left"/>
    </w:pPr>
    <w:rPr>
      <w:sz w:val="18"/>
      <w:szCs w:val="18"/>
    </w:rPr>
  </w:style>
  <w:style w:type="character" w:customStyle="1" w:styleId="af4">
    <w:name w:val="页脚 字符"/>
    <w:basedOn w:val="a0"/>
    <w:link w:val="af3"/>
    <w:uiPriority w:val="99"/>
    <w:rsid w:val="00984F03"/>
    <w:rPr>
      <w:kern w:val="2"/>
      <w:sz w:val="18"/>
      <w:szCs w:val="18"/>
    </w:rPr>
  </w:style>
  <w:style w:type="paragraph" w:styleId="af5">
    <w:name w:val="annotation subject"/>
    <w:basedOn w:val="a3"/>
    <w:next w:val="a3"/>
    <w:link w:val="af6"/>
    <w:uiPriority w:val="99"/>
    <w:semiHidden/>
    <w:unhideWhenUsed/>
    <w:rsid w:val="00984F03"/>
    <w:rPr>
      <w:b/>
      <w:bCs/>
    </w:rPr>
  </w:style>
  <w:style w:type="character" w:customStyle="1" w:styleId="a4">
    <w:name w:val="批注文字 字符"/>
    <w:basedOn w:val="a0"/>
    <w:link w:val="a3"/>
    <w:uiPriority w:val="99"/>
    <w:semiHidden/>
    <w:rsid w:val="00984F03"/>
    <w:rPr>
      <w:kern w:val="2"/>
      <w:sz w:val="21"/>
      <w:szCs w:val="22"/>
    </w:rPr>
  </w:style>
  <w:style w:type="character" w:customStyle="1" w:styleId="af6">
    <w:name w:val="批注主题 字符"/>
    <w:basedOn w:val="a4"/>
    <w:link w:val="af5"/>
    <w:uiPriority w:val="99"/>
    <w:semiHidden/>
    <w:rsid w:val="00984F03"/>
    <w:rPr>
      <w:b/>
      <w:bCs/>
      <w:kern w:val="2"/>
      <w:sz w:val="21"/>
      <w:szCs w:val="22"/>
    </w:rPr>
  </w:style>
  <w:style w:type="paragraph" w:styleId="af7">
    <w:name w:val="Revision"/>
    <w:hidden/>
    <w:uiPriority w:val="99"/>
    <w:unhideWhenUsed/>
    <w:rsid w:val="002C6DA5"/>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591</Words>
  <Characters>727</Characters>
  <Application>Microsoft Office Word</Application>
  <DocSecurity>0</DocSecurity>
  <Lines>34</Lines>
  <Paragraphs>22</Paragraphs>
  <ScaleCrop>false</ScaleCrop>
  <Company/>
  <LinksUpToDate>false</LinksUpToDate>
  <CharactersWithSpaces>1296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3</cp:revision>
  <dcterms:created xsi:type="dcterms:W3CDTF">2025-06-16T06:42:00Z</dcterms:created>
  <dcterms:modified xsi:type="dcterms:W3CDTF">2025-06-16T06:49:00Z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2052-12.1.0.21541</vt:lpwstr>
  </property>
  <property fmtid="{D5CDD505-2E9C-101B-9397-08002B2CF9AE}" pid="4" name="ICV">
    <vt:lpwstr>E9E72C108A0845E381828E91175C89E9_12</vt:lpwstr>
  </property>
</Properties>
</file>