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C7138F" w14:textId="77777777" w:rsidR="007D10C1" w:rsidRDefault="00ED5284">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富荣权益：中东地缘政治或为短期因素，重点关注三个变量</w:t>
      </w:r>
    </w:p>
    <w:p w14:paraId="2746195C" w14:textId="77777777" w:rsidR="007D10C1" w:rsidRDefault="00ED5284">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4747B20B" w14:textId="77777777" w:rsidR="007D10C1" w:rsidRDefault="00ED5284">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上周（2025年6月9日至2025年6月13日，下同）权益市场主要指数多数调整，</w:t>
      </w:r>
      <w:r>
        <w:rPr>
          <w:rFonts w:ascii="思源黑体 CN Light" w:eastAsia="思源黑体 CN Light" w:hAnsi="思源黑体 CN Light" w:cs="Times New Roman"/>
          <w:color w:val="000000" w:themeColor="text1"/>
          <w:sz w:val="21"/>
          <w:szCs w:val="20"/>
        </w:rPr>
        <w:t>深证成指、上证指数、创业板指分别报收</w:t>
      </w:r>
      <w:r>
        <w:rPr>
          <w:rFonts w:ascii="思源黑体 CN Light" w:eastAsia="思源黑体 CN Light" w:hAnsi="思源黑体 CN Light" w:cs="Times New Roman" w:hint="eastAsia"/>
          <w:color w:val="000000" w:themeColor="text1"/>
          <w:sz w:val="21"/>
          <w:szCs w:val="20"/>
        </w:rPr>
        <w:t>10122.11</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3377.00</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2043.82</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。其中，创业板50上涨0.50%、创业板指上涨0.22%、上证指数下跌0.25%、沪深300下跌0.25%、中证500下跌0.38%、</w:t>
      </w:r>
      <w:proofErr w:type="gramStart"/>
      <w:r>
        <w:rPr>
          <w:rFonts w:ascii="思源黑体 CN Light" w:eastAsia="思源黑体 CN Light" w:hAnsi="思源黑体 CN Light" w:cs="Times New Roman" w:hint="eastAsia"/>
          <w:color w:val="000000" w:themeColor="text1"/>
          <w:sz w:val="21"/>
          <w:szCs w:val="20"/>
        </w:rPr>
        <w:t>创成长</w:t>
      </w:r>
      <w:proofErr w:type="gramEnd"/>
      <w:r>
        <w:rPr>
          <w:rFonts w:ascii="思源黑体 CN Light" w:eastAsia="思源黑体 CN Light" w:hAnsi="思源黑体 CN Light" w:cs="Times New Roman" w:hint="eastAsia"/>
          <w:color w:val="000000" w:themeColor="text1"/>
          <w:sz w:val="21"/>
          <w:szCs w:val="20"/>
        </w:rPr>
        <w:t>下跌0.38%、上证50下跌0.46%、深证成指下跌0.60%、中证1000下跌0.76%、</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50下跌1.89%。</w:t>
      </w:r>
    </w:p>
    <w:p w14:paraId="24861EBF" w14:textId="77777777" w:rsidR="007D10C1" w:rsidRDefault="00ED5284">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Pr>
          <w:rFonts w:ascii="思源黑体 CN Light" w:eastAsia="思源黑体 CN Light" w:hAnsi="思源黑体 CN Light" w:cs="Times New Roman"/>
          <w:b/>
          <w:noProof/>
          <w:sz w:val="21"/>
          <w:szCs w:val="20"/>
        </w:rPr>
        <w:drawing>
          <wp:inline distT="0" distB="0" distL="0" distR="0" wp14:anchorId="5B8EAFC5" wp14:editId="0BFA02E5">
            <wp:extent cx="6203315" cy="3155950"/>
            <wp:effectExtent l="0" t="0" r="6985" b="635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6203324" cy="3155959"/>
                    </a:xfrm>
                    <a:prstGeom prst="rect">
                      <a:avLst/>
                    </a:prstGeom>
                  </pic:spPr>
                </pic:pic>
              </a:graphicData>
            </a:graphic>
          </wp:inline>
        </w:drawing>
      </w:r>
    </w:p>
    <w:p w14:paraId="48565B8E" w14:textId="77777777" w:rsidR="007D10C1" w:rsidRDefault="00ED5284">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区间：20250609-20250613；月涨跌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区间：20250601-20250613</w:t>
      </w:r>
    </w:p>
    <w:p w14:paraId="34032C15" w14:textId="77777777" w:rsidR="007D10C1" w:rsidRDefault="00ED5284">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w:t>
      </w:r>
      <w:proofErr w:type="gramStart"/>
      <w:r>
        <w:rPr>
          <w:rFonts w:ascii="思源黑体 CN Light" w:eastAsia="思源黑体 CN Light" w:hAnsi="思源黑体 CN Light" w:cs="Times New Roman" w:hint="eastAsia"/>
          <w:color w:val="000000" w:themeColor="text1"/>
          <w:sz w:val="21"/>
          <w:szCs w:val="20"/>
        </w:rPr>
        <w:t>申万一级行业</w:t>
      </w:r>
      <w:proofErr w:type="gramEnd"/>
      <w:r>
        <w:rPr>
          <w:rFonts w:ascii="思源黑体 CN Light" w:eastAsia="思源黑体 CN Light" w:hAnsi="思源黑体 CN Light" w:cs="Times New Roman" w:hint="eastAsia"/>
          <w:color w:val="000000" w:themeColor="text1"/>
          <w:sz w:val="21"/>
          <w:szCs w:val="20"/>
        </w:rPr>
        <w:t>指数中，有色金属（+3.79%）、石油石化（+3.50%）、农林牧渔（+1.62%）等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较大，建筑材料（-2.77%）、家用电器（-3.26%）、食品饮料（-4.37%）等行业跌幅较大。</w:t>
      </w:r>
    </w:p>
    <w:p w14:paraId="78BEDEC4" w14:textId="77777777" w:rsidR="007D10C1" w:rsidRDefault="00ED5284">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114DB501" wp14:editId="6D25A879">
            <wp:extent cx="4799330" cy="3119755"/>
            <wp:effectExtent l="0" t="0" r="1270" b="4445"/>
            <wp:docPr id="10" name="图片 9" descr="图片包含 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片包含 图表&#10;&#10;AI 生成的内容可能不正确。"/>
                    <pic:cNvPicPr>
                      <a:picLocks noChangeAspect="1"/>
                    </pic:cNvPicPr>
                  </pic:nvPicPr>
                  <pic:blipFill>
                    <a:blip r:embed="rId7"/>
                    <a:stretch>
                      <a:fillRect/>
                    </a:stretch>
                  </pic:blipFill>
                  <pic:spPr>
                    <a:xfrm>
                      <a:off x="0" y="0"/>
                      <a:ext cx="4799660" cy="3120164"/>
                    </a:xfrm>
                    <a:prstGeom prst="rect">
                      <a:avLst/>
                    </a:prstGeom>
                  </pic:spPr>
                </pic:pic>
              </a:graphicData>
            </a:graphic>
          </wp:inline>
        </w:drawing>
      </w:r>
    </w:p>
    <w:p w14:paraId="4D750DCC" w14:textId="77777777" w:rsidR="007D10C1" w:rsidRDefault="00ED5284">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数据来源：wind，富荣基金管理有限公司</w:t>
      </w:r>
      <w:r>
        <w:rPr>
          <w:rFonts w:ascii="思源黑体 CN Light" w:eastAsia="思源黑体 CN Light" w:hAnsi="思源黑体 CN Light" w:cs="Times New Roman" w:hint="eastAsia"/>
          <w:sz w:val="13"/>
          <w:szCs w:val="20"/>
        </w:rPr>
        <w:t>；统计区间：20250609-20250613</w:t>
      </w:r>
    </w:p>
    <w:p w14:paraId="1E9F2A0C" w14:textId="77777777" w:rsidR="007D10C1" w:rsidRDefault="007D10C1">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5B1CC727" w14:textId="77777777" w:rsidR="007D10C1" w:rsidRDefault="00ED5284">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二、石油石化行业点评与展望</w:t>
      </w:r>
    </w:p>
    <w:p w14:paraId="7A11173B" w14:textId="77777777" w:rsidR="007D10C1" w:rsidRDefault="00ED528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上周申万石油石化行业指数涨幅为3.50%，相对沪深300指数超额收益为3.75%，其周涨幅在所有的申万</w:t>
      </w:r>
      <w:proofErr w:type="gramStart"/>
      <w:r>
        <w:rPr>
          <w:rFonts w:ascii="思源黑体 CN Light" w:eastAsia="思源黑体 CN Light" w:hAnsi="思源黑体 CN Light" w:cs="Times New Roman" w:hint="eastAsia"/>
          <w:color w:val="000000" w:themeColor="text1"/>
          <w:sz w:val="21"/>
          <w:szCs w:val="20"/>
        </w:rPr>
        <w:t>一级行业</w:t>
      </w:r>
      <w:proofErr w:type="gramEnd"/>
      <w:r>
        <w:rPr>
          <w:rFonts w:ascii="思源黑体 CN Light" w:eastAsia="思源黑体 CN Light" w:hAnsi="思源黑体 CN Light" w:cs="Times New Roman" w:hint="eastAsia"/>
          <w:color w:val="000000" w:themeColor="text1"/>
          <w:sz w:val="21"/>
          <w:szCs w:val="20"/>
        </w:rPr>
        <w:t>指数中高居第二。</w:t>
      </w:r>
    </w:p>
    <w:p w14:paraId="7CB51A22" w14:textId="5128E4C7" w:rsidR="007D10C1" w:rsidRDefault="00ED528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从基本面来看，中东地缘局势是市场关注焦点。</w:t>
      </w:r>
      <w:r>
        <w:rPr>
          <w:rFonts w:ascii="思源黑体 CN Light" w:eastAsia="思源黑体 CN Light" w:hAnsi="思源黑体 CN Light" w:cs="Times New Roman"/>
          <w:color w:val="000000" w:themeColor="text1"/>
          <w:sz w:val="21"/>
          <w:szCs w:val="20"/>
        </w:rPr>
        <w:t>6月13日以色列发动代号“狮子的力量”的行动</w:t>
      </w:r>
      <w:r>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color w:val="000000" w:themeColor="text1"/>
          <w:sz w:val="21"/>
          <w:szCs w:val="20"/>
        </w:rPr>
        <w:t>对伊朗发起空袭</w:t>
      </w:r>
      <w:r>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color w:val="000000" w:themeColor="text1"/>
          <w:sz w:val="21"/>
          <w:szCs w:val="20"/>
        </w:rPr>
        <w:t>伊朗随即发动大规模报复</w:t>
      </w:r>
      <w:r>
        <w:rPr>
          <w:rFonts w:ascii="Arial" w:eastAsia="思源黑体 CN Light" w:hAnsi="Arial" w:cs="Arial"/>
          <w:color w:val="000000" w:themeColor="text1"/>
          <w:sz w:val="21"/>
          <w:szCs w:val="20"/>
        </w:rPr>
        <w:t>‌</w:t>
      </w:r>
      <w:r>
        <w:rPr>
          <w:rFonts w:ascii="思源黑体 CN Light" w:eastAsia="思源黑体 CN Light" w:hAnsi="思源黑体 CN Light" w:cs="Times New Roman"/>
          <w:color w:val="000000" w:themeColor="text1"/>
          <w:sz w:val="21"/>
          <w:szCs w:val="20"/>
        </w:rPr>
        <w:t>，行动代号“真实承诺-3”</w:t>
      </w:r>
      <w:r>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color w:val="000000" w:themeColor="text1"/>
          <w:sz w:val="21"/>
          <w:szCs w:val="20"/>
        </w:rPr>
        <w:t>随后双方持续互相空袭，伊朗威胁封锁霍尔木兹海峡</w:t>
      </w:r>
      <w:r>
        <w:rPr>
          <w:rFonts w:ascii="思源黑体 CN Light" w:eastAsia="思源黑体 CN Light" w:hAnsi="思源黑体 CN Light" w:cs="Times New Roman" w:hint="eastAsia"/>
          <w:color w:val="000000" w:themeColor="text1"/>
          <w:sz w:val="21"/>
          <w:szCs w:val="20"/>
        </w:rPr>
        <w:t>，</w:t>
      </w:r>
      <w:r>
        <w:rPr>
          <w:rFonts w:ascii="思源黑体 CN Light" w:eastAsia="思源黑体 CN Light" w:hAnsi="思源黑体 CN Light" w:cs="Times New Roman"/>
          <w:color w:val="000000" w:themeColor="text1"/>
          <w:sz w:val="21"/>
          <w:szCs w:val="20"/>
        </w:rPr>
        <w:t>市场对中东原油出口的主要航道被封锁的担忧推动油价暴涨。截至</w:t>
      </w:r>
      <w:r>
        <w:rPr>
          <w:rFonts w:ascii="思源黑体 CN Light" w:eastAsia="思源黑体 CN Light" w:hAnsi="思源黑体 CN Light" w:cs="Times New Roman" w:hint="eastAsia"/>
          <w:color w:val="000000" w:themeColor="text1"/>
          <w:sz w:val="21"/>
          <w:szCs w:val="20"/>
        </w:rPr>
        <w:t>6月13日</w:t>
      </w:r>
      <w:r>
        <w:rPr>
          <w:rFonts w:ascii="思源黑体 CN Light" w:eastAsia="思源黑体 CN Light" w:hAnsi="思源黑体 CN Light" w:cs="Times New Roman"/>
          <w:color w:val="000000" w:themeColor="text1"/>
          <w:sz w:val="21"/>
          <w:szCs w:val="20"/>
        </w:rPr>
        <w:t>收盘，布伦</w:t>
      </w:r>
      <w:proofErr w:type="gramStart"/>
      <w:r>
        <w:rPr>
          <w:rFonts w:ascii="思源黑体 CN Light" w:eastAsia="思源黑体 CN Light" w:hAnsi="思源黑体 CN Light" w:cs="Times New Roman"/>
          <w:color w:val="000000" w:themeColor="text1"/>
          <w:sz w:val="21"/>
          <w:szCs w:val="20"/>
        </w:rPr>
        <w:t>特</w:t>
      </w:r>
      <w:proofErr w:type="gramEnd"/>
      <w:r>
        <w:rPr>
          <w:rFonts w:ascii="思源黑体 CN Light" w:eastAsia="思源黑体 CN Light" w:hAnsi="思源黑体 CN Light" w:cs="Times New Roman"/>
          <w:color w:val="000000" w:themeColor="text1"/>
          <w:sz w:val="21"/>
          <w:szCs w:val="20"/>
        </w:rPr>
        <w:t>原油报收75.18美元/桶，周环比</w:t>
      </w:r>
      <w:r>
        <w:rPr>
          <w:rFonts w:ascii="思源黑体 CN Light" w:eastAsia="思源黑体 CN Light" w:hAnsi="思源黑体 CN Light" w:cs="Times New Roman" w:hint="eastAsia"/>
          <w:color w:val="000000" w:themeColor="text1"/>
          <w:sz w:val="21"/>
          <w:szCs w:val="20"/>
        </w:rPr>
        <w:t>上涨</w:t>
      </w:r>
      <w:r>
        <w:rPr>
          <w:rFonts w:ascii="思源黑体 CN Light" w:eastAsia="思源黑体 CN Light" w:hAnsi="思源黑体 CN Light" w:cs="Times New Roman"/>
          <w:color w:val="000000" w:themeColor="text1"/>
          <w:sz w:val="21"/>
          <w:szCs w:val="20"/>
        </w:rPr>
        <w:t>13.10%；WTI原油报收73.18美元/桶，周环比</w:t>
      </w:r>
      <w:r>
        <w:rPr>
          <w:rFonts w:ascii="思源黑体 CN Light" w:eastAsia="思源黑体 CN Light" w:hAnsi="思源黑体 CN Light" w:cs="Times New Roman" w:hint="eastAsia"/>
          <w:color w:val="000000" w:themeColor="text1"/>
          <w:sz w:val="21"/>
          <w:szCs w:val="20"/>
        </w:rPr>
        <w:t>上涨</w:t>
      </w:r>
      <w:r>
        <w:rPr>
          <w:rFonts w:ascii="思源黑体 CN Light" w:eastAsia="思源黑体 CN Light" w:hAnsi="思源黑体 CN Light" w:cs="Times New Roman"/>
          <w:color w:val="000000" w:themeColor="text1"/>
          <w:sz w:val="21"/>
          <w:szCs w:val="20"/>
        </w:rPr>
        <w:t>13.32%。</w:t>
      </w:r>
    </w:p>
    <w:p w14:paraId="4AB8732D" w14:textId="77777777" w:rsidR="007D10C1" w:rsidRDefault="00ED5284">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展望后市，我们认为在本轮“以伊冲突”发展局势不明朗的情况下，建议保持对局势的密切关注，</w:t>
      </w:r>
      <w:proofErr w:type="gramStart"/>
      <w:r>
        <w:rPr>
          <w:rFonts w:ascii="思源黑体 CN Light" w:eastAsia="思源黑体 CN Light" w:hAnsi="思源黑体 CN Light" w:cs="Times New Roman" w:hint="eastAsia"/>
          <w:color w:val="000000" w:themeColor="text1"/>
          <w:sz w:val="21"/>
          <w:szCs w:val="20"/>
        </w:rPr>
        <w:t>如冲突</w:t>
      </w:r>
      <w:proofErr w:type="gramEnd"/>
      <w:r>
        <w:rPr>
          <w:rFonts w:ascii="思源黑体 CN Light" w:eastAsia="思源黑体 CN Light" w:hAnsi="思源黑体 CN Light" w:cs="Times New Roman" w:hint="eastAsia"/>
          <w:color w:val="000000" w:themeColor="text1"/>
          <w:sz w:val="21"/>
          <w:szCs w:val="20"/>
        </w:rPr>
        <w:t>规模未能升级或没有其他大国卷入，原油的地缘风险溢价有缓慢退潮的风险。</w:t>
      </w:r>
    </w:p>
    <w:p w14:paraId="212763AF" w14:textId="77777777" w:rsidR="007D10C1" w:rsidRDefault="007D10C1">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7F27FE59" w14:textId="77777777" w:rsidR="007D10C1" w:rsidRDefault="00ED5284">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3C558B00" w14:textId="77777777" w:rsidR="007D10C1" w:rsidRDefault="00ED5284">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Pr>
          <w:rFonts w:ascii="思源黑体 CN Light" w:eastAsia="思源黑体 CN Light" w:hAnsi="思源黑体 CN Light" w:cs="Times New Roman" w:hint="eastAsia"/>
          <w:color w:val="000000"/>
          <w:sz w:val="21"/>
          <w:szCs w:val="20"/>
          <w:shd w:val="clear" w:color="auto" w:fill="FFFFFF"/>
        </w:rPr>
        <w:t>上周受中东地缘政治因素的影响，权益市场出现了震荡调整。行业结构上，有色、石油、农牧等周期板块涨</w:t>
      </w:r>
      <w:r>
        <w:rPr>
          <w:rFonts w:ascii="思源黑体 CN Light" w:eastAsia="思源黑体 CN Light" w:hAnsi="思源黑体 CN Light" w:cs="Times New Roman" w:hint="eastAsia"/>
          <w:color w:val="000000"/>
          <w:sz w:val="21"/>
          <w:szCs w:val="20"/>
          <w:shd w:val="clear" w:color="auto" w:fill="FFFFFF"/>
        </w:rPr>
        <w:lastRenderedPageBreak/>
        <w:t>幅靠前，食品饮料、家电、建筑材料等</w:t>
      </w:r>
      <w:proofErr w:type="gramStart"/>
      <w:r>
        <w:rPr>
          <w:rFonts w:ascii="思源黑体 CN Light" w:eastAsia="思源黑体 CN Light" w:hAnsi="思源黑体 CN Light" w:cs="Times New Roman" w:hint="eastAsia"/>
          <w:color w:val="000000"/>
          <w:sz w:val="21"/>
          <w:szCs w:val="20"/>
          <w:shd w:val="clear" w:color="auto" w:fill="FFFFFF"/>
        </w:rPr>
        <w:t>内需板块</w:t>
      </w:r>
      <w:proofErr w:type="gramEnd"/>
      <w:r>
        <w:rPr>
          <w:rFonts w:ascii="思源黑体 CN Light" w:eastAsia="思源黑体 CN Light" w:hAnsi="思源黑体 CN Light" w:cs="Times New Roman" w:hint="eastAsia"/>
          <w:color w:val="000000"/>
          <w:sz w:val="21"/>
          <w:szCs w:val="20"/>
          <w:shd w:val="clear" w:color="auto" w:fill="FFFFFF"/>
        </w:rPr>
        <w:t>跌幅靠前。</w:t>
      </w:r>
    </w:p>
    <w:p w14:paraId="38C263C8" w14:textId="764514E2" w:rsidR="007D10C1" w:rsidRDefault="00ED5284">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过往经验表明，中东地缘政治通常会通过影响大宗商品价格和通胀预期，间接对国内资本市场产生作用，对市场偏短期的情绪造成压制。但从中期股价的历史复盘情况来看，中东地缘政治较少成为影响A股方向性变化的关键因素，建议关注后续局势的发展动向。</w:t>
      </w:r>
    </w:p>
    <w:p w14:paraId="147AAEE6" w14:textId="18240324" w:rsidR="007D10C1" w:rsidRDefault="00ED5284">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短期内上证指数已接近震荡区间的上沿，市场的内在稳定性较弱，对利空消息会更为敏感。A股市场若要向上突破，可能至少需要以下三者之一出现方向性变化：海外贸易摩擦</w:t>
      </w:r>
      <w:r w:rsidR="00402FC3">
        <w:rPr>
          <w:rFonts w:ascii="思源黑体 CN Light" w:eastAsia="思源黑体 CN Light" w:hAnsi="思源黑体 CN Light" w:cs="Times New Roman" w:hint="eastAsia"/>
          <w:color w:val="000000"/>
          <w:sz w:val="21"/>
          <w:szCs w:val="20"/>
          <w:shd w:val="clear" w:color="auto" w:fill="FFFFFF"/>
        </w:rPr>
        <w:t>缓和</w:t>
      </w:r>
      <w:r>
        <w:rPr>
          <w:rFonts w:ascii="思源黑体 CN Light" w:eastAsia="思源黑体 CN Light" w:hAnsi="思源黑体 CN Light" w:cs="Times New Roman" w:hint="eastAsia"/>
          <w:color w:val="000000"/>
          <w:sz w:val="21"/>
          <w:szCs w:val="20"/>
          <w:shd w:val="clear" w:color="auto" w:fill="FFFFFF"/>
        </w:rPr>
        <w:t>、国内刺激政策、科技产业的突破式创新。</w:t>
      </w:r>
    </w:p>
    <w:p w14:paraId="41946CB8" w14:textId="77777777" w:rsidR="007D10C1" w:rsidRDefault="00ED5284">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中期看好具备产业景气逻辑的新兴成长方向，如AI、半导体、机器人等领域。</w:t>
      </w:r>
      <w:bookmarkEnd w:id="2"/>
      <w:r>
        <w:rPr>
          <w:rFonts w:ascii="思源黑体 CN Light" w:eastAsia="思源黑体 CN Light" w:hAnsi="思源黑体 CN Light" w:cs="Times New Roman" w:hint="eastAsia"/>
          <w:color w:val="000000"/>
          <w:sz w:val="21"/>
          <w:szCs w:val="20"/>
          <w:shd w:val="clear" w:color="auto" w:fill="FFFFFF"/>
        </w:rPr>
        <w:t>行业重点关注：1、成长赛道，如AI应用、半导体、医药等板块；2、底部区间有拐点预期的板块，如证券、电新、消费等。</w:t>
      </w:r>
    </w:p>
    <w:p w14:paraId="761BAD66" w14:textId="77777777" w:rsidR="007D10C1" w:rsidRDefault="00ED5284">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1ED82B1A" w14:textId="77777777" w:rsidR="007D10C1" w:rsidRDefault="00ED5284">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65FA4076" w14:textId="77777777" w:rsidR="007D10C1" w:rsidRDefault="007D10C1">
      <w:pPr>
        <w:rPr>
          <w:rFonts w:ascii="思源黑体 CN Light" w:eastAsia="思源黑体 CN Light" w:hAnsi="思源黑体 CN Light" w:cs="Times New Roman" w:hint="eastAsia"/>
          <w:color w:val="000000"/>
          <w:sz w:val="21"/>
          <w:szCs w:val="20"/>
          <w:shd w:val="clear" w:color="auto" w:fill="FFFFFF"/>
        </w:rPr>
      </w:pPr>
    </w:p>
    <w:p w14:paraId="4C87DBAA" w14:textId="77777777" w:rsidR="007D10C1" w:rsidRDefault="007D10C1">
      <w:pPr>
        <w:pStyle w:val="af2"/>
        <w:ind w:firstLineChars="0" w:firstLine="0"/>
        <w:rPr>
          <w:rFonts w:ascii="思源黑体 CN Light" w:eastAsia="思源黑体 CN Light" w:hAnsi="思源黑体 CN Light" w:cs="Times New Roman" w:hint="eastAsia"/>
          <w:sz w:val="20"/>
          <w:szCs w:val="20"/>
        </w:rPr>
      </w:pPr>
    </w:p>
    <w:p w14:paraId="1302D8B6" w14:textId="77777777" w:rsidR="007D10C1" w:rsidRDefault="00ED5284">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6F406A53" w14:textId="77777777" w:rsidR="007D10C1" w:rsidRDefault="007D10C1">
      <w:pPr>
        <w:rPr>
          <w:rFonts w:hint="eastAsia"/>
        </w:rPr>
      </w:pPr>
    </w:p>
    <w:p w14:paraId="153BD270" w14:textId="77777777" w:rsidR="007D10C1" w:rsidRDefault="007D10C1">
      <w:pPr>
        <w:rPr>
          <w:rFonts w:hint="eastAsia"/>
        </w:rPr>
      </w:pPr>
    </w:p>
    <w:p w14:paraId="3304D5E6" w14:textId="77777777" w:rsidR="007D10C1" w:rsidRDefault="007D10C1">
      <w:pPr>
        <w:rPr>
          <w:rFonts w:hint="eastAsia"/>
        </w:rPr>
      </w:pPr>
    </w:p>
    <w:sectPr w:rsidR="007D10C1">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83AC0C" w14:textId="77777777" w:rsidR="00FF140E" w:rsidRDefault="00FF140E">
      <w:pPr>
        <w:spacing w:line="240" w:lineRule="auto"/>
        <w:rPr>
          <w:rFonts w:hint="eastAsia"/>
        </w:rPr>
      </w:pPr>
      <w:r>
        <w:separator/>
      </w:r>
    </w:p>
  </w:endnote>
  <w:endnote w:type="continuationSeparator" w:id="0">
    <w:p w14:paraId="39D588C1" w14:textId="77777777" w:rsidR="00FF140E" w:rsidRDefault="00FF140E">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C5637" w14:textId="77777777" w:rsidR="007D10C1" w:rsidRDefault="00ED5284">
    <w:pPr>
      <w:pStyle w:val="a3"/>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5E71E9">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E71E9">
              <w:rPr>
                <w:b/>
                <w:bCs/>
                <w:noProof/>
              </w:rPr>
              <w:t>3</w:t>
            </w:r>
            <w:r>
              <w:rPr>
                <w:b/>
                <w:bCs/>
                <w:sz w:val="24"/>
                <w:szCs w:val="24"/>
              </w:rPr>
              <w:fldChar w:fldCharType="end"/>
            </w:r>
          </w:sdtContent>
        </w:sdt>
      </w:sdtContent>
    </w:sdt>
    <w:r>
      <w:tab/>
    </w:r>
  </w:p>
  <w:p w14:paraId="2324737E" w14:textId="77777777" w:rsidR="007D10C1" w:rsidRDefault="007D10C1">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D33BD" w14:textId="77777777" w:rsidR="00FF140E" w:rsidRDefault="00FF140E">
      <w:pPr>
        <w:rPr>
          <w:rFonts w:hint="eastAsia"/>
        </w:rPr>
      </w:pPr>
      <w:r>
        <w:separator/>
      </w:r>
    </w:p>
  </w:footnote>
  <w:footnote w:type="continuationSeparator" w:id="0">
    <w:p w14:paraId="27DC7C41" w14:textId="77777777" w:rsidR="00FF140E" w:rsidRDefault="00FF140E">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c"/>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D10C1" w14:paraId="6FC69743" w14:textId="77777777">
      <w:trPr>
        <w:trHeight w:val="424"/>
      </w:trPr>
      <w:tc>
        <w:tcPr>
          <w:tcW w:w="3652" w:type="dxa"/>
          <w:shd w:val="clear" w:color="auto" w:fill="F3F3F3"/>
          <w:vAlign w:val="center"/>
        </w:tcPr>
        <w:p w14:paraId="7DAEEF08" w14:textId="77777777" w:rsidR="007D10C1" w:rsidRDefault="00ED5284">
          <w:pPr>
            <w:pStyle w:val="a5"/>
            <w:pBdr>
              <w:bottom w:val="none" w:sz="0" w:space="0" w:color="auto"/>
            </w:pBdr>
            <w:jc w:val="right"/>
            <w:rPr>
              <w:kern w:val="0"/>
            </w:rPr>
          </w:pPr>
          <w:r>
            <w:rPr>
              <w:rFonts w:hint="eastAsia"/>
              <w:kern w:val="0"/>
            </w:rPr>
            <w:t>证券研究报告</w:t>
          </w:r>
        </w:p>
      </w:tc>
      <w:tc>
        <w:tcPr>
          <w:tcW w:w="284" w:type="dxa"/>
          <w:shd w:val="clear" w:color="auto" w:fill="C3E2F4"/>
        </w:tcPr>
        <w:p w14:paraId="3B14F7F3" w14:textId="77777777" w:rsidR="007D10C1" w:rsidRDefault="007D10C1">
          <w:pPr>
            <w:pStyle w:val="a5"/>
            <w:pBdr>
              <w:bottom w:val="none" w:sz="0" w:space="0" w:color="auto"/>
            </w:pBdr>
            <w:jc w:val="left"/>
            <w:rPr>
              <w:kern w:val="0"/>
            </w:rPr>
          </w:pPr>
        </w:p>
      </w:tc>
      <w:tc>
        <w:tcPr>
          <w:tcW w:w="2335" w:type="dxa"/>
          <w:shd w:val="clear" w:color="auto" w:fill="013F98"/>
          <w:vAlign w:val="center"/>
        </w:tcPr>
        <w:p w14:paraId="2E78EA70" w14:textId="77777777" w:rsidR="007D10C1" w:rsidRDefault="00ED5284">
          <w:pPr>
            <w:pStyle w:val="a5"/>
            <w:pBdr>
              <w:bottom w:val="none" w:sz="0" w:space="0" w:color="auto"/>
            </w:pBdr>
            <w:rPr>
              <w:kern w:val="0"/>
            </w:rPr>
          </w:pPr>
          <w:r>
            <w:rPr>
              <w:rFonts w:hint="eastAsia"/>
              <w:kern w:val="0"/>
            </w:rPr>
            <w:t>权益周报</w:t>
          </w:r>
        </w:p>
      </w:tc>
    </w:tr>
  </w:tbl>
  <w:p w14:paraId="30A5D79B" w14:textId="77777777" w:rsidR="007D10C1" w:rsidRDefault="00ED5284">
    <w:pPr>
      <w:pStyle w:val="a5"/>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17110900" wp14:editId="03930345">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68A7"/>
    <w:rsid w:val="000B23F3"/>
    <w:rsid w:val="000B240E"/>
    <w:rsid w:val="002F63B0"/>
    <w:rsid w:val="00402FC3"/>
    <w:rsid w:val="00407BCE"/>
    <w:rsid w:val="005835EF"/>
    <w:rsid w:val="005B23E6"/>
    <w:rsid w:val="005E71E9"/>
    <w:rsid w:val="007D10C1"/>
    <w:rsid w:val="00852735"/>
    <w:rsid w:val="008B3A7A"/>
    <w:rsid w:val="009160B3"/>
    <w:rsid w:val="009D4ECB"/>
    <w:rsid w:val="00A268A7"/>
    <w:rsid w:val="00AB3EC5"/>
    <w:rsid w:val="00AF78DD"/>
    <w:rsid w:val="00D0390E"/>
    <w:rsid w:val="00EC4C77"/>
    <w:rsid w:val="00ED5284"/>
    <w:rsid w:val="00FF140E"/>
    <w:rsid w:val="33E26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4036570"/>
  <w15:docId w15:val="{F31C0B84-2C10-4D92-ACE7-66E84582A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9">
    <w:name w:val="Normal (Web)"/>
    <w:basedOn w:val="a"/>
    <w:uiPriority w:val="99"/>
    <w:semiHidden/>
    <w:unhideWhenUsed/>
    <w:qFormat/>
    <w:rPr>
      <w:rFonts w:ascii="Times New Roman" w:hAnsi="Times New Roman" w:cs="Times New Roman"/>
      <w:szCs w:val="24"/>
    </w:rPr>
  </w:style>
  <w:style w:type="paragraph" w:styleId="aa">
    <w:name w:val="Title"/>
    <w:basedOn w:val="a"/>
    <w:next w:val="a"/>
    <w:link w:val="ab"/>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c">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e">
    <w:name w:val="引用 字符"/>
    <w:basedOn w:val="a0"/>
    <w:link w:val="ad"/>
    <w:uiPriority w:val="29"/>
    <w:qFormat/>
    <w:rPr>
      <w:i/>
      <w:iCs/>
      <w:color w:val="404040" w:themeColor="text1" w:themeTint="BF"/>
    </w:rPr>
  </w:style>
  <w:style w:type="paragraph" w:styleId="af">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1">
    <w:name w:val="明显引用 字符"/>
    <w:basedOn w:val="a0"/>
    <w:link w:val="af0"/>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4">
    <w:name w:val="页脚 字符"/>
    <w:basedOn w:val="a0"/>
    <w:link w:val="a3"/>
    <w:uiPriority w:val="99"/>
    <w:qFormat/>
    <w:rPr>
      <w:sz w:val="18"/>
      <w:szCs w:val="18"/>
      <w14:ligatures w14:val="none"/>
    </w:rPr>
  </w:style>
  <w:style w:type="character" w:customStyle="1" w:styleId="a6">
    <w:name w:val="页眉 字符"/>
    <w:basedOn w:val="a0"/>
    <w:link w:val="a5"/>
    <w:uiPriority w:val="99"/>
    <w:qFormat/>
    <w:rPr>
      <w:sz w:val="18"/>
      <w:szCs w:val="18"/>
      <w14:ligatures w14:val="none"/>
    </w:rPr>
  </w:style>
  <w:style w:type="paragraph" w:styleId="af2">
    <w:name w:val="No Spacing"/>
    <w:basedOn w:val="a9"/>
    <w:link w:val="af3"/>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3">
    <w:name w:val="无间隔 字符"/>
    <w:basedOn w:val="a0"/>
    <w:link w:val="af2"/>
    <w:uiPriority w:val="1"/>
    <w:qFormat/>
    <w:rPr>
      <w:kern w:val="0"/>
      <w:sz w:val="24"/>
      <w:szCs w:val="22"/>
      <w:shd w:val="clear" w:color="auto" w:fill="FFFFFF"/>
      <w14:ligatures w14:val="none"/>
    </w:rPr>
  </w:style>
  <w:style w:type="paragraph" w:styleId="af4">
    <w:name w:val="Balloon Text"/>
    <w:basedOn w:val="a"/>
    <w:link w:val="af5"/>
    <w:uiPriority w:val="99"/>
    <w:semiHidden/>
    <w:unhideWhenUsed/>
    <w:rsid w:val="005E71E9"/>
    <w:pPr>
      <w:spacing w:line="240" w:lineRule="auto"/>
    </w:pPr>
    <w:rPr>
      <w:sz w:val="18"/>
      <w:szCs w:val="18"/>
    </w:rPr>
  </w:style>
  <w:style w:type="character" w:customStyle="1" w:styleId="af5">
    <w:name w:val="批注框文本 字符"/>
    <w:basedOn w:val="a0"/>
    <w:link w:val="af4"/>
    <w:uiPriority w:val="99"/>
    <w:semiHidden/>
    <w:rsid w:val="005E71E9"/>
    <w:rPr>
      <w:kern w:val="2"/>
      <w:sz w:val="18"/>
      <w:szCs w:val="18"/>
    </w:rPr>
  </w:style>
  <w:style w:type="character" w:styleId="af6">
    <w:name w:val="annotation reference"/>
    <w:basedOn w:val="a0"/>
    <w:uiPriority w:val="99"/>
    <w:semiHidden/>
    <w:unhideWhenUsed/>
    <w:rsid w:val="005E71E9"/>
    <w:rPr>
      <w:sz w:val="21"/>
      <w:szCs w:val="21"/>
    </w:rPr>
  </w:style>
  <w:style w:type="paragraph" w:styleId="af7">
    <w:name w:val="annotation text"/>
    <w:basedOn w:val="a"/>
    <w:link w:val="af8"/>
    <w:uiPriority w:val="99"/>
    <w:semiHidden/>
    <w:unhideWhenUsed/>
    <w:rsid w:val="005E71E9"/>
    <w:pPr>
      <w:jc w:val="left"/>
    </w:pPr>
  </w:style>
  <w:style w:type="character" w:customStyle="1" w:styleId="af8">
    <w:name w:val="批注文字 字符"/>
    <w:basedOn w:val="a0"/>
    <w:link w:val="af7"/>
    <w:uiPriority w:val="99"/>
    <w:semiHidden/>
    <w:rsid w:val="005E71E9"/>
    <w:rPr>
      <w:kern w:val="2"/>
      <w:sz w:val="24"/>
      <w:szCs w:val="22"/>
    </w:rPr>
  </w:style>
  <w:style w:type="paragraph" w:styleId="af9">
    <w:name w:val="annotation subject"/>
    <w:basedOn w:val="af7"/>
    <w:next w:val="af7"/>
    <w:link w:val="afa"/>
    <w:uiPriority w:val="99"/>
    <w:semiHidden/>
    <w:unhideWhenUsed/>
    <w:rsid w:val="005E71E9"/>
    <w:rPr>
      <w:b/>
      <w:bCs/>
    </w:rPr>
  </w:style>
  <w:style w:type="character" w:customStyle="1" w:styleId="afa">
    <w:name w:val="批注主题 字符"/>
    <w:basedOn w:val="af8"/>
    <w:link w:val="af9"/>
    <w:uiPriority w:val="99"/>
    <w:semiHidden/>
    <w:rsid w:val="005E71E9"/>
    <w:rPr>
      <w:b/>
      <w:bCs/>
      <w:kern w:val="2"/>
      <w:sz w:val="24"/>
      <w:szCs w:val="22"/>
    </w:rPr>
  </w:style>
  <w:style w:type="paragraph" w:styleId="afb">
    <w:name w:val="Revision"/>
    <w:hidden/>
    <w:uiPriority w:val="99"/>
    <w:unhideWhenUsed/>
    <w:rsid w:val="009D4ECB"/>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701</Words>
  <Characters>808</Characters>
  <Application>Microsoft Office Word</Application>
  <DocSecurity>0</DocSecurity>
  <Lines>25</Lines>
  <Paragraphs>20</Paragraphs>
  <ScaleCrop>false</ScaleCrop>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2025-06-16T06:34:00Z</dcterms:created>
  <dcterms:modified xsi:type="dcterms:W3CDTF">2025-06-16T07:16:00Z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2052-12.1.0.21541</vt:lpwstr>
  </property>
  <property fmtid="{D5CDD505-2E9C-101B-9397-08002B2CF9AE}" pid="4" name="ICV">
    <vt:lpwstr>E675C22440FE4F4589BC7B7B70BA80FF_12</vt:lpwstr>
  </property>
</Properties>
</file>