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28D7F" w14:textId="77777777" w:rsidR="00A238C4"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：债市窄幅震荡，或临近方向选择</w:t>
      </w:r>
    </w:p>
    <w:p w14:paraId="310B059F" w14:textId="77777777" w:rsidR="00A238C4"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75FDC450" w14:textId="5F662770" w:rsidR="00A238C4"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国内方面：三季度基本面或延续弱复苏主基调，房价转弱与消费品价格下跌压力显现，暂未对债市形成显著利空，但需关注政策发力空间。季末资金面扰动可控，虽然存在政府债缴款、存单到期高峰等压力，但后续央行MLF续作、财政支出及潜在</w:t>
      </w:r>
      <w:proofErr w:type="gramStart"/>
      <w:r>
        <w:rPr>
          <w:rFonts w:ascii="思源黑体 CN Light" w:eastAsia="思源黑体 CN Light" w:hAnsi="思源黑体 CN Light" w:cs="Times New Roman" w:hint="eastAsia"/>
          <w:szCs w:val="21"/>
        </w:rPr>
        <w:t>买债操作</w:t>
      </w:r>
      <w:proofErr w:type="gramEnd"/>
      <w:r>
        <w:rPr>
          <w:rFonts w:ascii="思源黑体 CN Light" w:eastAsia="思源黑体 CN Light" w:hAnsi="思源黑体 CN Light" w:cs="Times New Roman" w:hint="eastAsia"/>
          <w:szCs w:val="21"/>
        </w:rPr>
        <w:t>有望提供支撑。货币政策宽松方向较为明确，</w:t>
      </w:r>
      <w:proofErr w:type="gramStart"/>
      <w:r>
        <w:rPr>
          <w:rFonts w:ascii="思源黑体 CN Light" w:eastAsia="思源黑体 CN Light" w:hAnsi="思源黑体 CN Light" w:cs="Times New Roman" w:hint="eastAsia"/>
          <w:szCs w:val="21"/>
        </w:rPr>
        <w:t>降准降息</w:t>
      </w:r>
      <w:proofErr w:type="gramEnd"/>
      <w:r>
        <w:rPr>
          <w:rFonts w:ascii="思源黑体 CN Light" w:eastAsia="思源黑体 CN Light" w:hAnsi="思源黑体 CN Light" w:cs="Times New Roman" w:hint="eastAsia"/>
          <w:szCs w:val="21"/>
        </w:rPr>
        <w:t>及创新工具（PSL、买债）重启预期升温，流动性呵护态度不变，但增量政策落地节奏影响利率突破时点。</w:t>
      </w:r>
    </w:p>
    <w:p w14:paraId="624FD396" w14:textId="77777777" w:rsidR="00A238C4"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海外及其他：美联储或于9月开启降息。且需关注海外地缘政治风险的不确定性。</w:t>
      </w:r>
    </w:p>
    <w:p w14:paraId="5365A2FC" w14:textId="7DA3F963" w:rsidR="00A238C4"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上周（2025年6月16日-2025年6月20日，以下简称上周）债市整体呈现震荡行情。展望后市，短期利差压缩行情或延续，长</w:t>
      </w:r>
      <w:proofErr w:type="gramStart"/>
      <w:r>
        <w:rPr>
          <w:rFonts w:ascii="思源黑体 CN Light" w:eastAsia="思源黑体 CN Light" w:hAnsi="思源黑体 CN Light" w:cs="Times New Roman" w:hint="eastAsia"/>
          <w:szCs w:val="21"/>
        </w:rPr>
        <w:t>端利率</w:t>
      </w:r>
      <w:proofErr w:type="gramEnd"/>
      <w:r>
        <w:rPr>
          <w:rFonts w:ascii="思源黑体 CN Light" w:eastAsia="思源黑体 CN Light" w:hAnsi="思源黑体 CN Light" w:cs="Times New Roman" w:hint="eastAsia"/>
          <w:szCs w:val="21"/>
        </w:rPr>
        <w:t>突破</w:t>
      </w:r>
      <w:proofErr w:type="gramStart"/>
      <w:r>
        <w:rPr>
          <w:rFonts w:ascii="思源黑体 CN Light" w:eastAsia="思源黑体 CN Light" w:hAnsi="思源黑体 CN Light" w:cs="Times New Roman" w:hint="eastAsia"/>
          <w:szCs w:val="21"/>
        </w:rPr>
        <w:t>前低需增量</w:t>
      </w:r>
      <w:proofErr w:type="gramEnd"/>
      <w:r>
        <w:rPr>
          <w:rFonts w:ascii="思源黑体 CN Light" w:eastAsia="思源黑体 CN Light" w:hAnsi="思源黑体 CN Light" w:cs="Times New Roman" w:hint="eastAsia"/>
          <w:szCs w:val="21"/>
        </w:rPr>
        <w:t>政策的支持，货币宽松是突破的关键变量。建议关注降息、</w:t>
      </w:r>
      <w:proofErr w:type="gramStart"/>
      <w:r>
        <w:rPr>
          <w:rFonts w:ascii="思源黑体 CN Light" w:eastAsia="思源黑体 CN Light" w:hAnsi="思源黑体 CN Light" w:cs="Times New Roman" w:hint="eastAsia"/>
          <w:szCs w:val="21"/>
        </w:rPr>
        <w:t>国债缴准等</w:t>
      </w:r>
      <w:proofErr w:type="gramEnd"/>
      <w:r>
        <w:rPr>
          <w:rFonts w:ascii="思源黑体 CN Light" w:eastAsia="思源黑体 CN Light" w:hAnsi="思源黑体 CN Light" w:cs="Times New Roman" w:hint="eastAsia"/>
          <w:szCs w:val="21"/>
        </w:rPr>
        <w:t>工具的落地。在MLF操作及财政支出的支撑下，季末资金面的扰动整体可控。</w:t>
      </w:r>
    </w:p>
    <w:p w14:paraId="43B906D4" w14:textId="77777777" w:rsidR="00A238C4"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2C47D745" w14:textId="77777777" w:rsidR="00A238C4"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美联储降息预期持续升温，美国内部分歧加剧。截至6月20日，美元指数涨0.63%，离岸人民币涨0.14%，英镑等非美货币下跌。</w:t>
      </w:r>
    </w:p>
    <w:p w14:paraId="5B1A4D41" w14:textId="77777777" w:rsidR="00A238C4"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16A343AD" wp14:editId="10680F4E">
            <wp:extent cx="5274310" cy="2117090"/>
            <wp:effectExtent l="0" t="0" r="2540" b="0"/>
            <wp:docPr id="51" name="图片 5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descr="图形用户界面&#10;&#10;AI 生成的内容可能不正确。"/>
                    <pic:cNvPicPr>
                      <a:picLocks noChangeAspect="1"/>
                    </pic:cNvPicPr>
                  </pic:nvPicPr>
                  <pic:blipFill>
                    <a:blip r:embed="rId6"/>
                    <a:stretch>
                      <a:fillRect/>
                    </a:stretch>
                  </pic:blipFill>
                  <pic:spPr>
                    <a:xfrm>
                      <a:off x="0" y="0"/>
                      <a:ext cx="5274310" cy="21170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数据来源：wind，富荣基金；统计区间：20250616-2025</w:t>
      </w:r>
      <w:bookmarkStart w:id="1" w:name="_Toc134985520"/>
      <w:r>
        <w:rPr>
          <w:rFonts w:ascii="思源黑体 CN Light" w:eastAsia="思源黑体 CN Light" w:hAnsi="思源黑体 CN Light" w:cs="Times New Roman" w:hint="eastAsia"/>
          <w:sz w:val="16"/>
          <w:szCs w:val="16"/>
        </w:rPr>
        <w:t>0620</w:t>
      </w:r>
    </w:p>
    <w:p w14:paraId="1B1292A1" w14:textId="77777777" w:rsidR="00A238C4"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7234A836" w14:textId="77777777" w:rsidR="00A238C4"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资金面维持平稳宽松态势。</w:t>
      </w:r>
      <w:r>
        <w:rPr>
          <w:rFonts w:ascii="思源黑体 CN Light" w:eastAsia="思源黑体 CN Light" w:hAnsi="思源黑体 CN Light" w:cs="Times New Roman" w:hint="eastAsia"/>
          <w:sz w:val="22"/>
          <w:szCs w:val="21"/>
          <w14:ligatures w14:val="standardContextual"/>
        </w:rPr>
        <w:t>DR001下行3.80bp至1.37%，DR007下行0.79bp至1.49%，R001下行1.42bp至1.45％，R007上行0.99bp至1.59％，GC001下行8.80bp至1.50%，GC007上行2.80bp至1.63％。</w:t>
      </w:r>
    </w:p>
    <w:p w14:paraId="2C9A8182" w14:textId="77777777" w:rsidR="00A238C4"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流动性宽松，债市整体下行。</w:t>
      </w:r>
      <w:r>
        <w:rPr>
          <w:rFonts w:ascii="思源黑体 CN Light" w:eastAsia="思源黑体 CN Light" w:hAnsi="思源黑体 CN Light" w:cs="Times New Roman" w:hint="eastAsia"/>
          <w:sz w:val="22"/>
          <w:szCs w:val="21"/>
          <w14:ligatures w14:val="standardContextual"/>
        </w:rPr>
        <w:t>1Y、5Y、10Y、30Y国债收益率分别较前一周变化-4.50bp、-4.22bp、-0.44bp、-1.19bp至1.3552%、1.4000%、1.6396%、1.8376%。</w:t>
      </w:r>
    </w:p>
    <w:p w14:paraId="13A33525" w14:textId="77777777" w:rsidR="00A238C4"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drawing>
          <wp:inline distT="0" distB="0" distL="0" distR="0" wp14:anchorId="031FD372" wp14:editId="76FF610D">
            <wp:extent cx="4508500" cy="2862580"/>
            <wp:effectExtent l="0" t="0" r="6350" b="0"/>
            <wp:docPr id="73" name="图片 72" descr="图表, 折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2" descr="图表, 折线图&#10;&#10;AI 生成的内容可能不正确。"/>
                    <pic:cNvPicPr>
                      <a:picLocks noChangeAspect="1"/>
                    </pic:cNvPicPr>
                  </pic:nvPicPr>
                  <pic:blipFill>
                    <a:blip r:embed="rId7"/>
                    <a:stretch>
                      <a:fillRect/>
                    </a:stretch>
                  </pic:blipFill>
                  <pic:spPr>
                    <a:xfrm>
                      <a:off x="0" y="0"/>
                      <a:ext cx="4508678" cy="2862977"/>
                    </a:xfrm>
                    <a:prstGeom prst="rect">
                      <a:avLst/>
                    </a:prstGeom>
                  </pic:spPr>
                </pic:pic>
              </a:graphicData>
            </a:graphic>
          </wp:inline>
        </w:drawing>
      </w:r>
    </w:p>
    <w:p w14:paraId="769CEA02" w14:textId="77777777" w:rsidR="00A238C4"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lastRenderedPageBreak/>
        <w:t>数据来源：wind，富荣基金；统计区间：20250616-20250620</w:t>
      </w:r>
    </w:p>
    <w:p w14:paraId="2578D637" w14:textId="77777777" w:rsidR="00A238C4"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14:anchorId="3E3B291C" wp14:editId="7EA4EB9D">
            <wp:extent cx="4431665" cy="3035300"/>
            <wp:effectExtent l="0" t="0" r="6985" b="0"/>
            <wp:docPr id="74" name="图片 73"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3" descr="图表, 瀑布图&#10;&#10;AI 生成的内容可能不正确。"/>
                    <pic:cNvPicPr>
                      <a:picLocks noChangeAspect="1"/>
                    </pic:cNvPicPr>
                  </pic:nvPicPr>
                  <pic:blipFill>
                    <a:blip r:embed="rId8"/>
                    <a:stretch>
                      <a:fillRect/>
                    </a:stretch>
                  </pic:blipFill>
                  <pic:spPr>
                    <a:xfrm>
                      <a:off x="0" y="0"/>
                      <a:ext cx="4432284" cy="3035438"/>
                    </a:xfrm>
                    <a:prstGeom prst="rect">
                      <a:avLst/>
                    </a:prstGeom>
                  </pic:spPr>
                </pic:pic>
              </a:graphicData>
            </a:graphic>
          </wp:inline>
        </w:drawing>
      </w:r>
    </w:p>
    <w:p w14:paraId="7700E0B0" w14:textId="77777777" w:rsidR="00A238C4"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数据来源：wind，富荣基金；统计区间：20250616-20250620</w:t>
      </w:r>
    </w:p>
    <w:p w14:paraId="2A1B46DA" w14:textId="77777777" w:rsidR="00A238C4"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上周央行OMO大幅净回笼，资金面先紧后松，宽松不及预期；银行间隔夜、7D资金价格最高上行至1.6582%、1.9812%。</w:t>
      </w:r>
    </w:p>
    <w:p w14:paraId="402BA0E1" w14:textId="77777777" w:rsidR="00A238C4"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信用债收益率继续呈现全面下行趋势，除短期</w:t>
      </w:r>
      <w:proofErr w:type="gramStart"/>
      <w:r>
        <w:rPr>
          <w:rFonts w:ascii="思源黑体 CN Light" w:eastAsia="思源黑体 CN Light" w:hAnsi="思源黑体 CN Light" w:cs="Times New Roman" w:hint="eastAsia"/>
          <w:sz w:val="22"/>
          <w:szCs w:val="21"/>
          <w14:ligatures w14:val="standardContextual"/>
        </w:rPr>
        <w:t>次级债外其余</w:t>
      </w:r>
      <w:proofErr w:type="gramEnd"/>
      <w:r>
        <w:rPr>
          <w:rFonts w:ascii="思源黑体 CN Light" w:eastAsia="思源黑体 CN Light" w:hAnsi="思源黑体 CN Light" w:cs="Times New Roman" w:hint="eastAsia"/>
          <w:sz w:val="22"/>
          <w:szCs w:val="21"/>
          <w14:ligatures w14:val="standardContextual"/>
        </w:rPr>
        <w:t>品种均较大幅下行，曲线偏向平移。利差方面，券商品种多有走阔，其余品种下行较多，相较压缩并不明显。</w:t>
      </w:r>
    </w:p>
    <w:p w14:paraId="55DAFB27" w14:textId="77777777" w:rsidR="00A238C4"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17EFDB13" wp14:editId="67B43740">
            <wp:extent cx="5264150" cy="2567305"/>
            <wp:effectExtent l="0" t="0" r="0" b="4445"/>
            <wp:docPr id="82" name="图片 8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1" descr="图表, 瀑布图&#10;&#10;AI 生成的内容可能不正确。"/>
                    <pic:cNvPicPr>
                      <a:picLocks noChangeAspect="1"/>
                    </pic:cNvPicPr>
                  </pic:nvPicPr>
                  <pic:blipFill>
                    <a:blip r:embed="rId9"/>
                    <a:stretch>
                      <a:fillRect/>
                    </a:stretch>
                  </pic:blipFill>
                  <pic:spPr>
                    <a:xfrm>
                      <a:off x="0" y="0"/>
                      <a:ext cx="5264677" cy="2567476"/>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数据来源：wind，富荣基金；统计区间：20250616-20250620</w:t>
      </w:r>
    </w:p>
    <w:p w14:paraId="191B08FE" w14:textId="77777777" w:rsidR="00A238C4"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07B879CE" wp14:editId="4B25885C">
            <wp:extent cx="4942840" cy="2067560"/>
            <wp:effectExtent l="0" t="0" r="0" b="8890"/>
            <wp:docPr id="83" name="图片 82"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2" descr="图表, 瀑布图&#10;&#10;AI 生成的内容可能不正确。"/>
                    <pic:cNvPicPr>
                      <a:picLocks noChangeAspect="1"/>
                    </pic:cNvPicPr>
                  </pic:nvPicPr>
                  <pic:blipFill>
                    <a:blip r:embed="rId10"/>
                    <a:stretch>
                      <a:fillRect/>
                    </a:stretch>
                  </pic:blipFill>
                  <pic:spPr>
                    <a:xfrm>
                      <a:off x="0" y="0"/>
                      <a:ext cx="4943022" cy="2068135"/>
                    </a:xfrm>
                    <a:prstGeom prst="rect">
                      <a:avLst/>
                    </a:prstGeom>
                  </pic:spPr>
                </pic:pic>
              </a:graphicData>
            </a:graphic>
          </wp:inline>
        </w:drawing>
      </w:r>
    </w:p>
    <w:p w14:paraId="473C4F6C" w14:textId="77777777" w:rsidR="00A238C4"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数据来源：wind，富荣基金；统计区间：20250616-20250620</w:t>
      </w:r>
    </w:p>
    <w:p w14:paraId="4E9C8651" w14:textId="77777777" w:rsidR="00A238C4" w:rsidRDefault="00A238C4">
      <w:pPr>
        <w:ind w:firstLineChars="200" w:firstLine="400"/>
        <w:rPr>
          <w:rFonts w:ascii="思源黑体 CN Light" w:eastAsia="思源黑体 CN Light" w:hAnsi="思源黑体 CN Light" w:hint="eastAsia"/>
          <w:sz w:val="20"/>
          <w:szCs w:val="20"/>
        </w:rPr>
      </w:pPr>
    </w:p>
    <w:p w14:paraId="6B8BF5DD" w14:textId="77777777" w:rsidR="00A238C4" w:rsidRDefault="00A238C4">
      <w:pPr>
        <w:ind w:firstLineChars="200" w:firstLine="400"/>
        <w:rPr>
          <w:rFonts w:ascii="思源黑体 CN Light" w:eastAsia="思源黑体 CN Light" w:hAnsi="思源黑体 CN Light" w:hint="eastAsia"/>
          <w:sz w:val="20"/>
          <w:szCs w:val="20"/>
        </w:rPr>
      </w:pPr>
    </w:p>
    <w:p w14:paraId="73640988" w14:textId="77777777" w:rsidR="00A238C4"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52D3FEC5" w14:textId="77777777" w:rsidR="00A238C4"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sectPr w:rsidR="00A238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004E3" w14:textId="77777777" w:rsidR="00816581" w:rsidRDefault="00816581">
      <w:pPr>
        <w:rPr>
          <w:rFonts w:hint="eastAsia"/>
        </w:rPr>
      </w:pPr>
      <w:r>
        <w:separator/>
      </w:r>
    </w:p>
  </w:endnote>
  <w:endnote w:type="continuationSeparator" w:id="0">
    <w:p w14:paraId="5232036A" w14:textId="77777777" w:rsidR="00816581" w:rsidRDefault="0081658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54DA0" w14:textId="77777777" w:rsidR="00816581" w:rsidRDefault="00816581">
      <w:pPr>
        <w:rPr>
          <w:rFonts w:hint="eastAsia"/>
        </w:rPr>
      </w:pPr>
      <w:r>
        <w:separator/>
      </w:r>
    </w:p>
  </w:footnote>
  <w:footnote w:type="continuationSeparator" w:id="0">
    <w:p w14:paraId="73552FA5" w14:textId="77777777" w:rsidR="00816581" w:rsidRDefault="0081658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2C14"/>
    <w:rsid w:val="00252C14"/>
    <w:rsid w:val="002C581F"/>
    <w:rsid w:val="002F63B0"/>
    <w:rsid w:val="00401FF8"/>
    <w:rsid w:val="0046506B"/>
    <w:rsid w:val="00785155"/>
    <w:rsid w:val="00816581"/>
    <w:rsid w:val="00852735"/>
    <w:rsid w:val="00A238C4"/>
    <w:rsid w:val="00B64B6C"/>
    <w:rsid w:val="00C0500E"/>
    <w:rsid w:val="00D90844"/>
    <w:rsid w:val="00E54A50"/>
    <w:rsid w:val="00EE7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B890165-3793-421F-86E0-8139309E8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Subtitle"/>
    <w:basedOn w:val="a"/>
    <w:next w:val="a"/>
    <w:link w:val="a5"/>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a7"/>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7">
    <w:name w:val="标题 字符"/>
    <w:basedOn w:val="a0"/>
    <w:link w:val="a6"/>
    <w:uiPriority w:val="10"/>
    <w:rPr>
      <w:rFonts w:asciiTheme="majorHAnsi" w:eastAsiaTheme="majorEastAsia" w:hAnsiTheme="majorHAnsi" w:cstheme="majorBidi"/>
      <w:spacing w:val="-10"/>
      <w:kern w:val="28"/>
      <w:sz w:val="56"/>
      <w:szCs w:val="56"/>
    </w:rPr>
  </w:style>
  <w:style w:type="character" w:customStyle="1" w:styleId="a5">
    <w:name w:val="副标题 字符"/>
    <w:basedOn w:val="a0"/>
    <w:link w:val="a4"/>
    <w:uiPriority w:val="11"/>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pPr>
      <w:spacing w:before="160"/>
      <w:jc w:val="center"/>
    </w:pPr>
    <w:rPr>
      <w:i/>
      <w:iCs/>
      <w:color w:val="404040" w:themeColor="text1" w:themeTint="BF"/>
    </w:rPr>
  </w:style>
  <w:style w:type="character" w:customStyle="1" w:styleId="a9">
    <w:name w:val="引用 字符"/>
    <w:basedOn w:val="a0"/>
    <w:link w:val="a8"/>
    <w:uiPriority w:val="29"/>
    <w:rPr>
      <w:i/>
      <w:iCs/>
      <w:color w:val="404040" w:themeColor="text1" w:themeTint="BF"/>
    </w:rPr>
  </w:style>
  <w:style w:type="paragraph" w:styleId="aa">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b">
    <w:name w:val="Intense Quote"/>
    <w:basedOn w:val="a"/>
    <w:next w:val="a"/>
    <w:link w:val="ac"/>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d">
    <w:name w:val="annotation reference"/>
    <w:basedOn w:val="a0"/>
    <w:uiPriority w:val="99"/>
    <w:semiHidden/>
    <w:unhideWhenUsed/>
    <w:rPr>
      <w:sz w:val="21"/>
      <w:szCs w:val="21"/>
    </w:rPr>
  </w:style>
  <w:style w:type="paragraph" w:styleId="ae">
    <w:name w:val="Revision"/>
    <w:hidden/>
    <w:uiPriority w:val="99"/>
    <w:unhideWhenUsed/>
    <w:rsid w:val="00E54A5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Pages>
  <Words>562</Words>
  <Characters>710</Characters>
  <Application>Microsoft Office Word</Application>
  <DocSecurity>0</DocSecurity>
  <Lines>28</Lines>
  <Paragraphs>22</Paragraphs>
  <ScaleCrop>false</ScaleCrop>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2025-06-23T00:54:00Z</dcterms:created>
  <dcterms:modified xsi:type="dcterms:W3CDTF">2025-06-23T07:32:00Z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2052-12.1.0.21541</vt:lpwstr>
  </property>
  <property fmtid="{D5CDD505-2E9C-101B-9397-08002B2CF9AE}" pid="4" name="ICV">
    <vt:lpwstr>3FF92985F45249E49FA0BB04E5C31C61_12</vt:lpwstr>
  </property>
</Properties>
</file>