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A59A0" w14:textId="77777777" w:rsidR="00D3473F"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富荣权益：市场震荡下行，关注新兴成长与拐点板块</w:t>
      </w:r>
    </w:p>
    <w:p w14:paraId="4D6D1C87" w14:textId="77777777" w:rsidR="00D3473F"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6DEC32DE" w14:textId="77777777" w:rsidR="00D3473F"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上周（2025年6月16日至2025年6月20日，下同）权益市场主要指数多数调整，</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10005.03</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3359.90</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2009.89</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。各主要指数涨跌表现如下：上证50（-0.10%）、沪深300（-0.45%）、上证指数（-0.51%）、深证成指（-1.16%）、创业板50（-1.33%）、</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50（-1.55%）、创业板指（-1.66%）、中证1000（-1.74%）、中证500（-1.75%）、创成长（-2.27%）。</w:t>
      </w:r>
    </w:p>
    <w:p w14:paraId="196867F6" w14:textId="77777777" w:rsidR="00D3473F"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14:anchorId="69F0CC90" wp14:editId="55E4A49A">
            <wp:extent cx="6210300" cy="3152775"/>
            <wp:effectExtent l="0" t="0" r="0" b="0"/>
            <wp:docPr id="60" name="图片 59" descr="图表, 条形图,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9" descr="图表, 条形图, 瀑布图&#10;&#10;AI 生成的内容可能不正确。"/>
                    <pic:cNvPicPr>
                      <a:picLocks noChangeAspect="1"/>
                    </pic:cNvPicPr>
                  </pic:nvPicPr>
                  <pic:blipFill>
                    <a:blip r:embed="rId6"/>
                    <a:stretch>
                      <a:fillRect/>
                    </a:stretch>
                  </pic:blipFill>
                  <pic:spPr>
                    <a:xfrm>
                      <a:off x="0" y="0"/>
                      <a:ext cx="6210692" cy="3152799"/>
                    </a:xfrm>
                    <a:prstGeom prst="rect">
                      <a:avLst/>
                    </a:prstGeom>
                  </pic:spPr>
                </pic:pic>
              </a:graphicData>
            </a:graphic>
          </wp:inline>
        </w:drawing>
      </w:r>
    </w:p>
    <w:p w14:paraId="5568FED7" w14:textId="77777777" w:rsidR="00D3473F"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区间：20250616-20250620；月涨跌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区间：20250601-20250620</w:t>
      </w:r>
    </w:p>
    <w:p w14:paraId="380559F8" w14:textId="77777777" w:rsidR="00D3473F"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各行业的涨跌</w:t>
      </w:r>
      <w:proofErr w:type="gramStart"/>
      <w:r>
        <w:rPr>
          <w:rFonts w:ascii="思源黑体 CN Light" w:eastAsia="思源黑体 CN Light" w:hAnsi="思源黑体 CN Light" w:cs="Times New Roman" w:hint="eastAsia"/>
          <w:color w:val="000000" w:themeColor="text1"/>
          <w:sz w:val="21"/>
          <w:szCs w:val="20"/>
        </w:rPr>
        <w:t>幅表现</w:t>
      </w:r>
      <w:proofErr w:type="gramEnd"/>
      <w:r>
        <w:rPr>
          <w:rFonts w:ascii="思源黑体 CN Light" w:eastAsia="思源黑体 CN Light" w:hAnsi="思源黑体 CN Light" w:cs="Times New Roman" w:hint="eastAsia"/>
          <w:color w:val="000000" w:themeColor="text1"/>
          <w:sz w:val="21"/>
          <w:szCs w:val="20"/>
        </w:rPr>
        <w:t>有所分化，</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指数中，银行（+2.63%）、通信（+1.58%）、电子（+0.95%）等行业上涨较为明显，医药生物（-4.35%）、纺织服饰（-5.12%）、美容护理（-5.86%）等行业跌幅较大。</w:t>
      </w:r>
    </w:p>
    <w:p w14:paraId="40594D18" w14:textId="77777777" w:rsidR="00D3473F"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3F8B7E30" wp14:editId="6574D3E6">
            <wp:extent cx="6301740" cy="3152140"/>
            <wp:effectExtent l="0" t="0" r="3810" b="0"/>
            <wp:docPr id="59" name="图片 58" descr="图片包含 形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8" descr="图片包含 形状&#10;&#10;AI 生成的内容可能不正确。"/>
                    <pic:cNvPicPr>
                      <a:picLocks noChangeAspect="1"/>
                    </pic:cNvPicPr>
                  </pic:nvPicPr>
                  <pic:blipFill>
                    <a:blip r:embed="rId7"/>
                    <a:stretch>
                      <a:fillRect/>
                    </a:stretch>
                  </pic:blipFill>
                  <pic:spPr>
                    <a:xfrm>
                      <a:off x="0" y="0"/>
                      <a:ext cx="6307974" cy="3155258"/>
                    </a:xfrm>
                    <a:prstGeom prst="rect">
                      <a:avLst/>
                    </a:prstGeom>
                  </pic:spPr>
                </pic:pic>
              </a:graphicData>
            </a:graphic>
          </wp:inline>
        </w:drawing>
      </w:r>
    </w:p>
    <w:p w14:paraId="3CEF6EEE" w14:textId="77777777" w:rsidR="00D3473F"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；统计区间：20250609-20250613</w:t>
      </w:r>
    </w:p>
    <w:p w14:paraId="487F78CD" w14:textId="77777777" w:rsidR="00D3473F" w:rsidRDefault="00D3473F">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5D4A303B" w14:textId="77777777" w:rsidR="00D3473F"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二、通信行业点评与展望</w:t>
      </w:r>
    </w:p>
    <w:p w14:paraId="02292686" w14:textId="77777777" w:rsidR="00D3473F"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上周通信指数上涨1.58%，在所有</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中涨幅居前，同期沪深300下跌0.45%。</w:t>
      </w:r>
    </w:p>
    <w:p w14:paraId="7FB7830C" w14:textId="77777777" w:rsidR="00D3473F"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2" w:name="OLE_LINK2"/>
      <w:r>
        <w:rPr>
          <w:rFonts w:ascii="思源黑体 CN Light" w:eastAsia="思源黑体 CN Light" w:hAnsi="思源黑体 CN Light" w:cs="Times New Roman" w:hint="eastAsia"/>
          <w:color w:val="000000" w:themeColor="text1"/>
          <w:sz w:val="21"/>
          <w:szCs w:val="20"/>
        </w:rPr>
        <w:t>通信行业的上涨主要由海外</w:t>
      </w:r>
      <w:proofErr w:type="gramStart"/>
      <w:r>
        <w:rPr>
          <w:rFonts w:ascii="思源黑体 CN Light" w:eastAsia="思源黑体 CN Light" w:hAnsi="思源黑体 CN Light" w:cs="Times New Roman" w:hint="eastAsia"/>
          <w:color w:val="000000" w:themeColor="text1"/>
          <w:sz w:val="21"/>
          <w:szCs w:val="20"/>
        </w:rPr>
        <w:t>算力相关</w:t>
      </w:r>
      <w:proofErr w:type="gramEnd"/>
      <w:r>
        <w:rPr>
          <w:rFonts w:ascii="思源黑体 CN Light" w:eastAsia="思源黑体 CN Light" w:hAnsi="思源黑体 CN Light" w:cs="Times New Roman" w:hint="eastAsia"/>
          <w:color w:val="000000" w:themeColor="text1"/>
          <w:sz w:val="21"/>
          <w:szCs w:val="20"/>
        </w:rPr>
        <w:t>的光模块、光通信等方向贡献。我们认为市场正</w:t>
      </w:r>
      <w:proofErr w:type="gramStart"/>
      <w:r>
        <w:rPr>
          <w:rFonts w:ascii="思源黑体 CN Light" w:eastAsia="思源黑体 CN Light" w:hAnsi="思源黑体 CN Light" w:cs="Times New Roman" w:hint="eastAsia"/>
          <w:color w:val="000000" w:themeColor="text1"/>
          <w:sz w:val="21"/>
          <w:szCs w:val="20"/>
        </w:rPr>
        <w:t>从算力通</w:t>
      </w:r>
      <w:proofErr w:type="gramEnd"/>
      <w:r>
        <w:rPr>
          <w:rFonts w:ascii="思源黑体 CN Light" w:eastAsia="思源黑体 CN Light" w:hAnsi="思源黑体 CN Light" w:cs="Times New Roman" w:hint="eastAsia"/>
          <w:color w:val="000000" w:themeColor="text1"/>
          <w:sz w:val="21"/>
          <w:szCs w:val="20"/>
        </w:rPr>
        <w:t>缩的叙事转向</w:t>
      </w:r>
      <w:proofErr w:type="gramStart"/>
      <w:r>
        <w:rPr>
          <w:rFonts w:ascii="思源黑体 CN Light" w:eastAsia="思源黑体 CN Light" w:hAnsi="思源黑体 CN Light" w:cs="Times New Roman" w:hint="eastAsia"/>
          <w:color w:val="000000" w:themeColor="text1"/>
          <w:sz w:val="21"/>
          <w:szCs w:val="20"/>
        </w:rPr>
        <w:t>海外算力估值</w:t>
      </w:r>
      <w:proofErr w:type="gramEnd"/>
      <w:r>
        <w:rPr>
          <w:rFonts w:ascii="思源黑体 CN Light" w:eastAsia="思源黑体 CN Light" w:hAnsi="思源黑体 CN Light" w:cs="Times New Roman" w:hint="eastAsia"/>
          <w:color w:val="000000" w:themeColor="text1"/>
          <w:sz w:val="21"/>
          <w:szCs w:val="20"/>
        </w:rPr>
        <w:t>修复，推理侧流量需求的超预期成为这一转变的核心因素。具体来看，某科技龙头公司的FY25Q3报告显示，Azure AI平台处理的Token数量达到了100</w:t>
      </w:r>
      <w:proofErr w:type="gramStart"/>
      <w:r>
        <w:rPr>
          <w:rFonts w:ascii="思源黑体 CN Light" w:eastAsia="思源黑体 CN Light" w:hAnsi="思源黑体 CN Light" w:cs="Times New Roman" w:hint="eastAsia"/>
          <w:color w:val="000000" w:themeColor="text1"/>
          <w:sz w:val="21"/>
          <w:szCs w:val="20"/>
        </w:rPr>
        <w:t>万亿</w:t>
      </w:r>
      <w:proofErr w:type="gramEnd"/>
      <w:r>
        <w:rPr>
          <w:rFonts w:ascii="思源黑体 CN Light" w:eastAsia="思源黑体 CN Light" w:hAnsi="思源黑体 CN Light" w:cs="Times New Roman" w:hint="eastAsia"/>
          <w:color w:val="000000" w:themeColor="text1"/>
          <w:sz w:val="21"/>
          <w:szCs w:val="20"/>
        </w:rPr>
        <w:t>，同比增长了5倍，其中最后一个月的Token处理量达到了50</w:t>
      </w:r>
      <w:proofErr w:type="gramStart"/>
      <w:r>
        <w:rPr>
          <w:rFonts w:ascii="思源黑体 CN Light" w:eastAsia="思源黑体 CN Light" w:hAnsi="思源黑体 CN Light" w:cs="Times New Roman" w:hint="eastAsia"/>
          <w:color w:val="000000" w:themeColor="text1"/>
          <w:sz w:val="21"/>
          <w:szCs w:val="20"/>
        </w:rPr>
        <w:t>万亿</w:t>
      </w:r>
      <w:proofErr w:type="gramEnd"/>
      <w:r>
        <w:rPr>
          <w:rFonts w:ascii="思源黑体 CN Light" w:eastAsia="思源黑体 CN Light" w:hAnsi="思源黑体 CN Light" w:cs="Times New Roman" w:hint="eastAsia"/>
          <w:color w:val="000000" w:themeColor="text1"/>
          <w:sz w:val="21"/>
          <w:szCs w:val="20"/>
        </w:rPr>
        <w:t>，日均处理量达到1.67</w:t>
      </w:r>
      <w:proofErr w:type="gramStart"/>
      <w:r>
        <w:rPr>
          <w:rFonts w:ascii="思源黑体 CN Light" w:eastAsia="思源黑体 CN Light" w:hAnsi="思源黑体 CN Light" w:cs="Times New Roman" w:hint="eastAsia"/>
          <w:color w:val="000000" w:themeColor="text1"/>
          <w:sz w:val="21"/>
          <w:szCs w:val="20"/>
        </w:rPr>
        <w:t>万亿</w:t>
      </w:r>
      <w:proofErr w:type="gramEnd"/>
      <w:r>
        <w:rPr>
          <w:rFonts w:ascii="思源黑体 CN Light" w:eastAsia="思源黑体 CN Light" w:hAnsi="思源黑体 CN Light" w:cs="Times New Roman" w:hint="eastAsia"/>
          <w:color w:val="000000" w:themeColor="text1"/>
          <w:sz w:val="21"/>
          <w:szCs w:val="20"/>
        </w:rPr>
        <w:t>。同时，另一家科技巨头公司在其IO大会上展示的数据显示同样令人瞩目，2024年4月的月均Token处理量为9.7</w:t>
      </w:r>
      <w:proofErr w:type="gramStart"/>
      <w:r>
        <w:rPr>
          <w:rFonts w:ascii="思源黑体 CN Light" w:eastAsia="思源黑体 CN Light" w:hAnsi="思源黑体 CN Light" w:cs="Times New Roman" w:hint="eastAsia"/>
          <w:color w:val="000000" w:themeColor="text1"/>
          <w:sz w:val="21"/>
          <w:szCs w:val="20"/>
        </w:rPr>
        <w:t>万亿</w:t>
      </w:r>
      <w:proofErr w:type="gramEnd"/>
      <w:r>
        <w:rPr>
          <w:rFonts w:ascii="思源黑体 CN Light" w:eastAsia="思源黑体 CN Light" w:hAnsi="思源黑体 CN Light" w:cs="Times New Roman" w:hint="eastAsia"/>
          <w:color w:val="000000" w:themeColor="text1"/>
          <w:sz w:val="21"/>
          <w:szCs w:val="20"/>
        </w:rPr>
        <w:t>，而2025年Q4预计达到480</w:t>
      </w:r>
      <w:proofErr w:type="gramStart"/>
      <w:r>
        <w:rPr>
          <w:rFonts w:ascii="思源黑体 CN Light" w:eastAsia="思源黑体 CN Light" w:hAnsi="思源黑体 CN Light" w:cs="Times New Roman" w:hint="eastAsia"/>
          <w:color w:val="000000" w:themeColor="text1"/>
          <w:sz w:val="21"/>
          <w:szCs w:val="20"/>
        </w:rPr>
        <w:t>万亿</w:t>
      </w:r>
      <w:proofErr w:type="gramEnd"/>
      <w:r>
        <w:rPr>
          <w:rFonts w:ascii="思源黑体 CN Light" w:eastAsia="思源黑体 CN Light" w:hAnsi="思源黑体 CN Light" w:cs="Times New Roman" w:hint="eastAsia"/>
          <w:color w:val="000000" w:themeColor="text1"/>
          <w:sz w:val="21"/>
          <w:szCs w:val="20"/>
        </w:rPr>
        <w:t>，日均16</w:t>
      </w:r>
      <w:proofErr w:type="gramStart"/>
      <w:r>
        <w:rPr>
          <w:rFonts w:ascii="思源黑体 CN Light" w:eastAsia="思源黑体 CN Light" w:hAnsi="思源黑体 CN Light" w:cs="Times New Roman" w:hint="eastAsia"/>
          <w:color w:val="000000" w:themeColor="text1"/>
          <w:sz w:val="21"/>
          <w:szCs w:val="20"/>
        </w:rPr>
        <w:t>万亿</w:t>
      </w:r>
      <w:proofErr w:type="gramEnd"/>
      <w:r>
        <w:rPr>
          <w:rFonts w:ascii="思源黑体 CN Light" w:eastAsia="思源黑体 CN Light" w:hAnsi="思源黑体 CN Light" w:cs="Times New Roman" w:hint="eastAsia"/>
          <w:color w:val="000000" w:themeColor="text1"/>
          <w:sz w:val="21"/>
          <w:szCs w:val="20"/>
        </w:rPr>
        <w:t>，同比增长了50倍。</w:t>
      </w:r>
    </w:p>
    <w:p w14:paraId="3E2B4F2F" w14:textId="77777777" w:rsidR="00D3473F"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在收入增长方面，AI公司同样展现出了惊人的增长速度。例如，Anthropic的年度经常性收入（ARR）在去年底为10亿美元，而到了2025年5月已增长至30亿美元；OpenAI2025年营收预计突破120亿美元，远超于2024年的37亿美元。这些数据表明，AI行业正在经历快速的成长和收入释放。</w:t>
      </w:r>
    </w:p>
    <w:p w14:paraId="1E89972B" w14:textId="352B6C7E" w:rsidR="00D3473F"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proofErr w:type="gramStart"/>
      <w:r>
        <w:rPr>
          <w:rFonts w:ascii="思源黑体 CN Light" w:eastAsia="思源黑体 CN Light" w:hAnsi="思源黑体 CN Light" w:cs="Times New Roman" w:hint="eastAsia"/>
          <w:color w:val="000000" w:themeColor="text1"/>
          <w:sz w:val="21"/>
          <w:szCs w:val="20"/>
        </w:rPr>
        <w:lastRenderedPageBreak/>
        <w:t>近期算力的</w:t>
      </w:r>
      <w:proofErr w:type="gramEnd"/>
      <w:r>
        <w:rPr>
          <w:rFonts w:ascii="思源黑体 CN Light" w:eastAsia="思源黑体 CN Light" w:hAnsi="思源黑体 CN Light" w:cs="Times New Roman" w:hint="eastAsia"/>
          <w:color w:val="000000" w:themeColor="text1"/>
          <w:sz w:val="21"/>
          <w:szCs w:val="20"/>
        </w:rPr>
        <w:t>反弹，除了得益于推理侧流量需求的超预期增长外，另一个不容忽视的因素是从GPU向ASIC的过渡。这一转变带来了对通信网络需求的显著增长。由于ASIC往往是为特定计算任务定制的，它们在数据交换和协同计算过程中对网络带宽和延迟的要求比GPU更加苛刻。例如，在超大规模AI模型的分布式训练中，不同计算节点之间的数据交换必须具备极高的带宽支持和极低的延迟，才能保证高效的数据传输和任务分配。这较大地提升了通信产品潜在市场需求的上修预期。</w:t>
      </w:r>
    </w:p>
    <w:p w14:paraId="1F78FEFA" w14:textId="74293190" w:rsidR="00D3473F"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展望后市，我们相信更高效的网络架构和更大带宽的支持将成为未来数据中心</w:t>
      </w:r>
      <w:proofErr w:type="gramStart"/>
      <w:r>
        <w:rPr>
          <w:rFonts w:ascii="思源黑体 CN Light" w:eastAsia="思源黑体 CN Light" w:hAnsi="思源黑体 CN Light" w:cs="Times New Roman" w:hint="eastAsia"/>
          <w:color w:val="000000" w:themeColor="text1"/>
          <w:sz w:val="21"/>
          <w:szCs w:val="20"/>
        </w:rPr>
        <w:t>和算力平台</w:t>
      </w:r>
      <w:proofErr w:type="gramEnd"/>
      <w:r>
        <w:rPr>
          <w:rFonts w:ascii="思源黑体 CN Light" w:eastAsia="思源黑体 CN Light" w:hAnsi="思源黑体 CN Light" w:cs="Times New Roman" w:hint="eastAsia"/>
          <w:color w:val="000000" w:themeColor="text1"/>
          <w:sz w:val="21"/>
          <w:szCs w:val="20"/>
        </w:rPr>
        <w:t>提升计算效率的关键因素之一，光通信、铜连接等国内相关产业链环节有望持续受益。</w:t>
      </w:r>
    </w:p>
    <w:bookmarkEnd w:id="2"/>
    <w:p w14:paraId="7FDA72B1" w14:textId="77777777" w:rsidR="00D3473F" w:rsidRDefault="00D3473F">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7A6EE124" w14:textId="77777777" w:rsidR="00D3473F"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0AC01133" w14:textId="77777777" w:rsidR="00D3473F"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上周权益市场延续震荡下跌态势，前期表现强势的创新药、新消费等板块出现调整。从结构上看，银行、通信、电子等板块涨幅靠前，美容护理、纺织服装、医药生物等板块跌幅靠前，权益市场仍呈现出较强的轮动和主题投资特性。从趋势上看，权益市场主要指数如上证指数、万得全A等或已接近震荡区间的上沿，市场内在的稳定性较差，对利空因素相对敏感。短期内我们未看到国内政策以及产业层面出现趋势性的变化。同时海外中东地缘政治紧张的局势以及临近7~8月贸易关税问题的减免到期等因素，也导致权益市场的风险偏好快速下滑。</w:t>
      </w:r>
    </w:p>
    <w:p w14:paraId="05609365" w14:textId="77777777" w:rsidR="00D3473F"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整体而言，我们维持权益市场震荡的判断，当前处于震荡向下的区间。从跌幅上看，我们认为在政策强支撑、流动性宽松的背景下，跌幅或相对可控。</w:t>
      </w:r>
    </w:p>
    <w:p w14:paraId="65033034" w14:textId="77777777" w:rsidR="00D3473F"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中期看好具备产业景气逻辑的新兴成长方向，如AI、半导体、机器人等领域。行业重点关注：1、成长赛道，如AI应用、半导体、医药等板块；2、底部区间有拐点预期的板块，如证券、电新、消费等。</w:t>
      </w:r>
    </w:p>
    <w:p w14:paraId="465D22AB" w14:textId="77777777" w:rsidR="00D3473F" w:rsidRDefault="00000000">
      <w:pPr>
        <w:ind w:firstLineChars="200" w:firstLine="428"/>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b/>
          <w:bCs/>
          <w:sz w:val="21"/>
          <w:szCs w:val="24"/>
        </w:rPr>
        <w:t>风险提示</w:t>
      </w:r>
      <w:r>
        <w:rPr>
          <w:rFonts w:ascii="思源黑体 CN Light" w:eastAsia="思源黑体 CN Light" w:hAnsi="思源黑体 CN Light" w:cs="Times New Roman" w:hint="eastAsia"/>
          <w:b/>
          <w:bCs/>
          <w:sz w:val="21"/>
          <w:szCs w:val="24"/>
        </w:rPr>
        <w:t>：</w:t>
      </w:r>
    </w:p>
    <w:p w14:paraId="7E07C38C" w14:textId="77777777" w:rsidR="00D3473F"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0AE5D25D" w14:textId="77777777" w:rsidR="00D3473F" w:rsidRDefault="00D3473F">
      <w:pPr>
        <w:rPr>
          <w:rFonts w:ascii="思源黑体 CN Light" w:eastAsia="思源黑体 CN Light" w:hAnsi="思源黑体 CN Light" w:cs="Times New Roman" w:hint="eastAsia"/>
          <w:color w:val="000000"/>
          <w:sz w:val="21"/>
          <w:szCs w:val="20"/>
          <w:shd w:val="clear" w:color="auto" w:fill="FFFFFF"/>
        </w:rPr>
      </w:pPr>
    </w:p>
    <w:p w14:paraId="2DC4010B" w14:textId="77777777" w:rsidR="00D3473F" w:rsidRDefault="00D3473F">
      <w:pPr>
        <w:pStyle w:val="af2"/>
        <w:ind w:firstLineChars="0" w:firstLine="0"/>
        <w:rPr>
          <w:rFonts w:ascii="思源黑体 CN Light" w:eastAsia="思源黑体 CN Light" w:hAnsi="思源黑体 CN Light" w:cs="Times New Roman" w:hint="eastAsia"/>
          <w:sz w:val="20"/>
          <w:szCs w:val="20"/>
        </w:rPr>
      </w:pPr>
    </w:p>
    <w:p w14:paraId="5368D2DE" w14:textId="77777777" w:rsidR="00D3473F" w:rsidRDefault="0000000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776E809C" w14:textId="77777777" w:rsidR="00D3473F" w:rsidRDefault="00D3473F">
      <w:pPr>
        <w:rPr>
          <w:rFonts w:hint="eastAsia"/>
        </w:rPr>
      </w:pPr>
    </w:p>
    <w:p w14:paraId="6548EB70" w14:textId="77777777" w:rsidR="00D3473F" w:rsidRDefault="00D3473F">
      <w:pPr>
        <w:rPr>
          <w:rFonts w:hint="eastAsia"/>
        </w:rPr>
      </w:pPr>
    </w:p>
    <w:p w14:paraId="397D10D0" w14:textId="77777777" w:rsidR="00D3473F" w:rsidRDefault="00D3473F">
      <w:pPr>
        <w:rPr>
          <w:rFonts w:hint="eastAsia"/>
        </w:rPr>
      </w:pPr>
    </w:p>
    <w:p w14:paraId="0DFACF56" w14:textId="77777777" w:rsidR="00D3473F" w:rsidRDefault="00D3473F">
      <w:pPr>
        <w:rPr>
          <w:rFonts w:hint="eastAsia"/>
        </w:rPr>
      </w:pPr>
    </w:p>
    <w:sectPr w:rsidR="00D3473F">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D4B76" w14:textId="77777777" w:rsidR="002C7183" w:rsidRDefault="002C7183">
      <w:pPr>
        <w:spacing w:line="240" w:lineRule="auto"/>
        <w:rPr>
          <w:rFonts w:hint="eastAsia"/>
        </w:rPr>
      </w:pPr>
      <w:r>
        <w:separator/>
      </w:r>
    </w:p>
  </w:endnote>
  <w:endnote w:type="continuationSeparator" w:id="0">
    <w:p w14:paraId="5FA47265" w14:textId="77777777" w:rsidR="002C7183" w:rsidRDefault="002C7183">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7680B" w14:textId="77777777" w:rsidR="00D3473F" w:rsidRDefault="00000000">
    <w:pPr>
      <w:pStyle w:val="a3"/>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3</w:t>
            </w:r>
            <w:r>
              <w:rPr>
                <w:b/>
                <w:bCs/>
                <w:sz w:val="24"/>
                <w:szCs w:val="24"/>
              </w:rPr>
              <w:fldChar w:fldCharType="end"/>
            </w:r>
          </w:sdtContent>
        </w:sdt>
      </w:sdtContent>
    </w:sdt>
    <w:r>
      <w:tab/>
    </w:r>
  </w:p>
  <w:p w14:paraId="6A4F2A03" w14:textId="77777777" w:rsidR="00D3473F" w:rsidRDefault="00D3473F">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37143" w14:textId="77777777" w:rsidR="002C7183" w:rsidRDefault="002C7183">
      <w:pPr>
        <w:rPr>
          <w:rFonts w:hint="eastAsia"/>
        </w:rPr>
      </w:pPr>
      <w:r>
        <w:separator/>
      </w:r>
    </w:p>
  </w:footnote>
  <w:footnote w:type="continuationSeparator" w:id="0">
    <w:p w14:paraId="07299A98" w14:textId="77777777" w:rsidR="002C7183" w:rsidRDefault="002C7183">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c"/>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D3473F" w14:paraId="0E3620C6" w14:textId="77777777">
      <w:trPr>
        <w:trHeight w:val="424"/>
      </w:trPr>
      <w:tc>
        <w:tcPr>
          <w:tcW w:w="3652" w:type="dxa"/>
          <w:shd w:val="clear" w:color="auto" w:fill="F3F3F3"/>
          <w:vAlign w:val="center"/>
        </w:tcPr>
        <w:p w14:paraId="05EA3029" w14:textId="77777777" w:rsidR="00D3473F" w:rsidRDefault="00000000">
          <w:pPr>
            <w:pStyle w:val="a5"/>
            <w:pBdr>
              <w:bottom w:val="none" w:sz="0" w:space="0" w:color="auto"/>
            </w:pBdr>
            <w:jc w:val="right"/>
            <w:rPr>
              <w:rFonts w:ascii="Times New Roman" w:eastAsia="宋体" w:hAnsi="Times New Roman" w:cs="Times New Roman"/>
              <w:kern w:val="0"/>
            </w:rPr>
          </w:pPr>
          <w:r>
            <w:rPr>
              <w:rFonts w:ascii="Times New Roman" w:eastAsia="宋体" w:hAnsi="Times New Roman" w:cs="Times New Roman" w:hint="eastAsia"/>
              <w:kern w:val="0"/>
            </w:rPr>
            <w:t>证券研究报告</w:t>
          </w:r>
        </w:p>
      </w:tc>
      <w:tc>
        <w:tcPr>
          <w:tcW w:w="284" w:type="dxa"/>
          <w:shd w:val="clear" w:color="auto" w:fill="C3E2F4"/>
        </w:tcPr>
        <w:p w14:paraId="04463917" w14:textId="77777777" w:rsidR="00D3473F" w:rsidRDefault="00D3473F">
          <w:pPr>
            <w:pStyle w:val="a5"/>
            <w:pBdr>
              <w:bottom w:val="none" w:sz="0" w:space="0" w:color="auto"/>
            </w:pBdr>
            <w:jc w:val="left"/>
            <w:rPr>
              <w:rFonts w:ascii="Times New Roman" w:eastAsia="宋体" w:hAnsi="Times New Roman" w:cs="Times New Roman"/>
              <w:kern w:val="0"/>
            </w:rPr>
          </w:pPr>
        </w:p>
      </w:tc>
      <w:tc>
        <w:tcPr>
          <w:tcW w:w="2335" w:type="dxa"/>
          <w:shd w:val="clear" w:color="auto" w:fill="013F98"/>
          <w:vAlign w:val="center"/>
        </w:tcPr>
        <w:p w14:paraId="1508D092" w14:textId="77777777" w:rsidR="00D3473F" w:rsidRDefault="00000000">
          <w:pPr>
            <w:pStyle w:val="a5"/>
            <w:pBdr>
              <w:bottom w:val="none" w:sz="0" w:space="0" w:color="auto"/>
            </w:pBdr>
            <w:rPr>
              <w:rFonts w:ascii="Times New Roman" w:eastAsia="宋体" w:hAnsi="Times New Roman" w:cs="Times New Roman"/>
              <w:kern w:val="0"/>
            </w:rPr>
          </w:pPr>
          <w:r>
            <w:rPr>
              <w:rFonts w:ascii="Times New Roman" w:eastAsia="宋体" w:hAnsi="Times New Roman" w:cs="Times New Roman" w:hint="eastAsia"/>
              <w:kern w:val="0"/>
            </w:rPr>
            <w:t>权益周报</w:t>
          </w:r>
        </w:p>
      </w:tc>
    </w:tr>
  </w:tbl>
  <w:p w14:paraId="4D93F417" w14:textId="77777777" w:rsidR="00D3473F" w:rsidRDefault="00000000">
    <w:pPr>
      <w:pStyle w:val="a5"/>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76962227" wp14:editId="78A9196B">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810"/>
    <w:rsid w:val="00270E13"/>
    <w:rsid w:val="002C7183"/>
    <w:rsid w:val="002F63B0"/>
    <w:rsid w:val="004A5993"/>
    <w:rsid w:val="005F3BF5"/>
    <w:rsid w:val="00766680"/>
    <w:rsid w:val="007C4810"/>
    <w:rsid w:val="00852735"/>
    <w:rsid w:val="008D0986"/>
    <w:rsid w:val="00BD4B99"/>
    <w:rsid w:val="00C0500E"/>
    <w:rsid w:val="00D3473F"/>
    <w:rsid w:val="56A72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C18BD3"/>
  <w15:docId w15:val="{3337D1A7-8F86-4B73-B47B-30E4E131E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9">
    <w:name w:val="Normal (Web)"/>
    <w:basedOn w:val="a"/>
    <w:uiPriority w:val="99"/>
    <w:semiHidden/>
    <w:unhideWhenUsed/>
    <w:rPr>
      <w:rFonts w:ascii="Times New Roman" w:hAnsi="Times New Roman" w:cs="Times New Roman"/>
      <w:szCs w:val="24"/>
    </w:rPr>
  </w:style>
  <w:style w:type="paragraph" w:styleId="aa">
    <w:name w:val="Title"/>
    <w:basedOn w:val="a"/>
    <w:next w:val="a"/>
    <w:link w:val="ab"/>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c">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rPr>
      <w:rFonts w:asciiTheme="majorHAnsi" w:eastAsiaTheme="majorEastAsia" w:hAnsiTheme="majorHAnsi" w:cstheme="majorBidi"/>
      <w:color w:val="595959" w:themeColor="text1" w:themeTint="A6"/>
      <w:spacing w:val="15"/>
      <w:sz w:val="28"/>
      <w:szCs w:val="28"/>
    </w:rPr>
  </w:style>
  <w:style w:type="paragraph" w:styleId="ad">
    <w:name w:val="Quote"/>
    <w:basedOn w:val="a"/>
    <w:next w:val="a"/>
    <w:link w:val="ae"/>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e">
    <w:name w:val="引用 字符"/>
    <w:basedOn w:val="a0"/>
    <w:link w:val="ad"/>
    <w:uiPriority w:val="29"/>
    <w:rPr>
      <w:i/>
      <w:iCs/>
      <w:color w:val="404040" w:themeColor="text1" w:themeTint="BF"/>
    </w:rPr>
  </w:style>
  <w:style w:type="paragraph" w:styleId="af">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0">
    <w:name w:val="Intense Quote"/>
    <w:basedOn w:val="a"/>
    <w:next w:val="a"/>
    <w:link w:val="af1"/>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1">
    <w:name w:val="明显引用 字符"/>
    <w:basedOn w:val="a0"/>
    <w:link w:val="af0"/>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4">
    <w:name w:val="页脚 字符"/>
    <w:basedOn w:val="a0"/>
    <w:link w:val="a3"/>
    <w:uiPriority w:val="99"/>
    <w:qFormat/>
    <w:rPr>
      <w:sz w:val="18"/>
      <w:szCs w:val="18"/>
      <w14:ligatures w14:val="none"/>
    </w:rPr>
  </w:style>
  <w:style w:type="character" w:customStyle="1" w:styleId="a6">
    <w:name w:val="页眉 字符"/>
    <w:basedOn w:val="a0"/>
    <w:link w:val="a5"/>
    <w:uiPriority w:val="99"/>
    <w:qFormat/>
    <w:rPr>
      <w:sz w:val="18"/>
      <w:szCs w:val="18"/>
      <w14:ligatures w14:val="none"/>
    </w:rPr>
  </w:style>
  <w:style w:type="paragraph" w:styleId="af2">
    <w:name w:val="No Spacing"/>
    <w:basedOn w:val="a9"/>
    <w:link w:val="af3"/>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3">
    <w:name w:val="无间隔 字符"/>
    <w:basedOn w:val="a0"/>
    <w:link w:val="af2"/>
    <w:uiPriority w:val="1"/>
    <w:qFormat/>
    <w:rPr>
      <w:kern w:val="0"/>
      <w:sz w:val="24"/>
      <w:szCs w:val="22"/>
      <w:shd w:val="clear" w:color="auto" w:fill="FFFFFF"/>
      <w14:ligatures w14:val="none"/>
    </w:rPr>
  </w:style>
  <w:style w:type="paragraph" w:styleId="af4">
    <w:name w:val="Revision"/>
    <w:hidden/>
    <w:uiPriority w:val="99"/>
    <w:unhideWhenUsed/>
    <w:rsid w:val="00270E13"/>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907</Words>
  <Characters>1053</Characters>
  <Application>Microsoft Office Word</Application>
  <DocSecurity>0</DocSecurity>
  <Lines>30</Lines>
  <Paragraphs>21</Paragraphs>
  <ScaleCrop>false</ScaleCrop>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2</cp:revision>
  <dcterms:created xsi:type="dcterms:W3CDTF">2025-06-23T00:55:00Z</dcterms:created>
  <dcterms:modified xsi:type="dcterms:W3CDTF">2025-06-23T07:30:00Z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2052-12.1.0.21541</vt:lpwstr>
  </property>
  <property fmtid="{D5CDD505-2E9C-101B-9397-08002B2CF9AE}" pid="4" name="ICV">
    <vt:lpwstr>E4FE0DD1824B4FFAB1F8F327756C54B3_12</vt:lpwstr>
  </property>
</Properties>
</file>