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ECCAC" w14:textId="77777777" w:rsidR="00702EBC"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：股市强势，债市短期承压调整</w:t>
      </w:r>
    </w:p>
    <w:p w14:paraId="772EC157" w14:textId="77777777" w:rsidR="00702EBC"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57BC2529" w14:textId="77777777" w:rsidR="00702EBC"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（1）国内方面：</w:t>
      </w:r>
    </w:p>
    <w:p w14:paraId="67EA67CA" w14:textId="77777777" w:rsidR="00702EBC"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税期与政府债供给是7月资金面的核心扰动因素，但货币政策的宽松基调未变，市场对买断式逆回购等工具的使用预期强化。央行可能将通过买断式逆回购及MLF续作进行有力对冲，资金面或整体呈现均衡偏松特征，大幅收紧可能性低，债市有望快速修复。</w:t>
      </w:r>
    </w:p>
    <w:p w14:paraId="269C9EAE" w14:textId="77777777" w:rsidR="00702EBC"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因内需延续弱修复态势，且缺乏强劲超预期动力，债市长期向好趋势或未改变。市场后续关键看点转向政治局会议对下半年稳增长（地产、消费）的政策部署。</w:t>
      </w:r>
    </w:p>
    <w:p w14:paraId="61803B12" w14:textId="77777777" w:rsidR="00702EBC"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（2）海外及其他：</w:t>
      </w:r>
    </w:p>
    <w:p w14:paraId="0F6714C8" w14:textId="77777777" w:rsidR="00702EBC"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聚焦关税与美联储动向。建议关注美国6月CPI及PPI数据、7月FOMC会议关于降息路径的表述，预计美联储降息时点延后。</w:t>
      </w:r>
    </w:p>
    <w:p w14:paraId="0094FE13" w14:textId="77777777" w:rsidR="00702EBC"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（3）上周债券市场：</w:t>
      </w:r>
    </w:p>
    <w:p w14:paraId="6EE3C1F7" w14:textId="77777777" w:rsidR="00702EBC"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上周（2025年7月7日-2025年7月11日，以下简称上周）</w:t>
      </w:r>
      <w:proofErr w:type="gramStart"/>
      <w:r>
        <w:rPr>
          <w:rFonts w:ascii="思源黑体 CN Light" w:eastAsia="思源黑体 CN Light" w:hAnsi="思源黑体 CN Light" w:hint="eastAsia"/>
          <w:szCs w:val="21"/>
        </w:rPr>
        <w:t>受税期</w:t>
      </w:r>
      <w:proofErr w:type="gramEnd"/>
      <w:r>
        <w:rPr>
          <w:rFonts w:ascii="思源黑体 CN Light" w:eastAsia="思源黑体 CN Light" w:hAnsi="思源黑体 CN Light" w:hint="eastAsia"/>
          <w:szCs w:val="21"/>
        </w:rPr>
        <w:t>扰动、权益市场风险偏好抬升、政府债供给压力等因素驱动，债市迎来小幅调整，“股债跷跷板”效应显著，活跃</w:t>
      </w:r>
      <w:proofErr w:type="gramStart"/>
      <w:r>
        <w:rPr>
          <w:rFonts w:ascii="思源黑体 CN Light" w:eastAsia="思源黑体 CN Light" w:hAnsi="思源黑体 CN Light" w:hint="eastAsia"/>
          <w:szCs w:val="21"/>
        </w:rPr>
        <w:t>券</w:t>
      </w:r>
      <w:proofErr w:type="gramEnd"/>
      <w:r>
        <w:rPr>
          <w:rFonts w:ascii="思源黑体 CN Light" w:eastAsia="思源黑体 CN Light" w:hAnsi="思源黑体 CN Light" w:hint="eastAsia"/>
          <w:szCs w:val="21"/>
        </w:rPr>
        <w:t>收益率普遍上行。</w:t>
      </w:r>
    </w:p>
    <w:p w14:paraId="3295213C" w14:textId="77777777" w:rsidR="00702EBC"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我们预计债市调整空间有限，中长期在</w:t>
      </w:r>
      <w:proofErr w:type="gramStart"/>
      <w:r>
        <w:rPr>
          <w:rFonts w:ascii="思源黑体 CN Light" w:eastAsia="思源黑体 CN Light" w:hAnsi="思源黑体 CN Light" w:hint="eastAsia"/>
          <w:szCs w:val="21"/>
        </w:rPr>
        <w:t>基本面弱修复</w:t>
      </w:r>
      <w:proofErr w:type="gramEnd"/>
      <w:r>
        <w:rPr>
          <w:rFonts w:ascii="思源黑体 CN Light" w:eastAsia="思源黑体 CN Light" w:hAnsi="思源黑体 CN Light" w:hint="eastAsia"/>
          <w:szCs w:val="21"/>
        </w:rPr>
        <w:t>、资产荒延续、货币宽松等预期下，或</w:t>
      </w:r>
      <w:proofErr w:type="gramStart"/>
      <w:r>
        <w:rPr>
          <w:rFonts w:ascii="思源黑体 CN Light" w:eastAsia="思源黑体 CN Light" w:hAnsi="思源黑体 CN Light" w:hint="eastAsia"/>
          <w:szCs w:val="21"/>
        </w:rPr>
        <w:t>延续债牛趋势</w:t>
      </w:r>
      <w:proofErr w:type="gramEnd"/>
      <w:r>
        <w:rPr>
          <w:rFonts w:ascii="思源黑体 CN Light" w:eastAsia="思源黑体 CN Light" w:hAnsi="思源黑体 CN Light" w:hint="eastAsia"/>
          <w:szCs w:val="21"/>
        </w:rPr>
        <w:t>。建议关注本周经济、金融数据与7月政治局会议释放的增量信息。</w:t>
      </w:r>
    </w:p>
    <w:p w14:paraId="1E28CD98" w14:textId="77777777" w:rsidR="00702EBC" w:rsidRDefault="00000000">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1E640F0C" w14:textId="77777777" w:rsidR="00702EBC"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美国6月非农就业数据表现超预期强劲，新增就业人数显著高于市场预估，失业率维持在历史低位区间。截至7月11日，美元指数涨0.90%，澳元涨0.37%，在岸人民币跌0.08%，日元跌1.91%。</w:t>
      </w:r>
    </w:p>
    <w:p w14:paraId="7FA1F621" w14:textId="77777777" w:rsidR="00702EBC"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lastRenderedPageBreak/>
        <w:t>图一：主要货币变化率</w:t>
      </w:r>
      <w:r>
        <w:rPr>
          <w:rFonts w:ascii="思源黑体 CN Light" w:eastAsia="思源黑体 CN Light" w:hAnsi="思源黑体 CN Light" w:cs="Times New Roman"/>
          <w:b/>
          <w:noProof/>
          <w:color w:val="000000"/>
          <w:kern w:val="0"/>
          <w:sz w:val="20"/>
          <w:szCs w:val="20"/>
        </w:rPr>
        <w:drawing>
          <wp:inline distT="0" distB="0" distL="0" distR="0" wp14:anchorId="20EF8F94" wp14:editId="2163E0D5">
            <wp:extent cx="5274310" cy="2060575"/>
            <wp:effectExtent l="0" t="0" r="2540" b="0"/>
            <wp:docPr id="49" name="图片 4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descr="图表, 条形图&#10;&#10;AI 生成的内容可能不正确。"/>
                    <pic:cNvPicPr>
                      <a:picLocks noChangeAspect="1"/>
                    </pic:cNvPicPr>
                  </pic:nvPicPr>
                  <pic:blipFill>
                    <a:blip r:embed="rId6"/>
                    <a:stretch>
                      <a:fillRect/>
                    </a:stretch>
                  </pic:blipFill>
                  <pic:spPr>
                    <a:xfrm>
                      <a:off x="0" y="0"/>
                      <a:ext cx="5274310" cy="206057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数据来源：wind，富荣基金；统计区间：20250707-2025</w:t>
      </w:r>
      <w:bookmarkStart w:id="1" w:name="_Toc134985520"/>
      <w:r>
        <w:rPr>
          <w:rFonts w:ascii="思源黑体 CN Light" w:eastAsia="思源黑体 CN Light" w:hAnsi="思源黑体 CN Light" w:cs="Times New Roman" w:hint="eastAsia"/>
          <w:sz w:val="16"/>
          <w:szCs w:val="16"/>
        </w:rPr>
        <w:t>0711</w:t>
      </w:r>
    </w:p>
    <w:p w14:paraId="036C47BA" w14:textId="77777777" w:rsidR="00702EBC"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6C08683C" w14:textId="77777777" w:rsidR="00702EBC"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季初效应下，税期扰动未至，资金面维持宽松。</w:t>
      </w:r>
      <w:r>
        <w:rPr>
          <w:rFonts w:ascii="思源黑体 CN Light" w:eastAsia="思源黑体 CN Light" w:hAnsi="思源黑体 CN Light" w:cs="Times New Roman" w:hint="eastAsia"/>
          <w:sz w:val="22"/>
          <w:szCs w:val="21"/>
          <w14:ligatures w14:val="standardContextual"/>
        </w:rPr>
        <w:t>DR001上行2.87bp至1.34%，DR007上行4.96bp至1.47%，R001上行4.32bp至1.40％，R007上行2.05bp至1.51％，GC001下行3.00bp至1.40%，GC007上行2.30bp至1.51％。</w:t>
      </w:r>
    </w:p>
    <w:p w14:paraId="1993B272" w14:textId="77777777" w:rsidR="00702EBC"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债市整体上行。</w:t>
      </w:r>
      <w:r>
        <w:rPr>
          <w:rFonts w:ascii="思源黑体 CN Light" w:eastAsia="思源黑体 CN Light" w:hAnsi="思源黑体 CN Light" w:cs="Times New Roman" w:hint="eastAsia"/>
          <w:sz w:val="22"/>
          <w:szCs w:val="21"/>
          <w14:ligatures w14:val="standardContextual"/>
        </w:rPr>
        <w:t>1Y、5Y、10Y、30Y国债收益率分别较前一周变化3.40bp、3.63bp、2.20bp、2.25bp至1.3702%、1.5292%、1.6653%、1.8741%。</w:t>
      </w:r>
      <w:r>
        <w:rPr>
          <w:rFonts w:ascii="思源黑体 CN Light" w:eastAsia="思源黑体 CN Light" w:hAnsi="思源黑体 CN Light" w:cs="Times New Roman" w:hint="eastAsia"/>
          <w:b/>
          <w:bCs/>
          <w:sz w:val="22"/>
          <w:szCs w:val="21"/>
          <w14:ligatures w14:val="standardContextual"/>
        </w:rPr>
        <w:t xml:space="preserve">   </w:t>
      </w:r>
      <w:r>
        <w:rPr>
          <w:rFonts w:ascii="思源黑体 CN Light" w:eastAsia="思源黑体 CN Light" w:hAnsi="思源黑体 CN Light" w:cs="Times New Roman" w:hint="eastAsia"/>
          <w:sz w:val="22"/>
          <w:szCs w:val="21"/>
          <w14:ligatures w14:val="standardContextual"/>
        </w:rPr>
        <w:t xml:space="preserve">   </w:t>
      </w:r>
      <w:r>
        <w:rPr>
          <w:rFonts w:ascii="思源黑体 CN Light" w:eastAsia="思源黑体 CN Light" w:hAnsi="思源黑体 CN Light" w:cs="Times New Roman" w:hint="eastAsia"/>
          <w:b/>
          <w:bCs/>
          <w:sz w:val="22"/>
          <w:szCs w:val="21"/>
          <w14:ligatures w14:val="standardContextual"/>
        </w:rPr>
        <w:t xml:space="preserve">                                                                                                                                                                                                                                                  </w:t>
      </w:r>
    </w:p>
    <w:p w14:paraId="52318193" w14:textId="77777777" w:rsidR="00702EBC"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0FB50A79" wp14:editId="2F5F7530">
            <wp:extent cx="5274310" cy="2962910"/>
            <wp:effectExtent l="0" t="0" r="2540" b="8890"/>
            <wp:docPr id="71"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0"/>
                    <pic:cNvPicPr>
                      <a:picLocks noChangeAspect="1"/>
                    </pic:cNvPicPr>
                  </pic:nvPicPr>
                  <pic:blipFill>
                    <a:blip r:embed="rId7"/>
                    <a:stretch>
                      <a:fillRect/>
                    </a:stretch>
                  </pic:blipFill>
                  <pic:spPr>
                    <a:xfrm>
                      <a:off x="0" y="0"/>
                      <a:ext cx="5274310" cy="296291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数据来源：wind，富荣基金；统计区间：20250707-20250711</w:t>
      </w:r>
    </w:p>
    <w:p w14:paraId="5044CD27" w14:textId="77777777" w:rsidR="00702EBC"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drawing>
          <wp:inline distT="0" distB="0" distL="0" distR="0" wp14:anchorId="7C1F72DF" wp14:editId="5D86DD4E">
            <wp:extent cx="4996180" cy="2578100"/>
            <wp:effectExtent l="0" t="0" r="0" b="0"/>
            <wp:docPr id="72" name="图片 71"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1" descr="图表, 条形图&#10;&#10;AI 生成的内容可能不正确。"/>
                    <pic:cNvPicPr>
                      <a:picLocks noChangeAspect="1"/>
                    </pic:cNvPicPr>
                  </pic:nvPicPr>
                  <pic:blipFill>
                    <a:blip r:embed="rId8"/>
                    <a:stretch>
                      <a:fillRect/>
                    </a:stretch>
                  </pic:blipFill>
                  <pic:spPr>
                    <a:xfrm>
                      <a:off x="0" y="0"/>
                      <a:ext cx="4998314" cy="2579090"/>
                    </a:xfrm>
                    <a:prstGeom prst="rect">
                      <a:avLst/>
                    </a:prstGeom>
                  </pic:spPr>
                </pic:pic>
              </a:graphicData>
            </a:graphic>
          </wp:inline>
        </w:drawing>
      </w:r>
    </w:p>
    <w:p w14:paraId="7A7F2875" w14:textId="77777777" w:rsidR="00702EBC"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数据来源：wind，富荣基金；统计区间：20250707-20250711</w:t>
      </w:r>
    </w:p>
    <w:p w14:paraId="7B4001CB" w14:textId="77777777" w:rsidR="00702EBC"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上周买断式逆回购未续作，</w:t>
      </w:r>
      <w:proofErr w:type="gramStart"/>
      <w:r>
        <w:rPr>
          <w:rFonts w:ascii="思源黑体 CN Light" w:eastAsia="思源黑体 CN Light" w:hAnsi="思源黑体 CN Light" w:cs="Times New Roman" w:hint="eastAsia"/>
          <w:sz w:val="22"/>
          <w:szCs w:val="21"/>
          <w14:ligatures w14:val="standardContextual"/>
        </w:rPr>
        <w:t>央行全</w:t>
      </w:r>
      <w:proofErr w:type="gramEnd"/>
      <w:r>
        <w:rPr>
          <w:rFonts w:ascii="思源黑体 CN Light" w:eastAsia="思源黑体 CN Light" w:hAnsi="思源黑体 CN Light" w:cs="Times New Roman" w:hint="eastAsia"/>
          <w:sz w:val="22"/>
          <w:szCs w:val="21"/>
          <w14:ligatures w14:val="standardContextual"/>
        </w:rPr>
        <w:t>口径净回笼2265亿元。</w:t>
      </w:r>
    </w:p>
    <w:p w14:paraId="6191BB29" w14:textId="408380FA" w:rsidR="00702EBC" w:rsidRDefault="00000000">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信用债收益率大多继续下行，银行二级资本债品种跟随较快，反应了资金面走势。信用利差方面各品种利差全面收窄，短</w:t>
      </w:r>
      <w:proofErr w:type="gramStart"/>
      <w:r>
        <w:rPr>
          <w:rFonts w:ascii="思源黑体 CN Light" w:eastAsia="思源黑体 CN Light" w:hAnsi="思源黑体 CN Light" w:cs="Times New Roman" w:hint="eastAsia"/>
          <w:sz w:val="22"/>
          <w:szCs w:val="21"/>
          <w14:ligatures w14:val="standardContextual"/>
        </w:rPr>
        <w:t>端收窄幅</w:t>
      </w:r>
      <w:proofErr w:type="gramEnd"/>
      <w:r>
        <w:rPr>
          <w:rFonts w:ascii="思源黑体 CN Light" w:eastAsia="思源黑体 CN Light" w:hAnsi="思源黑体 CN Light" w:cs="Times New Roman" w:hint="eastAsia"/>
          <w:sz w:val="22"/>
          <w:szCs w:val="21"/>
          <w14:ligatures w14:val="standardContextual"/>
        </w:rPr>
        <w:t>度相对更大。</w:t>
      </w:r>
    </w:p>
    <w:p w14:paraId="2EC5FBD2" w14:textId="77777777" w:rsidR="00702EBC" w:rsidRDefault="00000000">
      <w:pPr>
        <w:spacing w:line="288" w:lineRule="auto"/>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图四：信用债收益率变化</w:t>
      </w:r>
    </w:p>
    <w:p w14:paraId="7C5A7EA7" w14:textId="77777777" w:rsidR="00702EBC" w:rsidRDefault="00000000">
      <w:pPr>
        <w:spacing w:line="288"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lastRenderedPageBreak/>
        <w:drawing>
          <wp:inline distT="0" distB="0" distL="0" distR="0" wp14:anchorId="19E4E2C3" wp14:editId="7CDC1C1E">
            <wp:extent cx="5274310" cy="2312670"/>
            <wp:effectExtent l="0" t="0" r="2540" b="0"/>
            <wp:docPr id="76" name="图片 75"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5" descr="图表, 瀑布图&#10;&#10;AI 生成的内容可能不正确。"/>
                    <pic:cNvPicPr>
                      <a:picLocks noChangeAspect="1"/>
                    </pic:cNvPicPr>
                  </pic:nvPicPr>
                  <pic:blipFill>
                    <a:blip r:embed="rId9"/>
                    <a:stretch>
                      <a:fillRect/>
                    </a:stretch>
                  </pic:blipFill>
                  <pic:spPr>
                    <a:xfrm>
                      <a:off x="0" y="0"/>
                      <a:ext cx="5274310" cy="2312670"/>
                    </a:xfrm>
                    <a:prstGeom prst="rect">
                      <a:avLst/>
                    </a:prstGeom>
                  </pic:spPr>
                </pic:pic>
              </a:graphicData>
            </a:graphic>
          </wp:inline>
        </w:drawing>
      </w:r>
    </w:p>
    <w:p w14:paraId="36B9C4EE" w14:textId="77777777" w:rsidR="00702EBC"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数据来源：wind，富荣基金；统计区间：20250707-20250711</w:t>
      </w:r>
    </w:p>
    <w:p w14:paraId="0FC4A678" w14:textId="77777777" w:rsidR="00702EBC"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图五：信用利差变化</w:t>
      </w:r>
    </w:p>
    <w:p w14:paraId="0633126E" w14:textId="77777777" w:rsidR="00702EBC"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b/>
          <w:noProof/>
          <w:color w:val="000000"/>
          <w:kern w:val="0"/>
          <w:sz w:val="20"/>
          <w:szCs w:val="20"/>
        </w:rPr>
        <w:drawing>
          <wp:inline distT="0" distB="0" distL="0" distR="0" wp14:anchorId="232F9D77" wp14:editId="74B8ADBA">
            <wp:extent cx="5274310" cy="2026920"/>
            <wp:effectExtent l="0" t="0" r="2540" b="0"/>
            <wp:docPr id="77" name="图片 76"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6" descr="图表, 瀑布图&#10;&#10;AI 生成的内容可能不正确。"/>
                    <pic:cNvPicPr>
                      <a:picLocks noChangeAspect="1"/>
                    </pic:cNvPicPr>
                  </pic:nvPicPr>
                  <pic:blipFill>
                    <a:blip r:embed="rId10"/>
                    <a:stretch>
                      <a:fillRect/>
                    </a:stretch>
                  </pic:blipFill>
                  <pic:spPr>
                    <a:xfrm>
                      <a:off x="0" y="0"/>
                      <a:ext cx="5274310" cy="2026920"/>
                    </a:xfrm>
                    <a:prstGeom prst="rect">
                      <a:avLst/>
                    </a:prstGeom>
                  </pic:spPr>
                </pic:pic>
              </a:graphicData>
            </a:graphic>
          </wp:inline>
        </w:drawing>
      </w:r>
    </w:p>
    <w:p w14:paraId="7056A85A" w14:textId="77777777" w:rsidR="00702EBC" w:rsidRDefault="00000000">
      <w:pPr>
        <w:ind w:firstLineChars="200" w:firstLine="320"/>
        <w:rPr>
          <w:rFonts w:ascii="思源黑体 CN Light" w:eastAsia="思源黑体 CN Light" w:hAnsi="思源黑体 CN Light" w:hint="eastAsia"/>
          <w:sz w:val="20"/>
          <w:szCs w:val="20"/>
        </w:rPr>
      </w:pPr>
      <w:r>
        <w:rPr>
          <w:rFonts w:ascii="思源黑体 CN Light" w:eastAsia="思源黑体 CN Light" w:hAnsi="思源黑体 CN Light" w:cs="Times New Roman" w:hint="eastAsia"/>
          <w:sz w:val="16"/>
          <w:szCs w:val="16"/>
        </w:rPr>
        <w:t>数据来源：wind，富荣基金；统计区间：20250707-20250711</w:t>
      </w:r>
    </w:p>
    <w:p w14:paraId="47856CD8" w14:textId="77777777" w:rsidR="00702EBC" w:rsidRDefault="00702EBC">
      <w:pPr>
        <w:ind w:firstLineChars="200" w:firstLine="400"/>
        <w:rPr>
          <w:rFonts w:ascii="思源黑体 CN Light" w:eastAsia="思源黑体 CN Light" w:hAnsi="思源黑体 CN Light" w:hint="eastAsia"/>
          <w:sz w:val="20"/>
          <w:szCs w:val="20"/>
        </w:rPr>
      </w:pPr>
    </w:p>
    <w:p w14:paraId="64AD86E3" w14:textId="77777777" w:rsidR="00702EBC" w:rsidRDefault="00702EBC">
      <w:pPr>
        <w:ind w:firstLineChars="200" w:firstLine="400"/>
        <w:rPr>
          <w:rFonts w:ascii="思源黑体 CN Light" w:eastAsia="思源黑体 CN Light" w:hAnsi="思源黑体 CN Light" w:hint="eastAsia"/>
          <w:sz w:val="20"/>
          <w:szCs w:val="20"/>
        </w:rPr>
      </w:pPr>
    </w:p>
    <w:p w14:paraId="701CAC4C" w14:textId="77777777" w:rsidR="00702EBC"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170AC6CA" w14:textId="77777777" w:rsidR="00702EBC"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p w14:paraId="1378EB82" w14:textId="77777777" w:rsidR="00702EBC" w:rsidRDefault="00702EBC">
      <w:pPr>
        <w:rPr>
          <w:rFonts w:hint="eastAsia"/>
        </w:rPr>
      </w:pPr>
    </w:p>
    <w:sectPr w:rsidR="00702E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FFD3A" w14:textId="77777777" w:rsidR="00D968EE" w:rsidRDefault="00D968EE">
      <w:pPr>
        <w:rPr>
          <w:rFonts w:hint="eastAsia"/>
        </w:rPr>
      </w:pPr>
      <w:r>
        <w:separator/>
      </w:r>
    </w:p>
  </w:endnote>
  <w:endnote w:type="continuationSeparator" w:id="0">
    <w:p w14:paraId="1265F10B" w14:textId="77777777" w:rsidR="00D968EE" w:rsidRDefault="00D968E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B76CDF" w14:textId="77777777" w:rsidR="00D968EE" w:rsidRDefault="00D968EE">
      <w:pPr>
        <w:rPr>
          <w:rFonts w:hint="eastAsia"/>
        </w:rPr>
      </w:pPr>
      <w:r>
        <w:separator/>
      </w:r>
    </w:p>
  </w:footnote>
  <w:footnote w:type="continuationSeparator" w:id="0">
    <w:p w14:paraId="29AE9E8D" w14:textId="77777777" w:rsidR="00D968EE" w:rsidRDefault="00D968E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652C"/>
    <w:rsid w:val="000C285A"/>
    <w:rsid w:val="000D0CFB"/>
    <w:rsid w:val="00283CAB"/>
    <w:rsid w:val="002F63B0"/>
    <w:rsid w:val="00702EBC"/>
    <w:rsid w:val="00852735"/>
    <w:rsid w:val="00C3652C"/>
    <w:rsid w:val="00C66EBF"/>
    <w:rsid w:val="00D442D8"/>
    <w:rsid w:val="00D968EE"/>
    <w:rsid w:val="54416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AF678C"/>
  <w15:docId w15:val="{F779D20B-401D-49B2-A848-6830F4F63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6">
    <w:name w:val="标题 字符"/>
    <w:basedOn w:val="a0"/>
    <w:link w:val="a5"/>
    <w:uiPriority w:val="10"/>
    <w:qFormat/>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qFormat/>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qFormat/>
    <w:rPr>
      <w:i/>
      <w:iCs/>
      <w:color w:val="404040" w:themeColor="text1" w:themeTint="BF"/>
    </w:rPr>
  </w:style>
  <w:style w:type="paragraph" w:styleId="a9">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b">
    <w:name w:val="明显引用 字符"/>
    <w:basedOn w:val="a0"/>
    <w:link w:val="aa"/>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c">
    <w:name w:val="Revision"/>
    <w:hidden/>
    <w:uiPriority w:val="99"/>
    <w:unhideWhenUsed/>
    <w:rsid w:val="00D442D8"/>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712</Words>
  <Characters>883</Characters>
  <Application>Microsoft Office Word</Application>
  <DocSecurity>0</DocSecurity>
  <Lines>36</Lines>
  <Paragraphs>32</Paragraphs>
  <ScaleCrop>false</ScaleCrop>
  <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2</cp:revision>
  <dcterms:created xsi:type="dcterms:W3CDTF">2025-07-14T05:51:00Z</dcterms:created>
  <dcterms:modified xsi:type="dcterms:W3CDTF">2025-07-14T08:49:00Z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B040A380CED449249EADADE510775669_12</vt:lpwstr>
  </property>
</Properties>
</file>