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C1829" w14:textId="77777777" w:rsidR="00D71E9E"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富荣权益：市场成交额持续放大，做多情绪高涨</w:t>
      </w:r>
    </w:p>
    <w:p w14:paraId="20579ADD" w14:textId="77777777" w:rsidR="00D71E9E"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5BDCCC14" w14:textId="77777777" w:rsidR="00D71E9E"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上周（2025年7月7日至2025年7月11日，下同）权益市场普遍反弹，</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10696.10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3510.18</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2207.10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。各主要指数涨跌表现如下：创成长（+2.78%）、创业板50（+2.65%）、中证1000（+2.36%）、创业板指（+2.36%）、中证500（+1.96%）、深证成指（+1.78%）、上证指数（+1.09%）、</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50（+0.98%）、沪深300（+0.82%）、上证50（+0.60%）。</w:t>
      </w:r>
    </w:p>
    <w:p w14:paraId="20B621D8" w14:textId="77777777" w:rsidR="00D71E9E" w:rsidRDefault="00000000">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6AC3E6B8" wp14:editId="78771D12">
            <wp:extent cx="6431280" cy="3291840"/>
            <wp:effectExtent l="0" t="0" r="7620" b="3810"/>
            <wp:docPr id="1804275708" name="图片 57"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275708" name="图片 57" descr="图表, 条形图&#10;&#10;AI 生成的内容可能不正确。"/>
                    <pic:cNvPicPr>
                      <a:picLocks noChangeAspect="1"/>
                    </pic:cNvPicPr>
                  </pic:nvPicPr>
                  <pic:blipFill>
                    <a:blip r:embed="rId6"/>
                    <a:stretch>
                      <a:fillRect/>
                    </a:stretch>
                  </pic:blipFill>
                  <pic:spPr>
                    <a:xfrm>
                      <a:off x="0" y="0"/>
                      <a:ext cx="6431280" cy="329184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区间：20250707-20250711；月涨跌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区间：20250701-20250711</w:t>
      </w:r>
    </w:p>
    <w:p w14:paraId="063D2CEB" w14:textId="77777777" w:rsidR="00D71E9E"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各行业普遍反弹，少数行业补跌。</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指数中，房地产（+6.12%）、钢铁（+4.41%）、非银金融（+3.96%）等行业上涨较为明显，汽车（-0.41%）、银行（-1.00%）、煤炭（-1.08%）等行业补跌。</w:t>
      </w:r>
    </w:p>
    <w:p w14:paraId="463B8762" w14:textId="1E4F141A" w:rsidR="00D71E9E"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图：申万</w:t>
      </w:r>
      <w:proofErr w:type="gramStart"/>
      <w:r>
        <w:rPr>
          <w:rFonts w:ascii="思源黑体 CN Light" w:eastAsia="思源黑体 CN Light" w:hAnsi="思源黑体 CN Light" w:cs="Times New Roman"/>
          <w:b/>
          <w:sz w:val="21"/>
          <w:szCs w:val="20"/>
        </w:rPr>
        <w:t>一级行业周涨跌</w:t>
      </w:r>
      <w:proofErr w:type="gramEnd"/>
      <w:r>
        <w:rPr>
          <w:rFonts w:ascii="思源黑体 CN Light" w:eastAsia="思源黑体 CN Light" w:hAnsi="思源黑体 CN Light" w:cs="Times New Roman"/>
          <w:b/>
          <w:sz w:val="21"/>
          <w:szCs w:val="20"/>
        </w:rPr>
        <w:t>幅（单位：%）</w:t>
      </w:r>
      <w:r w:rsidR="00EC03BF">
        <w:rPr>
          <w:rFonts w:hint="eastAsia"/>
          <w:noProof/>
        </w:rPr>
        <w:lastRenderedPageBreak/>
        <w:drawing>
          <wp:inline distT="0" distB="0" distL="0" distR="0" wp14:anchorId="58EED2B8" wp14:editId="2348565E">
            <wp:extent cx="6479540" cy="4278630"/>
            <wp:effectExtent l="0" t="0" r="0" b="7620"/>
            <wp:docPr id="10959808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980811" name=""/>
                    <pic:cNvPicPr/>
                  </pic:nvPicPr>
                  <pic:blipFill>
                    <a:blip r:embed="rId7">
                      <a:extLst>
                        <a:ext uri="{28A0092B-C50C-407E-A947-70E740481C1C}">
                          <a14:useLocalDpi xmlns:a14="http://schemas.microsoft.com/office/drawing/2010/main" val="0"/>
                        </a:ext>
                      </a:extLst>
                    </a:blip>
                    <a:stretch>
                      <a:fillRect/>
                    </a:stretch>
                  </pic:blipFill>
                  <pic:spPr>
                    <a:xfrm>
                      <a:off x="0" y="0"/>
                      <a:ext cx="6479540" cy="4278630"/>
                    </a:xfrm>
                    <a:prstGeom prst="rect">
                      <a:avLst/>
                    </a:prstGeom>
                  </pic:spPr>
                </pic:pic>
              </a:graphicData>
            </a:graphic>
          </wp:inline>
        </w:drawing>
      </w:r>
    </w:p>
    <w:p w14:paraId="73F0F7DA" w14:textId="77777777" w:rsidR="00D71E9E"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；统计区间：20250707-20250711</w:t>
      </w:r>
    </w:p>
    <w:p w14:paraId="7E616725" w14:textId="77777777" w:rsidR="00D71E9E" w:rsidRDefault="00D71E9E">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79BEE781" w14:textId="77777777" w:rsidR="00D71E9E"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二、钢铁行业点评与展望</w:t>
      </w:r>
    </w:p>
    <w:p w14:paraId="2BC443D0" w14:textId="77777777" w:rsidR="00D71E9E"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上周申万钢铁行业指数涨幅为4.41%，相对沪深300指数超额收益为3.59%，周涨幅在所有申万</w:t>
      </w:r>
      <w:proofErr w:type="gramStart"/>
      <w:r>
        <w:rPr>
          <w:rFonts w:ascii="思源黑体 CN Light" w:eastAsia="思源黑体 CN Light" w:hAnsi="思源黑体 CN Light" w:cs="Times New Roman" w:hint="eastAsia"/>
          <w:color w:val="000000" w:themeColor="text1"/>
          <w:sz w:val="21"/>
          <w:szCs w:val="20"/>
        </w:rPr>
        <w:t>一级行业</w:t>
      </w:r>
      <w:proofErr w:type="gramEnd"/>
      <w:r>
        <w:rPr>
          <w:rFonts w:ascii="思源黑体 CN Light" w:eastAsia="思源黑体 CN Light" w:hAnsi="思源黑体 CN Light" w:cs="Times New Roman" w:hint="eastAsia"/>
          <w:color w:val="000000" w:themeColor="text1"/>
          <w:sz w:val="21"/>
          <w:szCs w:val="20"/>
        </w:rPr>
        <w:t>指数中位居第二。</w:t>
      </w:r>
    </w:p>
    <w:p w14:paraId="3040D7F6" w14:textId="77777777" w:rsidR="00D71E9E"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钢铁板块上周表现超出预期，继续领</w:t>
      </w:r>
      <w:proofErr w:type="gramStart"/>
      <w:r>
        <w:rPr>
          <w:rFonts w:ascii="思源黑体 CN Light" w:eastAsia="思源黑体 CN Light" w:hAnsi="思源黑体 CN Light" w:cs="Times New Roman" w:hint="eastAsia"/>
          <w:color w:val="000000" w:themeColor="text1"/>
          <w:sz w:val="21"/>
          <w:szCs w:val="20"/>
        </w:rPr>
        <w:t>涨整个</w:t>
      </w:r>
      <w:proofErr w:type="gramEnd"/>
      <w:r>
        <w:rPr>
          <w:rFonts w:ascii="思源黑体 CN Light" w:eastAsia="思源黑体 CN Light" w:hAnsi="思源黑体 CN Light" w:cs="Times New Roman" w:hint="eastAsia"/>
          <w:color w:val="000000" w:themeColor="text1"/>
          <w:sz w:val="21"/>
          <w:szCs w:val="20"/>
        </w:rPr>
        <w:t>市场。主要是受地产政策消息的催化，提振了投资者对顺周期板块的配置意愿。展望后市，虽然市场对宏观经济的预期开始从悲观扭转，但考虑到钢材市场当下仍处于传统消费淡季，若短期没有强力政策落地，需要注意钢铁板块情绪震荡回落的风险。</w:t>
      </w:r>
    </w:p>
    <w:p w14:paraId="42A9D43B" w14:textId="77777777" w:rsidR="00D71E9E" w:rsidRDefault="00D71E9E">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083FA970" w14:textId="77777777" w:rsidR="00D71E9E"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lastRenderedPageBreak/>
        <w:t>三、本周展望</w:t>
      </w:r>
    </w:p>
    <w:p w14:paraId="684A80EE" w14:textId="77777777" w:rsidR="00D71E9E"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近期权益市场连续上涨，市场做多情绪高涨，各板块</w:t>
      </w:r>
      <w:proofErr w:type="gramStart"/>
      <w:r>
        <w:rPr>
          <w:rFonts w:ascii="思源黑体 CN Light" w:eastAsia="思源黑体 CN Light" w:hAnsi="思源黑体 CN Light" w:cs="Times New Roman" w:hint="eastAsia"/>
          <w:color w:val="000000"/>
          <w:sz w:val="21"/>
          <w:szCs w:val="20"/>
          <w:shd w:val="clear" w:color="auto" w:fill="FFFFFF"/>
        </w:rPr>
        <w:t>呈现出轮动</w:t>
      </w:r>
      <w:proofErr w:type="gramEnd"/>
      <w:r>
        <w:rPr>
          <w:rFonts w:ascii="思源黑体 CN Light" w:eastAsia="思源黑体 CN Light" w:hAnsi="思源黑体 CN Light" w:cs="Times New Roman" w:hint="eastAsia"/>
          <w:color w:val="000000"/>
          <w:sz w:val="21"/>
          <w:szCs w:val="20"/>
          <w:shd w:val="clear" w:color="auto" w:fill="FFFFFF"/>
        </w:rPr>
        <w:t>上涨的趋势。价值板块的银行、顺周期，成长板块的海外</w:t>
      </w:r>
      <w:proofErr w:type="gramStart"/>
      <w:r>
        <w:rPr>
          <w:rFonts w:ascii="思源黑体 CN Light" w:eastAsia="思源黑体 CN Light" w:hAnsi="思源黑体 CN Light" w:cs="Times New Roman" w:hint="eastAsia"/>
          <w:color w:val="000000"/>
          <w:sz w:val="21"/>
          <w:szCs w:val="20"/>
          <w:shd w:val="clear" w:color="auto" w:fill="FFFFFF"/>
        </w:rPr>
        <w:t>算力链</w:t>
      </w:r>
      <w:proofErr w:type="gramEnd"/>
      <w:r>
        <w:rPr>
          <w:rFonts w:ascii="思源黑体 CN Light" w:eastAsia="思源黑体 CN Light" w:hAnsi="思源黑体 CN Light" w:cs="Times New Roman" w:hint="eastAsia"/>
          <w:color w:val="000000"/>
          <w:sz w:val="21"/>
          <w:szCs w:val="20"/>
          <w:shd w:val="clear" w:color="auto" w:fill="FFFFFF"/>
        </w:rPr>
        <w:t>，以及</w:t>
      </w:r>
      <w:proofErr w:type="gramStart"/>
      <w:r>
        <w:rPr>
          <w:rFonts w:ascii="思源黑体 CN Light" w:eastAsia="思源黑体 CN Light" w:hAnsi="思源黑体 CN Light" w:cs="Times New Roman" w:hint="eastAsia"/>
          <w:color w:val="000000"/>
          <w:sz w:val="21"/>
          <w:szCs w:val="20"/>
          <w:shd w:val="clear" w:color="auto" w:fill="FFFFFF"/>
        </w:rPr>
        <w:t>偏主题</w:t>
      </w:r>
      <w:proofErr w:type="gramEnd"/>
      <w:r>
        <w:rPr>
          <w:rFonts w:ascii="思源黑体 CN Light" w:eastAsia="思源黑体 CN Light" w:hAnsi="思源黑体 CN Light" w:cs="Times New Roman" w:hint="eastAsia"/>
          <w:color w:val="000000"/>
          <w:sz w:val="21"/>
          <w:szCs w:val="20"/>
          <w:shd w:val="clear" w:color="auto" w:fill="FFFFFF"/>
        </w:rPr>
        <w:t>的稳定币等均有不俗的表现。</w:t>
      </w:r>
    </w:p>
    <w:p w14:paraId="0D410DBF" w14:textId="77777777" w:rsidR="00D71E9E"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上周美国与各国所达成的贸易关税税率普遍低于4月初的税率，这使得中美关税向好的预期上升。同时，“反内卷”现象引发了市场对于2016~2017年供给</w:t>
      </w:r>
      <w:proofErr w:type="gramStart"/>
      <w:r>
        <w:rPr>
          <w:rFonts w:ascii="思源黑体 CN Light" w:eastAsia="思源黑体 CN Light" w:hAnsi="思源黑体 CN Light" w:cs="Times New Roman" w:hint="eastAsia"/>
          <w:color w:val="000000"/>
          <w:sz w:val="21"/>
          <w:szCs w:val="20"/>
          <w:shd w:val="clear" w:color="auto" w:fill="FFFFFF"/>
        </w:rPr>
        <w:t>侧改革</w:t>
      </w:r>
      <w:proofErr w:type="gramEnd"/>
      <w:r>
        <w:rPr>
          <w:rFonts w:ascii="思源黑体 CN Light" w:eastAsia="思源黑体 CN Light" w:hAnsi="思源黑体 CN Light" w:cs="Times New Roman" w:hint="eastAsia"/>
          <w:color w:val="000000"/>
          <w:sz w:val="21"/>
          <w:szCs w:val="20"/>
          <w:shd w:val="clear" w:color="auto" w:fill="FFFFFF"/>
        </w:rPr>
        <w:t>的联想。我们认为目前市场处于主题投资起预期阶段，短期仍存在持续挖掘的机会，建议重点关注价格弹性大的品种。</w:t>
      </w:r>
    </w:p>
    <w:p w14:paraId="13B8FF5A" w14:textId="35D516DC" w:rsidR="00D71E9E"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进一步来看，近期海外和国内AI产业链的股价剪刀差持续扩大。但我们认为随着中美关税谈判的推进，部分芯片可能解禁，同时伴随着国内模型的持续迭代，互联网平台的资本开支可能重新上行，国内AI算力、应用也有望迎来向上预期。</w:t>
      </w:r>
    </w:p>
    <w:p w14:paraId="41C1CF25" w14:textId="77777777" w:rsidR="00D71E9E"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短期市场成交额持续放大，做多动能正在积聚。我们建议稳中求进，行业重点关注：1、成长赛道，如AI应用、半导体、医药等板块；2、底部区间有拐点预期的板块，如证券、电新、消费等。</w:t>
      </w:r>
    </w:p>
    <w:p w14:paraId="54BCE893" w14:textId="77777777" w:rsidR="00D71E9E" w:rsidRDefault="00D71E9E">
      <w:pPr>
        <w:ind w:firstLineChars="200" w:firstLine="420"/>
        <w:rPr>
          <w:rFonts w:ascii="思源黑体 CN Light" w:eastAsia="思源黑体 CN Light" w:hAnsi="思源黑体 CN Light" w:cs="Times New Roman" w:hint="eastAsia"/>
          <w:color w:val="000000"/>
          <w:sz w:val="21"/>
          <w:szCs w:val="20"/>
          <w:shd w:val="clear" w:color="auto" w:fill="FFFFFF"/>
        </w:rPr>
      </w:pPr>
    </w:p>
    <w:p w14:paraId="6CA2F5EE" w14:textId="77777777" w:rsidR="00D71E9E" w:rsidRPr="00EC03BF" w:rsidRDefault="00D71E9E">
      <w:pPr>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2"/>
    <w:p w14:paraId="42C18A8C" w14:textId="77777777" w:rsidR="00D71E9E" w:rsidRDefault="00D71E9E">
      <w:pPr>
        <w:rPr>
          <w:rFonts w:ascii="思源黑体 CN Light" w:eastAsia="思源黑体 CN Light" w:hAnsi="思源黑体 CN Light" w:cs="Times New Roman" w:hint="eastAsia"/>
          <w:color w:val="000000"/>
          <w:sz w:val="21"/>
          <w:szCs w:val="20"/>
          <w:shd w:val="clear" w:color="auto" w:fill="FFFFFF"/>
        </w:rPr>
      </w:pPr>
    </w:p>
    <w:p w14:paraId="15ECE3AB" w14:textId="77777777" w:rsidR="00D71E9E" w:rsidRDefault="00D71E9E">
      <w:pPr>
        <w:pStyle w:val="af3"/>
        <w:ind w:firstLineChars="0" w:firstLine="0"/>
        <w:rPr>
          <w:rFonts w:ascii="思源黑体 CN Light" w:eastAsia="思源黑体 CN Light" w:hAnsi="思源黑体 CN Light" w:cs="Times New Roman" w:hint="eastAsia"/>
          <w:sz w:val="20"/>
          <w:szCs w:val="20"/>
        </w:rPr>
      </w:pPr>
    </w:p>
    <w:p w14:paraId="3BE6E38C" w14:textId="77777777" w:rsidR="00D71E9E"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5DD3EF8C" w14:textId="77777777" w:rsidR="00D71E9E" w:rsidRDefault="00D71E9E">
      <w:pPr>
        <w:rPr>
          <w:rFonts w:hint="eastAsia"/>
        </w:rPr>
      </w:pPr>
    </w:p>
    <w:sectPr w:rsidR="00D71E9E">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1A157" w14:textId="77777777" w:rsidR="00377FBF" w:rsidRDefault="00377FBF">
      <w:pPr>
        <w:spacing w:line="240" w:lineRule="auto"/>
        <w:rPr>
          <w:rFonts w:hint="eastAsia"/>
        </w:rPr>
      </w:pPr>
      <w:r>
        <w:separator/>
      </w:r>
    </w:p>
  </w:endnote>
  <w:endnote w:type="continuationSeparator" w:id="0">
    <w:p w14:paraId="37DFAA1E" w14:textId="77777777" w:rsidR="00377FBF" w:rsidRDefault="00377FBF">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8C61F" w14:textId="77777777" w:rsidR="00D71E9E" w:rsidRDefault="00000000">
    <w:pPr>
      <w:pStyle w:val="a4"/>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4AC56EFA" w14:textId="77777777" w:rsidR="00D71E9E" w:rsidRDefault="00D71E9E">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DDBC0" w14:textId="77777777" w:rsidR="00377FBF" w:rsidRDefault="00377FBF">
      <w:pPr>
        <w:rPr>
          <w:rFonts w:hint="eastAsia"/>
        </w:rPr>
      </w:pPr>
      <w:r>
        <w:separator/>
      </w:r>
    </w:p>
  </w:footnote>
  <w:footnote w:type="continuationSeparator" w:id="0">
    <w:p w14:paraId="64A4CE4A" w14:textId="77777777" w:rsidR="00377FBF" w:rsidRDefault="00377FBF">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d"/>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D71E9E" w14:paraId="6A6F9B36" w14:textId="77777777">
      <w:trPr>
        <w:trHeight w:val="424"/>
      </w:trPr>
      <w:tc>
        <w:tcPr>
          <w:tcW w:w="3652" w:type="dxa"/>
          <w:shd w:val="clear" w:color="auto" w:fill="F3F3F3"/>
          <w:vAlign w:val="center"/>
        </w:tcPr>
        <w:p w14:paraId="08D0E87F" w14:textId="77777777" w:rsidR="00D71E9E" w:rsidRDefault="00000000">
          <w:pPr>
            <w:pStyle w:val="a6"/>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517414B2" w14:textId="77777777" w:rsidR="00D71E9E" w:rsidRDefault="00D71E9E">
          <w:pPr>
            <w:pStyle w:val="a6"/>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6D4AD238" w14:textId="77777777" w:rsidR="00D71E9E" w:rsidRDefault="00000000">
          <w:pPr>
            <w:pStyle w:val="a6"/>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56A263F9" w14:textId="77777777" w:rsidR="00D71E9E" w:rsidRDefault="00000000">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606C85F5" wp14:editId="3E5BF0D4">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1A0"/>
    <w:rsid w:val="00082859"/>
    <w:rsid w:val="0009182E"/>
    <w:rsid w:val="002F63B0"/>
    <w:rsid w:val="00377FBF"/>
    <w:rsid w:val="00460E2E"/>
    <w:rsid w:val="006D3E7C"/>
    <w:rsid w:val="00852735"/>
    <w:rsid w:val="008936B5"/>
    <w:rsid w:val="00AD2E64"/>
    <w:rsid w:val="00C66EBF"/>
    <w:rsid w:val="00D71E9E"/>
    <w:rsid w:val="00D921A0"/>
    <w:rsid w:val="00E27C8B"/>
    <w:rsid w:val="00EC03BF"/>
    <w:rsid w:val="00F60FA5"/>
    <w:rsid w:val="66E76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E8CF702-DC66-4D3B-9310-FF92B8662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Normal (Web)"/>
    <w:basedOn w:val="a"/>
    <w:uiPriority w:val="99"/>
    <w:semiHidden/>
    <w:unhideWhenUsed/>
    <w:rPr>
      <w:rFonts w:ascii="Times New Roman" w:hAnsi="Times New Roman" w:cs="Times New Roman"/>
      <w:szCs w:val="24"/>
    </w:rPr>
  </w:style>
  <w:style w:type="paragraph" w:styleId="ab">
    <w:name w:val="Title"/>
    <w:basedOn w:val="a"/>
    <w:next w:val="a"/>
    <w:link w:val="ac"/>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d">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c">
    <w:name w:val="标题 字符"/>
    <w:basedOn w:val="a0"/>
    <w:link w:val="ab"/>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qFormat/>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5">
    <w:name w:val="页脚 字符"/>
    <w:basedOn w:val="a0"/>
    <w:link w:val="a4"/>
    <w:uiPriority w:val="99"/>
    <w:qFormat/>
    <w:rPr>
      <w:sz w:val="18"/>
      <w:szCs w:val="18"/>
      <w14:ligatures w14:val="none"/>
    </w:rPr>
  </w:style>
  <w:style w:type="character" w:customStyle="1" w:styleId="a7">
    <w:name w:val="页眉 字符"/>
    <w:basedOn w:val="a0"/>
    <w:link w:val="a6"/>
    <w:uiPriority w:val="99"/>
    <w:qFormat/>
    <w:rPr>
      <w:sz w:val="18"/>
      <w:szCs w:val="18"/>
      <w14:ligatures w14:val="none"/>
    </w:rPr>
  </w:style>
  <w:style w:type="paragraph" w:styleId="af3">
    <w:name w:val="No Spacing"/>
    <w:basedOn w:val="aa"/>
    <w:link w:val="af4"/>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4">
    <w:name w:val="无间隔 字符"/>
    <w:basedOn w:val="a0"/>
    <w:link w:val="af3"/>
    <w:uiPriority w:val="1"/>
    <w:qFormat/>
    <w:rPr>
      <w:kern w:val="0"/>
      <w:sz w:val="24"/>
      <w:szCs w:val="22"/>
      <w:shd w:val="clear" w:color="auto" w:fill="FFFFFF"/>
      <w14:ligatures w14:val="none"/>
    </w:rPr>
  </w:style>
  <w:style w:type="character" w:styleId="af5">
    <w:name w:val="annotation reference"/>
    <w:basedOn w:val="a0"/>
    <w:uiPriority w:val="99"/>
    <w:semiHidden/>
    <w:unhideWhenUsed/>
    <w:rPr>
      <w:sz w:val="21"/>
      <w:szCs w:val="21"/>
    </w:rPr>
  </w:style>
  <w:style w:type="paragraph" w:styleId="af6">
    <w:name w:val="Revision"/>
    <w:hidden/>
    <w:uiPriority w:val="99"/>
    <w:unhideWhenUsed/>
    <w:rsid w:val="008936B5"/>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3</Pages>
  <Words>613</Words>
  <Characters>718</Characters>
  <Application>Microsoft Office Word</Application>
  <DocSecurity>0</DocSecurity>
  <Lines>23</Lines>
  <Paragraphs>16</Paragraphs>
  <ScaleCrop>false</ScaleCrop>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2025-07-14T05:52:00Z</dcterms:created>
  <dcterms:modified xsi:type="dcterms:W3CDTF">2025-07-14T08:52:00Z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61D82273830B4A2DB11A974C3597099B_12</vt:lpwstr>
  </property>
</Properties>
</file>