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42E48B" w14:textId="77777777" w:rsidR="009A7A59" w:rsidRDefault="009A7A59">
      <w:pPr>
        <w:spacing w:line="360" w:lineRule="auto"/>
        <w:jc w:val="center"/>
        <w:rPr>
          <w:sz w:val="48"/>
          <w:szCs w:val="48"/>
        </w:rPr>
      </w:pPr>
    </w:p>
    <w:p w14:paraId="1446578E" w14:textId="77777777" w:rsidR="009A7A59" w:rsidRDefault="009A7A59">
      <w:pPr>
        <w:spacing w:line="360" w:lineRule="auto"/>
        <w:jc w:val="center"/>
        <w:rPr>
          <w:sz w:val="48"/>
          <w:szCs w:val="48"/>
        </w:rPr>
      </w:pPr>
    </w:p>
    <w:p w14:paraId="699998C2" w14:textId="77777777" w:rsidR="009A7A59" w:rsidRDefault="009A7A59">
      <w:pPr>
        <w:spacing w:line="360" w:lineRule="auto"/>
        <w:jc w:val="center"/>
        <w:rPr>
          <w:sz w:val="48"/>
          <w:szCs w:val="48"/>
        </w:rPr>
      </w:pPr>
    </w:p>
    <w:p w14:paraId="448630D4" w14:textId="77777777" w:rsidR="009A7A59" w:rsidRDefault="009A7A59">
      <w:pPr>
        <w:spacing w:line="360" w:lineRule="auto"/>
        <w:jc w:val="center"/>
        <w:rPr>
          <w:sz w:val="48"/>
          <w:szCs w:val="48"/>
        </w:rPr>
      </w:pPr>
    </w:p>
    <w:p w14:paraId="6B0C137F" w14:textId="77777777" w:rsidR="009A7A59" w:rsidRDefault="009A7A59">
      <w:pPr>
        <w:spacing w:line="360" w:lineRule="auto"/>
        <w:jc w:val="center"/>
        <w:rPr>
          <w:sz w:val="48"/>
          <w:szCs w:val="48"/>
        </w:rPr>
      </w:pPr>
    </w:p>
    <w:p w14:paraId="4954F136" w14:textId="77777777" w:rsidR="009A7A59" w:rsidRDefault="00000000">
      <w:pPr>
        <w:spacing w:line="360" w:lineRule="auto"/>
        <w:jc w:val="center"/>
        <w:rPr>
          <w:b/>
          <w:sz w:val="48"/>
          <w:szCs w:val="48"/>
        </w:rPr>
      </w:pPr>
      <w:r>
        <w:rPr>
          <w:b/>
          <w:sz w:val="48"/>
          <w:szCs w:val="48"/>
        </w:rPr>
        <w:t>富荣富</w:t>
      </w:r>
      <w:proofErr w:type="gramStart"/>
      <w:r>
        <w:rPr>
          <w:b/>
          <w:sz w:val="48"/>
          <w:szCs w:val="48"/>
        </w:rPr>
        <w:t>兴纯债</w:t>
      </w:r>
      <w:proofErr w:type="gramEnd"/>
      <w:r>
        <w:rPr>
          <w:b/>
          <w:sz w:val="48"/>
          <w:szCs w:val="48"/>
        </w:rPr>
        <w:t>债券型证券投资基金</w:t>
      </w:r>
    </w:p>
    <w:p w14:paraId="5AB68B0B" w14:textId="77777777" w:rsidR="009A7A59" w:rsidRDefault="00000000">
      <w:pPr>
        <w:spacing w:line="360" w:lineRule="auto"/>
        <w:jc w:val="center"/>
        <w:rPr>
          <w:b/>
          <w:sz w:val="48"/>
          <w:szCs w:val="48"/>
        </w:rPr>
      </w:pPr>
      <w:r>
        <w:rPr>
          <w:rFonts w:hint="eastAsia"/>
          <w:b/>
          <w:sz w:val="48"/>
          <w:szCs w:val="48"/>
        </w:rPr>
        <w:t>更新的</w:t>
      </w:r>
      <w:r>
        <w:rPr>
          <w:b/>
          <w:sz w:val="48"/>
          <w:szCs w:val="48"/>
        </w:rPr>
        <w:t>招募说明书</w:t>
      </w:r>
    </w:p>
    <w:p w14:paraId="28010A73" w14:textId="44CDFC3D" w:rsidR="009A7A59" w:rsidRDefault="00000000">
      <w:pPr>
        <w:spacing w:line="360" w:lineRule="auto"/>
        <w:jc w:val="center"/>
        <w:rPr>
          <w:b/>
          <w:sz w:val="48"/>
          <w:szCs w:val="48"/>
        </w:rPr>
      </w:pPr>
      <w:r>
        <w:rPr>
          <w:rFonts w:hint="eastAsia"/>
          <w:b/>
          <w:sz w:val="48"/>
          <w:szCs w:val="48"/>
        </w:rPr>
        <w:t>（</w:t>
      </w:r>
      <w:r>
        <w:rPr>
          <w:rFonts w:hint="eastAsia"/>
          <w:b/>
          <w:sz w:val="48"/>
          <w:szCs w:val="48"/>
        </w:rPr>
        <w:t>2025</w:t>
      </w:r>
      <w:r>
        <w:rPr>
          <w:rFonts w:hint="eastAsia"/>
          <w:b/>
          <w:sz w:val="48"/>
          <w:szCs w:val="48"/>
        </w:rPr>
        <w:t>年第</w:t>
      </w:r>
      <w:r>
        <w:rPr>
          <w:rFonts w:hint="eastAsia"/>
          <w:b/>
          <w:sz w:val="48"/>
          <w:szCs w:val="48"/>
        </w:rPr>
        <w:t>4</w:t>
      </w:r>
      <w:r>
        <w:rPr>
          <w:rFonts w:hint="eastAsia"/>
          <w:b/>
          <w:sz w:val="48"/>
          <w:szCs w:val="48"/>
        </w:rPr>
        <w:t>号）</w:t>
      </w:r>
    </w:p>
    <w:p w14:paraId="4AFAB55E" w14:textId="77777777" w:rsidR="009A7A59" w:rsidRDefault="009A7A59">
      <w:pPr>
        <w:spacing w:line="360" w:lineRule="auto"/>
        <w:jc w:val="center"/>
        <w:rPr>
          <w:sz w:val="48"/>
          <w:szCs w:val="48"/>
        </w:rPr>
      </w:pPr>
    </w:p>
    <w:p w14:paraId="0F0CBDF4" w14:textId="77777777" w:rsidR="009A7A59" w:rsidRDefault="009A7A59">
      <w:pPr>
        <w:spacing w:line="360" w:lineRule="auto"/>
        <w:jc w:val="center"/>
        <w:rPr>
          <w:sz w:val="48"/>
          <w:szCs w:val="48"/>
        </w:rPr>
      </w:pPr>
    </w:p>
    <w:p w14:paraId="76DFF535" w14:textId="77777777" w:rsidR="009A7A59" w:rsidRDefault="009A7A59">
      <w:pPr>
        <w:spacing w:line="360" w:lineRule="auto"/>
        <w:jc w:val="center"/>
        <w:rPr>
          <w:sz w:val="48"/>
          <w:szCs w:val="48"/>
        </w:rPr>
      </w:pPr>
    </w:p>
    <w:p w14:paraId="08CEDB9B" w14:textId="77777777" w:rsidR="009A7A59" w:rsidRDefault="009A7A59">
      <w:pPr>
        <w:spacing w:line="360" w:lineRule="auto"/>
        <w:jc w:val="center"/>
        <w:rPr>
          <w:sz w:val="48"/>
          <w:szCs w:val="48"/>
        </w:rPr>
      </w:pPr>
    </w:p>
    <w:p w14:paraId="02CB8BC6" w14:textId="77777777" w:rsidR="009A7A59" w:rsidRDefault="00000000">
      <w:pPr>
        <w:snapToGrid w:val="0"/>
        <w:spacing w:line="360" w:lineRule="auto"/>
        <w:jc w:val="center"/>
        <w:rPr>
          <w:rFonts w:ascii="Arial Unicode MS" w:hAnsi="Arial Unicode MS" w:cs="Arial" w:hint="eastAsia"/>
          <w:b/>
          <w:sz w:val="30"/>
          <w:szCs w:val="30"/>
        </w:rPr>
      </w:pPr>
      <w:r>
        <w:rPr>
          <w:rFonts w:ascii="Arial Unicode MS" w:hAnsi="Arial Unicode MS" w:cs="Arial"/>
          <w:b/>
          <w:sz w:val="30"/>
          <w:szCs w:val="30"/>
        </w:rPr>
        <w:t>基金管理人：富</w:t>
      </w:r>
      <w:proofErr w:type="gramStart"/>
      <w:r>
        <w:rPr>
          <w:rFonts w:ascii="Arial Unicode MS" w:hAnsi="Arial Unicode MS" w:cs="Arial"/>
          <w:b/>
          <w:sz w:val="30"/>
          <w:szCs w:val="30"/>
        </w:rPr>
        <w:t>荣基金</w:t>
      </w:r>
      <w:proofErr w:type="gramEnd"/>
      <w:r>
        <w:rPr>
          <w:rFonts w:ascii="Arial Unicode MS" w:hAnsi="Arial Unicode MS" w:cs="Arial"/>
          <w:b/>
          <w:sz w:val="30"/>
          <w:szCs w:val="30"/>
        </w:rPr>
        <w:t>管理有限公司</w:t>
      </w:r>
    </w:p>
    <w:p w14:paraId="55BDE2D3" w14:textId="77777777" w:rsidR="009A7A59" w:rsidRDefault="00000000">
      <w:pPr>
        <w:snapToGrid w:val="0"/>
        <w:spacing w:line="360" w:lineRule="auto"/>
        <w:jc w:val="center"/>
        <w:rPr>
          <w:rFonts w:ascii="Arial Unicode MS" w:hAnsi="Arial Unicode MS" w:cs="Arial" w:hint="eastAsia"/>
          <w:b/>
          <w:bCs/>
          <w:sz w:val="28"/>
          <w:szCs w:val="28"/>
        </w:rPr>
      </w:pPr>
      <w:r>
        <w:rPr>
          <w:rFonts w:ascii="Arial Unicode MS" w:hAnsi="Arial Unicode MS" w:cs="Arial"/>
          <w:b/>
          <w:sz w:val="30"/>
          <w:szCs w:val="30"/>
        </w:rPr>
        <w:t>基金托管人：</w:t>
      </w:r>
      <w:r>
        <w:rPr>
          <w:rFonts w:ascii="Arial Unicode MS" w:hAnsi="Arial Unicode MS" w:cs="Arial" w:hint="eastAsia"/>
          <w:b/>
          <w:sz w:val="30"/>
          <w:szCs w:val="30"/>
        </w:rPr>
        <w:t>中国建设银行股份有限公司</w:t>
      </w:r>
    </w:p>
    <w:p w14:paraId="70B3A5D3" w14:textId="77777777" w:rsidR="009A7A59" w:rsidRDefault="00000000">
      <w:pPr>
        <w:spacing w:line="360" w:lineRule="auto"/>
        <w:jc w:val="center"/>
        <w:rPr>
          <w:rFonts w:ascii="宋体" w:hAnsi="宋体" w:hint="eastAsia"/>
          <w:color w:val="000000"/>
          <w:sz w:val="30"/>
          <w:szCs w:val="30"/>
        </w:rPr>
      </w:pPr>
      <w:r>
        <w:rPr>
          <w:rFonts w:ascii="Arial Unicode MS" w:hAnsi="Arial Unicode MS" w:cs="Arial"/>
          <w:sz w:val="30"/>
          <w:szCs w:val="30"/>
        </w:rPr>
        <w:tab/>
      </w:r>
    </w:p>
    <w:p w14:paraId="36ED7315" w14:textId="77777777" w:rsidR="009A7A59" w:rsidRDefault="009A7A59">
      <w:pPr>
        <w:spacing w:line="360" w:lineRule="auto"/>
        <w:jc w:val="center"/>
        <w:rPr>
          <w:b/>
          <w:sz w:val="36"/>
          <w:szCs w:val="20"/>
        </w:rPr>
      </w:pPr>
    </w:p>
    <w:p w14:paraId="4E64C7F7" w14:textId="77777777" w:rsidR="009A7A59" w:rsidRDefault="009A7A59">
      <w:pPr>
        <w:rPr>
          <w:rFonts w:ascii="Arial Unicode MS" w:hAnsi="Arial Unicode MS" w:cs="Arial" w:hint="eastAsia"/>
          <w:sz w:val="28"/>
          <w:szCs w:val="28"/>
        </w:rPr>
        <w:sectPr w:rsidR="009A7A59">
          <w:headerReference w:type="even" r:id="rId21"/>
          <w:headerReference w:type="default" r:id="rId22"/>
          <w:footerReference w:type="even" r:id="rId23"/>
          <w:footerReference w:type="default" r:id="rId24"/>
          <w:headerReference w:type="first" r:id="rId25"/>
          <w:footerReference w:type="first" r:id="rId26"/>
          <w:pgSz w:w="11906" w:h="16838"/>
          <w:pgMar w:top="1440" w:right="1800" w:bottom="1440" w:left="1800" w:header="851" w:footer="992" w:gutter="0"/>
          <w:cols w:space="720"/>
          <w:titlePg/>
          <w:docGrid w:linePitch="312"/>
        </w:sectPr>
      </w:pPr>
    </w:p>
    <w:p w14:paraId="0B5838AF" w14:textId="77777777" w:rsidR="009A7A59" w:rsidRDefault="00000000">
      <w:pPr>
        <w:autoSpaceDE w:val="0"/>
        <w:autoSpaceDN w:val="0"/>
        <w:adjustRightInd w:val="0"/>
        <w:snapToGrid w:val="0"/>
        <w:spacing w:line="360" w:lineRule="auto"/>
        <w:ind w:firstLineChars="200" w:firstLine="562"/>
        <w:jc w:val="center"/>
        <w:rPr>
          <w:rFonts w:ascii="Arial Unicode MS" w:hAnsi="Arial Unicode MS" w:cs="Arial" w:hint="eastAsia"/>
          <w:b/>
          <w:bCs/>
          <w:sz w:val="28"/>
          <w:szCs w:val="28"/>
        </w:rPr>
      </w:pPr>
      <w:r>
        <w:rPr>
          <w:rFonts w:ascii="Arial Unicode MS" w:hAnsi="Arial Unicode MS" w:cs="Arial"/>
          <w:b/>
          <w:bCs/>
          <w:sz w:val="28"/>
          <w:szCs w:val="28"/>
        </w:rPr>
        <w:lastRenderedPageBreak/>
        <w:t>【重要提示】</w:t>
      </w:r>
    </w:p>
    <w:p w14:paraId="52833EE8" w14:textId="77777777" w:rsidR="009A7A59" w:rsidRDefault="00000000">
      <w:pPr>
        <w:spacing w:line="360" w:lineRule="auto"/>
        <w:ind w:firstLineChars="200" w:firstLine="420"/>
      </w:pPr>
      <w:r>
        <w:rPr>
          <w:rFonts w:hint="eastAsia"/>
        </w:rPr>
        <w:t>1</w:t>
      </w:r>
      <w:r>
        <w:rPr>
          <w:rFonts w:hint="eastAsia"/>
        </w:rPr>
        <w:t>、本基金根据</w:t>
      </w:r>
      <w:r>
        <w:rPr>
          <w:rFonts w:hint="eastAsia"/>
        </w:rPr>
        <w:t>201</w:t>
      </w:r>
      <w:r>
        <w:t>6</w:t>
      </w:r>
      <w:r>
        <w:rPr>
          <w:rFonts w:hint="eastAsia"/>
        </w:rPr>
        <w:t>年</w:t>
      </w:r>
      <w:r>
        <w:rPr>
          <w:rFonts w:hint="eastAsia"/>
        </w:rPr>
        <w:t>11</w:t>
      </w:r>
      <w:r>
        <w:rPr>
          <w:rFonts w:hint="eastAsia"/>
        </w:rPr>
        <w:t>月</w:t>
      </w:r>
      <w:r>
        <w:t>7</w:t>
      </w:r>
      <w:r>
        <w:rPr>
          <w:rFonts w:hint="eastAsia"/>
        </w:rPr>
        <w:t>日中国证券监督管理委员会（以下简称“中国证监会”）《关于准予富荣富兴纯债债券型证券投资基金注册的批复》（证监许可【</w:t>
      </w:r>
      <w:r>
        <w:t>2016</w:t>
      </w:r>
      <w:r>
        <w:rPr>
          <w:rFonts w:hint="eastAsia"/>
        </w:rPr>
        <w:t>】</w:t>
      </w:r>
      <w:r>
        <w:t>2526</w:t>
      </w:r>
      <w:r>
        <w:rPr>
          <w:rFonts w:hint="eastAsia"/>
        </w:rPr>
        <w:t>号）进行募集。</w:t>
      </w:r>
      <w:r>
        <w:rPr>
          <w:rFonts w:hint="eastAsia"/>
        </w:rPr>
        <w:t>2021</w:t>
      </w:r>
      <w:r>
        <w:rPr>
          <w:rFonts w:hint="eastAsia"/>
        </w:rPr>
        <w:t>年</w:t>
      </w:r>
      <w:r>
        <w:rPr>
          <w:rFonts w:hint="eastAsia"/>
        </w:rPr>
        <w:t>2</w:t>
      </w:r>
      <w:r>
        <w:rPr>
          <w:rFonts w:hint="eastAsia"/>
        </w:rPr>
        <w:t>月</w:t>
      </w:r>
      <w:r>
        <w:rPr>
          <w:rFonts w:hint="eastAsia"/>
        </w:rPr>
        <w:t>7</w:t>
      </w:r>
      <w:r>
        <w:rPr>
          <w:rFonts w:hint="eastAsia"/>
        </w:rPr>
        <w:t>日由中国证监会指定中国建设银行股份有限公司为本基金临时基金托管人。</w:t>
      </w:r>
    </w:p>
    <w:p w14:paraId="10112001" w14:textId="77777777" w:rsidR="009A7A59" w:rsidRDefault="00000000">
      <w:pPr>
        <w:spacing w:line="360" w:lineRule="auto"/>
        <w:ind w:firstLineChars="200" w:firstLine="420"/>
      </w:pPr>
      <w:r>
        <w:rPr>
          <w:rFonts w:hint="eastAsia"/>
        </w:rPr>
        <w:t>2021</w:t>
      </w:r>
      <w:r>
        <w:rPr>
          <w:rFonts w:hint="eastAsia"/>
        </w:rPr>
        <w:t>年</w:t>
      </w:r>
      <w:r>
        <w:t>5</w:t>
      </w:r>
      <w:r>
        <w:rPr>
          <w:rFonts w:hint="eastAsia"/>
        </w:rPr>
        <w:t>月</w:t>
      </w:r>
      <w:r>
        <w:rPr>
          <w:rFonts w:hint="eastAsia"/>
        </w:rPr>
        <w:t>1</w:t>
      </w:r>
      <w:r>
        <w:t>5</w:t>
      </w:r>
      <w:r>
        <w:rPr>
          <w:rFonts w:hint="eastAsia"/>
        </w:rPr>
        <w:t>日至</w:t>
      </w:r>
      <w:r>
        <w:rPr>
          <w:rFonts w:hint="eastAsia"/>
        </w:rPr>
        <w:t>2021</w:t>
      </w:r>
      <w:r>
        <w:rPr>
          <w:rFonts w:hint="eastAsia"/>
        </w:rPr>
        <w:t>年</w:t>
      </w:r>
      <w:r>
        <w:t>6</w:t>
      </w:r>
      <w:r>
        <w:rPr>
          <w:rFonts w:hint="eastAsia"/>
        </w:rPr>
        <w:t>月</w:t>
      </w:r>
      <w:r>
        <w:rPr>
          <w:rFonts w:hint="eastAsia"/>
        </w:rPr>
        <w:t>1</w:t>
      </w:r>
      <w:r>
        <w:t>4</w:t>
      </w:r>
      <w:r>
        <w:rPr>
          <w:rFonts w:hint="eastAsia"/>
        </w:rPr>
        <w:t>日富荣富</w:t>
      </w:r>
      <w:proofErr w:type="gramStart"/>
      <w:r>
        <w:rPr>
          <w:rFonts w:hint="eastAsia"/>
        </w:rPr>
        <w:t>兴纯债</w:t>
      </w:r>
      <w:proofErr w:type="gramEnd"/>
      <w:r>
        <w:rPr>
          <w:rFonts w:hint="eastAsia"/>
        </w:rPr>
        <w:t>债券型证券投资基金召开基金份额持有人大会，会议审议通过了《关于富荣富兴纯债债券型证券投资基金更换基金托管人等并修改法律文件等有关事项的议案》，主要内容为富荣富</w:t>
      </w:r>
      <w:proofErr w:type="gramStart"/>
      <w:r>
        <w:rPr>
          <w:rFonts w:hint="eastAsia"/>
        </w:rPr>
        <w:t>兴纯债</w:t>
      </w:r>
      <w:proofErr w:type="gramEnd"/>
      <w:r>
        <w:rPr>
          <w:rFonts w:hint="eastAsia"/>
        </w:rPr>
        <w:t>债券型证券投资基金更换基金托管人为中国建设银行股份有限公司并相应修订基金合同，上述基金份额持有人大会决议自表决通过之日起生效。</w:t>
      </w:r>
    </w:p>
    <w:p w14:paraId="7C05720B" w14:textId="77777777" w:rsidR="009A7A59" w:rsidRDefault="00000000">
      <w:pPr>
        <w:spacing w:line="360" w:lineRule="auto"/>
        <w:ind w:firstLineChars="200" w:firstLine="420"/>
      </w:pPr>
      <w:r>
        <w:rPr>
          <w:rFonts w:hint="eastAsia"/>
        </w:rPr>
        <w:t>自</w:t>
      </w:r>
      <w:r>
        <w:rPr>
          <w:rFonts w:hint="eastAsia"/>
        </w:rPr>
        <w:t>2021</w:t>
      </w:r>
      <w:r>
        <w:rPr>
          <w:rFonts w:hint="eastAsia"/>
        </w:rPr>
        <w:t>年</w:t>
      </w:r>
      <w:r>
        <w:t>6</w:t>
      </w:r>
      <w:r>
        <w:rPr>
          <w:rFonts w:hint="eastAsia"/>
        </w:rPr>
        <w:t>月</w:t>
      </w:r>
      <w:r>
        <w:t>16</w:t>
      </w:r>
      <w:r>
        <w:rPr>
          <w:rFonts w:hint="eastAsia"/>
        </w:rPr>
        <w:t>日起，原《富荣富兴纯债债券型证券投资基金基金合同》失效，更换基金托管人后的《富荣富兴纯债债券型证券投资基金基金合同》生效。</w:t>
      </w:r>
    </w:p>
    <w:p w14:paraId="77F50C39" w14:textId="77777777" w:rsidR="009A7A59" w:rsidRDefault="00000000">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w:t>
      </w:r>
      <w:r>
        <w:rPr>
          <w:rFonts w:hint="eastAsia"/>
          <w:bCs/>
        </w:rPr>
        <w:t>及后续变更的注册</w:t>
      </w:r>
      <w:r>
        <w:rPr>
          <w:rFonts w:hint="eastAsia"/>
        </w:rPr>
        <w:t>，并不表明其对本基金的投资价值和市场前景</w:t>
      </w:r>
      <w:proofErr w:type="gramStart"/>
      <w:r>
        <w:rPr>
          <w:rFonts w:hint="eastAsia"/>
        </w:rPr>
        <w:t>作出</w:t>
      </w:r>
      <w:proofErr w:type="gramEnd"/>
      <w:r>
        <w:rPr>
          <w:rFonts w:hint="eastAsia"/>
        </w:rPr>
        <w:t>实质性判断或保证，也不表明投资于本基金没有风险。</w:t>
      </w:r>
    </w:p>
    <w:p w14:paraId="0EE2ED35" w14:textId="77777777" w:rsidR="009A7A59" w:rsidRDefault="00000000">
      <w:pPr>
        <w:spacing w:line="360" w:lineRule="auto"/>
        <w:ind w:firstLineChars="200" w:firstLine="420"/>
      </w:pPr>
      <w:r>
        <w:t>3</w:t>
      </w:r>
      <w:r>
        <w:rPr>
          <w:rFonts w:hint="eastAsia"/>
        </w:rPr>
        <w:t>、投资有风险，投资者认购（或申购）基金份额时应认真阅读基金合同、本招募说明书、基金产品资料概要等信息披露文件，自主判断基金的投资价值，全面认识本基金的风险收益特征，应充分考虑投资者自身的风险承受能力，并对认购（或申购）基金的意愿、时机、数量等投资行为</w:t>
      </w:r>
      <w:proofErr w:type="gramStart"/>
      <w:r>
        <w:rPr>
          <w:rFonts w:hint="eastAsia"/>
        </w:rPr>
        <w:t>作出</w:t>
      </w:r>
      <w:proofErr w:type="gramEnd"/>
      <w:r>
        <w:rPr>
          <w:rFonts w:hint="eastAsia"/>
        </w:rPr>
        <w:t>独立决策。基金管理人提醒投资者基金投资的“买者自负”原则，在投资者</w:t>
      </w:r>
      <w:proofErr w:type="gramStart"/>
      <w:r>
        <w:rPr>
          <w:rFonts w:hint="eastAsia"/>
        </w:rPr>
        <w:t>作出</w:t>
      </w:r>
      <w:proofErr w:type="gramEnd"/>
      <w:r>
        <w:rPr>
          <w:rFonts w:hint="eastAsia"/>
        </w:rPr>
        <w:t>投资决策后，基金运营状况与基金净值变化导致的投资风险，由投资者自行负担。</w:t>
      </w:r>
    </w:p>
    <w:p w14:paraId="32B2BF87" w14:textId="77777777" w:rsidR="009A7A59" w:rsidRDefault="00000000">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0E6A7D81" w14:textId="77777777" w:rsidR="009A7A59" w:rsidRDefault="00000000">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14:paraId="265D8113" w14:textId="77777777" w:rsidR="009A7A59" w:rsidRDefault="00000000">
      <w:pPr>
        <w:spacing w:line="360" w:lineRule="auto"/>
        <w:ind w:firstLineChars="200" w:firstLine="420"/>
      </w:pPr>
      <w:r>
        <w:t>6</w:t>
      </w:r>
      <w:r>
        <w:rPr>
          <w:rFonts w:hint="eastAsia"/>
        </w:rPr>
        <w:t>、本基金的投资范围主要为具有良好流动性的金融工具，包括国债、金融债、企业债、公司债、央行票据、中期票据、短期融资</w:t>
      </w:r>
      <w:proofErr w:type="gramStart"/>
      <w:r>
        <w:rPr>
          <w:rFonts w:hint="eastAsia"/>
        </w:rPr>
        <w:t>券</w:t>
      </w:r>
      <w:proofErr w:type="gramEnd"/>
      <w:r>
        <w:rPr>
          <w:rFonts w:hint="eastAsia"/>
        </w:rPr>
        <w:t>、资产支持证券、次级债、可分离交易可转债</w:t>
      </w:r>
      <w:proofErr w:type="gramStart"/>
      <w:r>
        <w:rPr>
          <w:rFonts w:hint="eastAsia"/>
        </w:rPr>
        <w:t>的纯债部分</w:t>
      </w:r>
      <w:proofErr w:type="gramEnd"/>
      <w:r>
        <w:rPr>
          <w:rFonts w:hint="eastAsia"/>
        </w:rPr>
        <w:t>、债券回购、银行存款等法律法规或中国证监会允许基金投资的其他金融工具（但须符合中国证监会的相关规定）。</w:t>
      </w:r>
    </w:p>
    <w:p w14:paraId="6C2D8D1E" w14:textId="77777777" w:rsidR="009A7A59" w:rsidRDefault="00000000">
      <w:pPr>
        <w:spacing w:line="360" w:lineRule="auto"/>
        <w:ind w:firstLineChars="200" w:firstLine="420"/>
      </w:pPr>
      <w:r>
        <w:rPr>
          <w:rFonts w:hint="eastAsia"/>
        </w:rPr>
        <w:t>本基金不投资于股票和权证，也不投资于可转换债券（可分离交易可转债的</w:t>
      </w:r>
      <w:proofErr w:type="gramStart"/>
      <w:r>
        <w:rPr>
          <w:rFonts w:hint="eastAsia"/>
        </w:rPr>
        <w:t>纯债部分</w:t>
      </w:r>
      <w:proofErr w:type="gramEnd"/>
      <w:r>
        <w:rPr>
          <w:rFonts w:hint="eastAsia"/>
        </w:rPr>
        <w:t>除外）、可交换债券。</w:t>
      </w:r>
    </w:p>
    <w:p w14:paraId="2A8BA239" w14:textId="77777777" w:rsidR="009A7A59" w:rsidRDefault="00000000">
      <w:pPr>
        <w:spacing w:line="360" w:lineRule="auto"/>
        <w:ind w:firstLineChars="200" w:firstLine="420"/>
      </w:pPr>
      <w:r>
        <w:rPr>
          <w:rFonts w:hint="eastAsia"/>
        </w:rPr>
        <w:t>如法律法规或监管机构以后允许基金投资的其他品种，基金管理人在履行适当程序后，</w:t>
      </w:r>
      <w:r>
        <w:rPr>
          <w:rFonts w:hint="eastAsia"/>
        </w:rPr>
        <w:lastRenderedPageBreak/>
        <w:t>可以将其纳入投资范围。</w:t>
      </w:r>
    </w:p>
    <w:p w14:paraId="49DB34F4" w14:textId="77777777" w:rsidR="009A7A59" w:rsidRDefault="00000000">
      <w:pPr>
        <w:spacing w:line="360" w:lineRule="auto"/>
        <w:ind w:firstLineChars="200" w:firstLine="420"/>
      </w:pPr>
      <w:r>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798B6315" w14:textId="77777777" w:rsidR="009A7A59" w:rsidRDefault="00000000">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14:paraId="736512CA" w14:textId="77777777" w:rsidR="009A7A59" w:rsidRDefault="00000000">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14:paraId="078EBA76" w14:textId="77777777" w:rsidR="009A7A59" w:rsidRDefault="00000000">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14:paraId="0993E3B6" w14:textId="77777777" w:rsidR="009A7A59" w:rsidRDefault="00000000">
      <w:pPr>
        <w:spacing w:line="360" w:lineRule="auto"/>
        <w:ind w:firstLineChars="200" w:firstLine="420"/>
      </w:pPr>
      <w:r>
        <w:rPr>
          <w:rFonts w:hint="eastAsia"/>
        </w:rPr>
        <w:t>11</w:t>
      </w:r>
      <w:r>
        <w:rPr>
          <w:rFonts w:hint="eastAsia"/>
        </w:rPr>
        <w:t>、当本基金持有特定资产且存在或潜在大额赎回申请时，基金管理人履行相应程序后，可以</w:t>
      </w:r>
      <w:proofErr w:type="gramStart"/>
      <w:r>
        <w:rPr>
          <w:rFonts w:hint="eastAsia"/>
        </w:rPr>
        <w:t>启用侧袋机制</w:t>
      </w:r>
      <w:proofErr w:type="gramEnd"/>
      <w:r>
        <w:rPr>
          <w:rFonts w:hint="eastAsia"/>
        </w:rPr>
        <w:t>，具体详见基金合同和招募说明书的有关章节。</w:t>
      </w:r>
      <w:proofErr w:type="gramStart"/>
      <w:r>
        <w:rPr>
          <w:rFonts w:hint="eastAsia"/>
        </w:rPr>
        <w:t>侧袋机制</w:t>
      </w:r>
      <w:proofErr w:type="gramEnd"/>
      <w:r>
        <w:rPr>
          <w:rFonts w:hint="eastAsia"/>
        </w:rPr>
        <w:t>实施期间，基金管理人将对基金简称进行特殊标识，并不</w:t>
      </w:r>
      <w:proofErr w:type="gramStart"/>
      <w:r>
        <w:rPr>
          <w:rFonts w:hint="eastAsia"/>
        </w:rPr>
        <w:t>办理侧袋账户</w:t>
      </w:r>
      <w:proofErr w:type="gramEnd"/>
      <w:r>
        <w:rPr>
          <w:rFonts w:hint="eastAsia"/>
        </w:rPr>
        <w:t>的申购赎回。</w:t>
      </w:r>
      <w:proofErr w:type="gramStart"/>
      <w:r>
        <w:rPr>
          <w:rFonts w:hint="eastAsia"/>
        </w:rPr>
        <w:t>请基金</w:t>
      </w:r>
      <w:proofErr w:type="gramEnd"/>
      <w:r>
        <w:rPr>
          <w:rFonts w:hint="eastAsia"/>
        </w:rPr>
        <w:t>份额持有人仔细阅读相关内容并关注本基金启用</w:t>
      </w:r>
      <w:proofErr w:type="gramStart"/>
      <w:r>
        <w:rPr>
          <w:rFonts w:hint="eastAsia"/>
        </w:rPr>
        <w:t>侧袋机制</w:t>
      </w:r>
      <w:proofErr w:type="gramEnd"/>
      <w:r>
        <w:rPr>
          <w:rFonts w:hint="eastAsia"/>
        </w:rPr>
        <w:t>时的特定风险。</w:t>
      </w:r>
    </w:p>
    <w:p w14:paraId="480F474E" w14:textId="77777777" w:rsidR="009A7A59" w:rsidRDefault="00000000">
      <w:pPr>
        <w:spacing w:line="360" w:lineRule="auto"/>
        <w:ind w:firstLineChars="200" w:firstLine="420"/>
      </w:pPr>
      <w:r>
        <w:rPr>
          <w:rFonts w:hint="eastAsia"/>
        </w:rPr>
        <w:t>12</w:t>
      </w:r>
      <w:r>
        <w:rPr>
          <w:rFonts w:hint="eastAsia"/>
        </w:rPr>
        <w:t>、</w:t>
      </w:r>
      <w:r>
        <w:rPr>
          <w:rFonts w:hint="eastAsia"/>
          <w:b/>
          <w:bCs/>
        </w:rPr>
        <w:t>本次招募说明书仅对“基金管理人”部分进行更新</w:t>
      </w:r>
      <w:r>
        <w:rPr>
          <w:rFonts w:hint="eastAsia"/>
        </w:rPr>
        <w:t>，本招募说明书涉及调整本基金业绩比较基准的内容截止日为</w:t>
      </w:r>
      <w:r>
        <w:rPr>
          <w:rFonts w:hint="eastAsia"/>
        </w:rPr>
        <w:t>2025</w:t>
      </w:r>
      <w:r>
        <w:rPr>
          <w:rFonts w:hint="eastAsia"/>
        </w:rPr>
        <w:t>年</w:t>
      </w:r>
      <w:r>
        <w:rPr>
          <w:rFonts w:hint="eastAsia"/>
        </w:rPr>
        <w:t>4</w:t>
      </w:r>
      <w:r>
        <w:rPr>
          <w:rFonts w:hint="eastAsia"/>
        </w:rPr>
        <w:t>月</w:t>
      </w:r>
      <w:r>
        <w:rPr>
          <w:rFonts w:hint="eastAsia"/>
        </w:rPr>
        <w:t>18</w:t>
      </w:r>
      <w:r>
        <w:rPr>
          <w:rFonts w:hint="eastAsia"/>
        </w:rPr>
        <w:t>日，其他所载内容截止日为</w:t>
      </w:r>
      <w:r>
        <w:rPr>
          <w:rFonts w:hint="eastAsia"/>
        </w:rPr>
        <w:t>2025</w:t>
      </w:r>
      <w:r>
        <w:rPr>
          <w:rFonts w:hint="eastAsia"/>
        </w:rPr>
        <w:t>年</w:t>
      </w:r>
      <w:r>
        <w:rPr>
          <w:rFonts w:hint="eastAsia"/>
        </w:rPr>
        <w:t>2</w:t>
      </w:r>
      <w:r>
        <w:rPr>
          <w:rFonts w:hint="eastAsia"/>
        </w:rPr>
        <w:t>月</w:t>
      </w:r>
      <w:r>
        <w:rPr>
          <w:rFonts w:hint="eastAsia"/>
        </w:rPr>
        <w:t>28</w:t>
      </w:r>
      <w:r>
        <w:rPr>
          <w:rFonts w:hint="eastAsia"/>
        </w:rPr>
        <w:t>日，有关财务数据截止日为</w:t>
      </w:r>
      <w:r>
        <w:rPr>
          <w:rFonts w:hint="eastAsia"/>
        </w:rPr>
        <w:t>2024</w:t>
      </w:r>
      <w:r>
        <w:rPr>
          <w:rFonts w:hint="eastAsia"/>
        </w:rPr>
        <w:t>年</w:t>
      </w:r>
      <w:r>
        <w:rPr>
          <w:rFonts w:hint="eastAsia"/>
        </w:rPr>
        <w:t>12</w:t>
      </w:r>
      <w:r>
        <w:rPr>
          <w:rFonts w:hint="eastAsia"/>
        </w:rPr>
        <w:t>月</w:t>
      </w:r>
      <w:r>
        <w:rPr>
          <w:rFonts w:hint="eastAsia"/>
        </w:rPr>
        <w:t>31</w:t>
      </w:r>
      <w:r>
        <w:rPr>
          <w:rFonts w:hint="eastAsia"/>
        </w:rPr>
        <w:t>日，净值表现截止日为</w:t>
      </w:r>
      <w:r>
        <w:rPr>
          <w:rFonts w:hint="eastAsia"/>
        </w:rPr>
        <w:t>2024</w:t>
      </w:r>
      <w:r>
        <w:rPr>
          <w:rFonts w:hint="eastAsia"/>
        </w:rPr>
        <w:t>年</w:t>
      </w:r>
      <w:r>
        <w:rPr>
          <w:rFonts w:hint="eastAsia"/>
        </w:rPr>
        <w:t>12</w:t>
      </w:r>
      <w:r>
        <w:rPr>
          <w:rFonts w:hint="eastAsia"/>
        </w:rPr>
        <w:t>月</w:t>
      </w:r>
      <w:r>
        <w:rPr>
          <w:rFonts w:hint="eastAsia"/>
        </w:rPr>
        <w:t>31</w:t>
      </w:r>
      <w:r>
        <w:rPr>
          <w:rFonts w:hint="eastAsia"/>
        </w:rPr>
        <w:t>日，本报告中所列财务数据未经审计。</w:t>
      </w:r>
    </w:p>
    <w:p w14:paraId="4550344E" w14:textId="77777777" w:rsidR="009A7A59" w:rsidRDefault="00000000">
      <w:pPr>
        <w:autoSpaceDE w:val="0"/>
        <w:autoSpaceDN w:val="0"/>
        <w:adjustRightInd w:val="0"/>
        <w:snapToGrid w:val="0"/>
        <w:spacing w:line="360" w:lineRule="auto"/>
        <w:ind w:firstLineChars="200" w:firstLine="900"/>
        <w:jc w:val="center"/>
        <w:rPr>
          <w:rFonts w:ascii="Arial Unicode MS" w:hAnsi="Arial Unicode MS" w:cs="Arial" w:hint="eastAsia"/>
          <w:b/>
          <w:bCs/>
          <w:spacing w:val="120"/>
          <w:sz w:val="28"/>
          <w:szCs w:val="21"/>
        </w:rPr>
      </w:pPr>
      <w:r>
        <w:rPr>
          <w:rFonts w:ascii="Arial Unicode MS" w:hAnsi="Arial Unicode MS" w:cs="Arial"/>
          <w:bCs/>
          <w:spacing w:val="120"/>
          <w:szCs w:val="21"/>
        </w:rPr>
        <w:br w:type="page"/>
      </w:r>
      <w:r>
        <w:rPr>
          <w:rFonts w:ascii="Arial Unicode MS" w:hAnsi="Arial Unicode MS" w:cs="Arial"/>
          <w:b/>
          <w:bCs/>
          <w:spacing w:val="120"/>
          <w:sz w:val="28"/>
          <w:szCs w:val="21"/>
        </w:rPr>
        <w:lastRenderedPageBreak/>
        <w:t>目录</w:t>
      </w:r>
    </w:p>
    <w:p w14:paraId="30F36EC7" w14:textId="0A0AA690" w:rsidR="009A7A59" w:rsidRDefault="00000000">
      <w:pPr>
        <w:pStyle w:val="TOC1"/>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63676436" w:history="1">
        <w:r>
          <w:rPr>
            <w:rStyle w:val="affb"/>
            <w:rFonts w:ascii="Arial Unicode MS" w:hAnsi="Arial Unicode MS" w:cs="Arial" w:hint="eastAsia"/>
            <w:b/>
            <w:bCs/>
            <w:noProof/>
          </w:rPr>
          <w:t>第一部分</w:t>
        </w:r>
        <w:r>
          <w:rPr>
            <w:rStyle w:val="affb"/>
            <w:rFonts w:ascii="Arial Unicode MS" w:hAnsi="Arial Unicode MS" w:cs="Arial"/>
            <w:b/>
            <w:bCs/>
            <w:noProof/>
          </w:rPr>
          <w:t xml:space="preserve">  </w:t>
        </w:r>
        <w:r>
          <w:rPr>
            <w:rStyle w:val="affb"/>
            <w:rFonts w:ascii="Arial Unicode MS" w:hAnsi="Arial Unicode MS" w:cs="Arial" w:hint="eastAsia"/>
            <w:b/>
            <w:bCs/>
            <w:noProof/>
          </w:rPr>
          <w:t>绪言</w:t>
        </w:r>
        <w:r>
          <w:rPr>
            <w:noProof/>
          </w:rPr>
          <w:tab/>
        </w:r>
        <w:r>
          <w:rPr>
            <w:noProof/>
          </w:rPr>
          <w:fldChar w:fldCharType="begin"/>
        </w:r>
        <w:r>
          <w:rPr>
            <w:noProof/>
          </w:rPr>
          <w:instrText xml:space="preserve"> PAGEREF _Toc63676436 \h </w:instrText>
        </w:r>
        <w:r>
          <w:rPr>
            <w:noProof/>
          </w:rPr>
        </w:r>
        <w:r>
          <w:rPr>
            <w:noProof/>
          </w:rPr>
          <w:fldChar w:fldCharType="separate"/>
        </w:r>
        <w:r w:rsidR="00405290">
          <w:rPr>
            <w:rFonts w:hint="eastAsia"/>
            <w:noProof/>
          </w:rPr>
          <w:t>4</w:t>
        </w:r>
        <w:r>
          <w:rPr>
            <w:noProof/>
          </w:rPr>
          <w:fldChar w:fldCharType="end"/>
        </w:r>
      </w:hyperlink>
    </w:p>
    <w:p w14:paraId="05ED84FD" w14:textId="7C6EB06A" w:rsidR="009A7A59" w:rsidRDefault="00000000">
      <w:pPr>
        <w:pStyle w:val="TOC1"/>
        <w:rPr>
          <w:rFonts w:asciiTheme="minorHAnsi" w:eastAsiaTheme="minorEastAsia" w:hAnsiTheme="minorHAnsi" w:cstheme="minorBidi"/>
          <w:caps w:val="0"/>
          <w:noProof/>
          <w:sz w:val="21"/>
          <w:szCs w:val="22"/>
        </w:rPr>
      </w:pPr>
      <w:hyperlink w:anchor="_Toc63676437" w:history="1">
        <w:r>
          <w:rPr>
            <w:rStyle w:val="affb"/>
            <w:rFonts w:ascii="Arial Unicode MS" w:hAnsi="Arial Unicode MS" w:cs="Arial" w:hint="eastAsia"/>
            <w:b/>
            <w:bCs/>
            <w:noProof/>
          </w:rPr>
          <w:t>第二部分</w:t>
        </w:r>
        <w:r>
          <w:rPr>
            <w:rStyle w:val="affb"/>
            <w:rFonts w:ascii="Arial Unicode MS" w:hAnsi="Arial Unicode MS" w:cs="Arial"/>
            <w:b/>
            <w:bCs/>
            <w:noProof/>
          </w:rPr>
          <w:t xml:space="preserve">  </w:t>
        </w:r>
        <w:r>
          <w:rPr>
            <w:rStyle w:val="affb"/>
            <w:rFonts w:ascii="Arial Unicode MS" w:hAnsi="Arial Unicode MS" w:cs="Arial" w:hint="eastAsia"/>
            <w:b/>
            <w:bCs/>
            <w:noProof/>
          </w:rPr>
          <w:t>释义</w:t>
        </w:r>
        <w:r>
          <w:rPr>
            <w:noProof/>
          </w:rPr>
          <w:tab/>
        </w:r>
        <w:r>
          <w:rPr>
            <w:noProof/>
          </w:rPr>
          <w:fldChar w:fldCharType="begin"/>
        </w:r>
        <w:r>
          <w:rPr>
            <w:noProof/>
          </w:rPr>
          <w:instrText xml:space="preserve"> PAGEREF _Toc63676437 \h </w:instrText>
        </w:r>
        <w:r>
          <w:rPr>
            <w:noProof/>
          </w:rPr>
        </w:r>
        <w:r>
          <w:rPr>
            <w:noProof/>
          </w:rPr>
          <w:fldChar w:fldCharType="separate"/>
        </w:r>
        <w:r w:rsidR="00405290">
          <w:rPr>
            <w:rFonts w:hint="eastAsia"/>
            <w:noProof/>
          </w:rPr>
          <w:t>5</w:t>
        </w:r>
        <w:r>
          <w:rPr>
            <w:noProof/>
          </w:rPr>
          <w:fldChar w:fldCharType="end"/>
        </w:r>
      </w:hyperlink>
    </w:p>
    <w:p w14:paraId="04139656" w14:textId="05606B48" w:rsidR="009A7A59" w:rsidRDefault="00000000">
      <w:pPr>
        <w:pStyle w:val="TOC1"/>
        <w:rPr>
          <w:rFonts w:asciiTheme="minorHAnsi" w:eastAsiaTheme="minorEastAsia" w:hAnsiTheme="minorHAnsi" w:cstheme="minorBidi"/>
          <w:caps w:val="0"/>
          <w:noProof/>
          <w:sz w:val="21"/>
          <w:szCs w:val="22"/>
        </w:rPr>
      </w:pPr>
      <w:hyperlink w:anchor="_Toc63676438" w:history="1">
        <w:r>
          <w:rPr>
            <w:rStyle w:val="affb"/>
            <w:rFonts w:ascii="Arial Unicode MS" w:hAnsi="Arial Unicode MS" w:cs="Arial" w:hint="eastAsia"/>
            <w:b/>
            <w:bCs/>
            <w:noProof/>
          </w:rPr>
          <w:t>第三部分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基金管</w:t>
        </w:r>
        <w:r>
          <w:rPr>
            <w:rStyle w:val="affb"/>
            <w:rFonts w:ascii="Arial Unicode MS" w:hAnsi="Arial Unicode MS" w:cs="Arial" w:hint="eastAsia"/>
            <w:b/>
            <w:bCs/>
            <w:noProof/>
          </w:rPr>
          <w:t>理</w:t>
        </w:r>
        <w:r>
          <w:rPr>
            <w:rStyle w:val="affb"/>
            <w:rFonts w:ascii="Arial Unicode MS" w:hAnsi="Arial Unicode MS" w:cs="Arial" w:hint="eastAsia"/>
            <w:b/>
            <w:bCs/>
            <w:noProof/>
          </w:rPr>
          <w:t>人</w:t>
        </w:r>
        <w:r>
          <w:rPr>
            <w:noProof/>
          </w:rPr>
          <w:tab/>
        </w:r>
        <w:r>
          <w:rPr>
            <w:noProof/>
          </w:rPr>
          <w:fldChar w:fldCharType="begin"/>
        </w:r>
        <w:r>
          <w:rPr>
            <w:noProof/>
          </w:rPr>
          <w:instrText xml:space="preserve"> PAGEREF _Toc63676438 \h </w:instrText>
        </w:r>
        <w:r>
          <w:rPr>
            <w:noProof/>
          </w:rPr>
        </w:r>
        <w:r>
          <w:rPr>
            <w:noProof/>
          </w:rPr>
          <w:fldChar w:fldCharType="separate"/>
        </w:r>
        <w:r w:rsidR="00405290">
          <w:rPr>
            <w:rFonts w:hint="eastAsia"/>
            <w:noProof/>
          </w:rPr>
          <w:t>10</w:t>
        </w:r>
        <w:r>
          <w:rPr>
            <w:noProof/>
          </w:rPr>
          <w:fldChar w:fldCharType="end"/>
        </w:r>
      </w:hyperlink>
    </w:p>
    <w:p w14:paraId="7E7B0C19" w14:textId="52BCF987" w:rsidR="009A7A59" w:rsidRDefault="00000000">
      <w:pPr>
        <w:pStyle w:val="TOC1"/>
        <w:rPr>
          <w:rFonts w:asciiTheme="minorHAnsi" w:eastAsiaTheme="minorEastAsia" w:hAnsiTheme="minorHAnsi" w:cstheme="minorBidi"/>
          <w:caps w:val="0"/>
          <w:noProof/>
          <w:sz w:val="21"/>
          <w:szCs w:val="22"/>
        </w:rPr>
      </w:pPr>
      <w:hyperlink w:anchor="_Toc63676439" w:history="1">
        <w:r>
          <w:rPr>
            <w:rStyle w:val="affb"/>
            <w:rFonts w:ascii="Arial Unicode MS" w:hAnsi="Arial Unicode MS" w:cs="Arial" w:hint="eastAsia"/>
            <w:b/>
            <w:bCs/>
            <w:noProof/>
          </w:rPr>
          <w:t>第四部分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基金托管人</w:t>
        </w:r>
        <w:r>
          <w:rPr>
            <w:noProof/>
          </w:rPr>
          <w:tab/>
        </w:r>
        <w:r>
          <w:rPr>
            <w:noProof/>
          </w:rPr>
          <w:fldChar w:fldCharType="begin"/>
        </w:r>
        <w:r>
          <w:rPr>
            <w:noProof/>
          </w:rPr>
          <w:instrText xml:space="preserve"> PAGEREF _Toc63676439 \h </w:instrText>
        </w:r>
        <w:r>
          <w:rPr>
            <w:noProof/>
          </w:rPr>
        </w:r>
        <w:r>
          <w:rPr>
            <w:noProof/>
          </w:rPr>
          <w:fldChar w:fldCharType="separate"/>
        </w:r>
        <w:r w:rsidR="00405290">
          <w:rPr>
            <w:rFonts w:hint="eastAsia"/>
            <w:noProof/>
          </w:rPr>
          <w:t>21</w:t>
        </w:r>
        <w:r>
          <w:rPr>
            <w:noProof/>
          </w:rPr>
          <w:fldChar w:fldCharType="end"/>
        </w:r>
      </w:hyperlink>
    </w:p>
    <w:p w14:paraId="518C1763" w14:textId="18595A3C" w:rsidR="009A7A59" w:rsidRDefault="00000000">
      <w:pPr>
        <w:pStyle w:val="TOC1"/>
        <w:rPr>
          <w:rFonts w:asciiTheme="minorHAnsi" w:eastAsiaTheme="minorEastAsia" w:hAnsiTheme="minorHAnsi" w:cstheme="minorBidi"/>
          <w:caps w:val="0"/>
          <w:noProof/>
          <w:sz w:val="21"/>
          <w:szCs w:val="22"/>
        </w:rPr>
      </w:pPr>
      <w:hyperlink w:anchor="_Toc63676440" w:history="1">
        <w:r>
          <w:rPr>
            <w:rStyle w:val="affb"/>
            <w:rFonts w:ascii="Arial Unicode MS" w:hAnsi="Arial Unicode MS" w:cs="Arial" w:hint="eastAsia"/>
            <w:b/>
            <w:bCs/>
            <w:noProof/>
          </w:rPr>
          <w:t>第五部分</w:t>
        </w:r>
        <w:r>
          <w:rPr>
            <w:rStyle w:val="affb"/>
            <w:rFonts w:ascii="Arial Unicode MS" w:hAnsi="Arial Unicode MS" w:cs="Arial"/>
            <w:b/>
            <w:bCs/>
            <w:noProof/>
          </w:rPr>
          <w:t xml:space="preserve">  </w:t>
        </w:r>
        <w:r>
          <w:rPr>
            <w:rStyle w:val="affb"/>
            <w:rFonts w:ascii="Arial Unicode MS" w:hAnsi="Arial Unicode MS" w:cs="Arial" w:hint="eastAsia"/>
            <w:b/>
            <w:bCs/>
            <w:noProof/>
          </w:rPr>
          <w:t>相关服务机构</w:t>
        </w:r>
        <w:r>
          <w:rPr>
            <w:noProof/>
          </w:rPr>
          <w:tab/>
        </w:r>
        <w:r>
          <w:rPr>
            <w:noProof/>
          </w:rPr>
          <w:fldChar w:fldCharType="begin"/>
        </w:r>
        <w:r>
          <w:rPr>
            <w:noProof/>
          </w:rPr>
          <w:instrText xml:space="preserve"> PAGEREF _Toc63676440 \h </w:instrText>
        </w:r>
        <w:r>
          <w:rPr>
            <w:noProof/>
          </w:rPr>
        </w:r>
        <w:r>
          <w:rPr>
            <w:noProof/>
          </w:rPr>
          <w:fldChar w:fldCharType="separate"/>
        </w:r>
        <w:r w:rsidR="00405290">
          <w:rPr>
            <w:rFonts w:hint="eastAsia"/>
            <w:noProof/>
          </w:rPr>
          <w:t>23</w:t>
        </w:r>
        <w:r>
          <w:rPr>
            <w:noProof/>
          </w:rPr>
          <w:fldChar w:fldCharType="end"/>
        </w:r>
      </w:hyperlink>
    </w:p>
    <w:p w14:paraId="066A17FF" w14:textId="5AB0DCCC" w:rsidR="009A7A59" w:rsidRDefault="00000000">
      <w:pPr>
        <w:pStyle w:val="TOC1"/>
        <w:rPr>
          <w:rFonts w:asciiTheme="minorHAnsi" w:eastAsiaTheme="minorEastAsia" w:hAnsiTheme="minorHAnsi" w:cstheme="minorBidi"/>
          <w:caps w:val="0"/>
          <w:noProof/>
          <w:sz w:val="21"/>
          <w:szCs w:val="22"/>
        </w:rPr>
      </w:pPr>
      <w:hyperlink w:anchor="_Toc63676441" w:history="1">
        <w:r>
          <w:rPr>
            <w:rStyle w:val="affb"/>
            <w:rFonts w:ascii="Arial Unicode MS" w:hAnsi="Arial Unicode MS" w:cs="Arial" w:hint="eastAsia"/>
            <w:b/>
            <w:bCs/>
            <w:noProof/>
          </w:rPr>
          <w:t>第六部分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基金份额的发售</w:t>
        </w:r>
        <w:r>
          <w:rPr>
            <w:noProof/>
          </w:rPr>
          <w:tab/>
        </w:r>
        <w:r>
          <w:rPr>
            <w:noProof/>
          </w:rPr>
          <w:fldChar w:fldCharType="begin"/>
        </w:r>
        <w:r>
          <w:rPr>
            <w:noProof/>
          </w:rPr>
          <w:instrText xml:space="preserve"> PAGEREF _Toc63676441 \h </w:instrText>
        </w:r>
        <w:r>
          <w:rPr>
            <w:noProof/>
          </w:rPr>
        </w:r>
        <w:r>
          <w:rPr>
            <w:noProof/>
          </w:rPr>
          <w:fldChar w:fldCharType="separate"/>
        </w:r>
        <w:r w:rsidR="00405290">
          <w:rPr>
            <w:rFonts w:hint="eastAsia"/>
            <w:noProof/>
          </w:rPr>
          <w:t>32</w:t>
        </w:r>
        <w:r>
          <w:rPr>
            <w:noProof/>
          </w:rPr>
          <w:fldChar w:fldCharType="end"/>
        </w:r>
      </w:hyperlink>
    </w:p>
    <w:p w14:paraId="2F273BBF" w14:textId="74EF4CF7" w:rsidR="009A7A59" w:rsidRDefault="00000000">
      <w:pPr>
        <w:pStyle w:val="TOC1"/>
        <w:rPr>
          <w:rFonts w:asciiTheme="minorHAnsi" w:eastAsiaTheme="minorEastAsia" w:hAnsiTheme="minorHAnsi" w:cstheme="minorBidi"/>
          <w:caps w:val="0"/>
          <w:noProof/>
          <w:sz w:val="21"/>
          <w:szCs w:val="22"/>
        </w:rPr>
      </w:pPr>
      <w:hyperlink w:anchor="_Toc63676442" w:history="1">
        <w:r>
          <w:rPr>
            <w:rStyle w:val="affb"/>
            <w:rFonts w:ascii="Arial Unicode MS" w:hAnsi="Arial Unicode MS" w:cs="Arial" w:hint="eastAsia"/>
            <w:b/>
            <w:bCs/>
            <w:noProof/>
          </w:rPr>
          <w:t>第七部分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基金合同的生效</w:t>
        </w:r>
        <w:r>
          <w:rPr>
            <w:noProof/>
          </w:rPr>
          <w:tab/>
        </w:r>
        <w:r>
          <w:rPr>
            <w:noProof/>
          </w:rPr>
          <w:fldChar w:fldCharType="begin"/>
        </w:r>
        <w:r>
          <w:rPr>
            <w:noProof/>
          </w:rPr>
          <w:instrText xml:space="preserve"> PAGEREF _Toc63676442 \h </w:instrText>
        </w:r>
        <w:r>
          <w:rPr>
            <w:noProof/>
          </w:rPr>
        </w:r>
        <w:r>
          <w:rPr>
            <w:noProof/>
          </w:rPr>
          <w:fldChar w:fldCharType="separate"/>
        </w:r>
        <w:r w:rsidR="00405290">
          <w:rPr>
            <w:rFonts w:hint="eastAsia"/>
            <w:noProof/>
          </w:rPr>
          <w:t>33</w:t>
        </w:r>
        <w:r>
          <w:rPr>
            <w:noProof/>
          </w:rPr>
          <w:fldChar w:fldCharType="end"/>
        </w:r>
      </w:hyperlink>
    </w:p>
    <w:p w14:paraId="0F2BEB60" w14:textId="64EE329D" w:rsidR="009A7A59" w:rsidRDefault="00000000">
      <w:pPr>
        <w:pStyle w:val="TOC1"/>
        <w:rPr>
          <w:rFonts w:asciiTheme="minorHAnsi" w:eastAsiaTheme="minorEastAsia" w:hAnsiTheme="minorHAnsi" w:cstheme="minorBidi"/>
          <w:caps w:val="0"/>
          <w:noProof/>
          <w:sz w:val="21"/>
          <w:szCs w:val="22"/>
        </w:rPr>
      </w:pPr>
      <w:hyperlink w:anchor="_Toc63676443" w:history="1">
        <w:r>
          <w:rPr>
            <w:rStyle w:val="affb"/>
            <w:rFonts w:ascii="Arial Unicode MS" w:hAnsi="Arial Unicode MS" w:cs="Arial" w:hint="eastAsia"/>
            <w:b/>
            <w:bCs/>
            <w:noProof/>
          </w:rPr>
          <w:t>第八部分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基金份额的申购与赎回</w:t>
        </w:r>
        <w:r>
          <w:rPr>
            <w:noProof/>
          </w:rPr>
          <w:tab/>
        </w:r>
        <w:r>
          <w:rPr>
            <w:noProof/>
          </w:rPr>
          <w:fldChar w:fldCharType="begin"/>
        </w:r>
        <w:r>
          <w:rPr>
            <w:noProof/>
          </w:rPr>
          <w:instrText xml:space="preserve"> PAGEREF _Toc63676443 \h </w:instrText>
        </w:r>
        <w:r>
          <w:rPr>
            <w:noProof/>
          </w:rPr>
        </w:r>
        <w:r>
          <w:rPr>
            <w:noProof/>
          </w:rPr>
          <w:fldChar w:fldCharType="separate"/>
        </w:r>
        <w:r w:rsidR="00405290">
          <w:rPr>
            <w:rFonts w:hint="eastAsia"/>
            <w:noProof/>
          </w:rPr>
          <w:t>34</w:t>
        </w:r>
        <w:r>
          <w:rPr>
            <w:noProof/>
          </w:rPr>
          <w:fldChar w:fldCharType="end"/>
        </w:r>
      </w:hyperlink>
    </w:p>
    <w:p w14:paraId="22F18550" w14:textId="5D45AD2A" w:rsidR="009A7A59" w:rsidRDefault="00000000">
      <w:pPr>
        <w:pStyle w:val="TOC1"/>
        <w:rPr>
          <w:rFonts w:asciiTheme="minorHAnsi" w:eastAsiaTheme="minorEastAsia" w:hAnsiTheme="minorHAnsi" w:cstheme="minorBidi"/>
          <w:caps w:val="0"/>
          <w:noProof/>
          <w:sz w:val="21"/>
          <w:szCs w:val="22"/>
        </w:rPr>
      </w:pPr>
      <w:hyperlink w:anchor="_Toc63676444" w:history="1">
        <w:r>
          <w:rPr>
            <w:rStyle w:val="affb"/>
            <w:rFonts w:ascii="Arial Unicode MS" w:hAnsi="Arial Unicode MS" w:cs="Arial" w:hint="eastAsia"/>
            <w:b/>
            <w:bCs/>
            <w:noProof/>
          </w:rPr>
          <w:t>第九部分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基金的投资</w:t>
        </w:r>
        <w:r>
          <w:rPr>
            <w:noProof/>
          </w:rPr>
          <w:tab/>
        </w:r>
        <w:r>
          <w:rPr>
            <w:noProof/>
          </w:rPr>
          <w:fldChar w:fldCharType="begin"/>
        </w:r>
        <w:r>
          <w:rPr>
            <w:noProof/>
          </w:rPr>
          <w:instrText xml:space="preserve"> PAGEREF _Toc63676444 \h </w:instrText>
        </w:r>
        <w:r>
          <w:rPr>
            <w:noProof/>
          </w:rPr>
        </w:r>
        <w:r>
          <w:rPr>
            <w:noProof/>
          </w:rPr>
          <w:fldChar w:fldCharType="separate"/>
        </w:r>
        <w:r w:rsidR="00405290">
          <w:rPr>
            <w:rFonts w:hint="eastAsia"/>
            <w:noProof/>
          </w:rPr>
          <w:t>44</w:t>
        </w:r>
        <w:r>
          <w:rPr>
            <w:noProof/>
          </w:rPr>
          <w:fldChar w:fldCharType="end"/>
        </w:r>
      </w:hyperlink>
    </w:p>
    <w:p w14:paraId="269413D3" w14:textId="67D99266" w:rsidR="009A7A59" w:rsidRDefault="00000000">
      <w:pPr>
        <w:pStyle w:val="TOC1"/>
        <w:rPr>
          <w:rFonts w:asciiTheme="minorHAnsi" w:eastAsiaTheme="minorEastAsia" w:hAnsiTheme="minorHAnsi" w:cstheme="minorBidi"/>
          <w:caps w:val="0"/>
          <w:noProof/>
          <w:sz w:val="21"/>
          <w:szCs w:val="22"/>
        </w:rPr>
      </w:pPr>
      <w:hyperlink w:anchor="_Toc63676445" w:history="1">
        <w:r>
          <w:rPr>
            <w:rStyle w:val="affb"/>
            <w:rFonts w:ascii="Arial Unicode MS" w:hAnsi="Arial Unicode MS" w:cs="Arial" w:hint="eastAsia"/>
            <w:b/>
            <w:bCs/>
            <w:noProof/>
          </w:rPr>
          <w:t>第十部分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基金的财产</w:t>
        </w:r>
        <w:r>
          <w:rPr>
            <w:noProof/>
          </w:rPr>
          <w:tab/>
        </w:r>
        <w:r>
          <w:rPr>
            <w:noProof/>
          </w:rPr>
          <w:fldChar w:fldCharType="begin"/>
        </w:r>
        <w:r>
          <w:rPr>
            <w:noProof/>
          </w:rPr>
          <w:instrText xml:space="preserve"> PAGEREF _Toc63676445 \h </w:instrText>
        </w:r>
        <w:r>
          <w:rPr>
            <w:noProof/>
          </w:rPr>
        </w:r>
        <w:r>
          <w:rPr>
            <w:noProof/>
          </w:rPr>
          <w:fldChar w:fldCharType="separate"/>
        </w:r>
        <w:r w:rsidR="00405290">
          <w:rPr>
            <w:rFonts w:hint="eastAsia"/>
            <w:noProof/>
          </w:rPr>
          <w:t>55</w:t>
        </w:r>
        <w:r>
          <w:rPr>
            <w:noProof/>
          </w:rPr>
          <w:fldChar w:fldCharType="end"/>
        </w:r>
      </w:hyperlink>
    </w:p>
    <w:p w14:paraId="19C93D40" w14:textId="25C16E4E" w:rsidR="009A7A59" w:rsidRDefault="00000000">
      <w:pPr>
        <w:pStyle w:val="TOC1"/>
        <w:rPr>
          <w:rFonts w:asciiTheme="minorHAnsi" w:eastAsiaTheme="minorEastAsia" w:hAnsiTheme="minorHAnsi" w:cstheme="minorBidi"/>
          <w:caps w:val="0"/>
          <w:noProof/>
          <w:sz w:val="21"/>
          <w:szCs w:val="22"/>
        </w:rPr>
      </w:pPr>
      <w:hyperlink w:anchor="_Toc63676446" w:history="1">
        <w:r>
          <w:rPr>
            <w:rStyle w:val="affb"/>
            <w:rFonts w:ascii="Arial Unicode MS" w:hAnsi="Arial Unicode MS" w:cs="Arial" w:hint="eastAsia"/>
            <w:b/>
            <w:bCs/>
            <w:noProof/>
          </w:rPr>
          <w:t>第十一部分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基金资产的估值</w:t>
        </w:r>
        <w:r>
          <w:rPr>
            <w:noProof/>
          </w:rPr>
          <w:tab/>
        </w:r>
        <w:r>
          <w:rPr>
            <w:noProof/>
          </w:rPr>
          <w:fldChar w:fldCharType="begin"/>
        </w:r>
        <w:r>
          <w:rPr>
            <w:noProof/>
          </w:rPr>
          <w:instrText xml:space="preserve"> PAGEREF _Toc63676446 \h </w:instrText>
        </w:r>
        <w:r>
          <w:rPr>
            <w:noProof/>
          </w:rPr>
        </w:r>
        <w:r>
          <w:rPr>
            <w:noProof/>
          </w:rPr>
          <w:fldChar w:fldCharType="separate"/>
        </w:r>
        <w:r w:rsidR="00405290">
          <w:rPr>
            <w:rFonts w:hint="eastAsia"/>
            <w:noProof/>
          </w:rPr>
          <w:t>56</w:t>
        </w:r>
        <w:r>
          <w:rPr>
            <w:noProof/>
          </w:rPr>
          <w:fldChar w:fldCharType="end"/>
        </w:r>
      </w:hyperlink>
    </w:p>
    <w:p w14:paraId="583F918C" w14:textId="04146E2E" w:rsidR="009A7A59" w:rsidRDefault="00000000">
      <w:pPr>
        <w:pStyle w:val="TOC1"/>
        <w:rPr>
          <w:rFonts w:asciiTheme="minorHAnsi" w:eastAsiaTheme="minorEastAsia" w:hAnsiTheme="minorHAnsi" w:cstheme="minorBidi"/>
          <w:caps w:val="0"/>
          <w:noProof/>
          <w:sz w:val="21"/>
          <w:szCs w:val="22"/>
        </w:rPr>
      </w:pPr>
      <w:hyperlink w:anchor="_Toc63676447" w:history="1">
        <w:r>
          <w:rPr>
            <w:rStyle w:val="affb"/>
            <w:rFonts w:ascii="Arial Unicode MS" w:hAnsi="Arial Unicode MS" w:cs="Arial" w:hint="eastAsia"/>
            <w:b/>
            <w:bCs/>
            <w:noProof/>
          </w:rPr>
          <w:t>第十二部分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基金的收益分配</w:t>
        </w:r>
        <w:r>
          <w:rPr>
            <w:noProof/>
          </w:rPr>
          <w:tab/>
        </w:r>
        <w:r>
          <w:rPr>
            <w:noProof/>
          </w:rPr>
          <w:fldChar w:fldCharType="begin"/>
        </w:r>
        <w:r>
          <w:rPr>
            <w:noProof/>
          </w:rPr>
          <w:instrText xml:space="preserve"> PAGEREF _Toc63676447 \h </w:instrText>
        </w:r>
        <w:r>
          <w:rPr>
            <w:noProof/>
          </w:rPr>
        </w:r>
        <w:r>
          <w:rPr>
            <w:noProof/>
          </w:rPr>
          <w:fldChar w:fldCharType="separate"/>
        </w:r>
        <w:r w:rsidR="00405290">
          <w:rPr>
            <w:rFonts w:hint="eastAsia"/>
            <w:noProof/>
          </w:rPr>
          <w:t>61</w:t>
        </w:r>
        <w:r>
          <w:rPr>
            <w:noProof/>
          </w:rPr>
          <w:fldChar w:fldCharType="end"/>
        </w:r>
      </w:hyperlink>
    </w:p>
    <w:p w14:paraId="19BF84C6" w14:textId="61D1468E" w:rsidR="009A7A59" w:rsidRDefault="00000000">
      <w:pPr>
        <w:pStyle w:val="TOC1"/>
        <w:rPr>
          <w:rFonts w:asciiTheme="minorHAnsi" w:eastAsiaTheme="minorEastAsia" w:hAnsiTheme="minorHAnsi" w:cstheme="minorBidi"/>
          <w:caps w:val="0"/>
          <w:noProof/>
          <w:sz w:val="21"/>
          <w:szCs w:val="22"/>
        </w:rPr>
      </w:pPr>
      <w:hyperlink w:anchor="_Toc63676448" w:history="1">
        <w:r>
          <w:rPr>
            <w:rStyle w:val="affb"/>
            <w:rFonts w:ascii="Arial Unicode MS" w:hAnsi="Arial Unicode MS" w:cs="Arial" w:hint="eastAsia"/>
            <w:b/>
            <w:bCs/>
            <w:noProof/>
          </w:rPr>
          <w:t>第十三部分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基金费用与税收</w:t>
        </w:r>
        <w:r>
          <w:rPr>
            <w:noProof/>
          </w:rPr>
          <w:tab/>
        </w:r>
        <w:r>
          <w:rPr>
            <w:noProof/>
          </w:rPr>
          <w:fldChar w:fldCharType="begin"/>
        </w:r>
        <w:r>
          <w:rPr>
            <w:noProof/>
          </w:rPr>
          <w:instrText xml:space="preserve"> PAGEREF _Toc63676448 \h </w:instrText>
        </w:r>
        <w:r>
          <w:rPr>
            <w:noProof/>
          </w:rPr>
        </w:r>
        <w:r>
          <w:rPr>
            <w:noProof/>
          </w:rPr>
          <w:fldChar w:fldCharType="separate"/>
        </w:r>
        <w:r w:rsidR="00405290">
          <w:rPr>
            <w:rFonts w:hint="eastAsia"/>
            <w:noProof/>
          </w:rPr>
          <w:t>63</w:t>
        </w:r>
        <w:r>
          <w:rPr>
            <w:noProof/>
          </w:rPr>
          <w:fldChar w:fldCharType="end"/>
        </w:r>
      </w:hyperlink>
    </w:p>
    <w:p w14:paraId="63555C65" w14:textId="7BB86FF4" w:rsidR="009A7A59" w:rsidRDefault="00000000">
      <w:pPr>
        <w:pStyle w:val="TOC1"/>
        <w:rPr>
          <w:rFonts w:asciiTheme="minorHAnsi" w:eastAsiaTheme="minorEastAsia" w:hAnsiTheme="minorHAnsi" w:cstheme="minorBidi"/>
          <w:caps w:val="0"/>
          <w:noProof/>
          <w:sz w:val="21"/>
          <w:szCs w:val="22"/>
        </w:rPr>
      </w:pPr>
      <w:hyperlink w:anchor="_Toc63676449" w:history="1">
        <w:r>
          <w:rPr>
            <w:rStyle w:val="affb"/>
            <w:rFonts w:ascii="Arial Unicode MS" w:hAnsi="Arial Unicode MS" w:cs="Arial" w:hint="eastAsia"/>
            <w:b/>
            <w:bCs/>
            <w:noProof/>
          </w:rPr>
          <w:t>第十四部分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基金的会计与审计</w:t>
        </w:r>
        <w:r>
          <w:rPr>
            <w:noProof/>
          </w:rPr>
          <w:tab/>
        </w:r>
        <w:r>
          <w:rPr>
            <w:noProof/>
          </w:rPr>
          <w:fldChar w:fldCharType="begin"/>
        </w:r>
        <w:r>
          <w:rPr>
            <w:noProof/>
          </w:rPr>
          <w:instrText xml:space="preserve"> PAGEREF _Toc63676449 \h </w:instrText>
        </w:r>
        <w:r>
          <w:rPr>
            <w:noProof/>
          </w:rPr>
        </w:r>
        <w:r>
          <w:rPr>
            <w:noProof/>
          </w:rPr>
          <w:fldChar w:fldCharType="separate"/>
        </w:r>
        <w:r w:rsidR="00405290">
          <w:rPr>
            <w:rFonts w:hint="eastAsia"/>
            <w:noProof/>
          </w:rPr>
          <w:t>66</w:t>
        </w:r>
        <w:r>
          <w:rPr>
            <w:noProof/>
          </w:rPr>
          <w:fldChar w:fldCharType="end"/>
        </w:r>
      </w:hyperlink>
    </w:p>
    <w:p w14:paraId="5CC67EEF" w14:textId="4AF1E457" w:rsidR="009A7A59" w:rsidRDefault="00000000">
      <w:pPr>
        <w:pStyle w:val="TOC1"/>
        <w:rPr>
          <w:rFonts w:asciiTheme="minorHAnsi" w:eastAsiaTheme="minorEastAsia" w:hAnsiTheme="minorHAnsi" w:cstheme="minorBidi"/>
          <w:caps w:val="0"/>
          <w:noProof/>
          <w:sz w:val="21"/>
          <w:szCs w:val="22"/>
        </w:rPr>
      </w:pPr>
      <w:hyperlink w:anchor="_Toc63676450" w:history="1">
        <w:r>
          <w:rPr>
            <w:rStyle w:val="affb"/>
            <w:rFonts w:ascii="Arial Unicode MS" w:hAnsi="Arial Unicode MS" w:hint="eastAsia"/>
            <w:b/>
            <w:noProof/>
          </w:rPr>
          <w:t>第十五部分</w:t>
        </w:r>
        <w:r>
          <w:rPr>
            <w:rStyle w:val="affb"/>
            <w:rFonts w:ascii="Arial Unicode MS" w:hAnsi="Arial Unicode MS"/>
            <w:b/>
            <w:noProof/>
          </w:rPr>
          <w:t xml:space="preserve">  </w:t>
        </w:r>
        <w:r>
          <w:rPr>
            <w:rStyle w:val="affb"/>
            <w:rFonts w:ascii="Arial Unicode MS" w:hAnsi="Arial Unicode MS" w:hint="eastAsia"/>
            <w:b/>
            <w:noProof/>
          </w:rPr>
          <w:t>基金的信息披露</w:t>
        </w:r>
        <w:r>
          <w:rPr>
            <w:noProof/>
          </w:rPr>
          <w:tab/>
        </w:r>
        <w:r>
          <w:rPr>
            <w:noProof/>
          </w:rPr>
          <w:fldChar w:fldCharType="begin"/>
        </w:r>
        <w:r>
          <w:rPr>
            <w:noProof/>
          </w:rPr>
          <w:instrText xml:space="preserve"> PAGEREF _Toc63676450 \h </w:instrText>
        </w:r>
        <w:r>
          <w:rPr>
            <w:noProof/>
          </w:rPr>
        </w:r>
        <w:r>
          <w:rPr>
            <w:noProof/>
          </w:rPr>
          <w:fldChar w:fldCharType="separate"/>
        </w:r>
        <w:r w:rsidR="00405290">
          <w:rPr>
            <w:rFonts w:hint="eastAsia"/>
            <w:noProof/>
          </w:rPr>
          <w:t>67</w:t>
        </w:r>
        <w:r>
          <w:rPr>
            <w:noProof/>
          </w:rPr>
          <w:fldChar w:fldCharType="end"/>
        </w:r>
      </w:hyperlink>
    </w:p>
    <w:p w14:paraId="46007469" w14:textId="0FF56A9A" w:rsidR="009A7A59" w:rsidRDefault="00000000">
      <w:pPr>
        <w:pStyle w:val="TOC1"/>
        <w:rPr>
          <w:rFonts w:asciiTheme="minorHAnsi" w:eastAsiaTheme="minorEastAsia" w:hAnsiTheme="minorHAnsi" w:cstheme="minorBidi"/>
          <w:caps w:val="0"/>
          <w:noProof/>
          <w:sz w:val="21"/>
          <w:szCs w:val="22"/>
        </w:rPr>
      </w:pPr>
      <w:hyperlink w:anchor="_Toc63676451" w:history="1">
        <w:r>
          <w:rPr>
            <w:rStyle w:val="affb"/>
            <w:rFonts w:ascii="Arial Unicode MS" w:hAnsi="Arial Unicode MS" w:cs="Arial" w:hint="eastAsia"/>
            <w:b/>
            <w:bCs/>
            <w:noProof/>
          </w:rPr>
          <w:t>第十六部分</w:t>
        </w:r>
        <w:r>
          <w:rPr>
            <w:rStyle w:val="affb"/>
            <w:rFonts w:ascii="Arial Unicode MS" w:hAnsi="Arial Unicode MS" w:cs="Arial"/>
            <w:b/>
            <w:bCs/>
            <w:noProof/>
          </w:rPr>
          <w:t xml:space="preserve">  </w:t>
        </w:r>
        <w:r>
          <w:rPr>
            <w:rStyle w:val="affb"/>
            <w:rFonts w:ascii="Arial Unicode MS" w:hAnsi="Arial Unicode MS" w:cs="Arial" w:hint="eastAsia"/>
            <w:b/>
            <w:bCs/>
            <w:noProof/>
          </w:rPr>
          <w:t>侧袋机制</w:t>
        </w:r>
        <w:r>
          <w:rPr>
            <w:noProof/>
          </w:rPr>
          <w:tab/>
        </w:r>
        <w:r>
          <w:rPr>
            <w:noProof/>
          </w:rPr>
          <w:fldChar w:fldCharType="begin"/>
        </w:r>
        <w:r>
          <w:rPr>
            <w:noProof/>
          </w:rPr>
          <w:instrText xml:space="preserve"> PAGEREF _Toc63676451 \h </w:instrText>
        </w:r>
        <w:r>
          <w:rPr>
            <w:noProof/>
          </w:rPr>
        </w:r>
        <w:r>
          <w:rPr>
            <w:noProof/>
          </w:rPr>
          <w:fldChar w:fldCharType="separate"/>
        </w:r>
        <w:r w:rsidR="00405290">
          <w:rPr>
            <w:rFonts w:hint="eastAsia"/>
            <w:noProof/>
          </w:rPr>
          <w:t>73</w:t>
        </w:r>
        <w:r>
          <w:rPr>
            <w:noProof/>
          </w:rPr>
          <w:fldChar w:fldCharType="end"/>
        </w:r>
      </w:hyperlink>
    </w:p>
    <w:p w14:paraId="1A7EB4F7" w14:textId="705D8DEA" w:rsidR="009A7A59" w:rsidRDefault="00000000">
      <w:pPr>
        <w:pStyle w:val="TOC1"/>
        <w:rPr>
          <w:rFonts w:asciiTheme="minorHAnsi" w:eastAsiaTheme="minorEastAsia" w:hAnsiTheme="minorHAnsi" w:cstheme="minorBidi"/>
          <w:caps w:val="0"/>
          <w:noProof/>
          <w:sz w:val="21"/>
          <w:szCs w:val="22"/>
        </w:rPr>
      </w:pPr>
      <w:hyperlink w:anchor="_Toc63676452" w:history="1">
        <w:r>
          <w:rPr>
            <w:rStyle w:val="affb"/>
            <w:rFonts w:ascii="Arial Unicode MS" w:hAnsi="Arial Unicode MS" w:cs="Arial" w:hint="eastAsia"/>
            <w:b/>
            <w:bCs/>
            <w:noProof/>
          </w:rPr>
          <w:t>第</w:t>
        </w:r>
        <w:r>
          <w:rPr>
            <w:rStyle w:val="affb"/>
            <w:rFonts w:ascii="Arial Unicode MS" w:hAnsi="Arial Unicode MS" w:hint="eastAsia"/>
            <w:b/>
            <w:noProof/>
          </w:rPr>
          <w:t>十七部分</w:t>
        </w:r>
        <w:r>
          <w:rPr>
            <w:rStyle w:val="affb"/>
            <w:rFonts w:ascii="Arial Unicode MS" w:hAnsi="Arial Unicode MS"/>
            <w:b/>
            <w:noProof/>
          </w:rPr>
          <w:t xml:space="preserve">  </w:t>
        </w:r>
        <w:r>
          <w:rPr>
            <w:rStyle w:val="affb"/>
            <w:rFonts w:ascii="Arial Unicode MS" w:hAnsi="Arial Unicode MS" w:hint="eastAsia"/>
            <w:b/>
            <w:noProof/>
          </w:rPr>
          <w:t>风险揭示</w:t>
        </w:r>
        <w:r>
          <w:rPr>
            <w:noProof/>
          </w:rPr>
          <w:tab/>
        </w:r>
        <w:r>
          <w:rPr>
            <w:noProof/>
          </w:rPr>
          <w:fldChar w:fldCharType="begin"/>
        </w:r>
        <w:r>
          <w:rPr>
            <w:noProof/>
          </w:rPr>
          <w:instrText xml:space="preserve"> PAGEREF _Toc63676452 \h </w:instrText>
        </w:r>
        <w:r>
          <w:rPr>
            <w:noProof/>
          </w:rPr>
        </w:r>
        <w:r>
          <w:rPr>
            <w:noProof/>
          </w:rPr>
          <w:fldChar w:fldCharType="separate"/>
        </w:r>
        <w:r w:rsidR="00405290">
          <w:rPr>
            <w:rFonts w:hint="eastAsia"/>
            <w:noProof/>
          </w:rPr>
          <w:t>76</w:t>
        </w:r>
        <w:r>
          <w:rPr>
            <w:noProof/>
          </w:rPr>
          <w:fldChar w:fldCharType="end"/>
        </w:r>
      </w:hyperlink>
    </w:p>
    <w:p w14:paraId="09F132E3" w14:textId="60C60613" w:rsidR="009A7A59" w:rsidRDefault="00000000">
      <w:pPr>
        <w:pStyle w:val="TOC1"/>
        <w:rPr>
          <w:rFonts w:asciiTheme="minorHAnsi" w:eastAsiaTheme="minorEastAsia" w:hAnsiTheme="minorHAnsi" w:cstheme="minorBidi"/>
          <w:caps w:val="0"/>
          <w:noProof/>
          <w:sz w:val="21"/>
          <w:szCs w:val="22"/>
        </w:rPr>
      </w:pPr>
      <w:hyperlink w:anchor="_Toc63676453" w:history="1">
        <w:r>
          <w:rPr>
            <w:rStyle w:val="affb"/>
            <w:rFonts w:ascii="Arial Unicode MS" w:hAnsi="Arial Unicode MS" w:cs="Arial" w:hint="eastAsia"/>
            <w:b/>
            <w:bCs/>
            <w:noProof/>
          </w:rPr>
          <w:t>第十八部分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基金合同的变更、终止与基金财产的清算</w:t>
        </w:r>
        <w:r>
          <w:rPr>
            <w:noProof/>
          </w:rPr>
          <w:tab/>
        </w:r>
        <w:r>
          <w:rPr>
            <w:noProof/>
          </w:rPr>
          <w:fldChar w:fldCharType="begin"/>
        </w:r>
        <w:r>
          <w:rPr>
            <w:noProof/>
          </w:rPr>
          <w:instrText xml:space="preserve"> PAGEREF _Toc63676453 \h </w:instrText>
        </w:r>
        <w:r>
          <w:rPr>
            <w:noProof/>
          </w:rPr>
        </w:r>
        <w:r>
          <w:rPr>
            <w:noProof/>
          </w:rPr>
          <w:fldChar w:fldCharType="separate"/>
        </w:r>
        <w:r w:rsidR="00405290">
          <w:rPr>
            <w:rFonts w:hint="eastAsia"/>
            <w:noProof/>
          </w:rPr>
          <w:t>80</w:t>
        </w:r>
        <w:r>
          <w:rPr>
            <w:noProof/>
          </w:rPr>
          <w:fldChar w:fldCharType="end"/>
        </w:r>
      </w:hyperlink>
    </w:p>
    <w:p w14:paraId="0539E910" w14:textId="6CAAD90F" w:rsidR="009A7A59" w:rsidRDefault="00000000">
      <w:pPr>
        <w:pStyle w:val="TOC1"/>
        <w:rPr>
          <w:rFonts w:asciiTheme="minorHAnsi" w:eastAsiaTheme="minorEastAsia" w:hAnsiTheme="minorHAnsi" w:cstheme="minorBidi"/>
          <w:caps w:val="0"/>
          <w:noProof/>
          <w:sz w:val="21"/>
          <w:szCs w:val="22"/>
        </w:rPr>
      </w:pPr>
      <w:hyperlink w:anchor="_Toc63676454" w:history="1">
        <w:r>
          <w:rPr>
            <w:rStyle w:val="affb"/>
            <w:rFonts w:ascii="Arial Unicode MS" w:hAnsi="Arial Unicode MS" w:cs="Arial" w:hint="eastAsia"/>
            <w:b/>
            <w:bCs/>
            <w:noProof/>
          </w:rPr>
          <w:t>第十九部分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基金合同的内容摘要</w:t>
        </w:r>
        <w:r>
          <w:rPr>
            <w:noProof/>
          </w:rPr>
          <w:tab/>
        </w:r>
        <w:r>
          <w:rPr>
            <w:noProof/>
          </w:rPr>
          <w:fldChar w:fldCharType="begin"/>
        </w:r>
        <w:r>
          <w:rPr>
            <w:noProof/>
          </w:rPr>
          <w:instrText xml:space="preserve"> PAGEREF _Toc63676454 \h </w:instrText>
        </w:r>
        <w:r>
          <w:rPr>
            <w:noProof/>
          </w:rPr>
        </w:r>
        <w:r>
          <w:rPr>
            <w:noProof/>
          </w:rPr>
          <w:fldChar w:fldCharType="separate"/>
        </w:r>
        <w:r w:rsidR="00405290">
          <w:rPr>
            <w:rFonts w:hint="eastAsia"/>
            <w:noProof/>
          </w:rPr>
          <w:t>82</w:t>
        </w:r>
        <w:r>
          <w:rPr>
            <w:noProof/>
          </w:rPr>
          <w:fldChar w:fldCharType="end"/>
        </w:r>
      </w:hyperlink>
    </w:p>
    <w:p w14:paraId="19AEBFF0" w14:textId="6D58A230" w:rsidR="009A7A59" w:rsidRDefault="00000000">
      <w:pPr>
        <w:pStyle w:val="TOC1"/>
        <w:rPr>
          <w:rFonts w:asciiTheme="minorHAnsi" w:eastAsiaTheme="minorEastAsia" w:hAnsiTheme="minorHAnsi" w:cstheme="minorBidi"/>
          <w:caps w:val="0"/>
          <w:noProof/>
          <w:sz w:val="21"/>
          <w:szCs w:val="22"/>
        </w:rPr>
      </w:pPr>
      <w:hyperlink w:anchor="_Toc63676455" w:history="1">
        <w:r>
          <w:rPr>
            <w:rStyle w:val="affb"/>
            <w:rFonts w:ascii="Arial Unicode MS" w:hAnsi="Arial Unicode MS" w:cs="Arial" w:hint="eastAsia"/>
            <w:b/>
            <w:bCs/>
            <w:noProof/>
          </w:rPr>
          <w:t>第二十部分</w:t>
        </w:r>
        <w:r>
          <w:rPr>
            <w:rStyle w:val="affb"/>
            <w:rFonts w:ascii="Arial Unicode MS" w:hAnsi="Arial Unicode MS" w:cs="Arial"/>
            <w:b/>
            <w:bCs/>
            <w:noProof/>
          </w:rPr>
          <w:t xml:space="preserve">  </w:t>
        </w:r>
        <w:r>
          <w:rPr>
            <w:rStyle w:val="affb"/>
            <w:rFonts w:ascii="Arial Unicode MS" w:hAnsi="Arial Unicode MS" w:cs="Arial" w:hint="eastAsia"/>
            <w:b/>
            <w:bCs/>
            <w:noProof/>
          </w:rPr>
          <w:t>基金托管协议的内容摘要</w:t>
        </w:r>
        <w:r>
          <w:rPr>
            <w:noProof/>
          </w:rPr>
          <w:tab/>
        </w:r>
        <w:r>
          <w:rPr>
            <w:noProof/>
          </w:rPr>
          <w:fldChar w:fldCharType="begin"/>
        </w:r>
        <w:r>
          <w:rPr>
            <w:noProof/>
          </w:rPr>
          <w:instrText xml:space="preserve"> PAGEREF _Toc63676455 \h </w:instrText>
        </w:r>
        <w:r>
          <w:rPr>
            <w:noProof/>
          </w:rPr>
        </w:r>
        <w:r>
          <w:rPr>
            <w:noProof/>
          </w:rPr>
          <w:fldChar w:fldCharType="separate"/>
        </w:r>
        <w:r w:rsidR="00405290">
          <w:rPr>
            <w:rFonts w:hint="eastAsia"/>
            <w:noProof/>
          </w:rPr>
          <w:t>97</w:t>
        </w:r>
        <w:r>
          <w:rPr>
            <w:noProof/>
          </w:rPr>
          <w:fldChar w:fldCharType="end"/>
        </w:r>
      </w:hyperlink>
    </w:p>
    <w:p w14:paraId="60062BB5" w14:textId="75E799D9" w:rsidR="009A7A59" w:rsidRDefault="00000000">
      <w:pPr>
        <w:pStyle w:val="TOC1"/>
        <w:rPr>
          <w:rFonts w:asciiTheme="minorHAnsi" w:eastAsiaTheme="minorEastAsia" w:hAnsiTheme="minorHAnsi" w:cstheme="minorBidi"/>
          <w:caps w:val="0"/>
          <w:noProof/>
          <w:sz w:val="21"/>
          <w:szCs w:val="22"/>
        </w:rPr>
      </w:pPr>
      <w:hyperlink w:anchor="_Toc63676456" w:history="1">
        <w:r>
          <w:rPr>
            <w:rStyle w:val="affb"/>
            <w:rFonts w:ascii="Arial Unicode MS" w:hAnsi="Arial Unicode MS" w:cs="Arial" w:hint="eastAsia"/>
            <w:b/>
            <w:bCs/>
            <w:noProof/>
          </w:rPr>
          <w:t>第二十一部分</w:t>
        </w:r>
        <w:r>
          <w:rPr>
            <w:rStyle w:val="affb"/>
            <w:rFonts w:ascii="Arial Unicode MS" w:hAnsi="Arial Unicode MS" w:cs="Arial"/>
            <w:b/>
            <w:bCs/>
            <w:noProof/>
          </w:rPr>
          <w:t xml:space="preserve">  </w:t>
        </w:r>
        <w:r>
          <w:rPr>
            <w:rStyle w:val="affb"/>
            <w:rFonts w:ascii="Arial Unicode MS" w:hAnsi="Arial Unicode MS" w:cs="Arial" w:hint="eastAsia"/>
            <w:b/>
            <w:bCs/>
            <w:noProof/>
          </w:rPr>
          <w:t>对基金份额持有人的服务</w:t>
        </w:r>
        <w:r>
          <w:rPr>
            <w:noProof/>
          </w:rPr>
          <w:tab/>
        </w:r>
        <w:r>
          <w:rPr>
            <w:noProof/>
          </w:rPr>
          <w:fldChar w:fldCharType="begin"/>
        </w:r>
        <w:r>
          <w:rPr>
            <w:noProof/>
          </w:rPr>
          <w:instrText xml:space="preserve"> PAGEREF _Toc63676456 \h </w:instrText>
        </w:r>
        <w:r>
          <w:rPr>
            <w:noProof/>
          </w:rPr>
        </w:r>
        <w:r>
          <w:rPr>
            <w:noProof/>
          </w:rPr>
          <w:fldChar w:fldCharType="separate"/>
        </w:r>
        <w:r w:rsidR="00405290">
          <w:rPr>
            <w:rFonts w:hint="eastAsia"/>
            <w:noProof/>
          </w:rPr>
          <w:t>110</w:t>
        </w:r>
        <w:r>
          <w:rPr>
            <w:noProof/>
          </w:rPr>
          <w:fldChar w:fldCharType="end"/>
        </w:r>
      </w:hyperlink>
    </w:p>
    <w:p w14:paraId="67C7B091" w14:textId="6BB58743" w:rsidR="009A7A59" w:rsidRDefault="00000000">
      <w:pPr>
        <w:pStyle w:val="TOC1"/>
        <w:rPr>
          <w:rFonts w:asciiTheme="minorHAnsi" w:eastAsiaTheme="minorEastAsia" w:hAnsiTheme="minorHAnsi" w:cstheme="minorBidi"/>
          <w:caps w:val="0"/>
          <w:noProof/>
          <w:sz w:val="21"/>
          <w:szCs w:val="22"/>
        </w:rPr>
      </w:pPr>
      <w:hyperlink w:anchor="_Toc63676457" w:history="1">
        <w:r>
          <w:rPr>
            <w:rStyle w:val="affb"/>
            <w:rFonts w:hint="eastAsia"/>
            <w:b/>
            <w:noProof/>
          </w:rPr>
          <w:t>第二十二部分</w:t>
        </w:r>
        <w:r>
          <w:rPr>
            <w:rStyle w:val="affb"/>
            <w:b/>
            <w:noProof/>
          </w:rPr>
          <w:t xml:space="preserve">  </w:t>
        </w:r>
        <w:r>
          <w:rPr>
            <w:rStyle w:val="affb"/>
            <w:rFonts w:hint="eastAsia"/>
            <w:b/>
            <w:noProof/>
          </w:rPr>
          <w:t>其他应披露事项</w:t>
        </w:r>
        <w:r>
          <w:rPr>
            <w:noProof/>
          </w:rPr>
          <w:tab/>
        </w:r>
        <w:r>
          <w:rPr>
            <w:noProof/>
          </w:rPr>
          <w:fldChar w:fldCharType="begin"/>
        </w:r>
        <w:r>
          <w:rPr>
            <w:noProof/>
          </w:rPr>
          <w:instrText xml:space="preserve"> PAGEREF _Toc63676457 \h </w:instrText>
        </w:r>
        <w:r>
          <w:rPr>
            <w:noProof/>
          </w:rPr>
        </w:r>
        <w:r>
          <w:rPr>
            <w:noProof/>
          </w:rPr>
          <w:fldChar w:fldCharType="separate"/>
        </w:r>
        <w:r w:rsidR="00405290">
          <w:rPr>
            <w:rFonts w:hint="eastAsia"/>
            <w:noProof/>
          </w:rPr>
          <w:t>112</w:t>
        </w:r>
        <w:r>
          <w:rPr>
            <w:noProof/>
          </w:rPr>
          <w:fldChar w:fldCharType="end"/>
        </w:r>
      </w:hyperlink>
    </w:p>
    <w:p w14:paraId="72CDA781" w14:textId="179D4133" w:rsidR="009A7A59" w:rsidRDefault="00000000">
      <w:pPr>
        <w:pStyle w:val="TOC1"/>
        <w:rPr>
          <w:rFonts w:asciiTheme="minorHAnsi" w:eastAsiaTheme="minorEastAsia" w:hAnsiTheme="minorHAnsi" w:cstheme="minorBidi"/>
          <w:caps w:val="0"/>
          <w:noProof/>
          <w:sz w:val="21"/>
          <w:szCs w:val="22"/>
        </w:rPr>
      </w:pPr>
      <w:hyperlink w:anchor="_Toc63676458" w:history="1">
        <w:r>
          <w:rPr>
            <w:rStyle w:val="affb"/>
            <w:rFonts w:ascii="Arial Unicode MS" w:hAnsi="Arial Unicode MS" w:cs="Arial" w:hint="eastAsia"/>
            <w:b/>
            <w:bCs/>
            <w:noProof/>
          </w:rPr>
          <w:t>第二十三部分</w:t>
        </w:r>
        <w:r>
          <w:rPr>
            <w:rStyle w:val="affb"/>
            <w:rFonts w:ascii="Arial Unicode MS" w:hAnsi="Arial Unicode MS" w:cs="Arial"/>
            <w:b/>
            <w:bCs/>
            <w:noProof/>
          </w:rPr>
          <w:t xml:space="preserve">  </w:t>
        </w:r>
        <w:r>
          <w:rPr>
            <w:rStyle w:val="affb"/>
            <w:rFonts w:ascii="Arial Unicode MS" w:hAnsi="Arial Unicode MS" w:cs="Arial" w:hint="eastAsia"/>
            <w:b/>
            <w:bCs/>
            <w:noProof/>
          </w:rPr>
          <w:t>招募说明书的存放及查阅方式</w:t>
        </w:r>
        <w:r>
          <w:rPr>
            <w:noProof/>
          </w:rPr>
          <w:tab/>
        </w:r>
        <w:r>
          <w:rPr>
            <w:noProof/>
          </w:rPr>
          <w:fldChar w:fldCharType="begin"/>
        </w:r>
        <w:r>
          <w:rPr>
            <w:noProof/>
          </w:rPr>
          <w:instrText xml:space="preserve"> PAGEREF _Toc63676458 \h </w:instrText>
        </w:r>
        <w:r>
          <w:rPr>
            <w:noProof/>
          </w:rPr>
        </w:r>
        <w:r>
          <w:rPr>
            <w:noProof/>
          </w:rPr>
          <w:fldChar w:fldCharType="separate"/>
        </w:r>
        <w:r w:rsidR="00405290">
          <w:rPr>
            <w:rFonts w:hint="eastAsia"/>
            <w:noProof/>
          </w:rPr>
          <w:t>114</w:t>
        </w:r>
        <w:r>
          <w:rPr>
            <w:noProof/>
          </w:rPr>
          <w:fldChar w:fldCharType="end"/>
        </w:r>
      </w:hyperlink>
    </w:p>
    <w:p w14:paraId="569FF13B" w14:textId="38E9CF1C" w:rsidR="009A7A59" w:rsidRDefault="00000000">
      <w:pPr>
        <w:pStyle w:val="TOC1"/>
        <w:rPr>
          <w:rFonts w:asciiTheme="minorHAnsi" w:eastAsiaTheme="minorEastAsia" w:hAnsiTheme="minorHAnsi" w:cstheme="minorBidi"/>
          <w:caps w:val="0"/>
          <w:noProof/>
          <w:sz w:val="21"/>
          <w:szCs w:val="22"/>
        </w:rPr>
      </w:pPr>
      <w:hyperlink w:anchor="_Toc63676459" w:history="1">
        <w:r>
          <w:rPr>
            <w:rStyle w:val="affb"/>
            <w:rFonts w:ascii="Arial Unicode MS" w:hAnsi="Arial Unicode MS" w:cs="Arial" w:hint="eastAsia"/>
            <w:b/>
            <w:bCs/>
            <w:noProof/>
          </w:rPr>
          <w:t>第二十四部分</w:t>
        </w:r>
        <w:r>
          <w:rPr>
            <w:rStyle w:val="affb"/>
            <w:rFonts w:ascii="Arial Unicode MS" w:hAnsi="Arial Unicode MS" w:cs="Arial"/>
            <w:b/>
            <w:bCs/>
            <w:noProof/>
          </w:rPr>
          <w:t xml:space="preserve">  </w:t>
        </w:r>
        <w:r>
          <w:rPr>
            <w:rStyle w:val="affb"/>
            <w:rFonts w:ascii="Arial Unicode MS" w:hAnsi="Arial Unicode MS" w:cs="Arial" w:hint="eastAsia"/>
            <w:b/>
            <w:bCs/>
            <w:noProof/>
          </w:rPr>
          <w:t>备查文件</w:t>
        </w:r>
        <w:r>
          <w:rPr>
            <w:noProof/>
          </w:rPr>
          <w:tab/>
        </w:r>
        <w:r>
          <w:rPr>
            <w:noProof/>
          </w:rPr>
          <w:fldChar w:fldCharType="begin"/>
        </w:r>
        <w:r>
          <w:rPr>
            <w:noProof/>
          </w:rPr>
          <w:instrText xml:space="preserve"> PAGEREF _Toc63676459 \h </w:instrText>
        </w:r>
        <w:r>
          <w:rPr>
            <w:noProof/>
          </w:rPr>
        </w:r>
        <w:r>
          <w:rPr>
            <w:noProof/>
          </w:rPr>
          <w:fldChar w:fldCharType="separate"/>
        </w:r>
        <w:r w:rsidR="00405290">
          <w:rPr>
            <w:rFonts w:hint="eastAsia"/>
            <w:noProof/>
          </w:rPr>
          <w:t>115</w:t>
        </w:r>
        <w:r>
          <w:rPr>
            <w:noProof/>
          </w:rPr>
          <w:fldChar w:fldCharType="end"/>
        </w:r>
      </w:hyperlink>
    </w:p>
    <w:p w14:paraId="50F63787" w14:textId="77777777" w:rsidR="009A7A59" w:rsidRDefault="00000000">
      <w:pPr>
        <w:adjustRightInd w:val="0"/>
        <w:snapToGrid w:val="0"/>
        <w:spacing w:line="360" w:lineRule="auto"/>
        <w:rPr>
          <w:rFonts w:ascii="Arial Unicode MS" w:hAnsi="Arial Unicode MS" w:cs="Arial" w:hint="eastAsia"/>
          <w:bCs/>
          <w:spacing w:val="120"/>
          <w:szCs w:val="21"/>
        </w:rPr>
        <w:sectPr w:rsidR="009A7A59">
          <w:footerReference w:type="default" r:id="rId27"/>
          <w:headerReference w:type="first" r:id="rId28"/>
          <w:footerReference w:type="first" r:id="rId29"/>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14:paraId="429DE5AD" w14:textId="77777777" w:rsidR="009A7A59" w:rsidRDefault="009A7A59">
      <w:pPr>
        <w:spacing w:line="360" w:lineRule="auto"/>
        <w:ind w:firstLine="120"/>
        <w:rPr>
          <w:rFonts w:ascii="Arial Unicode MS" w:hAnsi="Arial Unicode MS" w:hint="eastAsia"/>
        </w:rPr>
      </w:pPr>
    </w:p>
    <w:p w14:paraId="3E80F0B8" w14:textId="77777777" w:rsidR="009A7A59" w:rsidRDefault="00000000">
      <w:pPr>
        <w:tabs>
          <w:tab w:val="left" w:pos="2179"/>
        </w:tabs>
        <w:spacing w:line="360" w:lineRule="auto"/>
        <w:ind w:firstLine="105"/>
        <w:rPr>
          <w:rFonts w:ascii="Arial Unicode MS" w:hAnsi="Arial Unicode MS" w:hint="eastAsia"/>
        </w:rPr>
      </w:pPr>
      <w:r>
        <w:rPr>
          <w:rFonts w:ascii="Arial Unicode MS" w:hAnsi="Arial Unicode MS"/>
        </w:rPr>
        <w:tab/>
      </w:r>
    </w:p>
    <w:p w14:paraId="739F98A2" w14:textId="77777777" w:rsidR="009A7A59" w:rsidRDefault="009A7A59">
      <w:pPr>
        <w:rPr>
          <w:rFonts w:ascii="Arial Unicode MS" w:hAnsi="Arial Unicode MS" w:hint="eastAsia"/>
        </w:rPr>
      </w:pPr>
    </w:p>
    <w:p w14:paraId="4CAF7E3B" w14:textId="77777777" w:rsidR="009A7A59" w:rsidRDefault="009A7A59">
      <w:pPr>
        <w:rPr>
          <w:rFonts w:ascii="Arial Unicode MS" w:hAnsi="Arial Unicode MS" w:hint="eastAsia"/>
        </w:rPr>
        <w:sectPr w:rsidR="009A7A59">
          <w:footerReference w:type="default" r:id="rId30"/>
          <w:footerReference w:type="first" r:id="rId31"/>
          <w:type w:val="continuous"/>
          <w:pgSz w:w="11906" w:h="16838"/>
          <w:pgMar w:top="1440" w:right="1800" w:bottom="1440" w:left="1800" w:header="851" w:footer="992" w:gutter="0"/>
          <w:cols w:space="720"/>
          <w:titlePg/>
          <w:docGrid w:linePitch="312"/>
        </w:sectPr>
      </w:pPr>
    </w:p>
    <w:p w14:paraId="038A6F2F" w14:textId="77777777" w:rsidR="009A7A59" w:rsidRDefault="00000000">
      <w:pPr>
        <w:pStyle w:val="11"/>
        <w:snapToGrid w:val="0"/>
        <w:spacing w:before="0" w:after="0" w:line="360" w:lineRule="auto"/>
        <w:ind w:firstLineChars="50" w:firstLine="141"/>
        <w:rPr>
          <w:rFonts w:ascii="Arial Unicode MS" w:eastAsia="宋体" w:hAnsi="Arial Unicode MS" w:cs="Arial" w:hint="eastAsia"/>
          <w:b/>
          <w:bCs/>
          <w:sz w:val="28"/>
          <w:szCs w:val="28"/>
        </w:rPr>
      </w:pPr>
      <w:bookmarkStart w:id="0" w:name="_Toc63676436"/>
      <w:bookmarkStart w:id="1" w:name="_Toc335232691"/>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0"/>
      <w:bookmarkEnd w:id="1"/>
    </w:p>
    <w:p w14:paraId="70D81811" w14:textId="77777777" w:rsidR="009A7A59" w:rsidRDefault="009A7A59">
      <w:pPr>
        <w:ind w:firstLine="105"/>
      </w:pPr>
    </w:p>
    <w:p w14:paraId="2D2034A5" w14:textId="77777777" w:rsidR="009A7A59" w:rsidRDefault="00000000">
      <w:pPr>
        <w:spacing w:line="360" w:lineRule="auto"/>
        <w:ind w:firstLineChars="200" w:firstLine="420"/>
      </w:pPr>
      <w:r>
        <w:t>《富荣富兴纯债债券型证券投资基金招募说明书》（以下简称</w:t>
      </w:r>
      <w:r>
        <w:t>“</w:t>
      </w:r>
      <w:r>
        <w:t>招募说明书</w:t>
      </w:r>
      <w:r>
        <w:t>”</w:t>
      </w:r>
      <w:r>
        <w:t>或</w:t>
      </w:r>
      <w:r>
        <w:t>“</w:t>
      </w:r>
      <w:r>
        <w:t>本招募说明书</w:t>
      </w:r>
      <w:r>
        <w:t>”</w:t>
      </w:r>
      <w:r>
        <w:t>）依照《中华人民共和国证券投资基金法》（以下简称</w:t>
      </w:r>
      <w:r>
        <w:t>“</w:t>
      </w:r>
      <w:r>
        <w:t>《基金法》</w:t>
      </w:r>
      <w:r>
        <w:t>”</w:t>
      </w:r>
      <w:r>
        <w:t>）、《</w:t>
      </w:r>
      <w:r>
        <w:rPr>
          <w:rFonts w:hint="eastAsia"/>
        </w:rPr>
        <w:t>公开募集</w:t>
      </w:r>
      <w:r>
        <w:t>证券投资基金运作管理办法》（以下简称</w:t>
      </w:r>
      <w:r>
        <w:t>“</w:t>
      </w:r>
      <w:r>
        <w:rPr>
          <w:rFonts w:hint="eastAsia"/>
        </w:rPr>
        <w:t>《运作办法》</w:t>
      </w:r>
      <w:r>
        <w:t>”</w:t>
      </w:r>
      <w:r>
        <w:rPr>
          <w:rFonts w:hint="eastAsia"/>
        </w:rPr>
        <w:t>）、《公开募集证券投资基金销售机构监督管理办法》（以下简称</w:t>
      </w:r>
      <w:r>
        <w:t>“</w:t>
      </w:r>
      <w:r>
        <w:rPr>
          <w:rFonts w:hint="eastAsia"/>
        </w:rPr>
        <w:t>《销售办法》</w:t>
      </w:r>
      <w:r>
        <w:t>”</w:t>
      </w:r>
      <w:r>
        <w:rPr>
          <w:rFonts w:hint="eastAsia"/>
        </w:rPr>
        <w:t>）、《</w:t>
      </w:r>
      <w:r>
        <w:rPr>
          <w:rFonts w:ascii="Arial Unicode MS" w:hAnsi="Arial Unicode MS" w:cs="Arial" w:hint="eastAsia"/>
          <w:kern w:val="0"/>
          <w:szCs w:val="21"/>
        </w:rPr>
        <w:t>公开募集证券投资基金信息披露管理办法</w:t>
      </w:r>
      <w:r>
        <w:rPr>
          <w:rFonts w:hint="eastAsia"/>
        </w:rPr>
        <w:t>》（以下简称</w:t>
      </w:r>
      <w:r>
        <w:t>“</w:t>
      </w:r>
      <w:r>
        <w:rPr>
          <w:rFonts w:hint="eastAsia"/>
        </w:rPr>
        <w:t>《信息披露办法》</w:t>
      </w:r>
      <w:r>
        <w:t>”</w:t>
      </w:r>
      <w:r>
        <w:rPr>
          <w:rFonts w:hint="eastAsia"/>
        </w:rPr>
        <w:t>）、《公开募集开放式证券投资基金流动性风险管理规定》（以下简称“《管理规定》”）和其他有关法律法规以及《富荣富兴纯债债券型证券投资基金基金合同》（以下简称</w:t>
      </w:r>
      <w:r>
        <w:t>“</w:t>
      </w:r>
      <w:r>
        <w:rPr>
          <w:rFonts w:hint="eastAsia"/>
        </w:rPr>
        <w:t>基金合同</w:t>
      </w:r>
      <w:r>
        <w:t>”</w:t>
      </w:r>
      <w:r>
        <w:rPr>
          <w:rFonts w:hint="eastAsia"/>
        </w:rPr>
        <w:t>）编写。本招募说明书阐述了</w:t>
      </w:r>
      <w:r>
        <w:t>富荣富</w:t>
      </w:r>
      <w:proofErr w:type="gramStart"/>
      <w:r>
        <w:t>兴纯债</w:t>
      </w:r>
      <w:proofErr w:type="gramEnd"/>
      <w:r>
        <w:t>债券型证券投资基金</w:t>
      </w:r>
      <w:r>
        <w:rPr>
          <w:rFonts w:hint="eastAsia"/>
        </w:rPr>
        <w:t>的投资目标、策略、风险、费率等与投资人投资决策有关的必要事项，投资人在</w:t>
      </w:r>
      <w:proofErr w:type="gramStart"/>
      <w:r>
        <w:rPr>
          <w:rFonts w:hint="eastAsia"/>
        </w:rPr>
        <w:t>作出</w:t>
      </w:r>
      <w:proofErr w:type="gramEnd"/>
      <w:r>
        <w:rPr>
          <w:rFonts w:hint="eastAsia"/>
        </w:rPr>
        <w:t>投资决策前应仔细阅读本招募说明书。</w:t>
      </w:r>
      <w:r>
        <w:t>基金管理人承诺本招募说明书不存在任何虚假记载、误导性陈述或重大遗漏，并对其真实性、准确性、完整性承担法律责任。</w:t>
      </w:r>
    </w:p>
    <w:p w14:paraId="47906A25" w14:textId="77777777" w:rsidR="009A7A59" w:rsidRDefault="00000000">
      <w:pPr>
        <w:spacing w:line="360" w:lineRule="auto"/>
        <w:ind w:firstLineChars="200" w:firstLine="420"/>
      </w:pPr>
      <w:r>
        <w:t>富荣富</w:t>
      </w:r>
      <w:proofErr w:type="gramStart"/>
      <w:r>
        <w:t>兴纯债</w:t>
      </w:r>
      <w:proofErr w:type="gramEnd"/>
      <w:r>
        <w:t>债券型证券投资基金（以下简称</w:t>
      </w:r>
      <w:r>
        <w:t>“</w:t>
      </w:r>
      <w:r>
        <w:t>基金</w:t>
      </w:r>
      <w:r>
        <w:t>”</w:t>
      </w:r>
      <w:r>
        <w:rPr>
          <w:rFonts w:hint="eastAsia"/>
        </w:rPr>
        <w:t>或</w:t>
      </w:r>
      <w:r>
        <w:t>“</w:t>
      </w:r>
      <w:r>
        <w:rPr>
          <w:rFonts w:hint="eastAsia"/>
        </w:rPr>
        <w:t>本基金</w:t>
      </w:r>
      <w:r>
        <w:t>”</w:t>
      </w:r>
      <w:r>
        <w:rPr>
          <w:rFonts w:hint="eastAsia"/>
        </w:rPr>
        <w:t>）是根据本招募说明书所载明的资料申请募集的。本基金管理人没有委托或授权任何其他人提供未在本招募说明书中载明的信息，或对本招募说明书作任何解释或者说明。</w:t>
      </w:r>
    </w:p>
    <w:p w14:paraId="0A44DCDE" w14:textId="77777777" w:rsidR="009A7A59" w:rsidRDefault="00000000">
      <w:pPr>
        <w:spacing w:line="360" w:lineRule="auto"/>
        <w:ind w:firstLineChars="200" w:firstLine="420"/>
      </w:pPr>
      <w:r>
        <w:t>本招募说明书根据本基金的基金合同编写，并经中国证监会</w:t>
      </w:r>
      <w:r>
        <w:rPr>
          <w:rFonts w:hint="eastAsia"/>
        </w:rPr>
        <w:t>注册</w:t>
      </w:r>
      <w:r>
        <w:t>。基金合同是约定基金合同当事人之间权利、义务的法律文件。基金</w:t>
      </w:r>
      <w:proofErr w:type="gramStart"/>
      <w:r>
        <w:t>投资者自依基金</w:t>
      </w:r>
      <w:proofErr w:type="gramEnd"/>
      <w: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ED9F8CF" w14:textId="77777777" w:rsidR="009A7A59" w:rsidRDefault="009A7A59">
      <w:pPr>
        <w:spacing w:line="360" w:lineRule="auto"/>
        <w:ind w:firstLineChars="200" w:firstLine="420"/>
      </w:pPr>
    </w:p>
    <w:p w14:paraId="5B2ACD9A" w14:textId="77777777" w:rsidR="009A7A59" w:rsidRDefault="009A7A59">
      <w:pPr>
        <w:spacing w:line="360" w:lineRule="auto"/>
        <w:ind w:firstLineChars="200" w:firstLine="420"/>
      </w:pPr>
    </w:p>
    <w:p w14:paraId="141E73D3" w14:textId="77777777" w:rsidR="009A7A59" w:rsidRDefault="009A7A59">
      <w:pPr>
        <w:spacing w:line="360" w:lineRule="auto"/>
        <w:ind w:firstLineChars="200" w:firstLine="420"/>
      </w:pPr>
    </w:p>
    <w:p w14:paraId="6F4E2830" w14:textId="77777777" w:rsidR="009A7A59" w:rsidRDefault="009A7A59">
      <w:pPr>
        <w:spacing w:line="360" w:lineRule="auto"/>
        <w:ind w:firstLineChars="200" w:firstLine="420"/>
      </w:pPr>
    </w:p>
    <w:p w14:paraId="24689EAB" w14:textId="77777777" w:rsidR="009A7A59" w:rsidRDefault="009A7A59">
      <w:pPr>
        <w:spacing w:line="360" w:lineRule="auto"/>
        <w:ind w:firstLineChars="200" w:firstLine="420"/>
      </w:pPr>
    </w:p>
    <w:p w14:paraId="5C9BC8E1" w14:textId="77777777" w:rsidR="009A7A59" w:rsidRDefault="009A7A59">
      <w:pPr>
        <w:spacing w:line="360" w:lineRule="auto"/>
        <w:ind w:firstLineChars="200" w:firstLine="420"/>
      </w:pPr>
    </w:p>
    <w:p w14:paraId="5F7659DF" w14:textId="77777777" w:rsidR="009A7A59" w:rsidRDefault="009A7A59">
      <w:pPr>
        <w:spacing w:line="360" w:lineRule="auto"/>
        <w:ind w:firstLineChars="200" w:firstLine="420"/>
      </w:pPr>
    </w:p>
    <w:p w14:paraId="5A629CB2" w14:textId="77777777" w:rsidR="009A7A59" w:rsidRDefault="009A7A59">
      <w:pPr>
        <w:spacing w:line="360" w:lineRule="auto"/>
        <w:ind w:firstLineChars="200" w:firstLine="420"/>
      </w:pPr>
    </w:p>
    <w:p w14:paraId="14224CF5" w14:textId="77777777" w:rsidR="009A7A59" w:rsidRDefault="009A7A59">
      <w:pPr>
        <w:spacing w:line="360" w:lineRule="auto"/>
        <w:ind w:firstLineChars="200" w:firstLine="420"/>
      </w:pPr>
    </w:p>
    <w:p w14:paraId="02EF02E3" w14:textId="77777777" w:rsidR="009A7A59" w:rsidRDefault="009A7A59">
      <w:pPr>
        <w:spacing w:line="360" w:lineRule="auto"/>
        <w:ind w:firstLineChars="200" w:firstLine="420"/>
      </w:pPr>
    </w:p>
    <w:p w14:paraId="264E7491" w14:textId="77777777" w:rsidR="009A7A59" w:rsidRDefault="009A7A59">
      <w:pPr>
        <w:spacing w:line="360" w:lineRule="auto"/>
        <w:ind w:firstLineChars="200" w:firstLine="420"/>
      </w:pPr>
    </w:p>
    <w:p w14:paraId="2ADA97B3" w14:textId="77777777" w:rsidR="009A7A59" w:rsidRDefault="009A7A59">
      <w:pPr>
        <w:spacing w:line="360" w:lineRule="auto"/>
        <w:ind w:firstLineChars="200" w:firstLine="420"/>
      </w:pPr>
    </w:p>
    <w:p w14:paraId="1EFA8146" w14:textId="77777777" w:rsidR="009A7A59" w:rsidRDefault="009A7A59">
      <w:pPr>
        <w:spacing w:line="360" w:lineRule="auto"/>
        <w:ind w:firstLineChars="200" w:firstLine="420"/>
      </w:pPr>
    </w:p>
    <w:p w14:paraId="0B3E2CB4" w14:textId="77777777" w:rsidR="009A7A59" w:rsidRDefault="009A7A59">
      <w:pPr>
        <w:spacing w:line="360" w:lineRule="auto"/>
        <w:ind w:firstLineChars="200" w:firstLine="420"/>
      </w:pPr>
    </w:p>
    <w:p w14:paraId="6B45B9CC" w14:textId="77777777" w:rsidR="009A7A59" w:rsidRDefault="009A7A59">
      <w:pPr>
        <w:spacing w:line="360" w:lineRule="auto"/>
        <w:ind w:firstLineChars="200" w:firstLine="420"/>
      </w:pPr>
    </w:p>
    <w:p w14:paraId="6CF5C117" w14:textId="77777777" w:rsidR="009A7A59" w:rsidRDefault="009A7A59">
      <w:pPr>
        <w:spacing w:line="360" w:lineRule="auto"/>
        <w:ind w:firstLineChars="200" w:firstLine="420"/>
      </w:pPr>
    </w:p>
    <w:p w14:paraId="2AFD8478" w14:textId="77777777" w:rsidR="009A7A59" w:rsidRDefault="00000000">
      <w:pPr>
        <w:pStyle w:val="11"/>
        <w:snapToGrid w:val="0"/>
        <w:spacing w:before="0" w:after="0" w:line="360" w:lineRule="auto"/>
        <w:ind w:firstLine="141"/>
        <w:rPr>
          <w:rFonts w:ascii="Arial Unicode MS" w:eastAsia="宋体" w:hAnsi="Arial Unicode MS" w:cs="Arial" w:hint="eastAsia"/>
          <w:b/>
          <w:bCs/>
          <w:sz w:val="28"/>
          <w:szCs w:val="28"/>
        </w:rPr>
      </w:pPr>
      <w:bookmarkStart w:id="2" w:name="_Toc335232692"/>
      <w:bookmarkStart w:id="3" w:name="_Toc214873591"/>
      <w:bookmarkStart w:id="4" w:name="_Toc63676437"/>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2"/>
      <w:bookmarkEnd w:id="3"/>
      <w:bookmarkEnd w:id="4"/>
    </w:p>
    <w:p w14:paraId="5ACFC5D6" w14:textId="77777777" w:rsidR="009A7A59" w:rsidRDefault="009A7A59"/>
    <w:p w14:paraId="6FE57F33"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在本招募说明书中，除非文</w:t>
      </w:r>
      <w:r>
        <w:rPr>
          <w:rFonts w:ascii="Arial Unicode MS" w:hAnsi="Arial Unicode MS" w:cs="Arial" w:hint="eastAsia"/>
          <w:szCs w:val="21"/>
        </w:rPr>
        <w:t>义</w:t>
      </w:r>
      <w:r>
        <w:rPr>
          <w:rFonts w:ascii="Arial Unicode MS" w:hAnsi="Arial Unicode MS" w:cs="Arial"/>
          <w:szCs w:val="21"/>
        </w:rPr>
        <w:t>另有所指，下列词语</w:t>
      </w:r>
      <w:r>
        <w:rPr>
          <w:rFonts w:ascii="Arial Unicode MS" w:hAnsi="Arial Unicode MS" w:cs="Arial" w:hint="eastAsia"/>
          <w:szCs w:val="21"/>
        </w:rPr>
        <w:t>或简称</w:t>
      </w:r>
      <w:r>
        <w:rPr>
          <w:rFonts w:ascii="Arial Unicode MS" w:hAnsi="Arial Unicode MS" w:cs="Arial"/>
          <w:szCs w:val="21"/>
        </w:rPr>
        <w:t>具有</w:t>
      </w:r>
      <w:r>
        <w:rPr>
          <w:rFonts w:ascii="Arial Unicode MS" w:hAnsi="Arial Unicode MS" w:cs="Arial" w:hint="eastAsia"/>
          <w:szCs w:val="21"/>
        </w:rPr>
        <w:t>以下</w:t>
      </w:r>
      <w:r>
        <w:rPr>
          <w:rFonts w:ascii="Arial Unicode MS" w:hAnsi="Arial Unicode MS" w:cs="Arial"/>
          <w:szCs w:val="21"/>
        </w:rPr>
        <w:t>含义：</w:t>
      </w:r>
    </w:p>
    <w:p w14:paraId="524DCD46" w14:textId="77777777" w:rsidR="009A7A59" w:rsidRDefault="00000000">
      <w:pPr>
        <w:spacing w:line="360" w:lineRule="auto"/>
        <w:ind w:firstLineChars="150" w:firstLine="315"/>
        <w:rPr>
          <w:rFonts w:ascii="Arial Unicode MS" w:hAnsi="Arial Unicode MS" w:cs="Arial" w:hint="eastAsia"/>
          <w:szCs w:val="21"/>
        </w:rPr>
      </w:pPr>
      <w:r>
        <w:rPr>
          <w:rFonts w:ascii="Arial Unicode MS" w:hAnsi="Arial Unicode MS" w:cs="Arial"/>
          <w:szCs w:val="21"/>
        </w:rPr>
        <w:t>1</w:t>
      </w:r>
      <w:r>
        <w:rPr>
          <w:rFonts w:ascii="Arial Unicode MS" w:hAnsi="Arial Unicode MS" w:cs="Arial" w:hint="eastAsia"/>
          <w:szCs w:val="21"/>
        </w:rPr>
        <w:t>、</w:t>
      </w:r>
      <w:r>
        <w:rPr>
          <w:rFonts w:ascii="Arial Unicode MS" w:hAnsi="Arial Unicode MS" w:cs="Arial"/>
          <w:szCs w:val="21"/>
        </w:rPr>
        <w:t>基金或本基金：</w:t>
      </w:r>
      <w:proofErr w:type="gramStart"/>
      <w:r>
        <w:rPr>
          <w:rFonts w:ascii="Arial Unicode MS" w:hAnsi="Arial Unicode MS" w:cs="Arial" w:hint="eastAsia"/>
          <w:szCs w:val="21"/>
        </w:rPr>
        <w:t>指富荣</w:t>
      </w:r>
      <w:proofErr w:type="gramEnd"/>
      <w:r>
        <w:rPr>
          <w:rFonts w:ascii="Arial Unicode MS" w:hAnsi="Arial Unicode MS" w:cs="Arial" w:hint="eastAsia"/>
          <w:szCs w:val="21"/>
        </w:rPr>
        <w:t>富</w:t>
      </w:r>
      <w:proofErr w:type="gramStart"/>
      <w:r>
        <w:rPr>
          <w:rFonts w:ascii="Arial Unicode MS" w:hAnsi="Arial Unicode MS" w:cs="Arial" w:hint="eastAsia"/>
          <w:szCs w:val="21"/>
        </w:rPr>
        <w:t>兴纯债</w:t>
      </w:r>
      <w:proofErr w:type="gramEnd"/>
      <w:r>
        <w:rPr>
          <w:rFonts w:ascii="Arial Unicode MS" w:hAnsi="Arial Unicode MS" w:cs="Arial" w:hint="eastAsia"/>
          <w:szCs w:val="21"/>
        </w:rPr>
        <w:t>债券型证券投资基金</w:t>
      </w:r>
    </w:p>
    <w:p w14:paraId="0DC8D91D"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szCs w:val="21"/>
        </w:rPr>
        <w:t>基金管理人：</w:t>
      </w:r>
      <w:proofErr w:type="gramStart"/>
      <w:r>
        <w:rPr>
          <w:rFonts w:ascii="Arial Unicode MS" w:hAnsi="Arial Unicode MS" w:cs="Arial"/>
          <w:szCs w:val="21"/>
        </w:rPr>
        <w:t>指</w:t>
      </w:r>
      <w:r>
        <w:rPr>
          <w:rFonts w:ascii="Arial Unicode MS" w:hAnsi="Arial Unicode MS" w:cs="Arial" w:hint="eastAsia"/>
          <w:szCs w:val="21"/>
        </w:rPr>
        <w:t>富荣基金</w:t>
      </w:r>
      <w:proofErr w:type="gramEnd"/>
      <w:r>
        <w:rPr>
          <w:rFonts w:ascii="Arial Unicode MS" w:hAnsi="Arial Unicode MS" w:cs="Arial" w:hint="eastAsia"/>
          <w:szCs w:val="21"/>
        </w:rPr>
        <w:t>管理有限公司</w:t>
      </w:r>
      <w:r>
        <w:rPr>
          <w:rFonts w:ascii="Arial Unicode MS" w:hAnsi="Arial Unicode MS" w:cs="Arial"/>
          <w:szCs w:val="21"/>
        </w:rPr>
        <w:t xml:space="preserve">      </w:t>
      </w:r>
    </w:p>
    <w:p w14:paraId="6D3DE97A"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3</w:t>
      </w:r>
      <w:r>
        <w:rPr>
          <w:rFonts w:ascii="Arial Unicode MS" w:hAnsi="Arial Unicode MS" w:cs="Arial" w:hint="eastAsia"/>
          <w:szCs w:val="21"/>
        </w:rPr>
        <w:t>、</w:t>
      </w:r>
      <w:r>
        <w:rPr>
          <w:rFonts w:ascii="Arial Unicode MS" w:hAnsi="Arial Unicode MS" w:cs="Arial"/>
          <w:szCs w:val="21"/>
        </w:rPr>
        <w:t>基金托管人：</w:t>
      </w:r>
      <w:r>
        <w:rPr>
          <w:rFonts w:ascii="Arial Unicode MS" w:hAnsi="Arial Unicode MS" w:cs="Arial" w:hint="eastAsia"/>
          <w:szCs w:val="21"/>
        </w:rPr>
        <w:t>指中国建设银行股份有限公司。以下简称基金托管人或托管人</w:t>
      </w:r>
      <w:r>
        <w:rPr>
          <w:rFonts w:ascii="Arial Unicode MS" w:hAnsi="Arial Unicode MS" w:cs="Arial"/>
          <w:szCs w:val="21"/>
        </w:rPr>
        <w:t xml:space="preserve">    </w:t>
      </w:r>
    </w:p>
    <w:p w14:paraId="7B32D325"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szCs w:val="21"/>
        </w:rPr>
        <w:t>基金合同：指《</w:t>
      </w:r>
      <w:r>
        <w:rPr>
          <w:rFonts w:ascii="Arial Unicode MS" w:hAnsi="Arial Unicode MS" w:cs="Arial" w:hint="eastAsia"/>
          <w:szCs w:val="21"/>
        </w:rPr>
        <w:t>富荣富兴纯债债券型证券投资基金</w:t>
      </w:r>
      <w:r>
        <w:rPr>
          <w:rFonts w:ascii="Arial Unicode MS" w:hAnsi="Arial Unicode MS" w:cs="Arial"/>
          <w:szCs w:val="21"/>
        </w:rPr>
        <w:t>基金合同》及对基金合同的任何有效修订和补充</w:t>
      </w:r>
    </w:p>
    <w:p w14:paraId="67DB2CF2"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szCs w:val="21"/>
        </w:rPr>
        <w:t>托管协议：指基金管理人与基金托管人就本基金签订之《</w:t>
      </w:r>
      <w:r>
        <w:rPr>
          <w:rFonts w:ascii="Arial Unicode MS" w:hAnsi="Arial Unicode MS" w:cs="Arial" w:hint="eastAsia"/>
          <w:szCs w:val="21"/>
        </w:rPr>
        <w:t>富荣富兴纯债债券型证券投资基金</w:t>
      </w:r>
      <w:r>
        <w:rPr>
          <w:rFonts w:ascii="Arial Unicode MS" w:hAnsi="Arial Unicode MS" w:cs="Arial"/>
          <w:szCs w:val="21"/>
        </w:rPr>
        <w:t>托管协议》及对该托管协议的任何有效修订和补充</w:t>
      </w:r>
    </w:p>
    <w:p w14:paraId="5E583F84"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6</w:t>
      </w:r>
      <w:r>
        <w:rPr>
          <w:rFonts w:ascii="Arial Unicode MS" w:hAnsi="Arial Unicode MS" w:cs="Arial" w:hint="eastAsia"/>
          <w:szCs w:val="21"/>
        </w:rPr>
        <w:t>、</w:t>
      </w:r>
      <w:r>
        <w:rPr>
          <w:rFonts w:ascii="Arial Unicode MS" w:hAnsi="Arial Unicode MS" w:cs="Arial"/>
          <w:szCs w:val="21"/>
        </w:rPr>
        <w:t>招募说明书</w:t>
      </w:r>
      <w:r>
        <w:rPr>
          <w:rFonts w:ascii="Arial Unicode MS" w:hAnsi="Arial Unicode MS" w:cs="Arial" w:hint="eastAsia"/>
          <w:szCs w:val="21"/>
        </w:rPr>
        <w:t>或本招募说明书</w:t>
      </w:r>
      <w:r>
        <w:rPr>
          <w:rFonts w:ascii="Arial Unicode MS" w:hAnsi="Arial Unicode MS" w:cs="Arial"/>
          <w:szCs w:val="21"/>
        </w:rPr>
        <w:t>：指《</w:t>
      </w:r>
      <w:r>
        <w:rPr>
          <w:rFonts w:ascii="Arial Unicode MS" w:hAnsi="Arial Unicode MS" w:cs="Arial" w:hint="eastAsia"/>
          <w:szCs w:val="21"/>
        </w:rPr>
        <w:t>富荣富兴纯债债券型证券投资基金</w:t>
      </w:r>
      <w:r>
        <w:rPr>
          <w:rFonts w:ascii="Arial Unicode MS" w:hAnsi="Arial Unicode MS" w:cs="Arial"/>
          <w:szCs w:val="21"/>
        </w:rPr>
        <w:t>招募说明书》及其更新</w:t>
      </w:r>
    </w:p>
    <w:p w14:paraId="7A89919A"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、基金产品资料概要：指《富荣富兴纯债债券型证券投资基金基金产品资料概要》及其更新</w:t>
      </w:r>
    </w:p>
    <w:p w14:paraId="0AA3BB4F"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szCs w:val="21"/>
        </w:rPr>
        <w:t>基金份额发售公告：指《</w:t>
      </w:r>
      <w:r>
        <w:rPr>
          <w:rFonts w:ascii="Arial Unicode MS" w:hAnsi="Arial Unicode MS" w:cs="Arial" w:hint="eastAsia"/>
          <w:szCs w:val="21"/>
        </w:rPr>
        <w:t>富荣富兴纯债债券型证券投资基金</w:t>
      </w:r>
      <w:r>
        <w:rPr>
          <w:rFonts w:ascii="Arial Unicode MS" w:hAnsi="Arial Unicode MS" w:cs="Arial"/>
          <w:szCs w:val="21"/>
        </w:rPr>
        <w:t>基金份额发售公告》</w:t>
      </w:r>
    </w:p>
    <w:p w14:paraId="46556AA4"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55E8DE1C"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14:paraId="619DAB6A"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日颁布、同年</w:t>
      </w:r>
      <w:r>
        <w:rPr>
          <w:rFonts w:ascii="Arial Unicode MS" w:hAnsi="Arial Unicode MS" w:cs="Arial"/>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日实施的《公开募集证券投资基金销售机构监督管理办法》及颁布机关对其不时做出的修订</w:t>
      </w:r>
    </w:p>
    <w:p w14:paraId="78C5FA24"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szCs w:val="21"/>
        </w:rPr>
        <w:t>2019</w:t>
      </w:r>
      <w:r>
        <w:rPr>
          <w:rFonts w:ascii="Arial Unicode MS" w:hAnsi="Arial Unicode MS" w:cs="Arial" w:hint="eastAsia"/>
          <w:szCs w:val="21"/>
        </w:rPr>
        <w:t>年</w:t>
      </w:r>
      <w:r>
        <w:rPr>
          <w:rFonts w:ascii="Arial Unicode MS" w:hAnsi="Arial Unicode MS" w:cs="Arial"/>
          <w:szCs w:val="21"/>
        </w:rPr>
        <w:t>7</w:t>
      </w:r>
      <w:r>
        <w:rPr>
          <w:rFonts w:ascii="Arial Unicode MS" w:hAnsi="Arial Unicode MS" w:cs="Arial" w:hint="eastAsia"/>
          <w:szCs w:val="21"/>
        </w:rPr>
        <w:t>月</w:t>
      </w:r>
      <w:r>
        <w:rPr>
          <w:rFonts w:ascii="Arial Unicode MS" w:hAnsi="Arial Unicode MS" w:cs="Arial"/>
          <w:szCs w:val="21"/>
        </w:rPr>
        <w:t>26</w:t>
      </w:r>
      <w:r>
        <w:rPr>
          <w:rFonts w:ascii="Arial Unicode MS" w:hAnsi="Arial Unicode MS" w:cs="Arial" w:hint="eastAsia"/>
          <w:szCs w:val="21"/>
        </w:rPr>
        <w:t>日颁布、同年</w:t>
      </w:r>
      <w:r>
        <w:rPr>
          <w:rFonts w:ascii="Arial Unicode MS" w:hAnsi="Arial Unicode MS" w:cs="Arial"/>
          <w:szCs w:val="21"/>
        </w:rPr>
        <w:t>9</w:t>
      </w:r>
      <w:r>
        <w:rPr>
          <w:rFonts w:ascii="Arial Unicode MS" w:hAnsi="Arial Unicode MS" w:cs="Arial" w:hint="eastAsia"/>
          <w:szCs w:val="21"/>
        </w:rPr>
        <w:t>月</w:t>
      </w:r>
      <w:r>
        <w:rPr>
          <w:rFonts w:ascii="Arial Unicode MS" w:hAnsi="Arial Unicode MS" w:cs="Arial"/>
          <w:szCs w:val="21"/>
        </w:rPr>
        <w:t>1</w:t>
      </w:r>
      <w:r>
        <w:rPr>
          <w:rFonts w:ascii="Arial Unicode MS" w:hAnsi="Arial Unicode MS" w:cs="Arial" w:hint="eastAsia"/>
          <w:szCs w:val="21"/>
        </w:rPr>
        <w:t>日实施，并经</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20</w:t>
      </w:r>
      <w:r>
        <w:rPr>
          <w:rFonts w:ascii="Arial Unicode MS" w:hAnsi="Arial Unicode MS" w:cs="Arial" w:hint="eastAsia"/>
          <w:szCs w:val="21"/>
        </w:rPr>
        <w:t>日中国证监会《关于修改部分证券期货规章的决定》修正的《公开募集证券投资基金信息披露管理办法》及颁布机关对其不时做出的修订</w:t>
      </w:r>
    </w:p>
    <w:p w14:paraId="5E1A21D9"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w:t>
      </w:r>
      <w:r>
        <w:rPr>
          <w:rFonts w:ascii="Arial Unicode MS" w:hAnsi="Arial Unicode MS" w:cs="Arial" w:hint="eastAsia"/>
          <w:szCs w:val="21"/>
        </w:rPr>
        <w:lastRenderedPageBreak/>
        <w:t>集证券投资基金运作管理办法》及颁布机关对其不时做出的修订</w:t>
      </w:r>
    </w:p>
    <w:p w14:paraId="2B917BE4"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hint="eastAsia"/>
          <w:szCs w:val="21"/>
        </w:rPr>
        <w:t>、《流动性风险规定》：指中国证监会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日起实施的《公开募集开放式证券投资基金流动性风险管理规定》及颁布机关对其不时做出的修订</w:t>
      </w:r>
    </w:p>
    <w:p w14:paraId="074AAF8D"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14:paraId="573D5FE8"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szCs w:val="21"/>
        </w:rPr>
        <w:t>/</w:t>
      </w:r>
      <w:r>
        <w:rPr>
          <w:rFonts w:ascii="Arial Unicode MS" w:hAnsi="Arial Unicode MS" w:cs="Arial" w:hint="eastAsia"/>
          <w:szCs w:val="21"/>
        </w:rPr>
        <w:t>或中国银行保险监督管理委员会</w:t>
      </w:r>
    </w:p>
    <w:p w14:paraId="68951D26"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3B8C1ACA"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14:paraId="08EC8503"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74B77E75"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20</w:t>
      </w:r>
      <w:r>
        <w:rPr>
          <w:rFonts w:ascii="Arial Unicode MS" w:hAnsi="Arial Unicode MS" w:cs="Arial" w:hint="eastAsia"/>
          <w:szCs w:val="21"/>
        </w:rPr>
        <w:t>、合格境外机构投资者：指符合《合格境外机构投资者和人民币合格境外机构投资者境内证券期货投资管理办法》及相关法律法规规定可以投资于在中国境内依法募集的证券投资基金的中国境外的机构投资者</w:t>
      </w:r>
    </w:p>
    <w:p w14:paraId="3E7B3B73"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人民币合格境外机构投资者：指符合《合格境外机构投资者和人民币合格境外机构投资者境内证券期货投资管理办法》（包括其不时修订）及相关法律法规规定可以运用来自境外的人民币资金进行境内证券投资的境外机构投资者</w:t>
      </w:r>
    </w:p>
    <w:p w14:paraId="18A488D1"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、投资人：指个人投资者、机构投资者、合格境外机构投资者、人民币合格境外机构投资者以及法律法规或中国证监会允许购买证券投资基金的其他投资人的合称</w:t>
      </w:r>
    </w:p>
    <w:p w14:paraId="7B216BD3"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、基金份额持有人：指依基金合同和招募说明书合法取得基金份额的投资人</w:t>
      </w:r>
    </w:p>
    <w:p w14:paraId="4C327CCE"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47EACE1E"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、销售机构：指直销机构和代销机构</w:t>
      </w:r>
    </w:p>
    <w:p w14:paraId="15F2223A"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、直销机构：</w:t>
      </w:r>
      <w:proofErr w:type="gramStart"/>
      <w:r>
        <w:rPr>
          <w:rFonts w:ascii="Arial Unicode MS" w:hAnsi="Arial Unicode MS" w:cs="Arial" w:hint="eastAsia"/>
          <w:szCs w:val="21"/>
        </w:rPr>
        <w:t>指富荣基金</w:t>
      </w:r>
      <w:proofErr w:type="gramEnd"/>
      <w:r>
        <w:rPr>
          <w:rFonts w:ascii="Arial Unicode MS" w:hAnsi="Arial Unicode MS" w:cs="Arial" w:hint="eastAsia"/>
          <w:szCs w:val="21"/>
        </w:rPr>
        <w:t>管理有限公司</w:t>
      </w:r>
    </w:p>
    <w:p w14:paraId="0517CFEF"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7D90B486"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Arial Unicode MS" w:hAnsi="Arial Unicode MS" w:cs="Arial" w:hint="eastAsia"/>
          <w:szCs w:val="21"/>
        </w:rPr>
        <w:t>非交易</w:t>
      </w:r>
      <w:proofErr w:type="gramEnd"/>
      <w:r>
        <w:rPr>
          <w:rFonts w:ascii="Arial Unicode MS" w:hAnsi="Arial Unicode MS" w:cs="Arial" w:hint="eastAsia"/>
          <w:szCs w:val="21"/>
        </w:rPr>
        <w:t>过户等</w:t>
      </w:r>
    </w:p>
    <w:p w14:paraId="336A7B6E"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、登记机构：</w:t>
      </w:r>
      <w:proofErr w:type="gramStart"/>
      <w:r>
        <w:rPr>
          <w:rFonts w:ascii="Arial Unicode MS" w:hAnsi="Arial Unicode MS" w:cs="Arial" w:hint="eastAsia"/>
          <w:szCs w:val="21"/>
        </w:rPr>
        <w:t>指办理</w:t>
      </w:r>
      <w:proofErr w:type="gramEnd"/>
      <w:r>
        <w:rPr>
          <w:rFonts w:ascii="Arial Unicode MS" w:hAnsi="Arial Unicode MS" w:cs="Arial" w:hint="eastAsia"/>
          <w:szCs w:val="21"/>
        </w:rPr>
        <w:t>登记业务的机构。基金的登记机构为富</w:t>
      </w:r>
      <w:proofErr w:type="gramStart"/>
      <w:r>
        <w:rPr>
          <w:rFonts w:ascii="Arial Unicode MS" w:hAnsi="Arial Unicode MS" w:cs="Arial" w:hint="eastAsia"/>
          <w:szCs w:val="21"/>
        </w:rPr>
        <w:t>荣基金</w:t>
      </w:r>
      <w:proofErr w:type="gramEnd"/>
      <w:r>
        <w:rPr>
          <w:rFonts w:ascii="Arial Unicode MS" w:hAnsi="Arial Unicode MS" w:cs="Arial" w:hint="eastAsia"/>
          <w:szCs w:val="21"/>
        </w:rPr>
        <w:t>管理有限公司或接</w:t>
      </w:r>
      <w:r>
        <w:rPr>
          <w:rFonts w:ascii="Arial Unicode MS" w:hAnsi="Arial Unicode MS" w:cs="Arial" w:hint="eastAsia"/>
          <w:szCs w:val="21"/>
        </w:rPr>
        <w:lastRenderedPageBreak/>
        <w:t>受富</w:t>
      </w:r>
      <w:proofErr w:type="gramStart"/>
      <w:r>
        <w:rPr>
          <w:rFonts w:ascii="Arial Unicode MS" w:hAnsi="Arial Unicode MS" w:cs="Arial" w:hint="eastAsia"/>
          <w:szCs w:val="21"/>
        </w:rPr>
        <w:t>荣基金</w:t>
      </w:r>
      <w:proofErr w:type="gramEnd"/>
      <w:r>
        <w:rPr>
          <w:rFonts w:ascii="Arial Unicode MS" w:hAnsi="Arial Unicode MS" w:cs="Arial" w:hint="eastAsia"/>
          <w:szCs w:val="21"/>
        </w:rPr>
        <w:t>管理有限公司委托代为办理登记业务的机构</w:t>
      </w:r>
    </w:p>
    <w:p w14:paraId="170E0374"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30</w:t>
      </w:r>
      <w:r>
        <w:rPr>
          <w:rFonts w:ascii="Arial Unicode MS" w:hAnsi="Arial Unicode MS" w:cs="Arial" w:hint="eastAsia"/>
          <w:szCs w:val="21"/>
        </w:rPr>
        <w:t>、基金账户：指登记机构为投资人开立的、记录其持有的、基金管理人所管理的基金份额余额及其变动情况的账户</w:t>
      </w:r>
    </w:p>
    <w:p w14:paraId="0FA7407A"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E6138CD"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12CCD7F5"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5785906B"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14:paraId="3A023E79"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、存续期：指基金合同生效至终止之间的不定期期限</w:t>
      </w:r>
    </w:p>
    <w:p w14:paraId="03238D7D"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、工作日：指上海证券交易所、深圳证券交易所的正常交易日</w:t>
      </w:r>
    </w:p>
    <w:p w14:paraId="05F7AC9C"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日：指销售机构在规定时间受理投资人申购、赎回或其他业务申请的工作日</w:t>
      </w:r>
    </w:p>
    <w:p w14:paraId="09A598FF"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w:t>
      </w:r>
      <w:proofErr w:type="spellStart"/>
      <w:r>
        <w:rPr>
          <w:rFonts w:ascii="Arial Unicode MS" w:hAnsi="Arial Unicode MS" w:cs="Arial" w:hint="eastAsia"/>
          <w:szCs w:val="21"/>
        </w:rPr>
        <w:t>T+n</w:t>
      </w:r>
      <w:proofErr w:type="spellEnd"/>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14:paraId="30EB1B36"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、开放日：指为投资人办理基金份额申购、赎回或其他业务的工作日</w:t>
      </w:r>
    </w:p>
    <w:p w14:paraId="467FB41F"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40</w:t>
      </w:r>
      <w:r>
        <w:rPr>
          <w:rFonts w:ascii="Arial Unicode MS" w:hAnsi="Arial Unicode MS" w:cs="Arial" w:hint="eastAsia"/>
          <w:szCs w:val="21"/>
        </w:rPr>
        <w:t>、开放时间：指开放日基金接受申购、赎回或其他业务的时间段</w:t>
      </w:r>
    </w:p>
    <w:p w14:paraId="2C2DE37A"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777C8D78"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、认购：指在基金募集期内，投资人根据基金合同和招募说明书的规定申请购买基金份额的行为</w:t>
      </w:r>
    </w:p>
    <w:p w14:paraId="004C1FBF"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、申购：指基金合同生效后，投资人根据基金合同和招募说明书的规定申请购买基金份额的行为</w:t>
      </w:r>
    </w:p>
    <w:p w14:paraId="036A8C47"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、赎回：指基金合同生效后，基金份额持有人按基金合同和招募说明书规定的条件要求将基金份额兑换为现金的行为</w:t>
      </w:r>
    </w:p>
    <w:p w14:paraId="29942184"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份额的行为</w:t>
      </w:r>
    </w:p>
    <w:p w14:paraId="32D67CC3"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lastRenderedPageBreak/>
        <w:t>4</w:t>
      </w:r>
      <w:r>
        <w:rPr>
          <w:rFonts w:ascii="Arial Unicode MS" w:hAnsi="Arial Unicode MS" w:cs="Arial"/>
          <w:szCs w:val="21"/>
        </w:rPr>
        <w:t>6</w:t>
      </w:r>
      <w:r>
        <w:rPr>
          <w:rFonts w:ascii="Arial Unicode MS" w:hAnsi="Arial Unicode MS" w:cs="Arial" w:hint="eastAsia"/>
          <w:szCs w:val="21"/>
        </w:rPr>
        <w:t>、转托管：指基金份额持有人在本基金的不同销售机构之间实施的变更所持基金份额销售机构的操作</w:t>
      </w:r>
    </w:p>
    <w:p w14:paraId="697D1426"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7E7AED0D"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14:paraId="4CE4FBD1"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、元：指人民币元</w:t>
      </w:r>
    </w:p>
    <w:p w14:paraId="079D5094"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50</w:t>
      </w:r>
      <w:r>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3928F477"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、基金资产总值：指基金拥有的各类有价证券、银行存款本息、基金应收申购款及其他资产的价值总和</w:t>
      </w:r>
    </w:p>
    <w:p w14:paraId="733743A2"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、基金资产净值：指基金资产总值减去基金负债后的价值</w:t>
      </w:r>
    </w:p>
    <w:p w14:paraId="2A2A85DB"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、基金份额净值：指计算日各类基金份额的基金资产净值除以计算日该类基金份额总数</w:t>
      </w:r>
    </w:p>
    <w:p w14:paraId="3C5DDA88"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、基金资产估值：指计算评估基金资产和负债的价值，以确定基金资产净值和基金份额净值的过程</w:t>
      </w:r>
    </w:p>
    <w:p w14:paraId="7795612E"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、流动性受限资产：指由于法律法规、监管、合同或操作障碍等原因无法以合理价格予以变现的资产，包括但不限于到期日在</w:t>
      </w:r>
      <w:r>
        <w:rPr>
          <w:rFonts w:ascii="Arial Unicode MS" w:hAnsi="Arial Unicode MS" w:cs="Arial" w:hint="eastAsia"/>
          <w:szCs w:val="21"/>
        </w:rPr>
        <w:t>10</w:t>
      </w:r>
      <w:r>
        <w:rPr>
          <w:rFonts w:ascii="Arial Unicode MS" w:hAnsi="Arial Unicode MS" w:cs="Arial" w:hint="eastAsia"/>
          <w:szCs w:val="21"/>
        </w:rPr>
        <w:t>个交易日以上的逆回购与银行定期存款（</w:t>
      </w:r>
      <w:proofErr w:type="gramStart"/>
      <w:r>
        <w:rPr>
          <w:rFonts w:ascii="Arial Unicode MS" w:hAnsi="Arial Unicode MS" w:cs="Arial" w:hint="eastAsia"/>
          <w:szCs w:val="21"/>
        </w:rPr>
        <w:t>含协议</w:t>
      </w:r>
      <w:proofErr w:type="gramEnd"/>
      <w:r>
        <w:rPr>
          <w:rFonts w:ascii="Arial Unicode MS" w:hAnsi="Arial Unicode MS" w:cs="Arial" w:hint="eastAsia"/>
          <w:szCs w:val="21"/>
        </w:rPr>
        <w:t>约定有条件提前支取的银行存款）、资产支持证券、因发行人债务违约无法进行转让或交易的债券等</w:t>
      </w:r>
    </w:p>
    <w:p w14:paraId="38BE1061"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szCs w:val="21"/>
        </w:rPr>
        <w:t>6</w:t>
      </w:r>
      <w:r>
        <w:rPr>
          <w:rFonts w:ascii="Arial Unicode MS" w:hAnsi="Arial Unicode MS" w:cs="Arial" w:hint="eastAsia"/>
          <w:szCs w:val="21"/>
        </w:rPr>
        <w:t>、规定媒介：指符合中国证监会规定条件的用以进行信息披露的全国性报刊及《信息披露办法》规定的互联网网站（包括基金管理人网站、基金托管人网站、中国证监会基金电子信息披露网站）等媒介</w:t>
      </w:r>
    </w:p>
    <w:p w14:paraId="6E873E04"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57</w:t>
      </w:r>
      <w:r>
        <w:rPr>
          <w:rFonts w:ascii="Arial Unicode MS" w:hAnsi="Arial Unicode MS" w:cs="Arial" w:hint="eastAsia"/>
          <w:szCs w:val="21"/>
        </w:rPr>
        <w:t>、</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：指将基金投资组合中的特定资产从原有账户分离</w:t>
      </w:r>
      <w:proofErr w:type="gramStart"/>
      <w:r>
        <w:rPr>
          <w:rFonts w:ascii="Arial Unicode MS" w:hAnsi="Arial Unicode MS" w:cs="Arial" w:hint="eastAsia"/>
          <w:szCs w:val="21"/>
        </w:rPr>
        <w:t>至专门</w:t>
      </w:r>
      <w:proofErr w:type="gramEnd"/>
      <w:r>
        <w:rPr>
          <w:rFonts w:ascii="Arial Unicode MS" w:hAnsi="Arial Unicode MS" w:cs="Arial" w:hint="eastAsia"/>
          <w:szCs w:val="21"/>
        </w:rPr>
        <w:t>账户进行处置清算，目的在于有效隔离并化解风险，确保投资者得到公平对待，属于流动性风险管理工具。</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实施期间，原有账户称为主袋账户，专门账户</w:t>
      </w:r>
      <w:proofErr w:type="gramStart"/>
      <w:r>
        <w:rPr>
          <w:rFonts w:ascii="Arial Unicode MS" w:hAnsi="Arial Unicode MS" w:cs="Arial" w:hint="eastAsia"/>
          <w:szCs w:val="21"/>
        </w:rPr>
        <w:t>称为侧袋账户</w:t>
      </w:r>
      <w:proofErr w:type="gramEnd"/>
    </w:p>
    <w:p w14:paraId="5563050E"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58</w:t>
      </w:r>
      <w:r>
        <w:rPr>
          <w:rFonts w:ascii="Arial Unicode MS" w:hAnsi="Arial Unicode MS" w:cs="Arial" w:hint="eastAsia"/>
          <w:szCs w:val="21"/>
        </w:rPr>
        <w:t>、特定资产：包括：（一）无可参考的活跃市场价格且采用估值技术</w:t>
      </w:r>
      <w:proofErr w:type="gramStart"/>
      <w:r>
        <w:rPr>
          <w:rFonts w:ascii="Arial Unicode MS" w:hAnsi="Arial Unicode MS" w:cs="Arial" w:hint="eastAsia"/>
          <w:szCs w:val="21"/>
        </w:rPr>
        <w:t>仍导致</w:t>
      </w:r>
      <w:proofErr w:type="gramEnd"/>
      <w:r>
        <w:rPr>
          <w:rFonts w:ascii="Arial Unicode MS" w:hAnsi="Arial Unicode MS" w:cs="Arial" w:hint="eastAsia"/>
          <w:szCs w:val="21"/>
        </w:rPr>
        <w:t>公允价值</w:t>
      </w:r>
      <w:r>
        <w:rPr>
          <w:rFonts w:ascii="Arial Unicode MS" w:hAnsi="Arial Unicode MS" w:cs="Arial" w:hint="eastAsia"/>
          <w:szCs w:val="21"/>
        </w:rPr>
        <w:lastRenderedPageBreak/>
        <w:t>存在重大不确定性的资产；（二）</w:t>
      </w:r>
      <w:proofErr w:type="gramStart"/>
      <w:r>
        <w:rPr>
          <w:rFonts w:ascii="Arial Unicode MS" w:hAnsi="Arial Unicode MS" w:cs="Arial" w:hint="eastAsia"/>
          <w:szCs w:val="21"/>
        </w:rPr>
        <w:t>按摊余成本</w:t>
      </w:r>
      <w:proofErr w:type="gramEnd"/>
      <w:r>
        <w:rPr>
          <w:rFonts w:ascii="Arial Unicode MS" w:hAnsi="Arial Unicode MS" w:cs="Arial" w:hint="eastAsia"/>
          <w:szCs w:val="21"/>
        </w:rPr>
        <w:t>计量且计提资产减值</w:t>
      </w:r>
      <w:proofErr w:type="gramStart"/>
      <w:r>
        <w:rPr>
          <w:rFonts w:ascii="Arial Unicode MS" w:hAnsi="Arial Unicode MS" w:cs="Arial" w:hint="eastAsia"/>
          <w:szCs w:val="21"/>
        </w:rPr>
        <w:t>准备仍导致</w:t>
      </w:r>
      <w:proofErr w:type="gramEnd"/>
      <w:r>
        <w:rPr>
          <w:rFonts w:ascii="Arial Unicode MS" w:hAnsi="Arial Unicode MS" w:cs="Arial" w:hint="eastAsia"/>
          <w:szCs w:val="21"/>
        </w:rPr>
        <w:t>资产价值存在重大不确定性的资产；（三）其他资产价值存在重大不确定性的资产</w:t>
      </w:r>
    </w:p>
    <w:p w14:paraId="52C5CF9D"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59</w:t>
      </w:r>
      <w:r>
        <w:rPr>
          <w:rFonts w:ascii="Arial Unicode MS" w:hAnsi="Arial Unicode MS" w:cs="Arial" w:hint="eastAsia"/>
          <w:szCs w:val="21"/>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17784849"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t>60</w:t>
      </w:r>
      <w:r>
        <w:rPr>
          <w:rFonts w:ascii="Arial Unicode MS" w:hAnsi="Arial Unicode MS" w:cs="Arial" w:hint="eastAsia"/>
          <w:szCs w:val="21"/>
        </w:rPr>
        <w:t>、不可抗力：指基金合同当事人不能预见、不能避免且不能克服的客观事件</w:t>
      </w:r>
    </w:p>
    <w:p w14:paraId="2A3893CB"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61</w:t>
      </w:r>
      <w:r>
        <w:rPr>
          <w:rFonts w:ascii="Arial Unicode MS" w:hAnsi="Arial Unicode MS" w:cs="Arial" w:hint="eastAsia"/>
          <w:szCs w:val="21"/>
        </w:rPr>
        <w:t>、销售服务费：指从基金财产中计提的，用于本基金市场推广、销售以及基金份额持有人服务的费用</w:t>
      </w:r>
    </w:p>
    <w:p w14:paraId="578AA697"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62</w:t>
      </w:r>
      <w:r>
        <w:rPr>
          <w:rFonts w:ascii="Arial Unicode MS" w:hAnsi="Arial Unicode MS" w:cs="Arial" w:hint="eastAsia"/>
          <w:szCs w:val="21"/>
        </w:rPr>
        <w:t>、基金份额类别：指本基金根据申购费用与销售服务费收取方式等不同，将基金份额分为不同的类别</w:t>
      </w:r>
    </w:p>
    <w:p w14:paraId="7D25D282"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63</w:t>
      </w:r>
      <w:r>
        <w:rPr>
          <w:rFonts w:ascii="Arial Unicode MS" w:hAnsi="Arial Unicode MS" w:cs="Arial" w:hint="eastAsia"/>
          <w:szCs w:val="21"/>
        </w:rPr>
        <w:t>、</w:t>
      </w:r>
      <w:r>
        <w:rPr>
          <w:rFonts w:ascii="Arial Unicode MS" w:hAnsi="Arial Unicode MS" w:cs="Arial" w:hint="eastAsia"/>
          <w:szCs w:val="21"/>
        </w:rPr>
        <w:t>A</w:t>
      </w:r>
      <w:r>
        <w:rPr>
          <w:rFonts w:ascii="Arial Unicode MS" w:hAnsi="Arial Unicode MS" w:cs="Arial" w:hint="eastAsia"/>
          <w:szCs w:val="21"/>
        </w:rPr>
        <w:t>类基金份额：指在投资者申购时收取前端申购费用，在赎回时根据持有期限收取赎回费用的基金份额，而不从本类别基金资产中计</w:t>
      </w:r>
      <w:proofErr w:type="gramStart"/>
      <w:r>
        <w:rPr>
          <w:rFonts w:ascii="Arial Unicode MS" w:hAnsi="Arial Unicode MS" w:cs="Arial" w:hint="eastAsia"/>
          <w:szCs w:val="21"/>
        </w:rPr>
        <w:t>提销售</w:t>
      </w:r>
      <w:proofErr w:type="gramEnd"/>
      <w:r>
        <w:rPr>
          <w:rFonts w:ascii="Arial Unicode MS" w:hAnsi="Arial Unicode MS" w:cs="Arial" w:hint="eastAsia"/>
          <w:szCs w:val="21"/>
        </w:rPr>
        <w:t>服务费的基金份额类别</w:t>
      </w:r>
    </w:p>
    <w:p w14:paraId="7AE72B54"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hint="eastAsia"/>
          <w:szCs w:val="21"/>
        </w:rPr>
        <w:t>64</w:t>
      </w:r>
      <w:r>
        <w:rPr>
          <w:rFonts w:ascii="Arial Unicode MS" w:hAnsi="Arial Unicode MS" w:cs="Arial" w:hint="eastAsia"/>
          <w:szCs w:val="21"/>
        </w:rPr>
        <w:t>、</w:t>
      </w:r>
      <w:r>
        <w:rPr>
          <w:rFonts w:ascii="Arial Unicode MS" w:hAnsi="Arial Unicode MS" w:cs="Arial" w:hint="eastAsia"/>
          <w:szCs w:val="21"/>
        </w:rPr>
        <w:t>C</w:t>
      </w:r>
      <w:r>
        <w:rPr>
          <w:rFonts w:ascii="Arial Unicode MS" w:hAnsi="Arial Unicode MS" w:cs="Arial" w:hint="eastAsia"/>
          <w:szCs w:val="21"/>
        </w:rPr>
        <w:t>类基金份额：指在投资者申购时不收取前端申购费用，在赎回时根据持有期限收取赎回费用，且从本类别基金资产中计</w:t>
      </w:r>
      <w:proofErr w:type="gramStart"/>
      <w:r>
        <w:rPr>
          <w:rFonts w:ascii="Arial Unicode MS" w:hAnsi="Arial Unicode MS" w:cs="Arial" w:hint="eastAsia"/>
          <w:szCs w:val="21"/>
        </w:rPr>
        <w:t>提销售</w:t>
      </w:r>
      <w:proofErr w:type="gramEnd"/>
      <w:r>
        <w:rPr>
          <w:rFonts w:ascii="Arial Unicode MS" w:hAnsi="Arial Unicode MS" w:cs="Arial" w:hint="eastAsia"/>
          <w:szCs w:val="21"/>
        </w:rPr>
        <w:t>服务费的基金份额类别</w:t>
      </w:r>
    </w:p>
    <w:p w14:paraId="09BA9899" w14:textId="77777777" w:rsidR="009A7A59" w:rsidRDefault="00000000">
      <w:pPr>
        <w:snapToGrid w:val="0"/>
        <w:spacing w:line="360" w:lineRule="auto"/>
        <w:ind w:firstLineChars="150" w:firstLine="315"/>
        <w:rPr>
          <w:rFonts w:ascii="Arial Unicode MS" w:hAnsi="Arial Unicode MS" w:cs="Arial" w:hint="eastAsia"/>
          <w:szCs w:val="21"/>
        </w:rPr>
      </w:pPr>
      <w:r>
        <w:rPr>
          <w:rFonts w:ascii="Arial Unicode MS" w:hAnsi="Arial Unicode MS" w:cs="Arial"/>
          <w:szCs w:val="21"/>
        </w:rPr>
        <w:br w:type="page"/>
      </w:r>
    </w:p>
    <w:p w14:paraId="1F21C60E" w14:textId="77777777" w:rsidR="009A7A59" w:rsidRDefault="009A7A59">
      <w:pPr>
        <w:snapToGrid w:val="0"/>
        <w:spacing w:line="360" w:lineRule="auto"/>
        <w:ind w:firstLineChars="150" w:firstLine="315"/>
        <w:rPr>
          <w:rFonts w:ascii="Arial Unicode MS" w:hAnsi="Arial Unicode MS" w:cs="Arial" w:hint="eastAsia"/>
          <w:szCs w:val="21"/>
        </w:rPr>
      </w:pPr>
    </w:p>
    <w:p w14:paraId="567CE1E6" w14:textId="77777777" w:rsidR="009A7A59" w:rsidRDefault="00000000">
      <w:pPr>
        <w:pStyle w:val="11"/>
        <w:snapToGrid w:val="0"/>
        <w:spacing w:before="0" w:after="0" w:line="360" w:lineRule="auto"/>
        <w:ind w:firstLine="422"/>
        <w:rPr>
          <w:rFonts w:ascii="Arial Unicode MS" w:eastAsia="宋体" w:hAnsi="Arial Unicode MS" w:cs="Arial" w:hint="eastAsia"/>
          <w:b/>
          <w:bCs/>
          <w:sz w:val="28"/>
          <w:szCs w:val="28"/>
        </w:rPr>
      </w:pPr>
      <w:bookmarkStart w:id="5" w:name="_Toc21073393"/>
      <w:bookmarkStart w:id="6" w:name="_Toc12357173"/>
      <w:bookmarkStart w:id="7" w:name="_Toc147463120"/>
      <w:bookmarkStart w:id="8" w:name="_Toc63676438"/>
      <w:bookmarkStart w:id="9" w:name="_Toc214873592"/>
      <w:r>
        <w:rPr>
          <w:rFonts w:ascii="Arial Unicode MS" w:eastAsia="宋体" w:hAnsi="Arial Unicode MS" w:cs="Arial"/>
          <w:b/>
          <w:bCs/>
          <w:sz w:val="28"/>
          <w:szCs w:val="28"/>
        </w:rPr>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5"/>
      <w:bookmarkEnd w:id="6"/>
      <w:bookmarkEnd w:id="7"/>
      <w:bookmarkEnd w:id="8"/>
      <w:bookmarkEnd w:id="9"/>
    </w:p>
    <w:p w14:paraId="0FF316DD" w14:textId="77777777" w:rsidR="009A7A59" w:rsidRDefault="009A7A59"/>
    <w:p w14:paraId="7BC0DBBF" w14:textId="77777777" w:rsidR="009A7A59" w:rsidRDefault="00000000">
      <w:pPr>
        <w:tabs>
          <w:tab w:val="left" w:pos="1110"/>
        </w:tabs>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一、基金管理人概况</w:t>
      </w:r>
    </w:p>
    <w:p w14:paraId="30BB28D2"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w:t>
      </w:r>
    </w:p>
    <w:p w14:paraId="1719D2A3"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住所：广州市南沙区横</w:t>
      </w:r>
      <w:proofErr w:type="gramStart"/>
      <w:r>
        <w:rPr>
          <w:rFonts w:ascii="Arial Unicode MS" w:hAnsi="Arial Unicode MS" w:cs="Arial" w:hint="eastAsia"/>
          <w:kern w:val="0"/>
          <w:szCs w:val="21"/>
        </w:rPr>
        <w:t>沥</w:t>
      </w:r>
      <w:proofErr w:type="gramEnd"/>
      <w:r>
        <w:rPr>
          <w:rFonts w:ascii="Arial Unicode MS" w:hAnsi="Arial Unicode MS" w:cs="Arial" w:hint="eastAsia"/>
          <w:kern w:val="0"/>
          <w:szCs w:val="21"/>
        </w:rPr>
        <w:t>镇汇通二街</w:t>
      </w:r>
      <w:r>
        <w:rPr>
          <w:rFonts w:ascii="Arial Unicode MS" w:hAnsi="Arial Unicode MS" w:cs="Arial" w:hint="eastAsia"/>
          <w:kern w:val="0"/>
          <w:szCs w:val="21"/>
        </w:rPr>
        <w:t>2</w:t>
      </w:r>
      <w:r>
        <w:rPr>
          <w:rFonts w:ascii="Arial Unicode MS" w:hAnsi="Arial Unicode MS" w:cs="Arial" w:hint="eastAsia"/>
          <w:kern w:val="0"/>
          <w:szCs w:val="21"/>
        </w:rPr>
        <w:t>号</w:t>
      </w:r>
      <w:r>
        <w:rPr>
          <w:rFonts w:ascii="Arial Unicode MS" w:hAnsi="Arial Unicode MS" w:cs="Arial" w:hint="eastAsia"/>
          <w:kern w:val="0"/>
          <w:szCs w:val="21"/>
        </w:rPr>
        <w:t>3110</w:t>
      </w:r>
      <w:r>
        <w:rPr>
          <w:rFonts w:ascii="Arial Unicode MS" w:hAnsi="Arial Unicode MS" w:cs="Arial" w:hint="eastAsia"/>
          <w:kern w:val="0"/>
          <w:szCs w:val="21"/>
        </w:rPr>
        <w:t>房</w:t>
      </w:r>
    </w:p>
    <w:p w14:paraId="54B28297"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w:t>
      </w:r>
      <w:proofErr w:type="gramStart"/>
      <w:r>
        <w:rPr>
          <w:rFonts w:ascii="Arial Unicode MS" w:hAnsi="Arial Unicode MS" w:cs="Arial" w:hint="eastAsia"/>
          <w:kern w:val="0"/>
          <w:szCs w:val="21"/>
        </w:rPr>
        <w:t>尔大厦</w:t>
      </w:r>
      <w:proofErr w:type="gramEnd"/>
      <w:r>
        <w:rPr>
          <w:rFonts w:ascii="Arial Unicode MS" w:hAnsi="Arial Unicode MS" w:cs="Arial" w:hint="eastAsia"/>
          <w:kern w:val="0"/>
          <w:szCs w:val="21"/>
        </w:rPr>
        <w:t>24</w:t>
      </w:r>
      <w:r>
        <w:rPr>
          <w:rFonts w:ascii="Arial Unicode MS" w:hAnsi="Arial Unicode MS" w:cs="Arial" w:hint="eastAsia"/>
          <w:kern w:val="0"/>
          <w:szCs w:val="21"/>
        </w:rPr>
        <w:t>层</w:t>
      </w:r>
    </w:p>
    <w:p w14:paraId="5F48D0B7"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法定代表人：王亦伟</w:t>
      </w:r>
    </w:p>
    <w:p w14:paraId="077BF1F9"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38FE89BE"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17F6FEEA"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存续期间：永续经营</w:t>
      </w:r>
    </w:p>
    <w:p w14:paraId="799E1605"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联系人：罗艳</w:t>
      </w:r>
    </w:p>
    <w:p w14:paraId="40BFB4CE"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w:t>
      </w:r>
      <w:r>
        <w:rPr>
          <w:rFonts w:ascii="Arial Unicode MS" w:hAnsi="Arial Unicode MS" w:cs="Arial" w:hint="eastAsia"/>
          <w:kern w:val="0"/>
          <w:szCs w:val="21"/>
        </w:rPr>
        <w:t>7</w:t>
      </w:r>
    </w:p>
    <w:p w14:paraId="15880766" w14:textId="77777777" w:rsidR="009A7A59" w:rsidRDefault="00000000">
      <w:pPr>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9A7A59" w14:paraId="2E2AF965" w14:textId="77777777">
        <w:trPr>
          <w:jc w:val="center"/>
        </w:trPr>
        <w:tc>
          <w:tcPr>
            <w:tcW w:w="4250" w:type="dxa"/>
            <w:vAlign w:val="center"/>
          </w:tcPr>
          <w:p w14:paraId="1E908F40" w14:textId="77777777" w:rsidR="009A7A59" w:rsidRDefault="00000000">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股东名称</w:t>
            </w:r>
          </w:p>
        </w:tc>
        <w:tc>
          <w:tcPr>
            <w:tcW w:w="1275" w:type="dxa"/>
            <w:vAlign w:val="center"/>
          </w:tcPr>
          <w:p w14:paraId="2AD450C2" w14:textId="77777777" w:rsidR="009A7A59" w:rsidRDefault="00000000">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出资比例</w:t>
            </w:r>
          </w:p>
        </w:tc>
      </w:tr>
      <w:tr w:rsidR="009A7A59" w14:paraId="14463947" w14:textId="77777777">
        <w:trPr>
          <w:jc w:val="center"/>
        </w:trPr>
        <w:tc>
          <w:tcPr>
            <w:tcW w:w="4250" w:type="dxa"/>
            <w:vAlign w:val="center"/>
          </w:tcPr>
          <w:p w14:paraId="41AE6624" w14:textId="77777777" w:rsidR="009A7A59" w:rsidRDefault="00000000">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广州科技金融创新投资控股有限公司</w:t>
            </w:r>
          </w:p>
        </w:tc>
        <w:tc>
          <w:tcPr>
            <w:tcW w:w="1275" w:type="dxa"/>
            <w:vAlign w:val="center"/>
          </w:tcPr>
          <w:p w14:paraId="5A9153BC" w14:textId="77777777" w:rsidR="009A7A59" w:rsidRDefault="00000000">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50%</w:t>
            </w:r>
          </w:p>
        </w:tc>
      </w:tr>
      <w:tr w:rsidR="009A7A59" w14:paraId="7CF33621" w14:textId="77777777">
        <w:trPr>
          <w:jc w:val="center"/>
        </w:trPr>
        <w:tc>
          <w:tcPr>
            <w:tcW w:w="4250" w:type="dxa"/>
            <w:vAlign w:val="center"/>
          </w:tcPr>
          <w:p w14:paraId="6510146F" w14:textId="77777777" w:rsidR="009A7A59" w:rsidRDefault="00000000">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深圳嘉年实业股份有限公司</w:t>
            </w:r>
          </w:p>
        </w:tc>
        <w:tc>
          <w:tcPr>
            <w:tcW w:w="1275" w:type="dxa"/>
            <w:vAlign w:val="center"/>
          </w:tcPr>
          <w:p w14:paraId="34ECD6A5" w14:textId="77777777" w:rsidR="009A7A59" w:rsidRDefault="00000000">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45.1%</w:t>
            </w:r>
          </w:p>
        </w:tc>
      </w:tr>
      <w:tr w:rsidR="009A7A59" w14:paraId="65AD598E" w14:textId="77777777">
        <w:trPr>
          <w:jc w:val="center"/>
        </w:trPr>
        <w:tc>
          <w:tcPr>
            <w:tcW w:w="4250" w:type="dxa"/>
            <w:vAlign w:val="center"/>
          </w:tcPr>
          <w:p w14:paraId="1970870D" w14:textId="77777777" w:rsidR="009A7A59" w:rsidRDefault="00000000">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湖南典勤投资开发有限公司</w:t>
            </w:r>
          </w:p>
        </w:tc>
        <w:tc>
          <w:tcPr>
            <w:tcW w:w="1275" w:type="dxa"/>
            <w:vAlign w:val="center"/>
          </w:tcPr>
          <w:p w14:paraId="0CF9C954" w14:textId="77777777" w:rsidR="009A7A59" w:rsidRDefault="00000000">
            <w:pPr>
              <w:spacing w:line="360" w:lineRule="auto"/>
              <w:jc w:val="center"/>
              <w:rPr>
                <w:rFonts w:ascii="Arial Unicode MS" w:hAnsi="Arial Unicode MS" w:cs="Arial" w:hint="eastAsia"/>
                <w:kern w:val="0"/>
                <w:szCs w:val="21"/>
              </w:rPr>
            </w:pPr>
            <w:r>
              <w:rPr>
                <w:rFonts w:ascii="Arial Unicode MS" w:hAnsi="Arial Unicode MS" w:cs="Arial" w:hint="eastAsia"/>
                <w:kern w:val="0"/>
                <w:szCs w:val="21"/>
              </w:rPr>
              <w:t>4.9%</w:t>
            </w:r>
          </w:p>
        </w:tc>
      </w:tr>
    </w:tbl>
    <w:p w14:paraId="465185B6" w14:textId="77777777" w:rsidR="009A7A59" w:rsidRDefault="009A7A59">
      <w:pPr>
        <w:adjustRightInd w:val="0"/>
        <w:snapToGrid w:val="0"/>
        <w:spacing w:line="360" w:lineRule="auto"/>
        <w:ind w:firstLineChars="200" w:firstLine="420"/>
        <w:rPr>
          <w:rFonts w:ascii="Arial Unicode MS" w:hAnsi="Arial Unicode MS" w:cs="Arial" w:hint="eastAsia"/>
          <w:kern w:val="0"/>
          <w:szCs w:val="21"/>
        </w:rPr>
      </w:pPr>
    </w:p>
    <w:p w14:paraId="40836AE3" w14:textId="77777777" w:rsidR="009A7A59" w:rsidRDefault="00000000">
      <w:pPr>
        <w:adjustRightInd w:val="0"/>
        <w:snapToGrid w:val="0"/>
        <w:spacing w:line="360" w:lineRule="auto"/>
        <w:ind w:firstLineChars="200" w:firstLine="422"/>
        <w:rPr>
          <w:rFonts w:ascii="Arial Unicode MS" w:hAnsi="Arial Unicode MS" w:cs="Arial" w:hint="eastAsia"/>
          <w:b/>
          <w:kern w:val="0"/>
          <w:szCs w:val="21"/>
        </w:rPr>
      </w:pPr>
      <w:r>
        <w:rPr>
          <w:rFonts w:ascii="Arial Unicode MS" w:hAnsi="Arial Unicode MS" w:cs="Arial" w:hint="eastAsia"/>
          <w:b/>
          <w:kern w:val="0"/>
          <w:szCs w:val="21"/>
        </w:rPr>
        <w:t>二</w:t>
      </w:r>
      <w:r>
        <w:rPr>
          <w:rFonts w:ascii="Arial Unicode MS" w:hAnsi="Arial Unicode MS" w:cs="Arial"/>
          <w:b/>
          <w:kern w:val="0"/>
          <w:szCs w:val="21"/>
        </w:rPr>
        <w:t>、</w:t>
      </w:r>
      <w:r>
        <w:rPr>
          <w:rFonts w:ascii="Arial Unicode MS" w:hAnsi="Arial Unicode MS" w:cs="Arial" w:hint="eastAsia"/>
          <w:b/>
          <w:kern w:val="0"/>
          <w:szCs w:val="21"/>
        </w:rPr>
        <w:t>主要成员情况</w:t>
      </w:r>
    </w:p>
    <w:p w14:paraId="0CA8632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14:paraId="119ED25D"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王亦伟先生，董事长，中山大学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Arial Unicode MS" w:hAnsi="Arial Unicode MS" w:cs="Arial" w:hint="eastAsia"/>
          <w:kern w:val="0"/>
          <w:szCs w:val="21"/>
        </w:rPr>
        <w:t>投</w:t>
      </w:r>
      <w:proofErr w:type="gramEnd"/>
      <w:r>
        <w:rPr>
          <w:rFonts w:ascii="Arial Unicode MS" w:hAnsi="Arial Unicode MS" w:cs="Arial" w:hint="eastAsia"/>
          <w:kern w:val="0"/>
          <w:szCs w:val="21"/>
        </w:rPr>
        <w:t>投资有限公司总经理、党支部书记、董事、董事长，广州新中轴建设有限公司财务总监、董事长、法人代表，中国文化产业投资</w:t>
      </w:r>
      <w:proofErr w:type="gramStart"/>
      <w:r>
        <w:rPr>
          <w:rFonts w:ascii="Arial Unicode MS" w:hAnsi="Arial Unicode MS" w:cs="Arial" w:hint="eastAsia"/>
          <w:kern w:val="0"/>
          <w:szCs w:val="21"/>
        </w:rPr>
        <w:t>母基金</w:t>
      </w:r>
      <w:proofErr w:type="gramEnd"/>
      <w:r>
        <w:rPr>
          <w:rFonts w:ascii="Arial Unicode MS" w:hAnsi="Arial Unicode MS" w:cs="Arial" w:hint="eastAsia"/>
          <w:kern w:val="0"/>
          <w:szCs w:val="21"/>
        </w:rPr>
        <w:t>管理有限公司董事，广州城</w:t>
      </w:r>
      <w:proofErr w:type="gramStart"/>
      <w:r>
        <w:rPr>
          <w:rFonts w:ascii="Arial Unicode MS" w:hAnsi="Arial Unicode MS" w:cs="Arial" w:hint="eastAsia"/>
          <w:kern w:val="0"/>
          <w:szCs w:val="21"/>
        </w:rPr>
        <w:t>恒</w:t>
      </w:r>
      <w:proofErr w:type="gramEnd"/>
      <w:r>
        <w:rPr>
          <w:rFonts w:ascii="Arial Unicode MS" w:hAnsi="Arial Unicode MS" w:cs="Arial" w:hint="eastAsia"/>
          <w:kern w:val="0"/>
          <w:szCs w:val="21"/>
        </w:rPr>
        <w:t>城市更新投资有限公司董事长、法定代表人。现任广州产业投资基金管理有限公司党委书记、法定代表人、董事长，广州市城</w:t>
      </w:r>
      <w:proofErr w:type="gramStart"/>
      <w:r>
        <w:rPr>
          <w:rFonts w:ascii="Arial Unicode MS" w:hAnsi="Arial Unicode MS" w:cs="Arial" w:hint="eastAsia"/>
          <w:kern w:val="0"/>
          <w:szCs w:val="21"/>
        </w:rPr>
        <w:t>投</w:t>
      </w:r>
      <w:proofErr w:type="gramEnd"/>
      <w:r>
        <w:rPr>
          <w:rFonts w:ascii="Arial Unicode MS" w:hAnsi="Arial Unicode MS" w:cs="Arial" w:hint="eastAsia"/>
          <w:kern w:val="0"/>
          <w:szCs w:val="21"/>
        </w:rPr>
        <w:t>投资有限公司董事，广州汽车集团股份有限公司董事，富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管理有限公司董事长、法定代表人。</w:t>
      </w:r>
    </w:p>
    <w:p w14:paraId="32F09D1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杨小舟先生，董事，大连理工大学硕士研究生。历任交通银行沈阳分行国际部国际结算员、信贷科科长、中信银行沈阳皇姑支行副行长、广发银行南湖支行行长、广发银行沈阳直</w:t>
      </w:r>
      <w:r>
        <w:rPr>
          <w:rFonts w:ascii="Arial Unicode MS" w:hAnsi="Arial Unicode MS" w:cs="Arial" w:hint="eastAsia"/>
          <w:kern w:val="0"/>
          <w:szCs w:val="21"/>
        </w:rPr>
        <w:lastRenderedPageBreak/>
        <w:t>属支行行长助理、副行长、行长兼党委书记、广发银行沈阳分行行长兼党委书记、广发银行深圳分行行长兼党委书记、富荣基金管理有限公司董事长。现任富荣基金管理有限公司董事、总经理、首席信息官。</w:t>
      </w:r>
    </w:p>
    <w:p w14:paraId="2D30D999"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郭涛先生，董事，上海交通大学高级管理人员工商管理专业硕士。</w:t>
      </w:r>
      <w:proofErr w:type="gramStart"/>
      <w:r>
        <w:rPr>
          <w:rFonts w:ascii="Arial Unicode MS" w:hAnsi="Arial Unicode MS" w:cs="Arial" w:hint="eastAsia"/>
          <w:kern w:val="0"/>
          <w:szCs w:val="21"/>
        </w:rPr>
        <w:t>深圳市亿尔德</w:t>
      </w:r>
      <w:proofErr w:type="gramEnd"/>
      <w:r>
        <w:rPr>
          <w:rFonts w:ascii="Arial Unicode MS" w:hAnsi="Arial Unicode MS" w:cs="Arial" w:hint="eastAsia"/>
          <w:kern w:val="0"/>
          <w:szCs w:val="21"/>
        </w:rPr>
        <w:t>投资有限公司总经理、执行董事；</w:t>
      </w:r>
      <w:proofErr w:type="gramStart"/>
      <w:r>
        <w:rPr>
          <w:rFonts w:ascii="Arial Unicode MS" w:hAnsi="Arial Unicode MS" w:cs="Arial" w:hint="eastAsia"/>
          <w:kern w:val="0"/>
          <w:szCs w:val="21"/>
        </w:rPr>
        <w:t>微愿数智</w:t>
      </w:r>
      <w:proofErr w:type="gramEnd"/>
      <w:r>
        <w:rPr>
          <w:rFonts w:ascii="Arial Unicode MS" w:hAnsi="Arial Unicode MS" w:cs="Arial" w:hint="eastAsia"/>
          <w:kern w:val="0"/>
          <w:szCs w:val="21"/>
        </w:rPr>
        <w:t>（深圳）健康科技有限公司总经理、执行董事；</w:t>
      </w:r>
      <w:proofErr w:type="gramStart"/>
      <w:r>
        <w:rPr>
          <w:rFonts w:ascii="Arial Unicode MS" w:hAnsi="Arial Unicode MS" w:cs="Arial" w:hint="eastAsia"/>
          <w:kern w:val="0"/>
          <w:szCs w:val="21"/>
        </w:rPr>
        <w:t>深圳市盈投荣达</w:t>
      </w:r>
      <w:proofErr w:type="gramEnd"/>
      <w:r>
        <w:rPr>
          <w:rFonts w:ascii="Arial Unicode MS" w:hAnsi="Arial Unicode MS" w:cs="Arial" w:hint="eastAsia"/>
          <w:kern w:val="0"/>
          <w:szCs w:val="21"/>
        </w:rPr>
        <w:t>科技有限公司董事长、总经理；深圳市嘉年印</w:t>
      </w:r>
      <w:proofErr w:type="gramStart"/>
      <w:r>
        <w:rPr>
          <w:rFonts w:ascii="Arial Unicode MS" w:hAnsi="Arial Unicode MS" w:cs="Arial" w:hint="eastAsia"/>
          <w:kern w:val="0"/>
          <w:szCs w:val="21"/>
        </w:rPr>
        <w:t>务</w:t>
      </w:r>
      <w:proofErr w:type="gramEnd"/>
      <w:r>
        <w:rPr>
          <w:rFonts w:ascii="Arial Unicode MS" w:hAnsi="Arial Unicode MS" w:cs="Arial" w:hint="eastAsia"/>
          <w:kern w:val="0"/>
          <w:szCs w:val="21"/>
        </w:rPr>
        <w:t>有限公司董事；深圳市盈实发展有限公司董事长；深圳市</w:t>
      </w:r>
      <w:proofErr w:type="gramStart"/>
      <w:r>
        <w:rPr>
          <w:rFonts w:ascii="Arial Unicode MS" w:hAnsi="Arial Unicode MS" w:cs="Arial" w:hint="eastAsia"/>
          <w:kern w:val="0"/>
          <w:szCs w:val="21"/>
        </w:rPr>
        <w:t>盈致未来文创管理</w:t>
      </w:r>
      <w:proofErr w:type="gramEnd"/>
      <w:r>
        <w:rPr>
          <w:rFonts w:ascii="Arial Unicode MS" w:hAnsi="Arial Unicode MS" w:cs="Arial" w:hint="eastAsia"/>
          <w:kern w:val="0"/>
          <w:szCs w:val="21"/>
        </w:rPr>
        <w:t>有限公司董事长；深圳市益德置业有限公司总经理、董事；</w:t>
      </w:r>
      <w:proofErr w:type="gramStart"/>
      <w:r>
        <w:rPr>
          <w:rFonts w:ascii="Arial Unicode MS" w:hAnsi="Arial Unicode MS" w:cs="Arial" w:hint="eastAsia"/>
          <w:kern w:val="0"/>
          <w:szCs w:val="21"/>
        </w:rPr>
        <w:t>盈投科技</w:t>
      </w:r>
      <w:proofErr w:type="gramEnd"/>
      <w:r>
        <w:rPr>
          <w:rFonts w:ascii="Arial Unicode MS" w:hAnsi="Arial Unicode MS" w:cs="Arial" w:hint="eastAsia"/>
          <w:kern w:val="0"/>
          <w:szCs w:val="21"/>
        </w:rPr>
        <w:t>控股集团有限公司总经理、董事；深圳市铭嘉达信息咨询有限公司董事；深圳市理得文化发展有限公司董事；乐百氏（广东）饮用水有限公司董事；深圳安吉尔饮水产业集团有限公司董事；</w:t>
      </w:r>
      <w:proofErr w:type="gramStart"/>
      <w:r>
        <w:rPr>
          <w:rFonts w:ascii="Arial Unicode MS" w:hAnsi="Arial Unicode MS" w:cs="Arial" w:hint="eastAsia"/>
          <w:kern w:val="0"/>
          <w:szCs w:val="21"/>
        </w:rPr>
        <w:t>昊</w:t>
      </w:r>
      <w:proofErr w:type="gramEnd"/>
      <w:r>
        <w:rPr>
          <w:rFonts w:ascii="Arial Unicode MS" w:hAnsi="Arial Unicode MS" w:cs="Arial" w:hint="eastAsia"/>
          <w:kern w:val="0"/>
          <w:szCs w:val="21"/>
        </w:rPr>
        <w:t>华化工科技集团股份有限公司董事；深圳嘉年实业股份有限公司董事；深圳市</w:t>
      </w:r>
      <w:proofErr w:type="gramStart"/>
      <w:r>
        <w:rPr>
          <w:rFonts w:ascii="Arial Unicode MS" w:hAnsi="Arial Unicode MS" w:cs="Arial" w:hint="eastAsia"/>
          <w:kern w:val="0"/>
          <w:szCs w:val="21"/>
        </w:rPr>
        <w:t>盈投发展</w:t>
      </w:r>
      <w:proofErr w:type="gramEnd"/>
      <w:r>
        <w:rPr>
          <w:rFonts w:ascii="Arial Unicode MS" w:hAnsi="Arial Unicode MS" w:cs="Arial" w:hint="eastAsia"/>
          <w:kern w:val="0"/>
          <w:szCs w:val="21"/>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w:t>
      </w:r>
      <w:proofErr w:type="gramStart"/>
      <w:r>
        <w:rPr>
          <w:rFonts w:ascii="Arial Unicode MS" w:hAnsi="Arial Unicode MS" w:cs="Arial" w:hint="eastAsia"/>
          <w:kern w:val="0"/>
          <w:szCs w:val="21"/>
        </w:rPr>
        <w:t>久猪电子</w:t>
      </w:r>
      <w:proofErr w:type="gramEnd"/>
      <w:r>
        <w:rPr>
          <w:rFonts w:ascii="Arial Unicode MS" w:hAnsi="Arial Unicode MS" w:cs="Arial" w:hint="eastAsia"/>
          <w:kern w:val="0"/>
          <w:szCs w:val="21"/>
        </w:rPr>
        <w:t>有限公司监事；富荣基金管理有限公司董事。</w:t>
      </w:r>
    </w:p>
    <w:p w14:paraId="46188053"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余</w:t>
      </w:r>
      <w:proofErr w:type="gramStart"/>
      <w:r>
        <w:rPr>
          <w:rFonts w:ascii="Arial Unicode MS" w:hAnsi="Arial Unicode MS" w:cs="Arial" w:hint="eastAsia"/>
          <w:kern w:val="0"/>
          <w:szCs w:val="21"/>
        </w:rPr>
        <w:t>关健</w:t>
      </w:r>
      <w:proofErr w:type="gramEnd"/>
      <w:r>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Cs w:val="21"/>
        </w:rPr>
        <w:t>邦</w:t>
      </w:r>
      <w:proofErr w:type="gramEnd"/>
      <w:r>
        <w:rPr>
          <w:rFonts w:ascii="Arial Unicode MS" w:hAnsi="Arial Unicode MS" w:cs="Arial" w:hint="eastAsia"/>
          <w:kern w:val="0"/>
          <w:szCs w:val="21"/>
        </w:rPr>
        <w:t>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34FFBD6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赵宏伟先生，董事，对外经济贸易大学硕士研究生。曾任北京大成律师事务所律师、当代北方（北京）投资有限公司总裁、黑龙江北美工业大麻科技有限公司总裁、广州产业投资基金管理有限公司风险管理部总经理、法</w:t>
      </w:r>
      <w:proofErr w:type="gramStart"/>
      <w:r>
        <w:rPr>
          <w:rFonts w:ascii="Arial Unicode MS" w:hAnsi="Arial Unicode MS" w:cs="Arial" w:hint="eastAsia"/>
          <w:kern w:val="0"/>
          <w:szCs w:val="21"/>
        </w:rPr>
        <w:t>务风控部</w:t>
      </w:r>
      <w:proofErr w:type="gramEnd"/>
      <w:r>
        <w:rPr>
          <w:rFonts w:ascii="Arial Unicode MS" w:hAnsi="Arial Unicode MS" w:cs="Arial" w:hint="eastAsia"/>
          <w:kern w:val="0"/>
          <w:szCs w:val="21"/>
        </w:rPr>
        <w:t>总经理，广州基金国际股权投资基金管理有限公司党支部副书记、总经理，广州产业投资基金管理有限公司管理部总经理。</w:t>
      </w:r>
      <w:proofErr w:type="gramStart"/>
      <w:r>
        <w:rPr>
          <w:rFonts w:ascii="Arial Unicode MS" w:hAnsi="Arial Unicode MS" w:cs="Arial" w:hint="eastAsia"/>
          <w:kern w:val="0"/>
          <w:szCs w:val="21"/>
        </w:rPr>
        <w:t>现任穗甬控股</w:t>
      </w:r>
      <w:proofErr w:type="gramEnd"/>
      <w:r>
        <w:rPr>
          <w:rFonts w:ascii="Arial Unicode MS" w:hAnsi="Arial Unicode MS" w:cs="Arial" w:hint="eastAsia"/>
          <w:kern w:val="0"/>
          <w:szCs w:val="21"/>
        </w:rPr>
        <w:t>有限公司常务副总经理，富荣基金管理有限公司董事。</w:t>
      </w:r>
    </w:p>
    <w:p w14:paraId="3F33592A"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刘宝瑞先生，独立董事，上海交通大学工商管理硕士研究生。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湖南银行独立董事，深圳第一金融服务有限公司董事长，深圳青石资本管理有限公司法定代表人、执行董事、总经理。现任深圳</w:t>
      </w:r>
      <w:proofErr w:type="gramStart"/>
      <w:r>
        <w:rPr>
          <w:rFonts w:ascii="Arial Unicode MS" w:hAnsi="Arial Unicode MS" w:cs="Arial" w:hint="eastAsia"/>
          <w:kern w:val="0"/>
          <w:szCs w:val="21"/>
        </w:rPr>
        <w:t>冠领融科服务</w:t>
      </w:r>
      <w:proofErr w:type="gramEnd"/>
      <w:r>
        <w:rPr>
          <w:rFonts w:ascii="Arial Unicode MS" w:hAnsi="Arial Unicode MS" w:cs="Arial" w:hint="eastAsia"/>
          <w:kern w:val="0"/>
          <w:szCs w:val="21"/>
        </w:rPr>
        <w:t>有限公司董事、天津银行监事、深圳和</w:t>
      </w:r>
      <w:proofErr w:type="gramStart"/>
      <w:r>
        <w:rPr>
          <w:rFonts w:ascii="Arial Unicode MS" w:hAnsi="Arial Unicode MS" w:cs="Arial" w:hint="eastAsia"/>
          <w:kern w:val="0"/>
          <w:szCs w:val="21"/>
        </w:rPr>
        <w:t>石资本</w:t>
      </w:r>
      <w:proofErr w:type="gramEnd"/>
      <w:r>
        <w:rPr>
          <w:rFonts w:ascii="Arial Unicode MS" w:hAnsi="Arial Unicode MS" w:cs="Arial" w:hint="eastAsia"/>
          <w:kern w:val="0"/>
          <w:szCs w:val="21"/>
        </w:rPr>
        <w:t>管理有限责任公司法定代表人、董事、经理，深圳泰和瑞</w:t>
      </w:r>
      <w:proofErr w:type="gramStart"/>
      <w:r>
        <w:rPr>
          <w:rFonts w:ascii="Arial Unicode MS" w:hAnsi="Arial Unicode MS" w:cs="Arial" w:hint="eastAsia"/>
          <w:kern w:val="0"/>
          <w:szCs w:val="21"/>
        </w:rPr>
        <w:t>银金融</w:t>
      </w:r>
      <w:proofErr w:type="gramEnd"/>
      <w:r>
        <w:rPr>
          <w:rFonts w:ascii="Arial Unicode MS" w:hAnsi="Arial Unicode MS" w:cs="Arial" w:hint="eastAsia"/>
          <w:kern w:val="0"/>
          <w:szCs w:val="21"/>
        </w:rPr>
        <w:t>配套服务合伙企业（有限合伙）执行事务合伙人、北京</w:t>
      </w:r>
      <w:proofErr w:type="gramStart"/>
      <w:r>
        <w:rPr>
          <w:rFonts w:ascii="Arial Unicode MS" w:hAnsi="Arial Unicode MS" w:cs="Arial" w:hint="eastAsia"/>
          <w:kern w:val="0"/>
          <w:szCs w:val="21"/>
        </w:rPr>
        <w:t>雍</w:t>
      </w:r>
      <w:proofErr w:type="gramEnd"/>
      <w:r>
        <w:rPr>
          <w:rFonts w:ascii="Arial Unicode MS" w:hAnsi="Arial Unicode MS" w:cs="Arial" w:hint="eastAsia"/>
          <w:kern w:val="0"/>
          <w:szCs w:val="21"/>
        </w:rPr>
        <w:t>和</w:t>
      </w:r>
      <w:r>
        <w:rPr>
          <w:rFonts w:ascii="Arial Unicode MS" w:hAnsi="Arial Unicode MS" w:cs="Arial" w:hint="eastAsia"/>
          <w:kern w:val="0"/>
          <w:szCs w:val="21"/>
        </w:rPr>
        <w:lastRenderedPageBreak/>
        <w:t>瑞泰管理顾问有限公司法定代表人、执行董事、经理、财务负责人，深圳</w:t>
      </w:r>
      <w:proofErr w:type="gramStart"/>
      <w:r>
        <w:rPr>
          <w:rFonts w:ascii="Arial Unicode MS" w:hAnsi="Arial Unicode MS" w:cs="Arial" w:hint="eastAsia"/>
          <w:kern w:val="0"/>
          <w:szCs w:val="21"/>
        </w:rPr>
        <w:t>雍</w:t>
      </w:r>
      <w:proofErr w:type="gramEnd"/>
      <w:r>
        <w:rPr>
          <w:rFonts w:ascii="Arial Unicode MS" w:hAnsi="Arial Unicode MS" w:cs="Arial" w:hint="eastAsia"/>
          <w:kern w:val="0"/>
          <w:szCs w:val="21"/>
        </w:rPr>
        <w:t>和</w:t>
      </w:r>
      <w:proofErr w:type="gramStart"/>
      <w:r>
        <w:rPr>
          <w:rFonts w:ascii="Arial Unicode MS" w:hAnsi="Arial Unicode MS" w:cs="Arial" w:hint="eastAsia"/>
          <w:kern w:val="0"/>
          <w:szCs w:val="21"/>
        </w:rPr>
        <w:t>瑞银</w:t>
      </w:r>
      <w:proofErr w:type="gramEnd"/>
      <w:r>
        <w:rPr>
          <w:rFonts w:ascii="Arial Unicode MS" w:hAnsi="Arial Unicode MS" w:cs="Arial" w:hint="eastAsia"/>
          <w:kern w:val="0"/>
          <w:szCs w:val="21"/>
        </w:rPr>
        <w:t>投资管理有限公司法定代表人、董事、经理，富荣基金管理有限公司独立董事。</w:t>
      </w:r>
    </w:p>
    <w:p w14:paraId="22CBD0E2"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张刚先生，独立董事，内蒙古大学民</w:t>
      </w:r>
      <w:proofErr w:type="gramStart"/>
      <w:r>
        <w:rPr>
          <w:rFonts w:ascii="Arial Unicode MS" w:hAnsi="Arial Unicode MS" w:cs="Arial" w:hint="eastAsia"/>
          <w:kern w:val="0"/>
          <w:szCs w:val="21"/>
        </w:rPr>
        <w:t>商法学</w:t>
      </w:r>
      <w:proofErr w:type="gramEnd"/>
      <w:r>
        <w:rPr>
          <w:rFonts w:ascii="Arial Unicode MS" w:hAnsi="Arial Unicode MS" w:cs="Arial" w:hint="eastAsia"/>
          <w:kern w:val="0"/>
          <w:szCs w:val="21"/>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001941CD"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w:t>
      </w:r>
    </w:p>
    <w:p w14:paraId="63FE04D3"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基金管理人不设监事会，设监事两名，其中一名为职工监事。</w:t>
      </w:r>
    </w:p>
    <w:p w14:paraId="6525C196"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冯晓霖女士，监事，硕士。</w:t>
      </w:r>
      <w:r>
        <w:rPr>
          <w:rFonts w:hint="eastAsia"/>
          <w:color w:val="000000"/>
          <w:szCs w:val="21"/>
          <w:shd w:val="clear" w:color="auto" w:fill="FFFFFF"/>
        </w:rPr>
        <w:t>曾任深圳市嘉昌置业集团有限公司法</w:t>
      </w:r>
      <w:proofErr w:type="gramStart"/>
      <w:r>
        <w:rPr>
          <w:rFonts w:hint="eastAsia"/>
          <w:color w:val="000000"/>
          <w:szCs w:val="21"/>
          <w:shd w:val="clear" w:color="auto" w:fill="FFFFFF"/>
        </w:rPr>
        <w:t>务</w:t>
      </w:r>
      <w:proofErr w:type="gramEnd"/>
      <w:r>
        <w:rPr>
          <w:rFonts w:hint="eastAsia"/>
          <w:color w:val="000000"/>
          <w:szCs w:val="21"/>
          <w:shd w:val="clear" w:color="auto" w:fill="FFFFFF"/>
        </w:rPr>
        <w:t>。</w:t>
      </w:r>
      <w:proofErr w:type="gramStart"/>
      <w:r>
        <w:rPr>
          <w:rFonts w:hint="eastAsia"/>
          <w:color w:val="000000"/>
          <w:szCs w:val="21"/>
        </w:rPr>
        <w:t>现任盈投控股</w:t>
      </w:r>
      <w:proofErr w:type="gramEnd"/>
      <w:r>
        <w:rPr>
          <w:rFonts w:hint="eastAsia"/>
          <w:color w:val="000000"/>
          <w:szCs w:val="21"/>
        </w:rPr>
        <w:t>有限公司法</w:t>
      </w:r>
      <w:proofErr w:type="gramStart"/>
      <w:r>
        <w:rPr>
          <w:rFonts w:hint="eastAsia"/>
          <w:color w:val="000000"/>
          <w:szCs w:val="21"/>
        </w:rPr>
        <w:t>务</w:t>
      </w:r>
      <w:proofErr w:type="gramEnd"/>
      <w:r>
        <w:rPr>
          <w:rFonts w:hint="eastAsia"/>
          <w:color w:val="000000"/>
          <w:szCs w:val="21"/>
        </w:rPr>
        <w:t>主管、</w:t>
      </w:r>
      <w:r>
        <w:rPr>
          <w:rFonts w:ascii="Arial Unicode MS" w:hAnsi="Arial Unicode MS" w:cs="Arial" w:hint="eastAsia"/>
          <w:kern w:val="0"/>
          <w:szCs w:val="21"/>
        </w:rPr>
        <w:t>富荣基金管理有限公司监事</w:t>
      </w:r>
      <w:r>
        <w:rPr>
          <w:rFonts w:hint="eastAsia"/>
          <w:color w:val="000000"/>
          <w:szCs w:val="21"/>
        </w:rPr>
        <w:t>。</w:t>
      </w:r>
    </w:p>
    <w:p w14:paraId="20114852"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魏丽红女士，职工监事，大专。现任富荣基金管理有限公司职工监事。</w:t>
      </w:r>
    </w:p>
    <w:p w14:paraId="52102DA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14:paraId="51B464E4"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董事、首席信息官。</w:t>
      </w:r>
    </w:p>
    <w:p w14:paraId="748F2CCA" w14:textId="77777777" w:rsidR="009A7A59" w:rsidRDefault="00000000">
      <w:pPr>
        <w:adjustRightInd w:val="0"/>
        <w:snapToGrid w:val="0"/>
        <w:spacing w:line="360" w:lineRule="auto"/>
        <w:ind w:firstLineChars="200" w:firstLine="420"/>
      </w:pPr>
      <w:r>
        <w:rPr>
          <w:rFonts w:ascii="Arial Unicode MS" w:hAnsi="Arial Unicode MS" w:cs="Arial" w:hint="eastAsia"/>
          <w:kern w:val="0"/>
          <w:szCs w:val="21"/>
        </w:rPr>
        <w:t>史克新先生，副总经理，中欧国际工商学院高级管理人员工商管理硕士研究生</w:t>
      </w:r>
      <w:r>
        <w:rPr>
          <w:rFonts w:hint="eastAsia"/>
        </w:rPr>
        <w:t>。历任珠海会计师事务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hint="eastAsia"/>
        </w:rPr>
        <w:t>安基金</w:t>
      </w:r>
      <w:proofErr w:type="gramEnd"/>
      <w:r>
        <w:rPr>
          <w:rFonts w:hint="eastAsia"/>
        </w:rPr>
        <w:t>管理有限公司董事、金元证券股份有限公司经纪管理总部总经理、金元证券股份有限公司深圳分公司总经理、金元证券股份有限公司互联网创新专项办公室总经理等。现任富荣基金管理有限公司副总经理，兼任深圳分公司总经理。</w:t>
      </w:r>
    </w:p>
    <w:p w14:paraId="0C045872" w14:textId="77777777" w:rsidR="009A7A59" w:rsidRDefault="00000000">
      <w:pPr>
        <w:adjustRightInd w:val="0"/>
        <w:snapToGrid w:val="0"/>
        <w:spacing w:line="360" w:lineRule="auto"/>
        <w:ind w:firstLineChars="200" w:firstLine="420"/>
      </w:pPr>
      <w:r>
        <w:rPr>
          <w:rFonts w:hint="eastAsia"/>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监察稽核与风险管理部总监，前海联合基金管理有限公司督察长，中天国富证券有限公司总裁助理兼法律合</w:t>
      </w:r>
      <w:proofErr w:type="gramStart"/>
      <w:r>
        <w:rPr>
          <w:rFonts w:hint="eastAsia"/>
        </w:rPr>
        <w:t>规</w:t>
      </w:r>
      <w:proofErr w:type="gramEnd"/>
      <w:r>
        <w:rPr>
          <w:rFonts w:hint="eastAsia"/>
        </w:rPr>
        <w:t>部总经理。现任富荣基金管理有限公司督察长。</w:t>
      </w:r>
    </w:p>
    <w:p w14:paraId="6E8655FC" w14:textId="77777777" w:rsidR="009A7A59" w:rsidRDefault="00000000">
      <w:pPr>
        <w:adjustRightInd w:val="0"/>
        <w:snapToGrid w:val="0"/>
        <w:spacing w:line="360" w:lineRule="auto"/>
        <w:ind w:firstLineChars="200" w:firstLine="420"/>
      </w:pPr>
      <w:r>
        <w:rPr>
          <w:rFonts w:hint="eastAsia"/>
        </w:rPr>
        <w:t>郑宇光先生，总经理助理，上海交通大学工商管理硕士。历任平安资产管理有限责任公司交易部</w:t>
      </w:r>
      <w:r>
        <w:rPr>
          <w:rFonts w:hint="eastAsia"/>
        </w:rPr>
        <w:t>/</w:t>
      </w:r>
      <w:r>
        <w:rPr>
          <w:rFonts w:hint="eastAsia"/>
        </w:rPr>
        <w:t>投资管理部经理，太平资产管理有限责任公司固定收益部投资经理，上投摩根基金管理有限公司专户管理部投资经理，中</w:t>
      </w:r>
      <w:proofErr w:type="gramStart"/>
      <w:r>
        <w:rPr>
          <w:rFonts w:hint="eastAsia"/>
        </w:rPr>
        <w:t>信保诚基金</w:t>
      </w:r>
      <w:proofErr w:type="gramEnd"/>
      <w:r>
        <w:rPr>
          <w:rFonts w:hint="eastAsia"/>
        </w:rPr>
        <w:t>管理有限公司固定收益部投资经理、总监助理，长江证券资产管理有限责任公司投资经理，上海勤远投资管理中心（有限合伙）量化研究总监基金经理，</w:t>
      </w:r>
      <w:proofErr w:type="gramStart"/>
      <w:r>
        <w:rPr>
          <w:rFonts w:hint="eastAsia"/>
        </w:rPr>
        <w:t>泰信基金</w:t>
      </w:r>
      <w:proofErr w:type="gramEnd"/>
      <w:r>
        <w:rPr>
          <w:rFonts w:hint="eastAsia"/>
        </w:rPr>
        <w:t>管理有限公司专户投资部副总监，</w:t>
      </w:r>
      <w:proofErr w:type="gramStart"/>
      <w:r>
        <w:rPr>
          <w:rFonts w:hint="eastAsia"/>
        </w:rPr>
        <w:t>固收投资部基金</w:t>
      </w:r>
      <w:proofErr w:type="gramEnd"/>
      <w:r>
        <w:rPr>
          <w:rFonts w:hint="eastAsia"/>
        </w:rPr>
        <w:t>经理、总监。现任富荣基金管理有限公司总经理助理。</w:t>
      </w:r>
    </w:p>
    <w:p w14:paraId="63CD1FD9"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hint="eastAsia"/>
        </w:rPr>
        <w:lastRenderedPageBreak/>
        <w:t>赵睿杨女士，总经理助理，对外经济贸易大学会计学硕士研究生。历任合生创展集团有限公司集团财务与投资中心上市核算管理师、投资分析副经理，</w:t>
      </w:r>
      <w:proofErr w:type="gramStart"/>
      <w:r>
        <w:rPr>
          <w:rFonts w:hint="eastAsia"/>
        </w:rPr>
        <w:t>慧富恒</w:t>
      </w:r>
      <w:proofErr w:type="gramEnd"/>
      <w:r>
        <w:rPr>
          <w:rFonts w:hint="eastAsia"/>
        </w:rPr>
        <w:t>泰（北京）基金管理有限公司投融资一部总经理，北信瑞丰基金管理有限公司市场部高级经理、市场部总监助理、渠道部副总监、渠道部总监、专</w:t>
      </w:r>
      <w:proofErr w:type="gramStart"/>
      <w:r>
        <w:rPr>
          <w:rFonts w:hint="eastAsia"/>
        </w:rPr>
        <w:t>户机构</w:t>
      </w:r>
      <w:proofErr w:type="gramEnd"/>
      <w:r>
        <w:rPr>
          <w:rFonts w:hint="eastAsia"/>
        </w:rPr>
        <w:t>部总监、市场总监、公司总经理助理。现任富荣基金管理有限公司总经理助理，兼任北京分公司总经理。</w:t>
      </w:r>
    </w:p>
    <w:p w14:paraId="2F5F508B"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经理</w:t>
      </w:r>
    </w:p>
    <w:p w14:paraId="58D3E3F1" w14:textId="77777777" w:rsidR="009A7A59" w:rsidRDefault="00000000">
      <w:pPr>
        <w:adjustRightInd w:val="0"/>
        <w:snapToGrid w:val="0"/>
        <w:spacing w:line="360" w:lineRule="auto"/>
        <w:ind w:firstLineChars="200" w:firstLine="420"/>
        <w:rPr>
          <w:rFonts w:ascii="Helvetica" w:hAnsi="Helvetica"/>
          <w:shd w:val="clear" w:color="auto" w:fill="FFFFFF"/>
        </w:rPr>
      </w:pPr>
      <w:proofErr w:type="gramStart"/>
      <w:r>
        <w:rPr>
          <w:rFonts w:hint="eastAsia"/>
          <w:color w:val="000000"/>
          <w:shd w:val="clear" w:color="auto" w:fill="FFFFFF"/>
        </w:rPr>
        <w:t>过秀女士</w:t>
      </w:r>
      <w:proofErr w:type="gramEnd"/>
      <w:r>
        <w:rPr>
          <w:rFonts w:hint="eastAsia"/>
          <w:color w:val="000000"/>
          <w:shd w:val="clear" w:color="auto" w:fill="FFFFFF"/>
        </w:rPr>
        <w:t>，深圳大学管理学硕士，</w:t>
      </w:r>
      <w:r>
        <w:rPr>
          <w:rFonts w:hint="eastAsia"/>
          <w:color w:val="000000"/>
          <w:shd w:val="clear" w:color="auto" w:fill="FFFFFF"/>
        </w:rPr>
        <w:t>16.5</w:t>
      </w:r>
      <w:r>
        <w:rPr>
          <w:rFonts w:hint="eastAsia"/>
          <w:color w:val="000000"/>
          <w:shd w:val="clear" w:color="auto" w:fill="FFFFFF"/>
        </w:rPr>
        <w:t>年以上金融行业从业经验。曾任招商基金管理有限公司基金会计，国</w:t>
      </w:r>
      <w:proofErr w:type="gramStart"/>
      <w:r>
        <w:rPr>
          <w:rFonts w:hint="eastAsia"/>
          <w:color w:val="000000"/>
          <w:shd w:val="clear" w:color="auto" w:fill="FFFFFF"/>
        </w:rPr>
        <w:t>海证券</w:t>
      </w:r>
      <w:proofErr w:type="gramEnd"/>
      <w:r>
        <w:rPr>
          <w:rFonts w:hint="eastAsia"/>
          <w:color w:val="000000"/>
          <w:shd w:val="clear" w:color="auto" w:fill="FFFFFF"/>
        </w:rPr>
        <w:t>股份有限公司固定收益研究员，世纪证券有限责任公司债券交易员，摩根士丹利华</w:t>
      </w:r>
      <w:proofErr w:type="gramStart"/>
      <w:r>
        <w:rPr>
          <w:rFonts w:hint="eastAsia"/>
          <w:color w:val="000000"/>
          <w:shd w:val="clear" w:color="auto" w:fill="FFFFFF"/>
        </w:rPr>
        <w:t>鑫</w:t>
      </w:r>
      <w:proofErr w:type="gramEnd"/>
      <w:r>
        <w:rPr>
          <w:rFonts w:hint="eastAsia"/>
          <w:color w:val="000000"/>
          <w:shd w:val="clear" w:color="auto" w:fill="FFFFFF"/>
        </w:rPr>
        <w:t>基金管理有限公司债券交易员。现任富荣基金管理有限公司</w:t>
      </w:r>
      <w:proofErr w:type="gramStart"/>
      <w:r>
        <w:rPr>
          <w:rFonts w:hint="eastAsia"/>
          <w:color w:val="000000"/>
          <w:shd w:val="clear" w:color="auto" w:fill="FFFFFF"/>
        </w:rPr>
        <w:t>富荣富开</w:t>
      </w:r>
      <w:proofErr w:type="gramEnd"/>
      <w:r>
        <w:rPr>
          <w:rFonts w:hint="eastAsia"/>
          <w:color w:val="000000"/>
          <w:shd w:val="clear" w:color="auto" w:fill="FFFFFF"/>
        </w:rPr>
        <w:t>1-3</w:t>
      </w:r>
      <w:r>
        <w:rPr>
          <w:rFonts w:hint="eastAsia"/>
          <w:color w:val="000000"/>
          <w:shd w:val="clear" w:color="auto" w:fill="FFFFFF"/>
        </w:rPr>
        <w:t>年国</w:t>
      </w:r>
      <w:proofErr w:type="gramStart"/>
      <w:r>
        <w:rPr>
          <w:rFonts w:hint="eastAsia"/>
          <w:color w:val="000000"/>
          <w:shd w:val="clear" w:color="auto" w:fill="FFFFFF"/>
        </w:rPr>
        <w:t>开债纯债</w:t>
      </w:r>
      <w:proofErr w:type="gramEnd"/>
      <w:r>
        <w:rPr>
          <w:rFonts w:hint="eastAsia"/>
          <w:color w:val="000000"/>
          <w:shd w:val="clear" w:color="auto" w:fill="FFFFFF"/>
        </w:rPr>
        <w:t>债券型证券投资</w:t>
      </w:r>
      <w:proofErr w:type="gramStart"/>
      <w:r>
        <w:rPr>
          <w:rFonts w:hint="eastAsia"/>
          <w:color w:val="000000"/>
          <w:shd w:val="clear" w:color="auto" w:fill="FFFFFF"/>
        </w:rPr>
        <w:t>基金基金</w:t>
      </w:r>
      <w:proofErr w:type="gramEnd"/>
      <w:r>
        <w:rPr>
          <w:rFonts w:hint="eastAsia"/>
          <w:color w:val="000000"/>
          <w:shd w:val="clear" w:color="auto" w:fill="FFFFFF"/>
        </w:rPr>
        <w:t>经理（自</w:t>
      </w:r>
      <w:r>
        <w:rPr>
          <w:rFonts w:hint="eastAsia"/>
          <w:color w:val="000000"/>
          <w:shd w:val="clear" w:color="auto" w:fill="FFFFFF"/>
        </w:rPr>
        <w:t>2025</w:t>
      </w:r>
      <w:r>
        <w:rPr>
          <w:rFonts w:hint="eastAsia"/>
          <w:color w:val="000000"/>
          <w:shd w:val="clear" w:color="auto" w:fill="FFFFFF"/>
        </w:rPr>
        <w:t>年</w:t>
      </w:r>
      <w:r>
        <w:rPr>
          <w:rFonts w:hint="eastAsia"/>
          <w:color w:val="000000"/>
          <w:shd w:val="clear" w:color="auto" w:fill="FFFFFF"/>
        </w:rPr>
        <w:t>6</w:t>
      </w:r>
      <w:r>
        <w:rPr>
          <w:rFonts w:hint="eastAsia"/>
          <w:color w:val="000000"/>
          <w:shd w:val="clear" w:color="auto" w:fill="FFFFFF"/>
        </w:rPr>
        <w:t>月</w:t>
      </w:r>
      <w:r>
        <w:rPr>
          <w:rFonts w:hint="eastAsia"/>
          <w:color w:val="000000"/>
          <w:shd w:val="clear" w:color="auto" w:fill="FFFFFF"/>
        </w:rPr>
        <w:t>30</w:t>
      </w:r>
      <w:r>
        <w:rPr>
          <w:rFonts w:hint="eastAsia"/>
          <w:color w:val="000000"/>
          <w:shd w:val="clear" w:color="auto" w:fill="FFFFFF"/>
        </w:rPr>
        <w:t>日起任职）、富荣富</w:t>
      </w:r>
      <w:proofErr w:type="gramStart"/>
      <w:r>
        <w:rPr>
          <w:rFonts w:hint="eastAsia"/>
          <w:color w:val="000000"/>
          <w:shd w:val="clear" w:color="auto" w:fill="FFFFFF"/>
        </w:rPr>
        <w:t>兴纯债</w:t>
      </w:r>
      <w:proofErr w:type="gramEnd"/>
      <w:r>
        <w:rPr>
          <w:rFonts w:hint="eastAsia"/>
          <w:color w:val="000000"/>
          <w:shd w:val="clear" w:color="auto" w:fill="FFFFFF"/>
        </w:rPr>
        <w:t>债券型证券投资</w:t>
      </w:r>
      <w:proofErr w:type="gramStart"/>
      <w:r>
        <w:rPr>
          <w:rFonts w:hint="eastAsia"/>
          <w:color w:val="000000"/>
          <w:shd w:val="clear" w:color="auto" w:fill="FFFFFF"/>
        </w:rPr>
        <w:t>基金基金</w:t>
      </w:r>
      <w:proofErr w:type="gramEnd"/>
      <w:r>
        <w:rPr>
          <w:rFonts w:hint="eastAsia"/>
          <w:color w:val="000000"/>
          <w:shd w:val="clear" w:color="auto" w:fill="FFFFFF"/>
        </w:rPr>
        <w:t>经理（自</w:t>
      </w:r>
      <w:r>
        <w:rPr>
          <w:rFonts w:hint="eastAsia"/>
          <w:color w:val="000000"/>
          <w:shd w:val="clear" w:color="auto" w:fill="FFFFFF"/>
        </w:rPr>
        <w:t>2025</w:t>
      </w:r>
      <w:r>
        <w:rPr>
          <w:rFonts w:hint="eastAsia"/>
          <w:color w:val="000000"/>
          <w:shd w:val="clear" w:color="auto" w:fill="FFFFFF"/>
        </w:rPr>
        <w:t>年</w:t>
      </w:r>
      <w:r>
        <w:rPr>
          <w:rFonts w:hint="eastAsia"/>
          <w:color w:val="000000"/>
          <w:shd w:val="clear" w:color="auto" w:fill="FFFFFF"/>
        </w:rPr>
        <w:t>7</w:t>
      </w:r>
      <w:r>
        <w:rPr>
          <w:rFonts w:hint="eastAsia"/>
          <w:color w:val="000000"/>
          <w:shd w:val="clear" w:color="auto" w:fill="FFFFFF"/>
        </w:rPr>
        <w:t>月</w:t>
      </w:r>
      <w:r>
        <w:rPr>
          <w:rFonts w:hint="eastAsia"/>
          <w:color w:val="000000"/>
          <w:shd w:val="clear" w:color="auto" w:fill="FFFFFF"/>
        </w:rPr>
        <w:t>23</w:t>
      </w:r>
      <w:r>
        <w:rPr>
          <w:rFonts w:hint="eastAsia"/>
          <w:color w:val="000000"/>
          <w:shd w:val="clear" w:color="auto" w:fill="FFFFFF"/>
        </w:rPr>
        <w:t>日起任职）。</w:t>
      </w:r>
    </w:p>
    <w:p w14:paraId="39A11C00" w14:textId="77777777" w:rsidR="009A7A59" w:rsidRDefault="00000000">
      <w:pPr>
        <w:adjustRightInd w:val="0"/>
        <w:snapToGrid w:val="0"/>
        <w:spacing w:line="360" w:lineRule="auto"/>
        <w:ind w:firstLineChars="200" w:firstLine="420"/>
        <w:rPr>
          <w:color w:val="000000"/>
          <w:shd w:val="clear" w:color="auto" w:fill="FFFFFF"/>
        </w:rPr>
      </w:pPr>
      <w:r>
        <w:rPr>
          <w:rFonts w:ascii="Helvetica" w:hAnsi="Helvetica" w:hint="eastAsia"/>
          <w:shd w:val="clear" w:color="auto" w:fill="FFFFFF"/>
        </w:rPr>
        <w:t>历任基金经理：贺翔（自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9</w:t>
      </w:r>
      <w:r>
        <w:rPr>
          <w:rFonts w:ascii="Helvetica" w:hAnsi="Helvetica" w:hint="eastAsia"/>
          <w:shd w:val="clear" w:color="auto" w:fill="FFFFFF"/>
        </w:rPr>
        <w:t>日至</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日）、吕晓蓉（自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日至</w:t>
      </w:r>
      <w:r>
        <w:rPr>
          <w:rFonts w:ascii="Helvetica" w:hAnsi="Helvetica" w:hint="eastAsia"/>
          <w:shd w:val="clear" w:color="auto" w:fill="FFFFFF"/>
        </w:rPr>
        <w:t>2022</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21</w:t>
      </w:r>
      <w:r>
        <w:rPr>
          <w:rFonts w:ascii="Helvetica" w:hAnsi="Helvetica" w:hint="eastAsia"/>
          <w:shd w:val="clear" w:color="auto" w:fill="FFFFFF"/>
        </w:rPr>
        <w:t>日）、唐奥（自</w:t>
      </w:r>
      <w:r>
        <w:rPr>
          <w:rFonts w:ascii="Helvetica" w:hAnsi="Helvetica" w:hint="eastAsia"/>
          <w:shd w:val="clear" w:color="auto" w:fill="FFFFFF"/>
        </w:rPr>
        <w:t>2022</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4</w:t>
      </w:r>
      <w:r>
        <w:rPr>
          <w:rFonts w:ascii="Helvetica" w:hAnsi="Helvetica" w:hint="eastAsia"/>
          <w:shd w:val="clear" w:color="auto" w:fill="FFFFFF"/>
        </w:rPr>
        <w:t>日至</w:t>
      </w:r>
      <w:r>
        <w:rPr>
          <w:rFonts w:ascii="Helvetica" w:hAnsi="Helvetica" w:hint="eastAsia"/>
          <w:shd w:val="clear" w:color="auto" w:fill="FFFFFF"/>
        </w:rPr>
        <w:t>2023</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22</w:t>
      </w:r>
      <w:r>
        <w:rPr>
          <w:rFonts w:ascii="Helvetica" w:hAnsi="Helvetica" w:hint="eastAsia"/>
          <w:shd w:val="clear" w:color="auto" w:fill="FFFFFF"/>
        </w:rPr>
        <w:t>日）、孟飞（自</w:t>
      </w:r>
      <w:r>
        <w:rPr>
          <w:rFonts w:ascii="Helvetica" w:hAnsi="Helvetica" w:hint="eastAsia"/>
          <w:shd w:val="clear" w:color="auto" w:fill="FFFFFF"/>
        </w:rPr>
        <w:t>2023</w:t>
      </w:r>
      <w:r>
        <w:rPr>
          <w:rFonts w:ascii="Helvetica" w:hAnsi="Helvetica" w:hint="eastAsia"/>
          <w:shd w:val="clear" w:color="auto" w:fill="FFFFFF"/>
        </w:rPr>
        <w:t>年</w:t>
      </w:r>
      <w:r>
        <w:rPr>
          <w:rFonts w:ascii="Helvetica" w:hAnsi="Helvetica" w:hint="eastAsia"/>
          <w:shd w:val="clear" w:color="auto" w:fill="FFFFFF"/>
        </w:rPr>
        <w:t>1</w:t>
      </w:r>
      <w:r>
        <w:rPr>
          <w:rFonts w:ascii="Helvetica" w:hAnsi="Helvetica" w:hint="eastAsia"/>
          <w:shd w:val="clear" w:color="auto" w:fill="FFFFFF"/>
        </w:rPr>
        <w:t>月</w:t>
      </w:r>
      <w:r>
        <w:rPr>
          <w:rFonts w:ascii="Helvetica" w:hAnsi="Helvetica" w:hint="eastAsia"/>
          <w:shd w:val="clear" w:color="auto" w:fill="FFFFFF"/>
        </w:rPr>
        <w:t>18</w:t>
      </w:r>
      <w:r>
        <w:rPr>
          <w:rFonts w:ascii="Helvetica" w:hAnsi="Helvetica" w:hint="eastAsia"/>
          <w:shd w:val="clear" w:color="auto" w:fill="FFFFFF"/>
        </w:rPr>
        <w:t>日至</w:t>
      </w:r>
      <w:r>
        <w:rPr>
          <w:rFonts w:ascii="Helvetica" w:hAnsi="Helvetica" w:hint="eastAsia"/>
          <w:shd w:val="clear" w:color="auto" w:fill="FFFFFF"/>
        </w:rPr>
        <w:t>2025</w:t>
      </w:r>
      <w:r>
        <w:rPr>
          <w:rFonts w:ascii="Helvetica" w:hAnsi="Helvetica" w:hint="eastAsia"/>
          <w:shd w:val="clear" w:color="auto" w:fill="FFFFFF"/>
        </w:rPr>
        <w:t>年</w:t>
      </w:r>
      <w:r>
        <w:rPr>
          <w:rFonts w:ascii="Helvetica" w:hAnsi="Helvetica" w:hint="eastAsia"/>
          <w:shd w:val="clear" w:color="auto" w:fill="FFFFFF"/>
        </w:rPr>
        <w:t>8</w:t>
      </w:r>
      <w:r>
        <w:rPr>
          <w:rFonts w:ascii="Helvetica" w:hAnsi="Helvetica" w:hint="eastAsia"/>
          <w:shd w:val="clear" w:color="auto" w:fill="FFFFFF"/>
        </w:rPr>
        <w:t>月</w:t>
      </w:r>
      <w:r>
        <w:rPr>
          <w:rFonts w:ascii="Helvetica" w:hAnsi="Helvetica" w:hint="eastAsia"/>
          <w:shd w:val="clear" w:color="auto" w:fill="FFFFFF"/>
        </w:rPr>
        <w:t>4</w:t>
      </w:r>
      <w:r>
        <w:rPr>
          <w:rFonts w:ascii="Helvetica" w:hAnsi="Helvetica" w:hint="eastAsia"/>
          <w:shd w:val="clear" w:color="auto" w:fill="FFFFFF"/>
        </w:rPr>
        <w:t>日）。</w:t>
      </w:r>
    </w:p>
    <w:p w14:paraId="3315FD30"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14:paraId="2F5E8D83" w14:textId="77777777" w:rsidR="009A7A59" w:rsidRDefault="00000000">
      <w:pPr>
        <w:adjustRightInd w:val="0"/>
        <w:snapToGrid w:val="0"/>
        <w:spacing w:line="360" w:lineRule="auto"/>
        <w:ind w:firstLineChars="200" w:firstLine="420"/>
        <w:rPr>
          <w:rFonts w:ascii="Helvetica" w:hAnsi="Helvetica"/>
          <w:shd w:val="clear" w:color="auto" w:fill="FFFFFF"/>
        </w:rPr>
      </w:pPr>
      <w:r>
        <w:rPr>
          <w:rFonts w:ascii="Helvetica" w:hAnsi="Helvetica" w:hint="eastAsia"/>
          <w:shd w:val="clear" w:color="auto" w:fill="FFFFFF"/>
        </w:rPr>
        <w:t>杨小舟先生，投资决策委员会主任委员、公司总经理、兼任首席信息官。</w:t>
      </w:r>
    </w:p>
    <w:p w14:paraId="7F33079E" w14:textId="77777777" w:rsidR="009A7A59" w:rsidRDefault="00000000">
      <w:pPr>
        <w:adjustRightInd w:val="0"/>
        <w:snapToGrid w:val="0"/>
        <w:spacing w:line="360" w:lineRule="auto"/>
        <w:ind w:firstLineChars="200" w:firstLine="420"/>
        <w:rPr>
          <w:rFonts w:ascii="Helvetica" w:hAnsi="Helvetica"/>
          <w:shd w:val="clear" w:color="auto" w:fill="FFFFFF"/>
        </w:rPr>
      </w:pPr>
      <w:r>
        <w:rPr>
          <w:rFonts w:ascii="Helvetica" w:hAnsi="Helvetica"/>
          <w:shd w:val="clear" w:color="auto" w:fill="FFFFFF"/>
        </w:rPr>
        <w:t>郑宇光先生，</w:t>
      </w:r>
      <w:r>
        <w:rPr>
          <w:rFonts w:ascii="Helvetica" w:hAnsi="Helvetica" w:hint="eastAsia"/>
          <w:shd w:val="clear" w:color="auto" w:fill="FFFFFF"/>
        </w:rPr>
        <w:t>投资决策委员会委员、公司总经理助理。</w:t>
      </w:r>
    </w:p>
    <w:p w14:paraId="77C4512F" w14:textId="77777777" w:rsidR="009A7A59" w:rsidRDefault="00000000">
      <w:pPr>
        <w:adjustRightInd w:val="0"/>
        <w:snapToGrid w:val="0"/>
        <w:spacing w:line="360" w:lineRule="auto"/>
        <w:ind w:firstLineChars="200" w:firstLine="420"/>
        <w:rPr>
          <w:rFonts w:ascii="Helvetica" w:hAnsi="Helvetica"/>
          <w:shd w:val="clear" w:color="auto" w:fill="FFFFFF"/>
        </w:rPr>
      </w:pPr>
      <w:r>
        <w:rPr>
          <w:rFonts w:ascii="Helvetica" w:hAnsi="Helvetica" w:hint="eastAsia"/>
          <w:shd w:val="clear" w:color="auto" w:fill="FFFFFF"/>
        </w:rPr>
        <w:t>郎骋成先生，投资决策委员会委员、研究部总经理、权益投资部总经理、专户投资经理、基金经理。</w:t>
      </w:r>
    </w:p>
    <w:p w14:paraId="729CE9F9" w14:textId="77777777" w:rsidR="009A7A59" w:rsidRDefault="00000000">
      <w:pPr>
        <w:adjustRightInd w:val="0"/>
        <w:snapToGrid w:val="0"/>
        <w:spacing w:line="360" w:lineRule="auto"/>
        <w:ind w:firstLineChars="200" w:firstLine="420"/>
        <w:rPr>
          <w:rFonts w:ascii="Helvetica" w:hAnsi="Helvetica"/>
          <w:shd w:val="clear" w:color="auto" w:fill="FFFFFF"/>
        </w:rPr>
      </w:pPr>
      <w:r>
        <w:rPr>
          <w:rFonts w:ascii="Helvetica" w:hAnsi="Helvetica" w:hint="eastAsia"/>
          <w:shd w:val="clear" w:color="auto" w:fill="FFFFFF"/>
        </w:rPr>
        <w:t>吴敏先生，投资决策委员会委员、固定收益部总经理。</w:t>
      </w:r>
    </w:p>
    <w:p w14:paraId="45C34E39" w14:textId="77777777" w:rsidR="00367CBC" w:rsidRDefault="00000000">
      <w:pPr>
        <w:adjustRightInd w:val="0"/>
        <w:snapToGrid w:val="0"/>
        <w:spacing w:line="360" w:lineRule="auto"/>
        <w:ind w:firstLineChars="200" w:firstLine="420"/>
        <w:rPr>
          <w:rFonts w:ascii="Helvetica" w:hAnsi="Helvetica"/>
          <w:shd w:val="clear" w:color="auto" w:fill="FFFFFF"/>
        </w:rPr>
      </w:pPr>
      <w:r>
        <w:rPr>
          <w:rFonts w:ascii="Helvetica" w:hAnsi="Helvetica" w:hint="eastAsia"/>
          <w:shd w:val="clear" w:color="auto" w:fill="FFFFFF"/>
        </w:rPr>
        <w:t>孟亚强</w:t>
      </w:r>
      <w:r w:rsidR="004C795C">
        <w:rPr>
          <w:rFonts w:ascii="Helvetica" w:hAnsi="Helvetica" w:hint="eastAsia"/>
          <w:shd w:val="clear" w:color="auto" w:fill="FFFFFF"/>
        </w:rPr>
        <w:t>先生</w:t>
      </w:r>
      <w:r>
        <w:rPr>
          <w:rFonts w:ascii="Helvetica" w:hAnsi="Helvetica" w:hint="eastAsia"/>
          <w:shd w:val="clear" w:color="auto" w:fill="FFFFFF"/>
        </w:rPr>
        <w:t>，投资决策委员会委员、量化投资部总经理、基金经理。</w:t>
      </w:r>
    </w:p>
    <w:p w14:paraId="2268DAB3" w14:textId="3DCB9296"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Helvetica" w:hAnsi="Helvetica" w:hint="eastAsia"/>
          <w:shd w:val="clear" w:color="auto" w:fill="FFFFFF"/>
        </w:rPr>
        <w:t>李延峥先生，投资决策委员会委员、投资决策委员会秘书、研究部总经理助理、基金经理。</w:t>
      </w:r>
    </w:p>
    <w:p w14:paraId="595A85DB"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14:paraId="00CE0791" w14:textId="77777777" w:rsidR="009A7A59" w:rsidRDefault="0000000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bookmarkStart w:id="10" w:name="_Toc524923215"/>
      <w:r>
        <w:rPr>
          <w:rFonts w:ascii="Arial Unicode MS" w:hAnsi="Arial Unicode MS" w:cs="Arial" w:hint="eastAsia"/>
          <w:b/>
          <w:bCs/>
          <w:szCs w:val="21"/>
        </w:rPr>
        <w:t>三、</w:t>
      </w:r>
      <w:r>
        <w:rPr>
          <w:rFonts w:ascii="Arial Unicode MS" w:hAnsi="Arial Unicode MS" w:cs="Arial"/>
          <w:b/>
          <w:bCs/>
          <w:szCs w:val="21"/>
        </w:rPr>
        <w:t>基金管理人的职责</w:t>
      </w:r>
    </w:p>
    <w:p w14:paraId="7B04F374"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、依法募集资金，办理或者委托经中国证监会认定的其他机构代为办理基金份额的申购、赎回和登记事宜；</w:t>
      </w:r>
    </w:p>
    <w:p w14:paraId="07FCA8AC"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、办理基金备案手续；</w:t>
      </w:r>
    </w:p>
    <w:p w14:paraId="02DF9359"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、自《基金合同》生效之日起，以诚实信用、谨慎勤勉的原则管理和运用基金财产；</w:t>
      </w:r>
    </w:p>
    <w:p w14:paraId="56246E09"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14:paraId="4E9E2BA8"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lastRenderedPageBreak/>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24FDBB74"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350D0870"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14:paraId="50098C79"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195EEB5B"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14:paraId="6977BD06"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、编制季度报告、中期报告和年度报告；</w:t>
      </w:r>
    </w:p>
    <w:p w14:paraId="319B8D83"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14:paraId="37909782"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4111238E"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14:paraId="498DC372"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14:paraId="5E8FC37B"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4C4B2212"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14:paraId="7966E4F4"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B6A4B5D"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14:paraId="37DA3030"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14:paraId="48776F96"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2900B8A4"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lastRenderedPageBreak/>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1BB83BAE"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14:paraId="05D63C5C"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14:paraId="06D6471A"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14:paraId="65727454"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14:paraId="72E5AA15"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14:paraId="6FBAD339"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14:paraId="6D462B9D" w14:textId="77777777" w:rsidR="009A7A59" w:rsidRDefault="0000000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14:paraId="38041441"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14:paraId="0F89E2F3"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14:paraId="37D435E1"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14:paraId="6323DC04"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14:paraId="71BC7924"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14:paraId="6680454C"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14:paraId="61EF721D" w14:textId="77777777" w:rsidR="009A7A59" w:rsidRDefault="00000000">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szCs w:val="21"/>
        </w:rPr>
        <w:tab/>
      </w:r>
    </w:p>
    <w:p w14:paraId="39F9A5E4"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14:paraId="395DF020"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14:paraId="63D1BC5C"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14:paraId="0034133B"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w:t>
      </w:r>
      <w:r>
        <w:rPr>
          <w:rFonts w:ascii="Arial Unicode MS" w:hAnsi="Arial Unicode MS" w:cs="Arial" w:hint="eastAsia"/>
          <w:szCs w:val="21"/>
        </w:rPr>
        <w:lastRenderedPageBreak/>
        <w:t>防止违反基金合同行为的发生；</w:t>
      </w:r>
      <w:r>
        <w:rPr>
          <w:rFonts w:ascii="Arial Unicode MS" w:hAnsi="Arial Unicode MS" w:cs="Arial" w:hint="eastAsia"/>
          <w:szCs w:val="21"/>
        </w:rPr>
        <w:t xml:space="preserve"> </w:t>
      </w:r>
    </w:p>
    <w:p w14:paraId="68D270EF"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14:paraId="6C436AFF"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p>
    <w:p w14:paraId="716CAF9F" w14:textId="77777777" w:rsidR="009A7A59" w:rsidRDefault="0000000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szCs w:val="21"/>
        </w:rPr>
      </w:pPr>
      <w:r>
        <w:rPr>
          <w:rFonts w:ascii="Arial Unicode MS" w:hAnsi="Arial Unicode MS" w:cs="Arial" w:hint="eastAsia"/>
          <w:b/>
          <w:szCs w:val="21"/>
        </w:rPr>
        <w:t>五、基金经理承诺</w:t>
      </w:r>
    </w:p>
    <w:p w14:paraId="719A51AF"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14:paraId="483C8835"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14:paraId="554226CE"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65D78699"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14:paraId="18538CA7" w14:textId="77777777" w:rsidR="009A7A59" w:rsidRDefault="0000000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hint="eastAsia"/>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14:paraId="584799D0"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、风险控制目标</w:t>
      </w:r>
    </w:p>
    <w:p w14:paraId="4DE4B4C7"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14:paraId="59F80591"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14:paraId="1AFA6C43"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14:paraId="1417FEFD"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779DEFAC"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14:paraId="0100896E"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14:paraId="0CA502D4"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14:paraId="316A2588"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502E9F52"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27A2E4DE"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lastRenderedPageBreak/>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F32F32A"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50A755EB"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、风险控制体系</w:t>
      </w:r>
    </w:p>
    <w:p w14:paraId="3E97F309"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14:paraId="665371DD"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A442412"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14:paraId="132898E3"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风险控制组织体系包括两个层次：</w:t>
      </w:r>
    </w:p>
    <w:p w14:paraId="177E07D8"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58FFB8F7"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567D137"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②督察</w:t>
      </w:r>
      <w:proofErr w:type="gramStart"/>
      <w:r>
        <w:rPr>
          <w:rFonts w:ascii="Arial Unicode MS" w:hAnsi="Arial Unicode MS" w:cs="Arial" w:hint="eastAsia"/>
          <w:szCs w:val="21"/>
        </w:rPr>
        <w:t>长履行</w:t>
      </w:r>
      <w:proofErr w:type="gramEnd"/>
      <w:r>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D223FD"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第二层次：公司经营管理层包括风险管理委员会、监察稽核部及各职能部门对经营风险的预防和控制。</w:t>
      </w:r>
    </w:p>
    <w:p w14:paraId="4ABB8829"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Arial Unicode MS" w:hAnsi="Arial Unicode MS" w:cs="Arial" w:hint="eastAsia"/>
          <w:szCs w:val="21"/>
        </w:rPr>
        <w:t>规</w:t>
      </w:r>
      <w:proofErr w:type="gramEnd"/>
      <w:r>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7637246"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Pr>
          <w:rFonts w:ascii="Arial Unicode MS" w:hAnsi="Arial Unicode MS" w:cs="Arial" w:hint="eastAsia"/>
          <w:szCs w:val="21"/>
        </w:rPr>
        <w:t>规</w:t>
      </w:r>
      <w:proofErr w:type="gramEnd"/>
      <w:r>
        <w:rPr>
          <w:rFonts w:ascii="Arial Unicode MS" w:hAnsi="Arial Unicode MS" w:cs="Arial" w:hint="eastAsia"/>
          <w:szCs w:val="21"/>
        </w:rPr>
        <w:t>、完善；检查公司内部控制制度和业务流程的执行情</w:t>
      </w:r>
      <w:r>
        <w:rPr>
          <w:rFonts w:ascii="Arial Unicode MS" w:hAnsi="Arial Unicode MS" w:cs="Arial" w:hint="eastAsia"/>
          <w:szCs w:val="21"/>
        </w:rPr>
        <w:lastRenderedPageBreak/>
        <w:t>况，出具监察稽核报告；负责信息披露事务的管理；调查基金及其他类型产品的异常投资和交易以及对违规行为的调查；负责公司的法律事务、合</w:t>
      </w:r>
      <w:proofErr w:type="gramStart"/>
      <w:r>
        <w:rPr>
          <w:rFonts w:ascii="Arial Unicode MS" w:hAnsi="Arial Unicode MS" w:cs="Arial" w:hint="eastAsia"/>
          <w:szCs w:val="21"/>
        </w:rPr>
        <w:t>规</w:t>
      </w:r>
      <w:proofErr w:type="gramEnd"/>
      <w:r>
        <w:rPr>
          <w:rFonts w:ascii="Arial Unicode MS" w:hAnsi="Arial Unicode MS" w:cs="Arial" w:hint="eastAsia"/>
          <w:szCs w:val="21"/>
        </w:rPr>
        <w:t>咨询、合</w:t>
      </w:r>
      <w:proofErr w:type="gramStart"/>
      <w:r>
        <w:rPr>
          <w:rFonts w:ascii="Arial Unicode MS" w:hAnsi="Arial Unicode MS" w:cs="Arial" w:hint="eastAsia"/>
          <w:szCs w:val="21"/>
        </w:rPr>
        <w:t>规</w:t>
      </w:r>
      <w:proofErr w:type="gramEnd"/>
      <w:r>
        <w:rPr>
          <w:rFonts w:ascii="Arial Unicode MS" w:hAnsi="Arial Unicode MS" w:cs="Arial" w:hint="eastAsia"/>
          <w:szCs w:val="21"/>
        </w:rPr>
        <w:t>培训、离任审查等工作。</w:t>
      </w:r>
    </w:p>
    <w:p w14:paraId="5D23B80D"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E58B5A5"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14:paraId="6C3D5C7F"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14:paraId="09126103"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212060B8"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14:paraId="722B4842"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1800EE1"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14:paraId="28C78DCE"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Pr>
          <w:rFonts w:ascii="Arial Unicode MS" w:hAnsi="Arial Unicode MS" w:cs="Arial" w:hint="eastAsia"/>
          <w:szCs w:val="21"/>
        </w:rPr>
        <w:t>限相应</w:t>
      </w:r>
      <w:proofErr w:type="gramEnd"/>
      <w:r>
        <w:rPr>
          <w:rFonts w:ascii="Arial Unicode MS" w:hAnsi="Arial Unicode MS" w:cs="Arial" w:hint="eastAsia"/>
          <w:szCs w:val="21"/>
        </w:rPr>
        <w:t>的约束制度和考核制度；建立严格的投资禁止和投资限制制度，保证基金投资的合法合</w:t>
      </w:r>
      <w:proofErr w:type="gramStart"/>
      <w:r>
        <w:rPr>
          <w:rFonts w:ascii="Arial Unicode MS" w:hAnsi="Arial Unicode MS" w:cs="Arial" w:hint="eastAsia"/>
          <w:szCs w:val="21"/>
        </w:rPr>
        <w:t>规</w:t>
      </w:r>
      <w:proofErr w:type="gramEnd"/>
      <w:r>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0A97D6EE"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14:paraId="7E1D2530"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F2897E3"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14:paraId="1357C1D9"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w:t>
      </w:r>
      <w:r>
        <w:rPr>
          <w:rFonts w:ascii="Arial Unicode MS" w:hAnsi="Arial Unicode MS" w:cs="Arial" w:hint="eastAsia"/>
          <w:szCs w:val="21"/>
        </w:rPr>
        <w:lastRenderedPageBreak/>
        <w:t>估值程序等会计措施真实、完整、及时地记载每一笔业务并正确进行会计核算和业务核算；建立会计档案保管制度，确保档案真实完整。</w:t>
      </w:r>
    </w:p>
    <w:p w14:paraId="28B46844"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14:paraId="2C10C8A7"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AEE813E"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14:paraId="4AE0E171"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公司设立督察长。督察长由董事会聘任或解聘，报中国证监会或其指定的机构备案，并向董事会负责。督察</w:t>
      </w:r>
      <w:proofErr w:type="gramStart"/>
      <w:r>
        <w:rPr>
          <w:rFonts w:ascii="Arial Unicode MS" w:hAnsi="Arial Unicode MS" w:cs="Arial" w:hint="eastAsia"/>
          <w:szCs w:val="21"/>
        </w:rPr>
        <w:t>长依据</w:t>
      </w:r>
      <w:proofErr w:type="gramEnd"/>
      <w:r>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035958D"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2B71279"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14:paraId="144C740B"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540C736E"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7CB52DF5"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4DB0F887"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93B3BDF"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w:t>
      </w:r>
      <w:r>
        <w:rPr>
          <w:rFonts w:ascii="Arial Unicode MS" w:hAnsi="Arial Unicode MS" w:cs="Arial" w:hint="eastAsia"/>
          <w:szCs w:val="21"/>
        </w:rPr>
        <w:lastRenderedPageBreak/>
        <w:t>统、投资监控系统，能对可能出现的各种风险进行全面和实时的监控。</w:t>
      </w:r>
    </w:p>
    <w:p w14:paraId="107491E9"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30E5E73"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14:paraId="219ABF86" w14:textId="77777777" w:rsidR="009A7A59" w:rsidRDefault="0000000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w:t>
      </w:r>
      <w:proofErr w:type="gramStart"/>
      <w:r>
        <w:rPr>
          <w:rFonts w:ascii="Arial Unicode MS" w:hAnsi="Arial Unicode MS" w:cs="Arial" w:hint="eastAsia"/>
          <w:szCs w:val="21"/>
        </w:rPr>
        <w:t>规</w:t>
      </w:r>
      <w:proofErr w:type="gramEnd"/>
      <w:r>
        <w:rPr>
          <w:rFonts w:ascii="Arial Unicode MS" w:hAnsi="Arial Unicode MS" w:cs="Arial" w:hint="eastAsia"/>
          <w:szCs w:val="21"/>
        </w:rPr>
        <w:t>控制。</w:t>
      </w:r>
      <w:bookmarkStart w:id="11" w:name="_Toc238027832"/>
      <w:bookmarkStart w:id="12" w:name="_Toc238013745"/>
      <w:bookmarkStart w:id="13" w:name="_Toc214873593"/>
      <w:bookmarkEnd w:id="11"/>
      <w:bookmarkEnd w:id="12"/>
      <w:r>
        <w:rPr>
          <w:rFonts w:ascii="Arial Unicode MS" w:hAnsi="Arial Unicode MS" w:cs="Arial" w:hint="eastAsia"/>
          <w:szCs w:val="21"/>
        </w:rPr>
        <w:br w:type="page"/>
      </w:r>
    </w:p>
    <w:p w14:paraId="48B2295B" w14:textId="77777777" w:rsidR="009A7A59" w:rsidRDefault="00000000">
      <w:pPr>
        <w:pStyle w:val="11"/>
        <w:snapToGrid w:val="0"/>
        <w:spacing w:before="0" w:after="0" w:line="360" w:lineRule="auto"/>
        <w:rPr>
          <w:rFonts w:ascii="Arial Unicode MS" w:eastAsia="宋体" w:hAnsi="Arial Unicode MS" w:cs="Arial" w:hint="eastAsia"/>
          <w:b/>
          <w:bCs/>
          <w:sz w:val="28"/>
          <w:szCs w:val="28"/>
        </w:rPr>
      </w:pPr>
      <w:bookmarkStart w:id="14" w:name="_Toc63676439"/>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0"/>
      <w:bookmarkEnd w:id="13"/>
      <w:bookmarkEnd w:id="14"/>
    </w:p>
    <w:p w14:paraId="75E9724E" w14:textId="77777777" w:rsidR="009A7A59" w:rsidRDefault="009A7A59"/>
    <w:p w14:paraId="17D309E8" w14:textId="77777777" w:rsidR="009A7A59" w:rsidRDefault="00000000">
      <w:pPr>
        <w:spacing w:line="360" w:lineRule="auto"/>
        <w:ind w:firstLineChars="200" w:firstLine="422"/>
        <w:rPr>
          <w:rFonts w:asciiTheme="minorEastAsia" w:eastAsiaTheme="minorEastAsia" w:hAnsiTheme="minorEastAsia" w:hint="eastAsia"/>
          <w:b/>
          <w:bCs/>
          <w:szCs w:val="21"/>
        </w:rPr>
      </w:pPr>
      <w:r>
        <w:rPr>
          <w:rFonts w:asciiTheme="minorEastAsia" w:eastAsiaTheme="minorEastAsia" w:hAnsiTheme="minorEastAsia" w:hint="eastAsia"/>
          <w:b/>
          <w:bCs/>
          <w:szCs w:val="21"/>
        </w:rPr>
        <w:t>一、基金托管人情况</w:t>
      </w:r>
    </w:p>
    <w:p w14:paraId="3CB3DD4D"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（一）基本情况</w:t>
      </w:r>
    </w:p>
    <w:p w14:paraId="5B3DB654"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名称：中国建设银行股份有限公司(简称：中国建设银行)</w:t>
      </w:r>
    </w:p>
    <w:p w14:paraId="698888CF"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住所：北京市西城区金融大街25号</w:t>
      </w:r>
    </w:p>
    <w:p w14:paraId="35F5544D"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办公地址：北京市西城区闹市口大街1号院1号楼</w:t>
      </w:r>
    </w:p>
    <w:p w14:paraId="1FAFE56B"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法定代表人：张金良</w:t>
      </w:r>
    </w:p>
    <w:p w14:paraId="3A00EC60"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成立时间：2004年09月17日</w:t>
      </w:r>
    </w:p>
    <w:p w14:paraId="5078E2AF"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组织形式：股份有限公司</w:t>
      </w:r>
    </w:p>
    <w:p w14:paraId="489D3C2D"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注册资本：</w:t>
      </w:r>
      <w:proofErr w:type="gramStart"/>
      <w:r>
        <w:rPr>
          <w:rFonts w:asciiTheme="minorEastAsia" w:eastAsiaTheme="minorEastAsia" w:hAnsiTheme="minorEastAsia" w:hint="eastAsia"/>
          <w:szCs w:val="21"/>
        </w:rPr>
        <w:t>贰仟伍佰亿壹仟零玖拾柒万柒仟肆佰捌拾陆</w:t>
      </w:r>
      <w:proofErr w:type="gramEnd"/>
      <w:r>
        <w:rPr>
          <w:rFonts w:asciiTheme="minorEastAsia" w:eastAsiaTheme="minorEastAsia" w:hAnsiTheme="minorEastAsia" w:hint="eastAsia"/>
          <w:szCs w:val="21"/>
        </w:rPr>
        <w:t>元整</w:t>
      </w:r>
    </w:p>
    <w:p w14:paraId="531A53B4"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存续期间：持续经营</w:t>
      </w:r>
    </w:p>
    <w:p w14:paraId="3409F390"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基金托管资格批文及文号：中国证监会</w:t>
      </w:r>
      <w:proofErr w:type="gramStart"/>
      <w:r>
        <w:rPr>
          <w:rFonts w:asciiTheme="minorEastAsia" w:eastAsiaTheme="minorEastAsia" w:hAnsiTheme="minorEastAsia" w:hint="eastAsia"/>
          <w:szCs w:val="21"/>
        </w:rPr>
        <w:t>证监基字</w:t>
      </w:r>
      <w:proofErr w:type="gramEnd"/>
      <w:r>
        <w:rPr>
          <w:rFonts w:asciiTheme="minorEastAsia" w:eastAsiaTheme="minorEastAsia" w:hAnsiTheme="minorEastAsia" w:hint="eastAsia"/>
          <w:szCs w:val="21"/>
        </w:rPr>
        <w:t>[1998]12号</w:t>
      </w:r>
    </w:p>
    <w:p w14:paraId="7CD1A69D"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联系人：王小飞</w:t>
      </w:r>
    </w:p>
    <w:p w14:paraId="11F1C3EF"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联系电话：(021)6063 7103</w:t>
      </w:r>
    </w:p>
    <w:p w14:paraId="02F654B6"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（二）主要人员情况</w:t>
      </w:r>
    </w:p>
    <w:p w14:paraId="3F1C7607"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中国建设银行总行</w:t>
      </w:r>
      <w:proofErr w:type="gramStart"/>
      <w:r>
        <w:rPr>
          <w:rFonts w:asciiTheme="minorEastAsia" w:eastAsiaTheme="minorEastAsia" w:hAnsiTheme="minorEastAsia" w:hint="eastAsia"/>
          <w:szCs w:val="21"/>
        </w:rPr>
        <w:t>设资产</w:t>
      </w:r>
      <w:proofErr w:type="gramEnd"/>
      <w:r>
        <w:rPr>
          <w:rFonts w:asciiTheme="minorEastAsia" w:eastAsiaTheme="minorEastAsia" w:hAnsiTheme="minorEastAsia" w:hint="eastAsia"/>
          <w:szCs w:val="21"/>
        </w:rPr>
        <w:t>托管业务部，下设综合处、基金业务处、证券保险业务处、理财信托业务处、全球业务处、养老金业务处、新兴业务处、客户服务与业务协同处、运营管理处、跨境与外包管理处、托管应用系统支持处、内控合</w:t>
      </w:r>
      <w:proofErr w:type="gramStart"/>
      <w:r>
        <w:rPr>
          <w:rFonts w:asciiTheme="minorEastAsia" w:eastAsiaTheme="minorEastAsia" w:hAnsiTheme="minorEastAsia" w:hint="eastAsia"/>
          <w:szCs w:val="21"/>
        </w:rPr>
        <w:t>规</w:t>
      </w:r>
      <w:proofErr w:type="gramEnd"/>
      <w:r>
        <w:rPr>
          <w:rFonts w:asciiTheme="minorEastAsia" w:eastAsiaTheme="minorEastAsia" w:hAnsiTheme="minorEastAsia" w:hint="eastAsia"/>
          <w:szCs w:val="21"/>
        </w:rPr>
        <w:t>处等12个职能处室，在北京、上海、合肥设有托管运营中心，共有员工300余人。自2007年起，托管部连续聘请外部会计师事务所对托管业务进行内部控制审计，并已经成为常规化的内控工作手段。</w:t>
      </w:r>
    </w:p>
    <w:p w14:paraId="41E8AEF4"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（三）基金托管业务经营情况</w:t>
      </w:r>
    </w:p>
    <w:p w14:paraId="29E23435"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作为国内首批开办证券投资基金托管业务的商业银行，中国建设银行一直秉持“以客户为中心”的经营理念，不断加强风险管理和内部控制，严格履行托管人的各项职责，切实维护资产持有人的合法权益，为资产委托人提供高质量的托管服务。经过多年稳步发展，中国建设银行托管资产规模不断扩大，托管业务品种不断增加，已形成包括证券投资基金、社保基金、保险资金、基本养老个人账户、(R)QFII、(R)QDII、企业年金、存</w:t>
      </w:r>
      <w:proofErr w:type="gramStart"/>
      <w:r>
        <w:rPr>
          <w:rFonts w:asciiTheme="minorEastAsia" w:eastAsiaTheme="minorEastAsia" w:hAnsiTheme="minorEastAsia" w:hint="eastAsia"/>
          <w:szCs w:val="21"/>
        </w:rPr>
        <w:t>托业务</w:t>
      </w:r>
      <w:proofErr w:type="gramEnd"/>
      <w:r>
        <w:rPr>
          <w:rFonts w:asciiTheme="minorEastAsia" w:eastAsiaTheme="minorEastAsia" w:hAnsiTheme="minorEastAsia" w:hint="eastAsia"/>
          <w:szCs w:val="21"/>
        </w:rPr>
        <w:t xml:space="preserve">等产品在内的托管业务体系，是目前国内托管业务品种最齐全的商业银行之一。截至2024年三季度末，中国建设银行已托管1387只证券投资基金。中国建设银行专业高效的托管服务能力和业务水平，赢得了业内的高度认同。中国建设银行多次被《全球托管人》、 《财资》、《环球金融》杂志及《中国基金报》评选为“最佳托管银行”、连续多年荣获中央国债登记结算有限责任公司（中债）“优秀资产托管机构”、银行间市场清算所股份有限公司（上清所）“优秀托管银行”奖项、并先后荣获《亚洲银行家》颁发的2017年度“最佳托管系统实施奖”、2019年度“中国年度托管业务科技实施奖”、2021年度“中国最佳数字化资产托管银行”、以及 </w:t>
      </w:r>
      <w:r>
        <w:rPr>
          <w:rFonts w:asciiTheme="minorEastAsia" w:eastAsiaTheme="minorEastAsia" w:hAnsiTheme="minorEastAsia" w:hint="eastAsia"/>
          <w:szCs w:val="21"/>
        </w:rPr>
        <w:lastRenderedPageBreak/>
        <w:t>2020及2022年度“中国年度托管银行（大型银行）”奖项。2022年度，荣获《环球金融》 “中国最佳次托管银行”，并作为唯一中资银行获得《财资》“中国最佳QFI托管银行”奖项。2023年度，荣获中国基金报“公募基金25年最佳基金托管银行”奖项。</w:t>
      </w:r>
    </w:p>
    <w:p w14:paraId="65F994B7" w14:textId="77777777" w:rsidR="009A7A59" w:rsidRDefault="00000000">
      <w:pPr>
        <w:spacing w:line="360" w:lineRule="auto"/>
        <w:ind w:firstLineChars="200" w:firstLine="422"/>
        <w:rPr>
          <w:rFonts w:asciiTheme="minorEastAsia" w:eastAsiaTheme="minorEastAsia" w:hAnsiTheme="minorEastAsia" w:hint="eastAsia"/>
          <w:b/>
          <w:bCs/>
          <w:szCs w:val="21"/>
        </w:rPr>
      </w:pPr>
      <w:r>
        <w:rPr>
          <w:rFonts w:asciiTheme="minorEastAsia" w:eastAsiaTheme="minorEastAsia" w:hAnsiTheme="minorEastAsia" w:hint="eastAsia"/>
          <w:b/>
          <w:bCs/>
          <w:szCs w:val="21"/>
        </w:rPr>
        <w:t>二、基金托管人的内部控制制度</w:t>
      </w:r>
    </w:p>
    <w:p w14:paraId="3889AE93"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（一）内部控制目标</w:t>
      </w:r>
    </w:p>
    <w:p w14:paraId="14FB1FDC"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作为基金托管人，中国建设银行严格遵守国家有关托管业务的法律法规、行业监管规章和本行内有关管理规定，守法经营、规范运作、严格检查，确保业务的稳健运行，保证基金财产的安全完整，确保有关信息的真实、准确、完整、及时，保护基金份额持有人的合法权益。</w:t>
      </w:r>
    </w:p>
    <w:p w14:paraId="01020854"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（二）内部控制组织结构</w:t>
      </w:r>
    </w:p>
    <w:p w14:paraId="460623FB"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中国建设银行设有风险内控管理委员会，负责全行风险管理与内部控制工作，对托管业务风险管理和内部控制的有效性进行指导。资产托管业务部配备了专职内控合</w:t>
      </w:r>
      <w:proofErr w:type="gramStart"/>
      <w:r>
        <w:rPr>
          <w:rFonts w:asciiTheme="minorEastAsia" w:eastAsiaTheme="minorEastAsia" w:hAnsiTheme="minorEastAsia" w:hint="eastAsia"/>
          <w:szCs w:val="21"/>
        </w:rPr>
        <w:t>规</w:t>
      </w:r>
      <w:proofErr w:type="gramEnd"/>
      <w:r>
        <w:rPr>
          <w:rFonts w:asciiTheme="minorEastAsia" w:eastAsiaTheme="minorEastAsia" w:hAnsiTheme="minorEastAsia" w:hint="eastAsia"/>
          <w:szCs w:val="21"/>
        </w:rPr>
        <w:t>人员负责托管业务的内控合</w:t>
      </w:r>
      <w:proofErr w:type="gramStart"/>
      <w:r>
        <w:rPr>
          <w:rFonts w:asciiTheme="minorEastAsia" w:eastAsiaTheme="minorEastAsia" w:hAnsiTheme="minorEastAsia" w:hint="eastAsia"/>
          <w:szCs w:val="21"/>
        </w:rPr>
        <w:t>规</w:t>
      </w:r>
      <w:proofErr w:type="gramEnd"/>
      <w:r>
        <w:rPr>
          <w:rFonts w:asciiTheme="minorEastAsia" w:eastAsiaTheme="minorEastAsia" w:hAnsiTheme="minorEastAsia" w:hint="eastAsia"/>
          <w:szCs w:val="21"/>
        </w:rPr>
        <w:t>工作，具有独立行使内控合</w:t>
      </w:r>
      <w:proofErr w:type="gramStart"/>
      <w:r>
        <w:rPr>
          <w:rFonts w:asciiTheme="minorEastAsia" w:eastAsiaTheme="minorEastAsia" w:hAnsiTheme="minorEastAsia" w:hint="eastAsia"/>
          <w:szCs w:val="21"/>
        </w:rPr>
        <w:t>规</w:t>
      </w:r>
      <w:proofErr w:type="gramEnd"/>
      <w:r>
        <w:rPr>
          <w:rFonts w:asciiTheme="minorEastAsia" w:eastAsiaTheme="minorEastAsia" w:hAnsiTheme="minorEastAsia" w:hint="eastAsia"/>
          <w:szCs w:val="21"/>
        </w:rPr>
        <w:t>工作职权和能力。</w:t>
      </w:r>
    </w:p>
    <w:p w14:paraId="749F2721"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（三）内部控制制度及措施</w:t>
      </w:r>
    </w:p>
    <w:p w14:paraId="2D5F272A"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资产托管业务部具备系统、完善的制度控制体系，建立了管理制度、控制制度、岗位职责、业务操作流程，可以保证托管业务的规范操作和顺利进行；业务人员具备从业资格；业务管理严格实行复核、审核、检查制度，授权工作实行集中控制，业务印章按规程保管、存放、使用，账户资料严格保管，制约机制严格有效；业务</w:t>
      </w:r>
      <w:proofErr w:type="gramStart"/>
      <w:r>
        <w:rPr>
          <w:rFonts w:asciiTheme="minorEastAsia" w:eastAsiaTheme="minorEastAsia" w:hAnsiTheme="minorEastAsia" w:hint="eastAsia"/>
          <w:szCs w:val="21"/>
        </w:rPr>
        <w:t>操作区</w:t>
      </w:r>
      <w:proofErr w:type="gramEnd"/>
      <w:r>
        <w:rPr>
          <w:rFonts w:asciiTheme="minorEastAsia" w:eastAsiaTheme="minorEastAsia" w:hAnsiTheme="minorEastAsia" w:hint="eastAsia"/>
          <w:szCs w:val="21"/>
        </w:rPr>
        <w:t>专门设置，封闭管理，实施音像监控；业务信息由专职信息披露人负责，防止泄密；业务实现自动化操作，防止人为事故的发生，技术系统完整、独立。</w:t>
      </w:r>
    </w:p>
    <w:p w14:paraId="366E545E" w14:textId="77777777" w:rsidR="009A7A59" w:rsidRDefault="00000000">
      <w:pPr>
        <w:spacing w:line="360" w:lineRule="auto"/>
        <w:ind w:firstLineChars="200" w:firstLine="422"/>
        <w:rPr>
          <w:rFonts w:asciiTheme="minorEastAsia" w:eastAsiaTheme="minorEastAsia" w:hAnsiTheme="minorEastAsia" w:hint="eastAsia"/>
          <w:szCs w:val="21"/>
        </w:rPr>
      </w:pPr>
      <w:r>
        <w:rPr>
          <w:rFonts w:asciiTheme="minorEastAsia" w:eastAsiaTheme="minorEastAsia" w:hAnsiTheme="minorEastAsia" w:hint="eastAsia"/>
          <w:b/>
          <w:bCs/>
          <w:szCs w:val="21"/>
        </w:rPr>
        <w:t>三、基金托管人对基金管理人运作基金进行监督的方法和程序</w:t>
      </w:r>
    </w:p>
    <w:p w14:paraId="129FC753"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（一）监督方法</w:t>
      </w:r>
    </w:p>
    <w:p w14:paraId="16AE7407"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依照《基金法》及其配套法规和基金合同的约定，监督所托管基金的投资运作。利用自行开发的“新一代托管应用监督子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3DA5DED9"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（二）监督流程</w:t>
      </w:r>
    </w:p>
    <w:p w14:paraId="1F630E6A"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1.每工作日按时通过新一代托管应用监督子系统，对各基金投资运作比例控制等情况进行监控，如发现投资异常情况，向基金管理人进行风险提示，与基金管理人进行情况核实，督促其纠正，如有重大异常事项及时报告中国证监会。</w:t>
      </w:r>
    </w:p>
    <w:p w14:paraId="362CBB58" w14:textId="77777777" w:rsidR="009A7A59" w:rsidRDefault="00000000">
      <w:pPr>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hint="eastAsia"/>
          <w:szCs w:val="21"/>
        </w:rPr>
        <w:t>2.收到基金管理人的划款指令后，对指令要素等内容进行核查。</w:t>
      </w:r>
    </w:p>
    <w:p w14:paraId="4BAA8EAF" w14:textId="77777777" w:rsidR="009A7A59" w:rsidRDefault="00000000">
      <w:pPr>
        <w:spacing w:line="360" w:lineRule="auto"/>
        <w:ind w:firstLineChars="200" w:firstLine="420"/>
        <w:rPr>
          <w:rFonts w:ascii="楷体" w:eastAsia="楷体" w:hAnsi="楷体" w:hint="eastAsia"/>
          <w:sz w:val="24"/>
        </w:rPr>
      </w:pPr>
      <w:r>
        <w:rPr>
          <w:rFonts w:asciiTheme="minorEastAsia" w:eastAsiaTheme="minorEastAsia" w:hAnsiTheme="minorEastAsia" w:hint="eastAsia"/>
          <w:szCs w:val="21"/>
        </w:rPr>
        <w:t>3.通过技术或非技术手段发现基金涉嫌违规交易，电话或书面要求基金管理人进行解释或举证，如有必要将及时报告中国证监会。</w:t>
      </w:r>
      <w:r>
        <w:rPr>
          <w:rFonts w:ascii="楷体" w:eastAsia="楷体" w:hAnsi="楷体"/>
          <w:sz w:val="24"/>
        </w:rPr>
        <w:br w:type="page"/>
      </w:r>
    </w:p>
    <w:p w14:paraId="6930A896" w14:textId="77777777" w:rsidR="009A7A59" w:rsidRDefault="009A7A59">
      <w:pPr>
        <w:spacing w:line="360" w:lineRule="auto"/>
        <w:ind w:firstLineChars="200" w:firstLine="420"/>
        <w:rPr>
          <w:rFonts w:ascii="Arial Unicode MS" w:hAnsi="Arial Unicode MS" w:hint="eastAsia"/>
          <w:bCs/>
        </w:rPr>
      </w:pPr>
    </w:p>
    <w:p w14:paraId="0AC07A9B" w14:textId="77777777" w:rsidR="009A7A59" w:rsidRDefault="00000000">
      <w:pPr>
        <w:pStyle w:val="11"/>
        <w:snapToGrid w:val="0"/>
        <w:spacing w:before="0" w:after="0" w:line="360" w:lineRule="auto"/>
        <w:ind w:firstLine="422"/>
      </w:pPr>
      <w:bookmarkStart w:id="15" w:name="_Toc214873594"/>
      <w:bookmarkStart w:id="16" w:name="_Toc63676440"/>
      <w:bookmarkStart w:id="17" w:name="_Toc320887644"/>
      <w:bookmarkStart w:id="18" w:name="_Toc335232693"/>
      <w:bookmarkStart w:id="19" w:name="_Toc317088142"/>
      <w:bookmarkStart w:id="20" w:name="_Toc317088539"/>
      <w:r>
        <w:rPr>
          <w:rFonts w:ascii="Arial Unicode MS" w:eastAsia="宋体" w:hAnsi="Arial Unicode MS" w:cs="Arial"/>
          <w:b/>
          <w:bCs/>
          <w:sz w:val="28"/>
          <w:szCs w:val="28"/>
        </w:rPr>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15"/>
      <w:bookmarkEnd w:id="16"/>
      <w:bookmarkEnd w:id="17"/>
      <w:bookmarkEnd w:id="18"/>
      <w:bookmarkEnd w:id="19"/>
      <w:bookmarkEnd w:id="20"/>
    </w:p>
    <w:p w14:paraId="152C464E" w14:textId="77777777" w:rsidR="009A7A59" w:rsidRDefault="00000000">
      <w:pPr>
        <w:snapToGrid w:val="0"/>
        <w:spacing w:line="360" w:lineRule="auto"/>
        <w:ind w:firstLineChars="200" w:firstLine="422"/>
        <w:rPr>
          <w:rFonts w:ascii="Arial Unicode MS" w:hAnsi="Arial Unicode MS" w:cs="Arial" w:hint="eastAsia"/>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14:paraId="5E91E870" w14:textId="77777777" w:rsidR="009A7A59" w:rsidRDefault="00000000">
      <w:pPr>
        <w:snapToGrid w:val="0"/>
        <w:spacing w:line="360" w:lineRule="auto"/>
        <w:ind w:firstLineChars="200" w:firstLine="420"/>
        <w:rPr>
          <w:rFonts w:ascii="Arial Unicode MS" w:hAnsi="Arial Unicode MS" w:cs="Arial" w:hint="eastAsia"/>
          <w:color w:val="000000"/>
        </w:rPr>
      </w:pPr>
      <w:r>
        <w:rPr>
          <w:rFonts w:ascii="Arial Unicode MS" w:hAnsi="Arial Unicode MS" w:cs="Arial"/>
          <w:color w:val="000000"/>
        </w:rPr>
        <w:t>1</w:t>
      </w:r>
      <w:r>
        <w:rPr>
          <w:rFonts w:ascii="Arial Unicode MS" w:hAnsi="Arial Unicode MS" w:cs="Arial" w:hint="eastAsia"/>
          <w:color w:val="000000"/>
        </w:rPr>
        <w:t>、</w:t>
      </w:r>
      <w:r>
        <w:rPr>
          <w:rFonts w:ascii="Arial Unicode MS" w:hAnsi="Arial Unicode MS" w:cs="Arial"/>
          <w:color w:val="000000"/>
        </w:rPr>
        <w:t>直销机构</w:t>
      </w:r>
      <w:r>
        <w:rPr>
          <w:rFonts w:ascii="Arial Unicode MS" w:hAnsi="Arial Unicode MS" w:cs="Arial" w:hint="eastAsia"/>
          <w:color w:val="000000"/>
        </w:rPr>
        <w:t>：富荣基金管理有限公司直销中心</w:t>
      </w:r>
    </w:p>
    <w:p w14:paraId="1E8F032E" w14:textId="77777777" w:rsidR="009A7A59" w:rsidRDefault="00000000">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注册地址：广州市南沙区横</w:t>
      </w:r>
      <w:proofErr w:type="gramStart"/>
      <w:r>
        <w:rPr>
          <w:rFonts w:ascii="Arial Unicode MS" w:hAnsi="Arial Unicode MS" w:cs="Arial" w:hint="eastAsia"/>
          <w:color w:val="000000"/>
        </w:rPr>
        <w:t>沥</w:t>
      </w:r>
      <w:proofErr w:type="gramEnd"/>
      <w:r>
        <w:rPr>
          <w:rFonts w:ascii="Arial Unicode MS" w:hAnsi="Arial Unicode MS" w:cs="Arial" w:hint="eastAsia"/>
          <w:color w:val="000000"/>
        </w:rPr>
        <w:t>镇汇通二街</w:t>
      </w:r>
      <w:r>
        <w:rPr>
          <w:rFonts w:ascii="Arial Unicode MS" w:hAnsi="Arial Unicode MS" w:cs="Arial" w:hint="eastAsia"/>
          <w:color w:val="000000"/>
        </w:rPr>
        <w:t>2</w:t>
      </w:r>
      <w:r>
        <w:rPr>
          <w:rFonts w:ascii="Arial Unicode MS" w:hAnsi="Arial Unicode MS" w:cs="Arial" w:hint="eastAsia"/>
          <w:color w:val="000000"/>
        </w:rPr>
        <w:t>号</w:t>
      </w:r>
      <w:r>
        <w:rPr>
          <w:rFonts w:ascii="Arial Unicode MS" w:hAnsi="Arial Unicode MS" w:cs="Arial" w:hint="eastAsia"/>
          <w:color w:val="000000"/>
        </w:rPr>
        <w:t>3110</w:t>
      </w:r>
      <w:r>
        <w:rPr>
          <w:rFonts w:ascii="Arial Unicode MS" w:hAnsi="Arial Unicode MS" w:cs="Arial" w:hint="eastAsia"/>
          <w:color w:val="000000"/>
        </w:rPr>
        <w:t>房</w:t>
      </w:r>
      <w:r>
        <w:rPr>
          <w:rFonts w:ascii="Arial Unicode MS" w:hAnsi="Arial Unicode MS" w:cs="Arial" w:hint="eastAsia"/>
          <w:color w:val="000000"/>
        </w:rPr>
        <w:t xml:space="preserve"> </w:t>
      </w:r>
    </w:p>
    <w:p w14:paraId="6F79C42A" w14:textId="77777777" w:rsidR="009A7A59" w:rsidRDefault="00000000">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2D6771E6" w14:textId="77777777" w:rsidR="009A7A59" w:rsidRDefault="00000000">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法定代表人：王亦伟</w:t>
      </w:r>
    </w:p>
    <w:p w14:paraId="74895B18" w14:textId="77777777" w:rsidR="009A7A59" w:rsidRDefault="00000000">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电话：</w:t>
      </w:r>
      <w:r>
        <w:rPr>
          <w:rFonts w:ascii="Arial Unicode MS" w:hAnsi="Arial Unicode MS" w:cs="Arial" w:hint="eastAsia"/>
          <w:color w:val="000000"/>
        </w:rPr>
        <w:t>0755-843566</w:t>
      </w:r>
      <w:r>
        <w:rPr>
          <w:rFonts w:ascii="Arial Unicode MS" w:hAnsi="Arial Unicode MS" w:cs="Arial"/>
          <w:color w:val="000000"/>
        </w:rPr>
        <w:t>29</w:t>
      </w:r>
    </w:p>
    <w:p w14:paraId="5478A00D" w14:textId="77777777" w:rsidR="009A7A59" w:rsidRDefault="00000000">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传真：</w:t>
      </w:r>
      <w:r>
        <w:rPr>
          <w:rFonts w:ascii="Arial Unicode MS" w:hAnsi="Arial Unicode MS" w:cs="Arial" w:hint="eastAsia"/>
          <w:color w:val="000000"/>
        </w:rPr>
        <w:t>0755-83230902</w:t>
      </w:r>
    </w:p>
    <w:p w14:paraId="32A10823" w14:textId="77777777" w:rsidR="009A7A59" w:rsidRDefault="00000000">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客服电话：</w:t>
      </w:r>
      <w:r>
        <w:rPr>
          <w:rFonts w:ascii="Arial Unicode MS" w:hAnsi="Arial Unicode MS" w:cs="Arial" w:hint="eastAsia"/>
          <w:color w:val="000000"/>
        </w:rPr>
        <w:t>4006855600</w:t>
      </w:r>
    </w:p>
    <w:p w14:paraId="66C1F264" w14:textId="77777777" w:rsidR="009A7A59" w:rsidRDefault="00000000">
      <w:pPr>
        <w:snapToGrid w:val="0"/>
        <w:spacing w:line="360" w:lineRule="auto"/>
        <w:ind w:firstLineChars="200" w:firstLine="420"/>
        <w:rPr>
          <w:rFonts w:ascii="Arial Unicode MS" w:hAnsi="Arial Unicode MS" w:cs="Arial" w:hint="eastAsia"/>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397CD1B3" w14:textId="77777777" w:rsidR="009A7A59" w:rsidRDefault="00000000">
      <w:pPr>
        <w:adjustRightInd w:val="0"/>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r>
        <w:rPr>
          <w:rFonts w:ascii="Arial Unicode MS" w:hAnsi="Arial Unicode MS" w:cs="Arial" w:hint="eastAsia"/>
          <w:color w:val="000000"/>
          <w:kern w:val="0"/>
          <w:szCs w:val="21"/>
        </w:rPr>
        <w:t xml:space="preserve"> </w:t>
      </w:r>
    </w:p>
    <w:tbl>
      <w:tblPr>
        <w:tblStyle w:val="aff4"/>
        <w:tblW w:w="8364" w:type="dxa"/>
        <w:tblInd w:w="108" w:type="dxa"/>
        <w:tblLayout w:type="fixed"/>
        <w:tblLook w:val="04A0" w:firstRow="1" w:lastRow="0" w:firstColumn="1" w:lastColumn="0" w:noHBand="0" w:noVBand="1"/>
      </w:tblPr>
      <w:tblGrid>
        <w:gridCol w:w="738"/>
        <w:gridCol w:w="2521"/>
        <w:gridCol w:w="5105"/>
      </w:tblGrid>
      <w:tr w:rsidR="009A7A59" w14:paraId="59E9051A" w14:textId="77777777">
        <w:tc>
          <w:tcPr>
            <w:tcW w:w="738" w:type="dxa"/>
          </w:tcPr>
          <w:p w14:paraId="6FB1ABF3" w14:textId="77777777" w:rsidR="009A7A59" w:rsidRDefault="00000000">
            <w:pPr>
              <w:jc w:val="center"/>
              <w:rPr>
                <w:rFonts w:ascii="Arial Unicode MS" w:hAnsi="Arial Unicode MS" w:hint="eastAsia"/>
                <w:bCs/>
              </w:rPr>
            </w:pPr>
            <w:r>
              <w:rPr>
                <w:rFonts w:asciiTheme="minorEastAsia" w:hAnsiTheme="minorEastAsia" w:cs="Arial" w:hint="eastAsia"/>
                <w:szCs w:val="20"/>
              </w:rPr>
              <w:t>序号</w:t>
            </w:r>
          </w:p>
        </w:tc>
        <w:tc>
          <w:tcPr>
            <w:tcW w:w="2521" w:type="dxa"/>
          </w:tcPr>
          <w:p w14:paraId="0E1E77BA" w14:textId="77777777" w:rsidR="009A7A59" w:rsidRDefault="00000000">
            <w:pPr>
              <w:jc w:val="center"/>
              <w:rPr>
                <w:rFonts w:ascii="Arial Unicode MS" w:hAnsi="Arial Unicode MS" w:hint="eastAsia"/>
                <w:bCs/>
              </w:rPr>
            </w:pPr>
            <w:r>
              <w:rPr>
                <w:rFonts w:asciiTheme="minorEastAsia" w:hAnsiTheme="minorEastAsia" w:cs="Arial" w:hint="eastAsia"/>
                <w:szCs w:val="20"/>
              </w:rPr>
              <w:t>代销机构名称</w:t>
            </w:r>
          </w:p>
        </w:tc>
        <w:tc>
          <w:tcPr>
            <w:tcW w:w="5105" w:type="dxa"/>
          </w:tcPr>
          <w:p w14:paraId="41E3C428" w14:textId="77777777" w:rsidR="009A7A59" w:rsidRDefault="00000000">
            <w:pPr>
              <w:jc w:val="center"/>
              <w:rPr>
                <w:rFonts w:ascii="Arial Unicode MS" w:hAnsi="Arial Unicode MS" w:hint="eastAsia"/>
                <w:bCs/>
              </w:rPr>
            </w:pPr>
            <w:r>
              <w:rPr>
                <w:rFonts w:asciiTheme="minorEastAsia" w:hAnsiTheme="minorEastAsia" w:cs="Arial" w:hint="eastAsia"/>
                <w:szCs w:val="20"/>
              </w:rPr>
              <w:t>代销机构信息</w:t>
            </w:r>
          </w:p>
        </w:tc>
      </w:tr>
      <w:tr w:rsidR="009A7A59" w14:paraId="4C209E9D" w14:textId="77777777">
        <w:tc>
          <w:tcPr>
            <w:tcW w:w="738" w:type="dxa"/>
          </w:tcPr>
          <w:p w14:paraId="5B7596BA" w14:textId="77777777" w:rsidR="009A7A59" w:rsidRDefault="00000000">
            <w:pPr>
              <w:rPr>
                <w:rFonts w:ascii="Arial Unicode MS" w:hAnsi="Arial Unicode MS" w:hint="eastAsia"/>
                <w:bCs/>
              </w:rPr>
            </w:pPr>
            <w:r>
              <w:rPr>
                <w:rFonts w:ascii="宋体" w:hAnsi="宋体" w:cs="Arial" w:hint="eastAsia"/>
              </w:rPr>
              <w:t>1</w:t>
            </w:r>
          </w:p>
        </w:tc>
        <w:tc>
          <w:tcPr>
            <w:tcW w:w="2521" w:type="dxa"/>
          </w:tcPr>
          <w:p w14:paraId="49244712" w14:textId="77777777" w:rsidR="009A7A59" w:rsidRDefault="00000000">
            <w:pPr>
              <w:rPr>
                <w:rFonts w:ascii="Arial Unicode MS" w:hAnsi="Arial Unicode MS" w:hint="eastAsia"/>
                <w:bCs/>
              </w:rPr>
            </w:pPr>
            <w:r>
              <w:rPr>
                <w:rFonts w:ascii="宋体" w:hAnsi="宋体" w:cs="Calibri" w:hint="eastAsia"/>
                <w:color w:val="000000"/>
                <w:szCs w:val="21"/>
              </w:rPr>
              <w:t>东方财富证券股份有限公司</w:t>
            </w:r>
          </w:p>
        </w:tc>
        <w:tc>
          <w:tcPr>
            <w:tcW w:w="5105" w:type="dxa"/>
          </w:tcPr>
          <w:p w14:paraId="0FC74DCA"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 xml:space="preserve">注册(办公)地址：西藏自治区拉萨市柳梧新区国际总部城10栋楼 </w:t>
            </w:r>
          </w:p>
          <w:p w14:paraId="6C000676"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客户服务电话：95357</w:t>
            </w:r>
          </w:p>
          <w:p w14:paraId="5804D307" w14:textId="77777777" w:rsidR="009A7A59" w:rsidRDefault="00000000">
            <w:pPr>
              <w:widowControl/>
              <w:rPr>
                <w:rFonts w:ascii="Arial Unicode MS" w:hAnsi="Arial Unicode MS" w:hint="eastAsia"/>
                <w:bCs/>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9A7A59" w14:paraId="775260C1" w14:textId="77777777">
        <w:tc>
          <w:tcPr>
            <w:tcW w:w="738" w:type="dxa"/>
          </w:tcPr>
          <w:p w14:paraId="1A71DC88" w14:textId="77777777" w:rsidR="009A7A59" w:rsidRDefault="00000000">
            <w:pPr>
              <w:rPr>
                <w:rFonts w:ascii="Arial Unicode MS" w:hAnsi="Arial Unicode MS" w:hint="eastAsia"/>
                <w:bCs/>
              </w:rPr>
            </w:pPr>
            <w:r>
              <w:rPr>
                <w:rFonts w:ascii="宋体" w:hAnsi="宋体" w:cs="Calibri" w:hint="eastAsia"/>
                <w:color w:val="000000"/>
                <w:szCs w:val="21"/>
              </w:rPr>
              <w:t>2</w:t>
            </w:r>
          </w:p>
        </w:tc>
        <w:tc>
          <w:tcPr>
            <w:tcW w:w="2521" w:type="dxa"/>
          </w:tcPr>
          <w:p w14:paraId="1D260BAD" w14:textId="77777777" w:rsidR="009A7A59" w:rsidRDefault="00000000">
            <w:pPr>
              <w:rPr>
                <w:rFonts w:ascii="Arial Unicode MS" w:hAnsi="Arial Unicode MS" w:hint="eastAsia"/>
                <w:bCs/>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105" w:type="dxa"/>
          </w:tcPr>
          <w:p w14:paraId="579A9D26"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城中路488号</w:t>
            </w:r>
          </w:p>
          <w:p w14:paraId="618BA893"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1503室</w:t>
            </w:r>
          </w:p>
          <w:p w14:paraId="45CEED36"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客服电话：021-6537-0077</w:t>
            </w:r>
          </w:p>
          <w:p w14:paraId="2E6F1A58" w14:textId="77777777" w:rsidR="009A7A59" w:rsidRDefault="00000000">
            <w:pPr>
              <w:widowControl/>
              <w:rPr>
                <w:rFonts w:ascii="宋体" w:hAnsi="宋体" w:cs="宋体" w:hint="eastAsia"/>
                <w:szCs w:val="21"/>
              </w:rPr>
            </w:pPr>
            <w:r>
              <w:rPr>
                <w:rFonts w:ascii="宋体" w:hAnsi="宋体" w:cs="Calibri" w:hint="eastAsia"/>
                <w:color w:val="000000"/>
                <w:szCs w:val="21"/>
              </w:rPr>
              <w:t>公司网址：</w:t>
            </w:r>
            <w:hyperlink r:id="rId32" w:tgtFrame="_blank" w:history="1">
              <w:r>
                <w:rPr>
                  <w:rFonts w:ascii="宋体" w:hAnsi="宋体" w:cs="Calibri"/>
                  <w:color w:val="000000"/>
                  <w:szCs w:val="21"/>
                </w:rPr>
                <w:t>www.jiyufund.com.cn</w:t>
              </w:r>
            </w:hyperlink>
          </w:p>
        </w:tc>
      </w:tr>
      <w:tr w:rsidR="009A7A59" w14:paraId="14622F13" w14:textId="77777777">
        <w:tc>
          <w:tcPr>
            <w:tcW w:w="738" w:type="dxa"/>
          </w:tcPr>
          <w:p w14:paraId="2E56D48F" w14:textId="77777777" w:rsidR="009A7A59" w:rsidRDefault="00000000">
            <w:pPr>
              <w:rPr>
                <w:rFonts w:ascii="Arial Unicode MS" w:hAnsi="Arial Unicode MS" w:hint="eastAsia"/>
                <w:bCs/>
              </w:rPr>
            </w:pPr>
            <w:r>
              <w:rPr>
                <w:rFonts w:ascii="宋体" w:hAnsi="宋体" w:cs="Calibri" w:hint="eastAsia"/>
                <w:color w:val="000000"/>
                <w:szCs w:val="21"/>
              </w:rPr>
              <w:t>3</w:t>
            </w:r>
          </w:p>
        </w:tc>
        <w:tc>
          <w:tcPr>
            <w:tcW w:w="2521" w:type="dxa"/>
          </w:tcPr>
          <w:p w14:paraId="542542F2" w14:textId="77777777" w:rsidR="009A7A59" w:rsidRDefault="00000000">
            <w:pPr>
              <w:rPr>
                <w:rFonts w:ascii="Arial Unicode MS" w:hAnsi="Arial Unicode MS" w:hint="eastAsia"/>
                <w:bCs/>
              </w:rPr>
            </w:pPr>
            <w:r>
              <w:rPr>
                <w:rFonts w:ascii="宋体" w:hAnsi="宋体" w:cs="Calibri" w:hint="eastAsia"/>
                <w:color w:val="000000"/>
                <w:szCs w:val="21"/>
              </w:rPr>
              <w:t>奕丰金融销售有限公司</w:t>
            </w:r>
          </w:p>
        </w:tc>
        <w:tc>
          <w:tcPr>
            <w:tcW w:w="5105" w:type="dxa"/>
          </w:tcPr>
          <w:p w14:paraId="34862551"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19526161"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086E8E9F" w14:textId="77777777" w:rsidR="009A7A59" w:rsidRDefault="00000000">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www.ifastps.com.cn</w:t>
            </w:r>
          </w:p>
        </w:tc>
      </w:tr>
      <w:tr w:rsidR="009A7A59" w14:paraId="1B2517F7" w14:textId="77777777">
        <w:tc>
          <w:tcPr>
            <w:tcW w:w="738" w:type="dxa"/>
          </w:tcPr>
          <w:p w14:paraId="15B4A00E" w14:textId="77777777" w:rsidR="009A7A59" w:rsidRDefault="00000000">
            <w:pPr>
              <w:rPr>
                <w:rFonts w:ascii="Arial Unicode MS" w:hAnsi="Arial Unicode MS" w:hint="eastAsia"/>
                <w:bCs/>
              </w:rPr>
            </w:pPr>
            <w:r>
              <w:rPr>
                <w:rFonts w:ascii="宋体" w:hAnsi="宋体" w:cs="Calibri" w:hint="eastAsia"/>
                <w:color w:val="000000"/>
                <w:szCs w:val="21"/>
              </w:rPr>
              <w:t>4</w:t>
            </w:r>
          </w:p>
        </w:tc>
        <w:tc>
          <w:tcPr>
            <w:tcW w:w="2521" w:type="dxa"/>
          </w:tcPr>
          <w:p w14:paraId="4D6CFCBF" w14:textId="77777777" w:rsidR="009A7A59" w:rsidRDefault="00000000">
            <w:pPr>
              <w:rPr>
                <w:rFonts w:ascii="Arial Unicode MS" w:hAnsi="Arial Unicode MS" w:hint="eastAsia"/>
                <w:bCs/>
              </w:rPr>
            </w:pPr>
            <w:r>
              <w:rPr>
                <w:rFonts w:ascii="宋体" w:hAnsi="宋体" w:cs="Calibri" w:hint="eastAsia"/>
                <w:color w:val="000000"/>
                <w:szCs w:val="21"/>
              </w:rPr>
              <w:t>上海好买基金销售有限公司</w:t>
            </w:r>
          </w:p>
        </w:tc>
        <w:tc>
          <w:tcPr>
            <w:tcW w:w="5105" w:type="dxa"/>
          </w:tcPr>
          <w:p w14:paraId="6929060C"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注册(办公)地址：上海市浦东新区张杨路500号华</w:t>
            </w:r>
            <w:proofErr w:type="gramStart"/>
            <w:r>
              <w:rPr>
                <w:rFonts w:ascii="宋体" w:hAnsi="宋体" w:cs="Calibri" w:hint="eastAsia"/>
                <w:color w:val="000000"/>
                <w:szCs w:val="21"/>
              </w:rPr>
              <w:t>润时代</w:t>
            </w:r>
            <w:proofErr w:type="gramEnd"/>
            <w:r>
              <w:rPr>
                <w:rFonts w:ascii="宋体" w:hAnsi="宋体" w:cs="Calibri" w:hint="eastAsia"/>
                <w:color w:val="000000"/>
                <w:szCs w:val="21"/>
              </w:rPr>
              <w:t>广场10、11、12、14层</w:t>
            </w:r>
          </w:p>
          <w:p w14:paraId="65D9F251"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客服电话：400-700-9665</w:t>
            </w:r>
          </w:p>
          <w:p w14:paraId="75320635" w14:textId="77777777" w:rsidR="009A7A59" w:rsidRDefault="00000000">
            <w:pPr>
              <w:widowControl/>
              <w:rPr>
                <w:rFonts w:ascii="Arial Unicode MS" w:hAnsi="Arial Unicode MS" w:hint="eastAsia"/>
                <w:bCs/>
              </w:rPr>
            </w:pPr>
            <w:r>
              <w:rPr>
                <w:rFonts w:ascii="宋体" w:hAnsi="宋体" w:cs="Calibri" w:hint="eastAsia"/>
                <w:color w:val="000000"/>
                <w:szCs w:val="21"/>
              </w:rPr>
              <w:t>公司网址：www.ehowbuy.com</w:t>
            </w:r>
          </w:p>
        </w:tc>
      </w:tr>
      <w:tr w:rsidR="009A7A59" w14:paraId="4AB4BE47" w14:textId="77777777">
        <w:tc>
          <w:tcPr>
            <w:tcW w:w="738" w:type="dxa"/>
          </w:tcPr>
          <w:p w14:paraId="79152A2E" w14:textId="77777777" w:rsidR="009A7A59" w:rsidRDefault="00000000">
            <w:pPr>
              <w:rPr>
                <w:rFonts w:ascii="Arial Unicode MS" w:hAnsi="Arial Unicode MS" w:hint="eastAsia"/>
                <w:bCs/>
              </w:rPr>
            </w:pPr>
            <w:r>
              <w:rPr>
                <w:rFonts w:ascii="宋体" w:hAnsi="宋体" w:cs="Calibri" w:hint="eastAsia"/>
                <w:color w:val="000000"/>
                <w:szCs w:val="21"/>
              </w:rPr>
              <w:t>5</w:t>
            </w:r>
          </w:p>
        </w:tc>
        <w:tc>
          <w:tcPr>
            <w:tcW w:w="2521" w:type="dxa"/>
          </w:tcPr>
          <w:p w14:paraId="3C00238B" w14:textId="77777777" w:rsidR="009A7A59" w:rsidRDefault="00000000">
            <w:pPr>
              <w:rPr>
                <w:rFonts w:ascii="Arial Unicode MS" w:hAnsi="Arial Unicode MS" w:hint="eastAsia"/>
                <w:bCs/>
              </w:rPr>
            </w:pPr>
            <w:r>
              <w:rPr>
                <w:rFonts w:ascii="宋体" w:hAnsi="宋体" w:cs="Calibri" w:hint="eastAsia"/>
                <w:color w:val="000000"/>
                <w:szCs w:val="21"/>
              </w:rPr>
              <w:t>京东肯特瑞基金销售有限公司</w:t>
            </w:r>
          </w:p>
        </w:tc>
        <w:tc>
          <w:tcPr>
            <w:tcW w:w="5105" w:type="dxa"/>
          </w:tcPr>
          <w:p w14:paraId="6C6056A6"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注册(办公)地址：北京市</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街京东总部2号</w:t>
            </w:r>
          </w:p>
          <w:p w14:paraId="46E8FF43"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客服电话：95118</w:t>
            </w:r>
          </w:p>
          <w:p w14:paraId="739588F9" w14:textId="77777777" w:rsidR="009A7A59" w:rsidRDefault="00000000">
            <w:pPr>
              <w:widowControl/>
              <w:rPr>
                <w:rFonts w:ascii="Arial Unicode MS" w:hAnsi="Arial Unicode MS" w:hint="eastAsia"/>
                <w:bCs/>
              </w:rPr>
            </w:pPr>
            <w:r>
              <w:rPr>
                <w:rFonts w:ascii="宋体" w:hAnsi="宋体" w:cs="Calibri" w:hint="eastAsia"/>
                <w:color w:val="000000"/>
                <w:szCs w:val="21"/>
              </w:rPr>
              <w:t>公司网址：</w:t>
            </w:r>
            <w:r>
              <w:rPr>
                <w:rFonts w:ascii="宋体" w:hAnsi="宋体" w:cs="Calibri"/>
                <w:color w:val="000000"/>
                <w:szCs w:val="21"/>
              </w:rPr>
              <w:t>https://kenterui.jd.com/</w:t>
            </w:r>
          </w:p>
        </w:tc>
      </w:tr>
      <w:tr w:rsidR="009A7A59" w14:paraId="09303226" w14:textId="77777777">
        <w:tc>
          <w:tcPr>
            <w:tcW w:w="738" w:type="dxa"/>
          </w:tcPr>
          <w:p w14:paraId="12F49385" w14:textId="77777777" w:rsidR="009A7A59" w:rsidRDefault="00000000">
            <w:pPr>
              <w:rPr>
                <w:rFonts w:ascii="Arial Unicode MS" w:hAnsi="Arial Unicode MS" w:hint="eastAsia"/>
                <w:bCs/>
              </w:rPr>
            </w:pPr>
            <w:r>
              <w:rPr>
                <w:rFonts w:ascii="宋体" w:hAnsi="宋体" w:cs="Calibri" w:hint="eastAsia"/>
                <w:color w:val="000000"/>
                <w:szCs w:val="21"/>
              </w:rPr>
              <w:t>6</w:t>
            </w:r>
          </w:p>
        </w:tc>
        <w:tc>
          <w:tcPr>
            <w:tcW w:w="2521" w:type="dxa"/>
          </w:tcPr>
          <w:p w14:paraId="4BCC141B" w14:textId="77777777" w:rsidR="009A7A59" w:rsidRDefault="00000000">
            <w:pPr>
              <w:rPr>
                <w:rFonts w:ascii="Arial Unicode MS" w:hAnsi="Arial Unicode MS" w:hint="eastAsia"/>
                <w:bCs/>
              </w:rPr>
            </w:pPr>
            <w:r>
              <w:rPr>
                <w:rFonts w:ascii="宋体" w:hAnsi="宋体" w:cs="Calibri" w:hint="eastAsia"/>
                <w:color w:val="000000"/>
                <w:szCs w:val="21"/>
              </w:rPr>
              <w:t>北京虹点基金销售有限公司</w:t>
            </w:r>
          </w:p>
        </w:tc>
        <w:tc>
          <w:tcPr>
            <w:tcW w:w="5105" w:type="dxa"/>
          </w:tcPr>
          <w:p w14:paraId="6F2C31E3"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注册(办公)地址：北京市朝阳区东三环北路17号10层1015室</w:t>
            </w:r>
          </w:p>
          <w:p w14:paraId="0D82C8C1"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400-618-0707</w:t>
            </w:r>
          </w:p>
          <w:p w14:paraId="6D5C4E2E" w14:textId="77777777" w:rsidR="009A7A59" w:rsidRDefault="00000000">
            <w:pPr>
              <w:widowControl/>
              <w:rPr>
                <w:rFonts w:ascii="Arial Unicode MS" w:hAnsi="Arial Unicode MS" w:hint="eastAsia"/>
                <w:bCs/>
              </w:rPr>
            </w:pPr>
            <w:r>
              <w:rPr>
                <w:rFonts w:ascii="宋体" w:hAnsi="宋体" w:cs="Calibri" w:hint="eastAsia"/>
                <w:color w:val="000000"/>
                <w:szCs w:val="21"/>
              </w:rPr>
              <w:t>公司网址：</w:t>
            </w:r>
            <w:r>
              <w:rPr>
                <w:rFonts w:ascii="宋体" w:hAnsi="宋体" w:cs="Calibri"/>
                <w:color w:val="000000"/>
                <w:szCs w:val="21"/>
              </w:rPr>
              <w:t>www.hongdianfund.com</w:t>
            </w:r>
          </w:p>
        </w:tc>
      </w:tr>
      <w:tr w:rsidR="009A7A59" w14:paraId="25499CD7" w14:textId="77777777">
        <w:tc>
          <w:tcPr>
            <w:tcW w:w="738" w:type="dxa"/>
          </w:tcPr>
          <w:p w14:paraId="1900A3F7" w14:textId="77777777" w:rsidR="009A7A59" w:rsidRDefault="00000000">
            <w:pPr>
              <w:rPr>
                <w:rFonts w:ascii="Arial Unicode MS" w:hAnsi="Arial Unicode MS" w:hint="eastAsia"/>
                <w:bCs/>
              </w:rPr>
            </w:pPr>
            <w:r>
              <w:rPr>
                <w:rFonts w:ascii="宋体" w:hAnsi="宋体" w:cs="Calibri" w:hint="eastAsia"/>
                <w:color w:val="000000"/>
                <w:szCs w:val="21"/>
              </w:rPr>
              <w:t>7</w:t>
            </w:r>
          </w:p>
        </w:tc>
        <w:tc>
          <w:tcPr>
            <w:tcW w:w="2521" w:type="dxa"/>
          </w:tcPr>
          <w:p w14:paraId="489EEB22" w14:textId="77777777" w:rsidR="009A7A59" w:rsidRDefault="00000000">
            <w:pPr>
              <w:rPr>
                <w:rFonts w:ascii="Arial Unicode MS" w:hAnsi="Arial Unicode MS" w:hint="eastAsia"/>
                <w:bCs/>
              </w:rPr>
            </w:pPr>
            <w:r>
              <w:rPr>
                <w:rFonts w:ascii="宋体" w:hAnsi="宋体" w:cs="Calibri" w:hint="eastAsia"/>
                <w:color w:val="000000"/>
                <w:szCs w:val="21"/>
              </w:rPr>
              <w:t>蚂蚁（杭州）基金销售有限公司</w:t>
            </w:r>
          </w:p>
        </w:tc>
        <w:tc>
          <w:tcPr>
            <w:tcW w:w="5105" w:type="dxa"/>
          </w:tcPr>
          <w:p w14:paraId="13AF5E3B"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注册(办公)地址：浙江省杭州市余杭区五常街道文</w:t>
            </w:r>
            <w:proofErr w:type="gramStart"/>
            <w:r>
              <w:rPr>
                <w:rFonts w:ascii="宋体" w:hAnsi="宋体" w:cs="Calibri" w:hint="eastAsia"/>
                <w:color w:val="000000"/>
                <w:szCs w:val="21"/>
              </w:rPr>
              <w:t>一</w:t>
            </w:r>
            <w:proofErr w:type="gramEnd"/>
            <w:r>
              <w:rPr>
                <w:rFonts w:ascii="宋体" w:hAnsi="宋体" w:cs="Calibri" w:hint="eastAsia"/>
                <w:color w:val="000000"/>
                <w:szCs w:val="21"/>
              </w:rPr>
              <w:t>西路969号3幢5层599室</w:t>
            </w:r>
          </w:p>
          <w:p w14:paraId="49BEBFF8"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lastRenderedPageBreak/>
              <w:t>客服电话：</w:t>
            </w:r>
            <w:r>
              <w:rPr>
                <w:rFonts w:ascii="宋体" w:hAnsi="宋体" w:cs="Calibri"/>
                <w:color w:val="000000"/>
                <w:szCs w:val="21"/>
              </w:rPr>
              <w:t>95188</w:t>
            </w:r>
          </w:p>
          <w:p w14:paraId="35D77253" w14:textId="77777777" w:rsidR="009A7A59" w:rsidRDefault="00000000">
            <w:pPr>
              <w:widowControl/>
              <w:rPr>
                <w:rFonts w:ascii="Arial Unicode MS" w:hAnsi="Arial Unicode MS" w:hint="eastAsia"/>
                <w:bCs/>
              </w:rPr>
            </w:pPr>
            <w:r>
              <w:rPr>
                <w:rFonts w:ascii="宋体" w:hAnsi="宋体" w:cs="Calibri" w:hint="eastAsia"/>
                <w:color w:val="000000"/>
                <w:szCs w:val="21"/>
              </w:rPr>
              <w:t>公司网址：</w:t>
            </w:r>
            <w:r>
              <w:rPr>
                <w:rFonts w:ascii="宋体" w:hAnsi="宋体" w:cs="Calibri"/>
                <w:color w:val="000000"/>
                <w:szCs w:val="21"/>
              </w:rPr>
              <w:t xml:space="preserve"> www.fund123.cn</w:t>
            </w:r>
          </w:p>
        </w:tc>
      </w:tr>
      <w:tr w:rsidR="009A7A59" w14:paraId="0D33CC11" w14:textId="77777777">
        <w:tc>
          <w:tcPr>
            <w:tcW w:w="738" w:type="dxa"/>
          </w:tcPr>
          <w:p w14:paraId="1412B0E9" w14:textId="77777777" w:rsidR="009A7A59" w:rsidRDefault="00000000">
            <w:pPr>
              <w:rPr>
                <w:rFonts w:ascii="Arial Unicode MS" w:hAnsi="Arial Unicode MS" w:hint="eastAsia"/>
                <w:bCs/>
              </w:rPr>
            </w:pPr>
            <w:r>
              <w:rPr>
                <w:rFonts w:ascii="宋体" w:hAnsi="宋体" w:cs="Calibri" w:hint="eastAsia"/>
                <w:color w:val="000000"/>
                <w:szCs w:val="21"/>
              </w:rPr>
              <w:lastRenderedPageBreak/>
              <w:t>8</w:t>
            </w:r>
          </w:p>
        </w:tc>
        <w:tc>
          <w:tcPr>
            <w:tcW w:w="2521" w:type="dxa"/>
          </w:tcPr>
          <w:p w14:paraId="2C199517" w14:textId="77777777" w:rsidR="009A7A59" w:rsidRDefault="00000000">
            <w:pPr>
              <w:rPr>
                <w:rFonts w:ascii="Arial Unicode MS" w:hAnsi="Arial Unicode MS" w:hint="eastAsia"/>
                <w:bCs/>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105" w:type="dxa"/>
          </w:tcPr>
          <w:p w14:paraId="6C7960E7"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注册(办公)地址：杭州市西湖区文二西路1号元茂大厦903室</w:t>
            </w:r>
          </w:p>
          <w:p w14:paraId="07877E0D"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73FB5D36" w14:textId="77777777" w:rsidR="009A7A59" w:rsidRDefault="00000000">
            <w:pPr>
              <w:widowControl/>
              <w:rPr>
                <w:rFonts w:ascii="Arial Unicode MS" w:hAnsi="Arial Unicode MS" w:hint="eastAsia"/>
                <w:bCs/>
              </w:rPr>
            </w:pPr>
            <w:r>
              <w:rPr>
                <w:rFonts w:ascii="宋体" w:hAnsi="宋体" w:cs="Calibri" w:hint="eastAsia"/>
                <w:color w:val="000000"/>
                <w:szCs w:val="21"/>
              </w:rPr>
              <w:t>网址：</w:t>
            </w:r>
            <w:hyperlink r:id="rId33" w:history="1">
              <w:r>
                <w:rPr>
                  <w:rFonts w:ascii="宋体" w:hAnsi="宋体" w:cs="Calibri" w:hint="eastAsia"/>
                  <w:color w:val="000000"/>
                  <w:szCs w:val="21"/>
                </w:rPr>
                <w:t>www.5ifund.com</w:t>
              </w:r>
            </w:hyperlink>
          </w:p>
        </w:tc>
      </w:tr>
      <w:tr w:rsidR="009A7A59" w14:paraId="250137C9" w14:textId="77777777">
        <w:tc>
          <w:tcPr>
            <w:tcW w:w="738" w:type="dxa"/>
          </w:tcPr>
          <w:p w14:paraId="17286DF0" w14:textId="77777777" w:rsidR="009A7A59" w:rsidRDefault="00000000">
            <w:pPr>
              <w:rPr>
                <w:rFonts w:ascii="Arial Unicode MS" w:hAnsi="Arial Unicode MS" w:hint="eastAsia"/>
                <w:bCs/>
              </w:rPr>
            </w:pPr>
            <w:r>
              <w:rPr>
                <w:rFonts w:ascii="宋体" w:hAnsi="宋体" w:cs="Calibri" w:hint="eastAsia"/>
                <w:color w:val="000000"/>
                <w:szCs w:val="21"/>
              </w:rPr>
              <w:t>9</w:t>
            </w:r>
          </w:p>
        </w:tc>
        <w:tc>
          <w:tcPr>
            <w:tcW w:w="2521" w:type="dxa"/>
          </w:tcPr>
          <w:p w14:paraId="050E47CA" w14:textId="77777777" w:rsidR="009A7A59" w:rsidRDefault="00000000">
            <w:pPr>
              <w:rPr>
                <w:rFonts w:ascii="Arial Unicode MS" w:hAnsi="Arial Unicode MS" w:hint="eastAsia"/>
                <w:bCs/>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105" w:type="dxa"/>
          </w:tcPr>
          <w:p w14:paraId="0FE4BB52"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注册(办公)地址：中国（上海）自由贸易试验区源深路1</w:t>
            </w:r>
            <w:r>
              <w:rPr>
                <w:rFonts w:ascii="宋体" w:hAnsi="宋体" w:cs="Calibri"/>
                <w:color w:val="000000"/>
                <w:szCs w:val="21"/>
              </w:rPr>
              <w:t>088</w:t>
            </w:r>
            <w:r>
              <w:rPr>
                <w:rFonts w:ascii="宋体" w:hAnsi="宋体" w:cs="Calibri" w:hint="eastAsia"/>
                <w:color w:val="000000"/>
                <w:szCs w:val="21"/>
              </w:rPr>
              <w:t>号7层</w:t>
            </w:r>
          </w:p>
          <w:p w14:paraId="54F2EF56"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06D49914" w14:textId="77777777" w:rsidR="009A7A59" w:rsidRDefault="00000000">
            <w:pPr>
              <w:widowControl/>
              <w:rPr>
                <w:rFonts w:ascii="Arial Unicode MS" w:hAnsi="Arial Unicode MS" w:hint="eastAsia"/>
                <w:bCs/>
              </w:rPr>
            </w:pPr>
            <w:r>
              <w:rPr>
                <w:rFonts w:ascii="宋体" w:hAnsi="宋体" w:cs="Calibri" w:hint="eastAsia"/>
                <w:color w:val="000000"/>
                <w:szCs w:val="21"/>
              </w:rPr>
              <w:t>公司网址：</w:t>
            </w:r>
            <w:r>
              <w:rPr>
                <w:rFonts w:ascii="宋体" w:hAnsi="宋体" w:cs="Calibri"/>
                <w:color w:val="000000"/>
                <w:szCs w:val="21"/>
              </w:rPr>
              <w:t>www.lufunds.com</w:t>
            </w:r>
          </w:p>
        </w:tc>
      </w:tr>
      <w:tr w:rsidR="009A7A59" w14:paraId="18AF88FB" w14:textId="77777777">
        <w:tc>
          <w:tcPr>
            <w:tcW w:w="738" w:type="dxa"/>
          </w:tcPr>
          <w:p w14:paraId="3AC5D13E" w14:textId="77777777" w:rsidR="009A7A59" w:rsidRDefault="00000000">
            <w:pPr>
              <w:rPr>
                <w:rFonts w:ascii="宋体" w:hAnsi="宋体" w:cs="宋体" w:hint="eastAsia"/>
                <w:szCs w:val="21"/>
              </w:rPr>
            </w:pPr>
            <w:r>
              <w:rPr>
                <w:rFonts w:ascii="宋体" w:hAnsi="宋体" w:cs="Calibri" w:hint="eastAsia"/>
                <w:color w:val="000000"/>
                <w:szCs w:val="21"/>
              </w:rPr>
              <w:t>10</w:t>
            </w:r>
          </w:p>
        </w:tc>
        <w:tc>
          <w:tcPr>
            <w:tcW w:w="2521" w:type="dxa"/>
          </w:tcPr>
          <w:p w14:paraId="51F90C57" w14:textId="77777777" w:rsidR="009A7A59" w:rsidRDefault="00000000">
            <w:pPr>
              <w:rPr>
                <w:rFonts w:ascii="宋体" w:hAnsi="宋体" w:cs="宋体" w:hint="eastAsia"/>
                <w:szCs w:val="21"/>
                <w:lang w:val="zh-CN"/>
              </w:rPr>
            </w:pPr>
            <w:r>
              <w:rPr>
                <w:rFonts w:ascii="宋体" w:hAnsi="宋体" w:cs="Calibri" w:hint="eastAsia"/>
                <w:color w:val="000000"/>
                <w:szCs w:val="21"/>
              </w:rPr>
              <w:t>上海联泰资产管理有限公司</w:t>
            </w:r>
          </w:p>
        </w:tc>
        <w:tc>
          <w:tcPr>
            <w:tcW w:w="5105" w:type="dxa"/>
          </w:tcPr>
          <w:p w14:paraId="5A5B571F"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注册(办公)地址：上海市虹口区北外滩</w:t>
            </w:r>
            <w:proofErr w:type="gramStart"/>
            <w:r>
              <w:rPr>
                <w:rFonts w:ascii="宋体" w:hAnsi="宋体" w:cs="Calibri" w:hint="eastAsia"/>
                <w:color w:val="000000"/>
                <w:szCs w:val="21"/>
              </w:rPr>
              <w:t>临潼路</w:t>
            </w:r>
            <w:proofErr w:type="gramEnd"/>
            <w:r>
              <w:rPr>
                <w:rFonts w:ascii="宋体" w:hAnsi="宋体" w:cs="Calibri" w:hint="eastAsia"/>
                <w:color w:val="000000"/>
                <w:szCs w:val="21"/>
              </w:rPr>
              <w:t>188号</w:t>
            </w:r>
          </w:p>
          <w:p w14:paraId="7D2A2137"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400-118-1188</w:t>
            </w:r>
          </w:p>
          <w:p w14:paraId="54493CD5" w14:textId="77777777" w:rsidR="009A7A59" w:rsidRDefault="00000000">
            <w:pPr>
              <w:widowControl/>
              <w:rPr>
                <w:rFonts w:ascii="宋体" w:hAnsi="宋体" w:cs="宋体" w:hint="eastAsia"/>
                <w:szCs w:val="21"/>
                <w:lang w:val="zh-CN"/>
              </w:rPr>
            </w:pPr>
            <w:r>
              <w:rPr>
                <w:rFonts w:ascii="宋体" w:hAnsi="宋体" w:cs="Calibri" w:hint="eastAsia"/>
                <w:color w:val="000000"/>
                <w:szCs w:val="21"/>
              </w:rPr>
              <w:t>公司网址：</w:t>
            </w:r>
            <w:r>
              <w:rPr>
                <w:rFonts w:ascii="宋体" w:hAnsi="宋体" w:cs="Calibri"/>
                <w:color w:val="000000"/>
                <w:szCs w:val="21"/>
              </w:rPr>
              <w:t xml:space="preserve"> https://www.66liantai.com/</w:t>
            </w:r>
          </w:p>
        </w:tc>
      </w:tr>
      <w:tr w:rsidR="009A7A59" w14:paraId="6A2325B9" w14:textId="77777777">
        <w:tc>
          <w:tcPr>
            <w:tcW w:w="738" w:type="dxa"/>
          </w:tcPr>
          <w:p w14:paraId="2126B13E" w14:textId="77777777" w:rsidR="009A7A59" w:rsidRDefault="00000000">
            <w:pPr>
              <w:rPr>
                <w:rFonts w:ascii="宋体" w:hAnsi="宋体" w:cs="宋体" w:hint="eastAsia"/>
                <w:szCs w:val="21"/>
              </w:rPr>
            </w:pPr>
            <w:r>
              <w:rPr>
                <w:rFonts w:ascii="宋体" w:hAnsi="宋体" w:cs="Arial" w:hint="eastAsia"/>
              </w:rPr>
              <w:t>11</w:t>
            </w:r>
          </w:p>
        </w:tc>
        <w:tc>
          <w:tcPr>
            <w:tcW w:w="2521" w:type="dxa"/>
          </w:tcPr>
          <w:p w14:paraId="646A69DE" w14:textId="77777777" w:rsidR="009A7A59" w:rsidRDefault="00000000">
            <w:pPr>
              <w:rPr>
                <w:rFonts w:ascii="宋体" w:hAnsi="宋体" w:cs="宋体" w:hint="eastAsia"/>
                <w:szCs w:val="21"/>
                <w:lang w:val="zh-CN"/>
              </w:rPr>
            </w:pPr>
            <w:r>
              <w:rPr>
                <w:rFonts w:ascii="宋体" w:hAnsi="宋体" w:cs="Calibri" w:hint="eastAsia"/>
                <w:color w:val="000000"/>
                <w:szCs w:val="21"/>
              </w:rPr>
              <w:t>上海天天基金销售有限公司</w:t>
            </w:r>
          </w:p>
        </w:tc>
        <w:tc>
          <w:tcPr>
            <w:tcW w:w="5105" w:type="dxa"/>
          </w:tcPr>
          <w:p w14:paraId="616C5B63"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注册(办公)地址：上海市徐汇区宛平南路88号东方财富大厦</w:t>
            </w:r>
          </w:p>
          <w:p w14:paraId="14FADAD4"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95021</w:t>
            </w:r>
          </w:p>
          <w:p w14:paraId="76A9C623" w14:textId="77777777" w:rsidR="009A7A59" w:rsidRDefault="00000000">
            <w:pPr>
              <w:widowControl/>
              <w:rPr>
                <w:rFonts w:ascii="宋体" w:hAnsi="宋体" w:cs="宋体" w:hint="eastAsia"/>
                <w:szCs w:val="21"/>
              </w:rPr>
            </w:pPr>
            <w:r>
              <w:rPr>
                <w:rFonts w:ascii="宋体" w:hAnsi="宋体" w:cs="Calibri" w:hint="eastAsia"/>
                <w:color w:val="000000"/>
                <w:szCs w:val="21"/>
              </w:rPr>
              <w:t>公司网址：</w:t>
            </w:r>
            <w:r>
              <w:rPr>
                <w:rFonts w:ascii="宋体" w:hAnsi="宋体" w:cs="Calibri"/>
                <w:color w:val="000000"/>
                <w:szCs w:val="21"/>
              </w:rPr>
              <w:t xml:space="preserve"> fund.eastmoney.com</w:t>
            </w:r>
          </w:p>
        </w:tc>
      </w:tr>
      <w:tr w:rsidR="009A7A59" w14:paraId="58768F46" w14:textId="77777777">
        <w:tc>
          <w:tcPr>
            <w:tcW w:w="738" w:type="dxa"/>
          </w:tcPr>
          <w:p w14:paraId="616B1188" w14:textId="77777777" w:rsidR="009A7A59" w:rsidRDefault="00000000">
            <w:pPr>
              <w:rPr>
                <w:rFonts w:ascii="宋体" w:hAnsi="宋体" w:cs="宋体" w:hint="eastAsia"/>
                <w:szCs w:val="21"/>
              </w:rPr>
            </w:pPr>
            <w:r>
              <w:rPr>
                <w:rFonts w:ascii="宋体" w:hAnsi="宋体" w:cs="Arial" w:hint="eastAsia"/>
              </w:rPr>
              <w:t>12</w:t>
            </w:r>
          </w:p>
        </w:tc>
        <w:tc>
          <w:tcPr>
            <w:tcW w:w="2521" w:type="dxa"/>
          </w:tcPr>
          <w:p w14:paraId="638C7AC0" w14:textId="77777777" w:rsidR="009A7A59" w:rsidRDefault="00000000">
            <w:pPr>
              <w:rPr>
                <w:rFonts w:ascii="宋体" w:hAnsi="宋体" w:cs="宋体" w:hint="eastAsia"/>
                <w:szCs w:val="21"/>
                <w:lang w:val="zh-CN"/>
              </w:rPr>
            </w:pPr>
            <w:r>
              <w:rPr>
                <w:rFonts w:ascii="宋体" w:hAnsi="宋体" w:cs="Calibri" w:hint="eastAsia"/>
                <w:color w:val="000000"/>
                <w:szCs w:val="21"/>
              </w:rPr>
              <w:t>珠海</w:t>
            </w:r>
            <w:proofErr w:type="gramStart"/>
            <w:r>
              <w:rPr>
                <w:rFonts w:ascii="宋体" w:hAnsi="宋体" w:cs="Calibri" w:hint="eastAsia"/>
                <w:color w:val="000000"/>
                <w:szCs w:val="21"/>
              </w:rPr>
              <w:t>盈米基金</w:t>
            </w:r>
            <w:proofErr w:type="gramEnd"/>
            <w:r>
              <w:rPr>
                <w:rFonts w:ascii="宋体" w:hAnsi="宋体" w:cs="Calibri" w:hint="eastAsia"/>
                <w:color w:val="000000"/>
                <w:szCs w:val="21"/>
              </w:rPr>
              <w:t>销售有限公司</w:t>
            </w:r>
          </w:p>
        </w:tc>
        <w:tc>
          <w:tcPr>
            <w:tcW w:w="5105" w:type="dxa"/>
          </w:tcPr>
          <w:p w14:paraId="1F4E0A9E"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注册(办公)地址：广州市海</w:t>
            </w:r>
            <w:proofErr w:type="gramStart"/>
            <w:r>
              <w:rPr>
                <w:rFonts w:ascii="宋体" w:hAnsi="宋体" w:cs="Calibri" w:hint="eastAsia"/>
                <w:color w:val="000000"/>
                <w:szCs w:val="21"/>
              </w:rPr>
              <w:t>珠区阅江</w:t>
            </w:r>
            <w:proofErr w:type="gramEnd"/>
            <w:r>
              <w:rPr>
                <w:rFonts w:ascii="宋体" w:hAnsi="宋体" w:cs="Calibri" w:hint="eastAsia"/>
                <w:color w:val="000000"/>
                <w:szCs w:val="21"/>
              </w:rPr>
              <w:t>中路688号保利国际广场北塔33楼、8楼</w:t>
            </w:r>
          </w:p>
          <w:p w14:paraId="0FFA1456"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07EADEEB" w14:textId="77777777" w:rsidR="009A7A59" w:rsidRDefault="00000000">
            <w:pPr>
              <w:widowControl/>
              <w:rPr>
                <w:rFonts w:ascii="宋体" w:hAnsi="宋体" w:cs="宋体" w:hint="eastAsia"/>
                <w:szCs w:val="21"/>
              </w:rPr>
            </w:pPr>
            <w:r>
              <w:rPr>
                <w:rFonts w:ascii="宋体" w:hAnsi="宋体" w:cs="Calibri" w:hint="eastAsia"/>
                <w:color w:val="000000"/>
                <w:szCs w:val="21"/>
              </w:rPr>
              <w:t>公司网址：</w:t>
            </w:r>
            <w:r>
              <w:rPr>
                <w:rFonts w:ascii="宋体" w:hAnsi="宋体" w:cs="Calibri"/>
                <w:color w:val="000000"/>
                <w:szCs w:val="21"/>
              </w:rPr>
              <w:t>www.yingmi.cn</w:t>
            </w:r>
          </w:p>
        </w:tc>
      </w:tr>
      <w:tr w:rsidR="009A7A59" w14:paraId="392679EF" w14:textId="77777777">
        <w:tc>
          <w:tcPr>
            <w:tcW w:w="738" w:type="dxa"/>
          </w:tcPr>
          <w:p w14:paraId="57634938" w14:textId="77777777" w:rsidR="009A7A59" w:rsidRDefault="00000000">
            <w:pPr>
              <w:rPr>
                <w:rFonts w:ascii="宋体" w:hAnsi="宋体" w:cs="宋体" w:hint="eastAsia"/>
                <w:szCs w:val="21"/>
              </w:rPr>
            </w:pPr>
            <w:r>
              <w:rPr>
                <w:rFonts w:ascii="宋体" w:hAnsi="宋体" w:cs="Arial" w:hint="eastAsia"/>
              </w:rPr>
              <w:t>13</w:t>
            </w:r>
          </w:p>
        </w:tc>
        <w:tc>
          <w:tcPr>
            <w:tcW w:w="2521" w:type="dxa"/>
          </w:tcPr>
          <w:p w14:paraId="16FCCC8D" w14:textId="77777777" w:rsidR="009A7A59" w:rsidRDefault="00000000">
            <w:pPr>
              <w:rPr>
                <w:rFonts w:ascii="宋体" w:hAnsi="宋体" w:cs="宋体" w:hint="eastAsia"/>
                <w:szCs w:val="21"/>
                <w:lang w:val="zh-CN"/>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销售有限公司</w:t>
            </w:r>
          </w:p>
        </w:tc>
        <w:tc>
          <w:tcPr>
            <w:tcW w:w="5105" w:type="dxa"/>
          </w:tcPr>
          <w:p w14:paraId="7B400394"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注册(办公)地址：上海市浦东新区东方路1267号陆家嘴金融服务广场二期11层</w:t>
            </w:r>
          </w:p>
          <w:p w14:paraId="61D6341B"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客服电话：400-820-2899</w:t>
            </w:r>
          </w:p>
          <w:p w14:paraId="7199ED03" w14:textId="77777777" w:rsidR="009A7A59" w:rsidRDefault="00000000">
            <w:pPr>
              <w:widowControl/>
              <w:rPr>
                <w:rFonts w:ascii="宋体" w:hAnsi="宋体" w:cs="宋体" w:hint="eastAsia"/>
                <w:szCs w:val="21"/>
                <w:lang w:val="zh-CN"/>
              </w:rPr>
            </w:pPr>
            <w:r>
              <w:rPr>
                <w:rFonts w:ascii="宋体" w:hAnsi="宋体" w:cs="Calibri" w:hint="eastAsia"/>
                <w:color w:val="000000"/>
                <w:szCs w:val="21"/>
              </w:rPr>
              <w:t>公司网站： www.erichfund.com</w:t>
            </w:r>
          </w:p>
        </w:tc>
      </w:tr>
      <w:tr w:rsidR="009A7A59" w14:paraId="7F7B4B8A" w14:textId="77777777">
        <w:tc>
          <w:tcPr>
            <w:tcW w:w="738" w:type="dxa"/>
          </w:tcPr>
          <w:p w14:paraId="1420AAC1" w14:textId="77777777" w:rsidR="009A7A59" w:rsidRDefault="00000000">
            <w:pPr>
              <w:rPr>
                <w:rFonts w:ascii="宋体" w:hAnsi="宋体" w:cs="宋体" w:hint="eastAsia"/>
                <w:szCs w:val="21"/>
              </w:rPr>
            </w:pPr>
            <w:r>
              <w:rPr>
                <w:rFonts w:ascii="宋体" w:hAnsi="宋体" w:cs="Arial" w:hint="eastAsia"/>
              </w:rPr>
              <w:t>14</w:t>
            </w:r>
          </w:p>
        </w:tc>
        <w:tc>
          <w:tcPr>
            <w:tcW w:w="2521" w:type="dxa"/>
          </w:tcPr>
          <w:p w14:paraId="44437B4A" w14:textId="77777777" w:rsidR="009A7A59" w:rsidRDefault="00000000">
            <w:pPr>
              <w:rPr>
                <w:rFonts w:ascii="宋体" w:hAnsi="宋体" w:cs="宋体" w:hint="eastAsia"/>
                <w:szCs w:val="21"/>
                <w:lang w:val="zh-CN"/>
              </w:rPr>
            </w:pPr>
            <w:r>
              <w:rPr>
                <w:rFonts w:ascii="宋体" w:hAnsi="宋体" w:cs="Calibri" w:hint="eastAsia"/>
                <w:color w:val="000000"/>
                <w:szCs w:val="21"/>
              </w:rPr>
              <w:t>北京汇成基金销售有限公司</w:t>
            </w:r>
          </w:p>
        </w:tc>
        <w:tc>
          <w:tcPr>
            <w:tcW w:w="5105" w:type="dxa"/>
          </w:tcPr>
          <w:p w14:paraId="6BDDA32B"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北京市西城区宣武门外大街甲1号</w:t>
            </w:r>
            <w:proofErr w:type="gramStart"/>
            <w:r>
              <w:rPr>
                <w:rFonts w:ascii="宋体" w:hAnsi="宋体" w:cs="Calibri"/>
                <w:color w:val="000000"/>
                <w:szCs w:val="21"/>
              </w:rPr>
              <w:t>环球财讯中心</w:t>
            </w:r>
            <w:proofErr w:type="gramEnd"/>
            <w:r>
              <w:rPr>
                <w:rFonts w:ascii="宋体" w:hAnsi="宋体" w:cs="Calibri"/>
                <w:color w:val="000000"/>
                <w:szCs w:val="21"/>
              </w:rPr>
              <w:t>D座4层</w:t>
            </w:r>
          </w:p>
          <w:p w14:paraId="30C987EE"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400-055-5728</w:t>
            </w:r>
          </w:p>
          <w:p w14:paraId="3E709119" w14:textId="77777777" w:rsidR="009A7A59" w:rsidRDefault="00000000">
            <w:pPr>
              <w:widowControl/>
              <w:rPr>
                <w:rFonts w:ascii="宋体" w:hAnsi="宋体" w:cs="宋体" w:hint="eastAsia"/>
                <w:szCs w:val="21"/>
              </w:rPr>
            </w:pPr>
            <w:r>
              <w:rPr>
                <w:rFonts w:ascii="宋体" w:hAnsi="宋体" w:cs="Calibri" w:hint="eastAsia"/>
                <w:color w:val="000000"/>
                <w:szCs w:val="21"/>
              </w:rPr>
              <w:t>公司网址：</w:t>
            </w:r>
            <w:r>
              <w:rPr>
                <w:rFonts w:ascii="宋体" w:hAnsi="宋体" w:cs="Calibri"/>
                <w:color w:val="000000"/>
                <w:szCs w:val="21"/>
              </w:rPr>
              <w:t xml:space="preserve"> www.hcjijin.com</w:t>
            </w:r>
          </w:p>
        </w:tc>
      </w:tr>
      <w:tr w:rsidR="009A7A59" w14:paraId="40FDBF65" w14:textId="77777777">
        <w:tc>
          <w:tcPr>
            <w:tcW w:w="738" w:type="dxa"/>
          </w:tcPr>
          <w:p w14:paraId="380DD6B5" w14:textId="77777777" w:rsidR="009A7A59" w:rsidRDefault="00000000">
            <w:pPr>
              <w:rPr>
                <w:rFonts w:ascii="宋体" w:hAnsi="宋体" w:cs="宋体" w:hint="eastAsia"/>
                <w:szCs w:val="21"/>
              </w:rPr>
            </w:pPr>
            <w:r>
              <w:rPr>
                <w:rFonts w:ascii="宋体" w:hAnsi="宋体" w:cs="Arial" w:hint="eastAsia"/>
              </w:rPr>
              <w:t>15</w:t>
            </w:r>
          </w:p>
        </w:tc>
        <w:tc>
          <w:tcPr>
            <w:tcW w:w="2521" w:type="dxa"/>
          </w:tcPr>
          <w:p w14:paraId="05F2B50D" w14:textId="77777777" w:rsidR="009A7A59" w:rsidRDefault="00000000">
            <w:pPr>
              <w:rPr>
                <w:rFonts w:ascii="宋体" w:hAnsi="宋体" w:cs="宋体" w:hint="eastAsia"/>
                <w:szCs w:val="21"/>
                <w:lang w:val="zh-CN"/>
              </w:rPr>
            </w:pPr>
            <w:r>
              <w:rPr>
                <w:rFonts w:ascii="宋体" w:hAnsi="宋体" w:cs="Calibri" w:hint="eastAsia"/>
                <w:color w:val="000000"/>
                <w:szCs w:val="21"/>
              </w:rPr>
              <w:t>深圳市新兰德证券投资咨询有限公司</w:t>
            </w:r>
          </w:p>
        </w:tc>
        <w:tc>
          <w:tcPr>
            <w:tcW w:w="5105" w:type="dxa"/>
          </w:tcPr>
          <w:p w14:paraId="4B18584A"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注册(办公)地址：深圳市福田区梅林</w:t>
            </w:r>
            <w:proofErr w:type="gramStart"/>
            <w:r>
              <w:rPr>
                <w:rFonts w:ascii="宋体" w:hAnsi="宋体" w:cs="Calibri" w:hint="eastAsia"/>
                <w:color w:val="000000"/>
                <w:szCs w:val="21"/>
              </w:rPr>
              <w:t>街道梅都社区</w:t>
            </w:r>
            <w:proofErr w:type="gramEnd"/>
            <w:r>
              <w:rPr>
                <w:rFonts w:ascii="宋体" w:hAnsi="宋体" w:cs="Calibri" w:hint="eastAsia"/>
                <w:color w:val="000000"/>
                <w:szCs w:val="21"/>
              </w:rPr>
              <w:t>中康路136号深圳新一代产业园2栋3401</w:t>
            </w:r>
          </w:p>
          <w:p w14:paraId="7FFFDAEE"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010</w:t>
            </w:r>
            <w:r>
              <w:rPr>
                <w:rFonts w:ascii="宋体" w:hAnsi="宋体" w:cs="Calibri" w:hint="eastAsia"/>
                <w:color w:val="000000"/>
                <w:szCs w:val="21"/>
              </w:rPr>
              <w:t>-</w:t>
            </w:r>
            <w:r>
              <w:rPr>
                <w:rFonts w:ascii="宋体" w:hAnsi="宋体" w:cs="Calibri"/>
                <w:color w:val="000000"/>
                <w:szCs w:val="21"/>
              </w:rPr>
              <w:t>83275199</w:t>
            </w:r>
            <w:r>
              <w:rPr>
                <w:rFonts w:ascii="宋体" w:hAnsi="宋体" w:cs="Calibri"/>
                <w:color w:val="000000"/>
                <w:szCs w:val="21"/>
              </w:rPr>
              <w:tab/>
            </w:r>
          </w:p>
          <w:p w14:paraId="157EEAAE" w14:textId="77777777" w:rsidR="009A7A59" w:rsidRDefault="00000000">
            <w:pPr>
              <w:widowControl/>
              <w:rPr>
                <w:rFonts w:ascii="宋体" w:hAnsi="宋体" w:cs="宋体" w:hint="eastAsia"/>
                <w:szCs w:val="21"/>
              </w:rPr>
            </w:pPr>
            <w:r>
              <w:rPr>
                <w:rFonts w:ascii="宋体" w:hAnsi="宋体" w:cs="Calibri" w:hint="eastAsia"/>
                <w:color w:val="000000"/>
                <w:szCs w:val="21"/>
              </w:rPr>
              <w:t>公司网址：</w:t>
            </w:r>
            <w:r>
              <w:rPr>
                <w:rFonts w:ascii="宋体" w:hAnsi="宋体" w:cs="Calibri"/>
                <w:color w:val="000000"/>
                <w:szCs w:val="21"/>
              </w:rPr>
              <w:t>http://www.new-rand.cn/</w:t>
            </w:r>
          </w:p>
        </w:tc>
      </w:tr>
      <w:tr w:rsidR="009A7A59" w14:paraId="1D106E27" w14:textId="77777777">
        <w:tc>
          <w:tcPr>
            <w:tcW w:w="738" w:type="dxa"/>
          </w:tcPr>
          <w:p w14:paraId="61A469A5" w14:textId="77777777" w:rsidR="009A7A59" w:rsidRDefault="00000000">
            <w:pPr>
              <w:rPr>
                <w:rFonts w:ascii="宋体" w:hAnsi="宋体" w:cs="宋体" w:hint="eastAsia"/>
                <w:szCs w:val="21"/>
              </w:rPr>
            </w:pPr>
            <w:r>
              <w:rPr>
                <w:rFonts w:ascii="宋体" w:hAnsi="宋体" w:cs="Arial" w:hint="eastAsia"/>
              </w:rPr>
              <w:t>16</w:t>
            </w:r>
          </w:p>
        </w:tc>
        <w:tc>
          <w:tcPr>
            <w:tcW w:w="2521" w:type="dxa"/>
          </w:tcPr>
          <w:p w14:paraId="7B75C49E" w14:textId="77777777" w:rsidR="009A7A59" w:rsidRDefault="00000000">
            <w:pPr>
              <w:rPr>
                <w:rFonts w:ascii="宋体" w:hAnsi="宋体" w:cs="宋体" w:hint="eastAsia"/>
                <w:szCs w:val="21"/>
                <w:lang w:val="zh-CN"/>
              </w:rPr>
            </w:pPr>
            <w:r>
              <w:rPr>
                <w:rFonts w:ascii="宋体" w:hAnsi="宋体" w:cs="Calibri" w:hint="eastAsia"/>
                <w:color w:val="000000"/>
                <w:szCs w:val="21"/>
              </w:rPr>
              <w:t>北京</w:t>
            </w:r>
            <w:proofErr w:type="gramStart"/>
            <w:r>
              <w:rPr>
                <w:rFonts w:ascii="宋体" w:hAnsi="宋体" w:cs="Calibri" w:hint="eastAsia"/>
                <w:color w:val="000000"/>
                <w:szCs w:val="21"/>
              </w:rPr>
              <w:t>钱景基金</w:t>
            </w:r>
            <w:proofErr w:type="gramEnd"/>
            <w:r>
              <w:rPr>
                <w:rFonts w:ascii="宋体" w:hAnsi="宋体" w:cs="Calibri" w:hint="eastAsia"/>
                <w:color w:val="000000"/>
                <w:szCs w:val="21"/>
              </w:rPr>
              <w:t>销售有限公司</w:t>
            </w:r>
          </w:p>
        </w:tc>
        <w:tc>
          <w:tcPr>
            <w:tcW w:w="5105" w:type="dxa"/>
          </w:tcPr>
          <w:p w14:paraId="7004CDE4" w14:textId="77777777" w:rsidR="009A7A59" w:rsidRDefault="00000000">
            <w:pPr>
              <w:tabs>
                <w:tab w:val="left" w:pos="540"/>
              </w:tabs>
              <w:adjustRightInd w:val="0"/>
              <w:snapToGrid w:val="0"/>
              <w:rPr>
                <w:rFonts w:ascii="宋体" w:hAnsi="宋体" w:cs="Calibri" w:hint="eastAsia"/>
                <w:color w:val="000000"/>
                <w:szCs w:val="21"/>
              </w:rPr>
            </w:pPr>
            <w:r>
              <w:rPr>
                <w:rFonts w:ascii="宋体" w:hAnsi="宋体" w:cs="Calibri" w:hint="eastAsia"/>
                <w:color w:val="000000"/>
                <w:szCs w:val="21"/>
              </w:rPr>
              <w:t>注册(办公)地址：北京市石景山区城通</w:t>
            </w:r>
            <w:proofErr w:type="gramStart"/>
            <w:r>
              <w:rPr>
                <w:rFonts w:ascii="宋体" w:hAnsi="宋体" w:cs="Calibri" w:hint="eastAsia"/>
                <w:color w:val="000000"/>
                <w:szCs w:val="21"/>
              </w:rPr>
              <w:t>街金融</w:t>
            </w:r>
            <w:proofErr w:type="gramEnd"/>
            <w:r>
              <w:rPr>
                <w:rFonts w:ascii="宋体" w:hAnsi="宋体" w:cs="Calibri" w:hint="eastAsia"/>
                <w:color w:val="000000"/>
                <w:szCs w:val="21"/>
              </w:rPr>
              <w:t>长安中心26号院2号楼17层</w:t>
            </w:r>
          </w:p>
          <w:p w14:paraId="035BA4A2" w14:textId="77777777" w:rsidR="009A7A59" w:rsidRDefault="00000000">
            <w:pPr>
              <w:widowControl/>
              <w:rPr>
                <w:rFonts w:ascii="宋体" w:hAnsi="宋体" w:cs="Calibri" w:hint="eastAsia"/>
                <w:color w:val="000000"/>
                <w:szCs w:val="21"/>
              </w:rPr>
            </w:pPr>
            <w:r>
              <w:rPr>
                <w:rFonts w:ascii="宋体" w:hAnsi="宋体" w:cs="Calibri" w:hint="eastAsia"/>
                <w:color w:val="000000"/>
                <w:szCs w:val="21"/>
              </w:rPr>
              <w:t>客服电话：010-59422766</w:t>
            </w:r>
          </w:p>
          <w:p w14:paraId="6DC7979E" w14:textId="77777777" w:rsidR="009A7A59" w:rsidRDefault="00000000">
            <w:pPr>
              <w:widowControl/>
              <w:rPr>
                <w:rFonts w:ascii="宋体" w:hAnsi="宋体" w:cs="宋体" w:hint="eastAsia"/>
                <w:szCs w:val="21"/>
              </w:rPr>
            </w:pPr>
            <w:r>
              <w:rPr>
                <w:rFonts w:ascii="宋体" w:hAnsi="宋体" w:cs="Calibri" w:hint="eastAsia"/>
                <w:color w:val="000000"/>
                <w:szCs w:val="21"/>
              </w:rPr>
              <w:t>网址：</w:t>
            </w:r>
            <w:r>
              <w:t xml:space="preserve"> </w:t>
            </w:r>
            <w:r>
              <w:rPr>
                <w:rFonts w:hint="eastAsia"/>
              </w:rPr>
              <w:t>www.qianjing.com</w:t>
            </w:r>
            <w:r>
              <w:t xml:space="preserve"> </w:t>
            </w:r>
            <w:hyperlink w:history="1"/>
          </w:p>
        </w:tc>
      </w:tr>
      <w:tr w:rsidR="009A7A59" w14:paraId="7A9F0E92" w14:textId="77777777">
        <w:tc>
          <w:tcPr>
            <w:tcW w:w="738" w:type="dxa"/>
          </w:tcPr>
          <w:p w14:paraId="1A5E9B6C" w14:textId="77777777" w:rsidR="009A7A59" w:rsidRDefault="00000000">
            <w:pPr>
              <w:rPr>
                <w:rFonts w:ascii="宋体" w:hAnsi="宋体" w:cs="宋体" w:hint="eastAsia"/>
                <w:szCs w:val="21"/>
              </w:rPr>
            </w:pPr>
            <w:r>
              <w:rPr>
                <w:rFonts w:ascii="宋体" w:hAnsi="宋体" w:cs="Arial" w:hint="eastAsia"/>
              </w:rPr>
              <w:t>17</w:t>
            </w:r>
          </w:p>
        </w:tc>
        <w:tc>
          <w:tcPr>
            <w:tcW w:w="2521" w:type="dxa"/>
          </w:tcPr>
          <w:p w14:paraId="3A7D3C20" w14:textId="77777777" w:rsidR="009A7A59" w:rsidRDefault="00000000">
            <w:pPr>
              <w:rPr>
                <w:rFonts w:ascii="宋体" w:hAnsi="宋体" w:cs="宋体" w:hint="eastAsia"/>
                <w:szCs w:val="21"/>
                <w:lang w:val="zh-CN"/>
              </w:rPr>
            </w:pPr>
            <w:r>
              <w:rPr>
                <w:rFonts w:ascii="宋体" w:hAnsi="宋体" w:cs="Calibri" w:hint="eastAsia"/>
                <w:color w:val="000000"/>
                <w:szCs w:val="21"/>
              </w:rPr>
              <w:t>济安财富（北京）基金销售有限公司</w:t>
            </w:r>
          </w:p>
        </w:tc>
        <w:tc>
          <w:tcPr>
            <w:tcW w:w="5105" w:type="dxa"/>
          </w:tcPr>
          <w:p w14:paraId="717872CF"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注册(办公)地址：北京市朝阳区太阳宫中路16号院1号</w:t>
            </w:r>
            <w:proofErr w:type="gramStart"/>
            <w:r>
              <w:rPr>
                <w:rFonts w:ascii="宋体" w:hAnsi="宋体" w:cs="Calibri" w:hint="eastAsia"/>
                <w:color w:val="000000"/>
                <w:szCs w:val="21"/>
              </w:rPr>
              <w:t>楼冠捷大厦</w:t>
            </w:r>
            <w:proofErr w:type="gramEnd"/>
            <w:r>
              <w:rPr>
                <w:rFonts w:ascii="宋体" w:hAnsi="宋体" w:cs="Calibri" w:hint="eastAsia"/>
                <w:color w:val="000000"/>
                <w:szCs w:val="21"/>
              </w:rPr>
              <w:t>3层307单元</w:t>
            </w:r>
          </w:p>
          <w:p w14:paraId="34D97193"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14E6F058" w14:textId="77777777" w:rsidR="009A7A59" w:rsidRDefault="00000000">
            <w:pPr>
              <w:widowControl/>
              <w:rPr>
                <w:rFonts w:ascii="宋体" w:hAnsi="宋体" w:cs="宋体" w:hint="eastAsia"/>
                <w:szCs w:val="21"/>
              </w:rPr>
            </w:pPr>
            <w:r>
              <w:rPr>
                <w:rFonts w:ascii="宋体" w:hAnsi="宋体" w:cs="Calibri" w:hint="eastAsia"/>
                <w:color w:val="000000"/>
                <w:szCs w:val="21"/>
              </w:rPr>
              <w:t>网址：</w:t>
            </w:r>
            <w:r>
              <w:t>http://www.jianfortune.com/</w:t>
            </w:r>
          </w:p>
        </w:tc>
      </w:tr>
      <w:tr w:rsidR="009A7A59" w14:paraId="1DBE9BB6" w14:textId="77777777">
        <w:tc>
          <w:tcPr>
            <w:tcW w:w="738" w:type="dxa"/>
          </w:tcPr>
          <w:p w14:paraId="42FEF67E" w14:textId="77777777" w:rsidR="009A7A59" w:rsidRDefault="00000000">
            <w:pPr>
              <w:rPr>
                <w:rFonts w:ascii="宋体" w:hAnsi="宋体" w:cs="宋体" w:hint="eastAsia"/>
                <w:szCs w:val="21"/>
              </w:rPr>
            </w:pPr>
            <w:r>
              <w:rPr>
                <w:rFonts w:ascii="宋体" w:hAnsi="宋体" w:cs="Arial" w:hint="eastAsia"/>
              </w:rPr>
              <w:t>18</w:t>
            </w:r>
          </w:p>
        </w:tc>
        <w:tc>
          <w:tcPr>
            <w:tcW w:w="2521" w:type="dxa"/>
          </w:tcPr>
          <w:p w14:paraId="4A431890" w14:textId="77777777" w:rsidR="009A7A59" w:rsidRDefault="00000000">
            <w:pPr>
              <w:rPr>
                <w:rFonts w:ascii="宋体" w:hAnsi="宋体" w:cs="宋体" w:hint="eastAsia"/>
                <w:szCs w:val="21"/>
                <w:lang w:val="zh-CN"/>
              </w:rPr>
            </w:pPr>
            <w:r>
              <w:rPr>
                <w:rFonts w:ascii="宋体" w:hAnsi="宋体" w:cs="Calibri" w:hint="eastAsia"/>
                <w:color w:val="000000"/>
                <w:szCs w:val="21"/>
              </w:rPr>
              <w:t>方德保险代理有限公司</w:t>
            </w:r>
          </w:p>
        </w:tc>
        <w:tc>
          <w:tcPr>
            <w:tcW w:w="5105" w:type="dxa"/>
          </w:tcPr>
          <w:p w14:paraId="0B122F85" w14:textId="77777777" w:rsidR="009A7A59" w:rsidRDefault="00000000">
            <w:pPr>
              <w:widowControl/>
              <w:snapToGrid w:val="0"/>
              <w:rPr>
                <w:rFonts w:ascii="宋体" w:hAnsi="宋体" w:cs="Calibri" w:hint="eastAsia"/>
                <w:bCs/>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北京市东城区崇文门外16号1幢8层802</w:t>
            </w:r>
          </w:p>
          <w:p w14:paraId="53B5C7AC" w14:textId="77777777" w:rsidR="009A7A59"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7FBA00D3" w14:textId="77777777" w:rsidR="009A7A59" w:rsidRDefault="00000000">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http://www.fundsure.cn/</w:t>
            </w:r>
          </w:p>
        </w:tc>
      </w:tr>
      <w:tr w:rsidR="009A7A59" w14:paraId="174DF7CC" w14:textId="77777777">
        <w:tc>
          <w:tcPr>
            <w:tcW w:w="738" w:type="dxa"/>
          </w:tcPr>
          <w:p w14:paraId="34684EBD" w14:textId="77777777" w:rsidR="009A7A59" w:rsidRDefault="00000000">
            <w:pPr>
              <w:rPr>
                <w:rFonts w:ascii="宋体" w:hAnsi="宋体" w:cs="宋体" w:hint="eastAsia"/>
                <w:szCs w:val="21"/>
              </w:rPr>
            </w:pPr>
            <w:r>
              <w:rPr>
                <w:rFonts w:ascii="宋体" w:hAnsi="宋体" w:cs="Arial" w:hint="eastAsia"/>
              </w:rPr>
              <w:t>19</w:t>
            </w:r>
          </w:p>
        </w:tc>
        <w:tc>
          <w:tcPr>
            <w:tcW w:w="2521" w:type="dxa"/>
          </w:tcPr>
          <w:p w14:paraId="20A1764A" w14:textId="77777777" w:rsidR="009A7A59" w:rsidRDefault="00000000">
            <w:pPr>
              <w:rPr>
                <w:rFonts w:ascii="宋体" w:hAnsi="宋体" w:cs="宋体" w:hint="eastAsia"/>
                <w:szCs w:val="21"/>
                <w:lang w:val="zh-CN"/>
              </w:rPr>
            </w:pPr>
            <w:r>
              <w:rPr>
                <w:rFonts w:ascii="宋体" w:hAnsi="宋体" w:cs="Calibri" w:hint="eastAsia"/>
                <w:color w:val="000000"/>
                <w:szCs w:val="21"/>
              </w:rPr>
              <w:t>民</w:t>
            </w:r>
            <w:proofErr w:type="gramStart"/>
            <w:r>
              <w:rPr>
                <w:rFonts w:ascii="宋体" w:hAnsi="宋体" w:cs="Calibri" w:hint="eastAsia"/>
                <w:color w:val="000000"/>
                <w:szCs w:val="21"/>
              </w:rPr>
              <w:t>商基金</w:t>
            </w:r>
            <w:proofErr w:type="gramEnd"/>
            <w:r>
              <w:rPr>
                <w:rFonts w:ascii="宋体" w:hAnsi="宋体" w:cs="Calibri" w:hint="eastAsia"/>
                <w:color w:val="000000"/>
                <w:szCs w:val="21"/>
              </w:rPr>
              <w:t>销售(上海)有限公司</w:t>
            </w:r>
          </w:p>
        </w:tc>
        <w:tc>
          <w:tcPr>
            <w:tcW w:w="5105" w:type="dxa"/>
          </w:tcPr>
          <w:p w14:paraId="6D43AF40" w14:textId="77777777" w:rsidR="009A7A59" w:rsidRDefault="00000000">
            <w:pPr>
              <w:widowControl/>
              <w:snapToGrid w:val="0"/>
              <w:rPr>
                <w:rFonts w:ascii="宋体" w:hAnsi="宋体" w:cs="Calibri" w:hint="eastAsia"/>
                <w:color w:val="000000"/>
                <w:szCs w:val="21"/>
              </w:rPr>
            </w:pPr>
            <w:r>
              <w:rPr>
                <w:rFonts w:ascii="宋体" w:hAnsi="宋体" w:cs="Calibri" w:hint="eastAsia"/>
                <w:color w:val="000000"/>
                <w:szCs w:val="21"/>
              </w:rPr>
              <w:t>注册(办公)地址：上海市浦东新区张扬路707号生命人寿大厦32楼</w:t>
            </w:r>
          </w:p>
          <w:p w14:paraId="58A71732" w14:textId="77777777" w:rsidR="009A7A59"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客户服务电话：021-50206003</w:t>
            </w:r>
          </w:p>
          <w:p w14:paraId="1D31B734" w14:textId="77777777" w:rsidR="009A7A59" w:rsidRDefault="00000000">
            <w:pPr>
              <w:widowControl/>
              <w:rPr>
                <w:rFonts w:ascii="宋体" w:hAnsi="宋体" w:cs="宋体" w:hint="eastAsia"/>
                <w:szCs w:val="21"/>
              </w:rPr>
            </w:pPr>
            <w:r>
              <w:rPr>
                <w:rFonts w:ascii="宋体" w:hAnsi="宋体" w:cs="Calibri" w:hint="eastAsia"/>
                <w:color w:val="000000"/>
                <w:szCs w:val="21"/>
              </w:rPr>
              <w:t>网址：http://www.msftec.com</w:t>
            </w:r>
          </w:p>
        </w:tc>
      </w:tr>
      <w:tr w:rsidR="009A7A59" w14:paraId="2A2EFF2F" w14:textId="77777777">
        <w:tc>
          <w:tcPr>
            <w:tcW w:w="738" w:type="dxa"/>
          </w:tcPr>
          <w:p w14:paraId="2527FF8A" w14:textId="77777777" w:rsidR="009A7A59" w:rsidRDefault="00000000">
            <w:pPr>
              <w:rPr>
                <w:rFonts w:ascii="宋体" w:hAnsi="宋体" w:cs="宋体" w:hint="eastAsia"/>
                <w:szCs w:val="21"/>
              </w:rPr>
            </w:pPr>
            <w:r>
              <w:rPr>
                <w:rFonts w:ascii="宋体" w:hAnsi="宋体" w:hint="eastAsia"/>
                <w:color w:val="000000"/>
              </w:rPr>
              <w:t>20</w:t>
            </w:r>
          </w:p>
        </w:tc>
        <w:tc>
          <w:tcPr>
            <w:tcW w:w="2521" w:type="dxa"/>
          </w:tcPr>
          <w:p w14:paraId="0A830DFA" w14:textId="77777777" w:rsidR="009A7A59" w:rsidRDefault="00000000">
            <w:pPr>
              <w:rPr>
                <w:rFonts w:ascii="宋体" w:hAnsi="宋体" w:cs="宋体" w:hint="eastAsia"/>
                <w:szCs w:val="21"/>
                <w:lang w:val="zh-CN"/>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w:t>
            </w:r>
            <w:r>
              <w:rPr>
                <w:rFonts w:ascii="宋体" w:hAnsi="宋体" w:cs="Calibri" w:hint="eastAsia"/>
                <w:color w:val="000000"/>
                <w:szCs w:val="21"/>
              </w:rPr>
              <w:lastRenderedPageBreak/>
              <w:t>公司</w:t>
            </w:r>
          </w:p>
        </w:tc>
        <w:tc>
          <w:tcPr>
            <w:tcW w:w="5105" w:type="dxa"/>
          </w:tcPr>
          <w:p w14:paraId="60BBF62D"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lastRenderedPageBreak/>
              <w:t>注册(办公)地址：辽宁省大连市沙河口区体坛路22号</w:t>
            </w:r>
            <w:r>
              <w:rPr>
                <w:rFonts w:ascii="宋体" w:hAnsi="宋体" w:cs="Calibri" w:hint="eastAsia"/>
                <w:color w:val="000000"/>
                <w:szCs w:val="21"/>
              </w:rPr>
              <w:lastRenderedPageBreak/>
              <w:t>诺德大厦2层202室</w:t>
            </w:r>
          </w:p>
          <w:p w14:paraId="25E00BB1"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客户服务电话：0411－39027807</w:t>
            </w:r>
          </w:p>
          <w:p w14:paraId="1F2D5BFF" w14:textId="77777777" w:rsidR="009A7A59" w:rsidRDefault="00000000">
            <w:pPr>
              <w:widowControl/>
              <w:rPr>
                <w:rFonts w:ascii="宋体" w:hAnsi="宋体" w:cs="宋体" w:hint="eastAsia"/>
                <w:szCs w:val="21"/>
                <w:lang w:val="zh-CN"/>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9A7A59" w14:paraId="456C96C3" w14:textId="77777777">
        <w:tc>
          <w:tcPr>
            <w:tcW w:w="738" w:type="dxa"/>
          </w:tcPr>
          <w:p w14:paraId="680074BB" w14:textId="77777777" w:rsidR="009A7A59" w:rsidRDefault="00000000">
            <w:pPr>
              <w:rPr>
                <w:rFonts w:ascii="宋体" w:hAnsi="宋体" w:cs="宋体" w:hint="eastAsia"/>
                <w:szCs w:val="21"/>
              </w:rPr>
            </w:pPr>
            <w:r>
              <w:rPr>
                <w:rFonts w:ascii="宋体" w:hAnsi="宋体" w:hint="eastAsia"/>
                <w:color w:val="000000"/>
              </w:rPr>
              <w:lastRenderedPageBreak/>
              <w:t>21</w:t>
            </w:r>
          </w:p>
        </w:tc>
        <w:tc>
          <w:tcPr>
            <w:tcW w:w="2521" w:type="dxa"/>
          </w:tcPr>
          <w:p w14:paraId="748B0EC9" w14:textId="77777777" w:rsidR="009A7A59" w:rsidRDefault="00000000">
            <w:pPr>
              <w:rPr>
                <w:rFonts w:ascii="宋体" w:hAnsi="宋体" w:cs="宋体" w:hint="eastAsia"/>
                <w:szCs w:val="21"/>
                <w:lang w:val="zh-CN"/>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105" w:type="dxa"/>
          </w:tcPr>
          <w:p w14:paraId="15C32198"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注册（办公）地址：深圳市罗湖区梨园路Halo广场4楼</w:t>
            </w:r>
          </w:p>
          <w:p w14:paraId="79EC7F55"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00DDEC26"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34" w:history="1">
              <w:r>
                <w:rPr>
                  <w:rFonts w:ascii="宋体" w:hAnsi="宋体" w:cs="Calibri"/>
                  <w:color w:val="000000"/>
                  <w:szCs w:val="21"/>
                </w:rPr>
                <w:t>www.zlfund.cn</w:t>
              </w:r>
            </w:hyperlink>
          </w:p>
          <w:p w14:paraId="5CB9227A" w14:textId="77777777" w:rsidR="009A7A59" w:rsidRDefault="00000000">
            <w:pPr>
              <w:widowControl/>
              <w:rPr>
                <w:rFonts w:ascii="宋体" w:hAnsi="宋体" w:cs="宋体" w:hint="eastAsia"/>
                <w:szCs w:val="21"/>
                <w:lang w:val="zh-CN"/>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35" w:history="1">
              <w:r>
                <w:rPr>
                  <w:rFonts w:ascii="宋体" w:hAnsi="宋体" w:cs="Calibri"/>
                  <w:color w:val="000000"/>
                  <w:szCs w:val="21"/>
                </w:rPr>
                <w:t>www.jjmmw.com</w:t>
              </w:r>
            </w:hyperlink>
          </w:p>
        </w:tc>
      </w:tr>
      <w:tr w:rsidR="009A7A59" w14:paraId="3BCA3BF8" w14:textId="77777777">
        <w:tc>
          <w:tcPr>
            <w:tcW w:w="738" w:type="dxa"/>
          </w:tcPr>
          <w:p w14:paraId="71E0801E" w14:textId="77777777" w:rsidR="009A7A59" w:rsidRDefault="00000000">
            <w:pPr>
              <w:rPr>
                <w:rFonts w:ascii="宋体" w:hAnsi="宋体" w:cs="宋体" w:hint="eastAsia"/>
                <w:szCs w:val="21"/>
              </w:rPr>
            </w:pPr>
            <w:r>
              <w:rPr>
                <w:rFonts w:ascii="宋体" w:hAnsi="宋体" w:cs="宋体" w:hint="eastAsia"/>
              </w:rPr>
              <w:t>22</w:t>
            </w:r>
          </w:p>
        </w:tc>
        <w:tc>
          <w:tcPr>
            <w:tcW w:w="2521" w:type="dxa"/>
          </w:tcPr>
          <w:p w14:paraId="4C9FF177" w14:textId="77777777" w:rsidR="009A7A59" w:rsidRDefault="00000000">
            <w:pPr>
              <w:rPr>
                <w:rFonts w:ascii="宋体" w:hAnsi="宋体" w:cs="宋体" w:hint="eastAsia"/>
                <w:szCs w:val="21"/>
                <w:lang w:val="zh-CN"/>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5105" w:type="dxa"/>
          </w:tcPr>
          <w:p w14:paraId="2EFF31BB" w14:textId="77777777" w:rsidR="009A7A59" w:rsidRDefault="00000000">
            <w:pPr>
              <w:widowControl/>
              <w:snapToGrid w:val="0"/>
              <w:rPr>
                <w:rFonts w:ascii="宋体" w:hAnsi="宋体" w:cs="Calibri" w:hint="eastAsia"/>
                <w:color w:val="000000"/>
                <w:szCs w:val="21"/>
              </w:rPr>
            </w:pPr>
            <w:r>
              <w:rPr>
                <w:rFonts w:ascii="宋体" w:hAnsi="宋体" w:cs="Calibri" w:hint="eastAsia"/>
                <w:color w:val="000000"/>
                <w:szCs w:val="21"/>
              </w:rPr>
              <w:t>注册（办公）地址：北京市朝阳区创远路34号院6号楼15层1501室</w:t>
            </w:r>
          </w:p>
          <w:p w14:paraId="0F23A210" w14:textId="77777777" w:rsidR="009A7A59"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650CEC18" w14:textId="77777777" w:rsidR="009A7A59" w:rsidRDefault="00000000">
            <w:pPr>
              <w:widowControl/>
              <w:rPr>
                <w:rFonts w:ascii="宋体" w:hAnsi="宋体" w:cs="宋体" w:hint="eastAsia"/>
                <w:szCs w:val="21"/>
              </w:rPr>
            </w:pPr>
            <w:r>
              <w:rPr>
                <w:rFonts w:ascii="宋体" w:hAnsi="宋体" w:cs="Calibri" w:hint="eastAsia"/>
                <w:color w:val="000000"/>
                <w:szCs w:val="21"/>
              </w:rPr>
              <w:t>网址：</w:t>
            </w:r>
            <w:hyperlink r:id="rId36" w:history="1">
              <w:r>
                <w:rPr>
                  <w:rFonts w:ascii="宋体" w:hAnsi="宋体" w:cs="Calibri"/>
                  <w:color w:val="000000"/>
                  <w:szCs w:val="21"/>
                </w:rPr>
                <w:t>http://danjuanapp.com/</w:t>
              </w:r>
            </w:hyperlink>
          </w:p>
        </w:tc>
      </w:tr>
      <w:tr w:rsidR="009A7A59" w14:paraId="7C331FEE" w14:textId="77777777">
        <w:tc>
          <w:tcPr>
            <w:tcW w:w="738" w:type="dxa"/>
          </w:tcPr>
          <w:p w14:paraId="586B7E78" w14:textId="77777777" w:rsidR="009A7A59" w:rsidRDefault="00000000">
            <w:pPr>
              <w:rPr>
                <w:rFonts w:ascii="宋体" w:hAnsi="宋体" w:cs="宋体" w:hint="eastAsia"/>
                <w:szCs w:val="21"/>
              </w:rPr>
            </w:pPr>
            <w:r>
              <w:rPr>
                <w:rFonts w:ascii="宋体" w:hAnsi="宋体" w:cs="宋体" w:hint="eastAsia"/>
              </w:rPr>
              <w:t>23</w:t>
            </w:r>
          </w:p>
        </w:tc>
        <w:tc>
          <w:tcPr>
            <w:tcW w:w="2521" w:type="dxa"/>
          </w:tcPr>
          <w:p w14:paraId="2EDFB895" w14:textId="77777777" w:rsidR="009A7A59" w:rsidRDefault="00000000">
            <w:pPr>
              <w:rPr>
                <w:rFonts w:ascii="宋体" w:hAnsi="宋体" w:cs="宋体" w:hint="eastAsia"/>
                <w:szCs w:val="21"/>
                <w:lang w:val="zh-CN"/>
              </w:rPr>
            </w:pPr>
            <w:r>
              <w:rPr>
                <w:rFonts w:ascii="宋体" w:hAnsi="宋体" w:cs="Calibri" w:hint="eastAsia"/>
                <w:bCs/>
                <w:color w:val="000000"/>
                <w:szCs w:val="21"/>
              </w:rPr>
              <w:t>中国人寿股份有限公司</w:t>
            </w:r>
          </w:p>
        </w:tc>
        <w:tc>
          <w:tcPr>
            <w:tcW w:w="5105" w:type="dxa"/>
          </w:tcPr>
          <w:p w14:paraId="57B8F0B0"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北京市西城区金融大街16号</w:t>
            </w:r>
          </w:p>
          <w:p w14:paraId="6CF6717E"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客户服务电话：9551</w:t>
            </w:r>
            <w:r>
              <w:rPr>
                <w:rFonts w:ascii="宋体" w:hAnsi="宋体" w:cs="Calibri"/>
                <w:color w:val="000000"/>
                <w:szCs w:val="21"/>
              </w:rPr>
              <w:t>9</w:t>
            </w:r>
          </w:p>
          <w:p w14:paraId="456CDBA5" w14:textId="77777777" w:rsidR="009A7A59" w:rsidRDefault="00000000">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www.e-chinalife.com</w:t>
            </w:r>
          </w:p>
        </w:tc>
      </w:tr>
      <w:tr w:rsidR="009A7A59" w14:paraId="05E767E9" w14:textId="77777777">
        <w:tc>
          <w:tcPr>
            <w:tcW w:w="738" w:type="dxa"/>
          </w:tcPr>
          <w:p w14:paraId="505CE93E" w14:textId="77777777" w:rsidR="009A7A59" w:rsidRDefault="00000000">
            <w:pPr>
              <w:rPr>
                <w:rFonts w:ascii="宋体" w:hAnsi="宋体" w:cs="宋体" w:hint="eastAsia"/>
                <w:szCs w:val="21"/>
              </w:rPr>
            </w:pPr>
            <w:r>
              <w:rPr>
                <w:rFonts w:ascii="宋体" w:hAnsi="宋体" w:hint="eastAsia"/>
                <w:color w:val="000000"/>
              </w:rPr>
              <w:t>24</w:t>
            </w:r>
          </w:p>
        </w:tc>
        <w:tc>
          <w:tcPr>
            <w:tcW w:w="2521" w:type="dxa"/>
          </w:tcPr>
          <w:p w14:paraId="176CCC10" w14:textId="77777777" w:rsidR="009A7A59" w:rsidRDefault="00000000">
            <w:pPr>
              <w:rPr>
                <w:rFonts w:ascii="宋体" w:hAnsi="宋体" w:cs="宋体" w:hint="eastAsia"/>
                <w:szCs w:val="21"/>
                <w:lang w:val="zh-CN"/>
              </w:rPr>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5105" w:type="dxa"/>
          </w:tcPr>
          <w:p w14:paraId="43DD41CD" w14:textId="77777777" w:rsidR="009A7A59" w:rsidRDefault="00000000">
            <w:pPr>
              <w:widowControl/>
              <w:snapToGrid w:val="0"/>
              <w:rPr>
                <w:rFonts w:ascii="宋体" w:hAnsi="宋体" w:cs="Calibri" w:hint="eastAsia"/>
                <w:color w:val="000000"/>
                <w:szCs w:val="21"/>
              </w:rPr>
            </w:pPr>
            <w:r>
              <w:rPr>
                <w:rFonts w:ascii="宋体" w:hAnsi="宋体" w:cs="Calibri" w:hint="eastAsia"/>
                <w:color w:val="000000"/>
                <w:szCs w:val="21"/>
              </w:rPr>
              <w:t>注册(办公)地址：深圳市前海深港合作区南山街道</w:t>
            </w:r>
            <w:proofErr w:type="gramStart"/>
            <w:r>
              <w:rPr>
                <w:rFonts w:ascii="宋体" w:hAnsi="宋体" w:cs="Calibri" w:hint="eastAsia"/>
                <w:color w:val="000000"/>
                <w:szCs w:val="21"/>
              </w:rPr>
              <w:t>自贸西街</w:t>
            </w:r>
            <w:proofErr w:type="gramEnd"/>
            <w:r>
              <w:rPr>
                <w:rFonts w:ascii="宋体" w:hAnsi="宋体" w:cs="Calibri" w:hint="eastAsia"/>
                <w:color w:val="000000"/>
                <w:szCs w:val="21"/>
              </w:rPr>
              <w:t>18号前海香缤大厦1105号-B016</w:t>
            </w:r>
          </w:p>
          <w:p w14:paraId="1A3233F6" w14:textId="77777777" w:rsidR="009A7A59"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14:paraId="130019B8" w14:textId="77777777" w:rsidR="009A7A59" w:rsidRDefault="00000000">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caiho.cn</w:t>
            </w:r>
          </w:p>
        </w:tc>
      </w:tr>
      <w:tr w:rsidR="009A7A59" w14:paraId="48D88D13" w14:textId="77777777">
        <w:tc>
          <w:tcPr>
            <w:tcW w:w="738" w:type="dxa"/>
          </w:tcPr>
          <w:p w14:paraId="198A14BD" w14:textId="77777777" w:rsidR="009A7A59" w:rsidRDefault="00000000">
            <w:pPr>
              <w:rPr>
                <w:rFonts w:ascii="宋体" w:hAnsi="宋体" w:cs="宋体" w:hint="eastAsia"/>
                <w:szCs w:val="21"/>
              </w:rPr>
            </w:pPr>
            <w:r>
              <w:rPr>
                <w:rFonts w:ascii="宋体" w:hAnsi="宋体" w:hint="eastAsia"/>
                <w:color w:val="000000"/>
              </w:rPr>
              <w:t>25</w:t>
            </w:r>
          </w:p>
        </w:tc>
        <w:tc>
          <w:tcPr>
            <w:tcW w:w="2521" w:type="dxa"/>
          </w:tcPr>
          <w:p w14:paraId="614A47E3" w14:textId="77777777" w:rsidR="009A7A59" w:rsidRDefault="00000000">
            <w:pPr>
              <w:rPr>
                <w:rFonts w:ascii="宋体" w:hAnsi="宋体" w:cs="宋体" w:hint="eastAsia"/>
                <w:szCs w:val="21"/>
                <w:lang w:val="zh-CN"/>
              </w:rPr>
            </w:pPr>
            <w:r>
              <w:rPr>
                <w:rFonts w:ascii="宋体" w:hAnsi="宋体" w:cs="Calibri" w:hint="eastAsia"/>
                <w:color w:val="000000"/>
                <w:szCs w:val="21"/>
              </w:rPr>
              <w:t>上海挖财基金销售有限公司</w:t>
            </w:r>
          </w:p>
        </w:tc>
        <w:tc>
          <w:tcPr>
            <w:tcW w:w="5105" w:type="dxa"/>
          </w:tcPr>
          <w:p w14:paraId="79B4B643"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新区杨</w:t>
            </w:r>
            <w:proofErr w:type="gramEnd"/>
            <w:r>
              <w:rPr>
                <w:rFonts w:ascii="宋体" w:hAnsi="宋体" w:cs="Calibri" w:hint="eastAsia"/>
                <w:color w:val="000000"/>
                <w:szCs w:val="21"/>
              </w:rPr>
              <w:t>高南路759号2号楼18层03单元</w:t>
            </w:r>
          </w:p>
          <w:p w14:paraId="24C130A3"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021-50810673</w:t>
            </w:r>
          </w:p>
          <w:p w14:paraId="2273A047" w14:textId="77777777" w:rsidR="009A7A59" w:rsidRDefault="00000000">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 </w:t>
            </w:r>
            <w:hyperlink r:id="rId37" w:history="1">
              <w:r>
                <w:rPr>
                  <w:rFonts w:ascii="宋体" w:hAnsi="宋体" w:cs="Calibri"/>
                  <w:color w:val="000000"/>
                  <w:szCs w:val="21"/>
                </w:rPr>
                <w:t>www.wacaijijin.com</w:t>
              </w:r>
            </w:hyperlink>
          </w:p>
        </w:tc>
      </w:tr>
      <w:tr w:rsidR="009A7A59" w14:paraId="054E2AEF" w14:textId="77777777">
        <w:tc>
          <w:tcPr>
            <w:tcW w:w="738" w:type="dxa"/>
          </w:tcPr>
          <w:p w14:paraId="36A8DE1B" w14:textId="77777777" w:rsidR="009A7A59" w:rsidRDefault="00000000">
            <w:pPr>
              <w:rPr>
                <w:rFonts w:ascii="宋体" w:hAnsi="宋体" w:cs="宋体" w:hint="eastAsia"/>
                <w:szCs w:val="21"/>
              </w:rPr>
            </w:pPr>
            <w:r>
              <w:rPr>
                <w:rFonts w:ascii="宋体" w:hAnsi="宋体" w:hint="eastAsia"/>
                <w:color w:val="000000"/>
              </w:rPr>
              <w:t>26</w:t>
            </w:r>
          </w:p>
        </w:tc>
        <w:tc>
          <w:tcPr>
            <w:tcW w:w="2521" w:type="dxa"/>
          </w:tcPr>
          <w:p w14:paraId="075D813D" w14:textId="77777777" w:rsidR="009A7A59" w:rsidRDefault="00000000">
            <w:pPr>
              <w:rPr>
                <w:rFonts w:ascii="宋体" w:hAnsi="宋体" w:cs="宋体" w:hint="eastAsia"/>
                <w:szCs w:val="21"/>
                <w:lang w:val="zh-CN"/>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105" w:type="dxa"/>
          </w:tcPr>
          <w:p w14:paraId="2933A2F4"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w:t>
            </w:r>
            <w:proofErr w:type="gramStart"/>
            <w:r>
              <w:rPr>
                <w:rFonts w:ascii="宋体" w:hAnsi="宋体" w:cs="Calibri" w:hint="eastAsia"/>
                <w:color w:val="000000"/>
                <w:szCs w:val="21"/>
              </w:rPr>
              <w:t>闵行区申滨南路</w:t>
            </w:r>
            <w:proofErr w:type="gramEnd"/>
            <w:r>
              <w:rPr>
                <w:rFonts w:ascii="宋体" w:hAnsi="宋体" w:cs="Calibri" w:hint="eastAsia"/>
                <w:color w:val="000000"/>
                <w:szCs w:val="21"/>
              </w:rPr>
              <w:t>1226号诺亚财富中心</w:t>
            </w:r>
          </w:p>
          <w:p w14:paraId="3CFF4168"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277D19A9" w14:textId="77777777" w:rsidR="009A7A59" w:rsidRDefault="00000000">
            <w:pPr>
              <w:widowControl/>
              <w:rPr>
                <w:rFonts w:ascii="宋体" w:hAnsi="宋体" w:cs="宋体" w:hint="eastAsia"/>
                <w:szCs w:val="21"/>
              </w:rPr>
            </w:pPr>
            <w:r>
              <w:rPr>
                <w:rFonts w:ascii="宋体" w:hAnsi="宋体" w:cs="Calibri" w:hint="eastAsia"/>
                <w:color w:val="000000"/>
                <w:szCs w:val="21"/>
              </w:rPr>
              <w:t>网址：www.noah-fund.com</w:t>
            </w:r>
          </w:p>
        </w:tc>
      </w:tr>
      <w:tr w:rsidR="009A7A59" w14:paraId="793ED011" w14:textId="77777777">
        <w:tc>
          <w:tcPr>
            <w:tcW w:w="738" w:type="dxa"/>
          </w:tcPr>
          <w:p w14:paraId="22D1D1B1" w14:textId="77777777" w:rsidR="009A7A59" w:rsidRDefault="00000000">
            <w:pPr>
              <w:rPr>
                <w:rFonts w:ascii="宋体" w:hAnsi="宋体" w:cs="宋体" w:hint="eastAsia"/>
                <w:szCs w:val="21"/>
              </w:rPr>
            </w:pPr>
            <w:r>
              <w:rPr>
                <w:rFonts w:ascii="宋体" w:hAnsi="宋体" w:hint="eastAsia"/>
                <w:color w:val="000000"/>
              </w:rPr>
              <w:t>27</w:t>
            </w:r>
          </w:p>
        </w:tc>
        <w:tc>
          <w:tcPr>
            <w:tcW w:w="2521" w:type="dxa"/>
          </w:tcPr>
          <w:p w14:paraId="666635FC" w14:textId="77777777" w:rsidR="009A7A59" w:rsidRDefault="00000000">
            <w:pPr>
              <w:rPr>
                <w:rFonts w:ascii="宋体" w:hAnsi="宋体" w:cs="宋体" w:hint="eastAsia"/>
                <w:szCs w:val="21"/>
                <w:lang w:val="zh-CN"/>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105" w:type="dxa"/>
          </w:tcPr>
          <w:p w14:paraId="7A31F7B5"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注册（办公）地址：上海市黄浦区延安东路1号</w:t>
            </w:r>
            <w:proofErr w:type="gramStart"/>
            <w:r>
              <w:rPr>
                <w:rFonts w:ascii="宋体" w:hAnsi="宋体" w:cs="Calibri" w:hint="eastAsia"/>
                <w:color w:val="000000"/>
                <w:szCs w:val="21"/>
              </w:rPr>
              <w:t>凯</w:t>
            </w:r>
            <w:proofErr w:type="gramEnd"/>
            <w:r>
              <w:rPr>
                <w:rFonts w:ascii="宋体" w:hAnsi="宋体" w:cs="Calibri" w:hint="eastAsia"/>
                <w:color w:val="000000"/>
                <w:szCs w:val="21"/>
              </w:rPr>
              <w:t>石大厦</w:t>
            </w:r>
          </w:p>
          <w:p w14:paraId="69F8E1EC"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6433389</w:t>
            </w:r>
          </w:p>
          <w:p w14:paraId="0C000EA7" w14:textId="77777777" w:rsidR="009A7A59" w:rsidRDefault="00000000">
            <w:pPr>
              <w:widowControl/>
              <w:rPr>
                <w:rFonts w:ascii="宋体" w:hAnsi="宋体" w:cs="宋体" w:hint="eastAsia"/>
                <w:szCs w:val="21"/>
              </w:rPr>
            </w:pPr>
            <w:r>
              <w:rPr>
                <w:rFonts w:ascii="宋体" w:hAnsi="宋体" w:cs="Calibri" w:hint="eastAsia"/>
                <w:color w:val="000000"/>
                <w:szCs w:val="21"/>
              </w:rPr>
              <w:t>网址：</w:t>
            </w:r>
            <w:hyperlink r:id="rId38" w:history="1">
              <w:r>
                <w:rPr>
                  <w:rFonts w:ascii="宋体" w:hAnsi="宋体" w:cs="Calibri" w:hint="eastAsia"/>
                  <w:color w:val="000000"/>
                </w:rPr>
                <w:t>www.vstonewealth.com</w:t>
              </w:r>
            </w:hyperlink>
          </w:p>
        </w:tc>
      </w:tr>
      <w:tr w:rsidR="009A7A59" w14:paraId="286B3D2B" w14:textId="77777777">
        <w:tc>
          <w:tcPr>
            <w:tcW w:w="738" w:type="dxa"/>
          </w:tcPr>
          <w:p w14:paraId="79C10D3D" w14:textId="77777777" w:rsidR="009A7A59" w:rsidRDefault="00000000">
            <w:pPr>
              <w:rPr>
                <w:rFonts w:ascii="宋体" w:hAnsi="宋体" w:cs="宋体" w:hint="eastAsia"/>
                <w:szCs w:val="21"/>
              </w:rPr>
            </w:pPr>
            <w:r>
              <w:rPr>
                <w:rFonts w:ascii="宋体" w:hAnsi="宋体" w:hint="eastAsia"/>
                <w:color w:val="000000"/>
              </w:rPr>
              <w:t>28</w:t>
            </w:r>
          </w:p>
        </w:tc>
        <w:tc>
          <w:tcPr>
            <w:tcW w:w="2521" w:type="dxa"/>
          </w:tcPr>
          <w:p w14:paraId="7E25E11B" w14:textId="77777777" w:rsidR="009A7A59" w:rsidRDefault="00000000">
            <w:pPr>
              <w:rPr>
                <w:rFonts w:ascii="宋体" w:hAnsi="宋体" w:cs="宋体" w:hint="eastAsia"/>
                <w:szCs w:val="21"/>
                <w:lang w:val="zh-CN"/>
              </w:rPr>
            </w:pPr>
            <w:proofErr w:type="gramStart"/>
            <w:r>
              <w:rPr>
                <w:rFonts w:hint="eastAsia"/>
              </w:rPr>
              <w:t>泰信财富</w:t>
            </w:r>
            <w:proofErr w:type="gramEnd"/>
            <w:r>
              <w:rPr>
                <w:rFonts w:hint="eastAsia"/>
              </w:rPr>
              <w:t>基金销售有限公司</w:t>
            </w:r>
          </w:p>
        </w:tc>
        <w:tc>
          <w:tcPr>
            <w:tcW w:w="5105" w:type="dxa"/>
          </w:tcPr>
          <w:p w14:paraId="0E39C412" w14:textId="77777777" w:rsidR="009A7A59" w:rsidRDefault="00000000">
            <w:pPr>
              <w:pStyle w:val="a9"/>
              <w:jc w:val="both"/>
            </w:pPr>
            <w:r>
              <w:rPr>
                <w:rFonts w:ascii="宋体" w:hAnsi="宋体" w:cs="Calibri" w:hint="eastAsia"/>
                <w:color w:val="000000"/>
                <w:szCs w:val="21"/>
              </w:rPr>
              <w:t>注册（办公）地址：</w:t>
            </w:r>
            <w:r>
              <w:rPr>
                <w:rFonts w:hint="eastAsia"/>
              </w:rPr>
              <w:t>北京市朝阳区建国</w:t>
            </w:r>
            <w:proofErr w:type="gramStart"/>
            <w:r>
              <w:rPr>
                <w:rFonts w:hint="eastAsia"/>
              </w:rPr>
              <w:t>路乙</w:t>
            </w:r>
            <w:r>
              <w:rPr>
                <w:rFonts w:hint="eastAsia"/>
              </w:rPr>
              <w:t>118</w:t>
            </w:r>
            <w:r>
              <w:rPr>
                <w:rFonts w:hint="eastAsia"/>
              </w:rPr>
              <w:t>号京汇</w:t>
            </w:r>
            <w:proofErr w:type="gramEnd"/>
            <w:r>
              <w:rPr>
                <w:rFonts w:hint="eastAsia"/>
              </w:rPr>
              <w:t>大厦</w:t>
            </w:r>
            <w:r>
              <w:rPr>
                <w:rFonts w:hint="eastAsia"/>
              </w:rPr>
              <w:t>1206</w:t>
            </w:r>
          </w:p>
          <w:p w14:paraId="5923925F" w14:textId="77777777" w:rsidR="009A7A59" w:rsidRDefault="00000000">
            <w:pPr>
              <w:pStyle w:val="a9"/>
              <w:jc w:val="both"/>
            </w:pPr>
            <w:r>
              <w:t>客户服务电话：</w:t>
            </w:r>
            <w:r>
              <w:t xml:space="preserve">400-004-8821 </w:t>
            </w:r>
          </w:p>
          <w:p w14:paraId="44B32A51" w14:textId="77777777" w:rsidR="009A7A59" w:rsidRDefault="00000000">
            <w:pPr>
              <w:widowControl/>
              <w:rPr>
                <w:rFonts w:ascii="宋体" w:hAnsi="宋体" w:cs="宋体" w:hint="eastAsia"/>
                <w:szCs w:val="21"/>
              </w:rPr>
            </w:pPr>
            <w:r>
              <w:t>网址：</w:t>
            </w:r>
            <w:hyperlink r:id="rId39" w:history="1">
              <w:r>
                <w:rPr>
                  <w:rStyle w:val="affb"/>
                </w:rPr>
                <w:t>www.taixincf.com</w:t>
              </w:r>
            </w:hyperlink>
          </w:p>
        </w:tc>
      </w:tr>
      <w:tr w:rsidR="009A7A59" w14:paraId="59C271B6" w14:textId="77777777">
        <w:tc>
          <w:tcPr>
            <w:tcW w:w="738" w:type="dxa"/>
          </w:tcPr>
          <w:p w14:paraId="351668FF" w14:textId="77777777" w:rsidR="009A7A59" w:rsidRDefault="00000000">
            <w:pPr>
              <w:rPr>
                <w:rFonts w:ascii="宋体" w:hAnsi="宋体" w:cs="宋体" w:hint="eastAsia"/>
                <w:szCs w:val="21"/>
              </w:rPr>
            </w:pPr>
            <w:r>
              <w:rPr>
                <w:rFonts w:ascii="宋体" w:hAnsi="宋体" w:hint="eastAsia"/>
                <w:color w:val="000000"/>
              </w:rPr>
              <w:t>29</w:t>
            </w:r>
          </w:p>
        </w:tc>
        <w:tc>
          <w:tcPr>
            <w:tcW w:w="2521" w:type="dxa"/>
          </w:tcPr>
          <w:p w14:paraId="37C6D854" w14:textId="77777777" w:rsidR="009A7A59" w:rsidRDefault="00000000">
            <w:pPr>
              <w:rPr>
                <w:rFonts w:ascii="宋体" w:hAnsi="宋体" w:cs="宋体" w:hint="eastAsia"/>
                <w:szCs w:val="21"/>
                <w:lang w:val="zh-CN"/>
              </w:rPr>
            </w:pPr>
            <w:r>
              <w:rPr>
                <w:rFonts w:ascii="宋体" w:hAnsi="宋体" w:cs="Calibri" w:hint="eastAsia"/>
                <w:color w:val="000000"/>
                <w:szCs w:val="21"/>
              </w:rPr>
              <w:t>上海利得基金销售有限公司</w:t>
            </w:r>
          </w:p>
        </w:tc>
        <w:tc>
          <w:tcPr>
            <w:tcW w:w="5105" w:type="dxa"/>
          </w:tcPr>
          <w:p w14:paraId="6265D240"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注册（办公）地址：上海市虹口区东大名路1098号浦江国际金融广场53楼</w:t>
            </w:r>
          </w:p>
          <w:p w14:paraId="773FC2E1"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400-032-5885</w:t>
            </w:r>
          </w:p>
          <w:p w14:paraId="64242593" w14:textId="77777777" w:rsidR="009A7A59" w:rsidRDefault="00000000">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www.leadfund.com.cn</w:t>
            </w:r>
          </w:p>
        </w:tc>
      </w:tr>
      <w:tr w:rsidR="009A7A59" w14:paraId="62E0BCAC" w14:textId="77777777">
        <w:tc>
          <w:tcPr>
            <w:tcW w:w="738" w:type="dxa"/>
          </w:tcPr>
          <w:p w14:paraId="13912FE2" w14:textId="77777777" w:rsidR="009A7A59" w:rsidRDefault="00000000">
            <w:pPr>
              <w:rPr>
                <w:rFonts w:ascii="宋体" w:hAnsi="宋体" w:cs="宋体" w:hint="eastAsia"/>
                <w:szCs w:val="21"/>
              </w:rPr>
            </w:pPr>
            <w:r>
              <w:rPr>
                <w:rFonts w:ascii="宋体" w:hAnsi="宋体" w:hint="eastAsia"/>
                <w:color w:val="000000"/>
              </w:rPr>
              <w:t>30</w:t>
            </w:r>
          </w:p>
        </w:tc>
        <w:tc>
          <w:tcPr>
            <w:tcW w:w="2521" w:type="dxa"/>
          </w:tcPr>
          <w:p w14:paraId="43E69FA2" w14:textId="77777777" w:rsidR="009A7A59" w:rsidRDefault="00000000">
            <w:pPr>
              <w:rPr>
                <w:rFonts w:ascii="宋体" w:hAnsi="宋体" w:cs="宋体" w:hint="eastAsia"/>
                <w:szCs w:val="21"/>
                <w:lang w:val="zh-CN"/>
              </w:rPr>
            </w:pPr>
            <w:r>
              <w:rPr>
                <w:rFonts w:ascii="宋体" w:hAnsi="宋体" w:cs="Calibri" w:hint="eastAsia"/>
                <w:color w:val="000000"/>
                <w:szCs w:val="21"/>
              </w:rPr>
              <w:t>南京苏宁基金销售有限公司</w:t>
            </w:r>
          </w:p>
        </w:tc>
        <w:tc>
          <w:tcPr>
            <w:tcW w:w="5105" w:type="dxa"/>
          </w:tcPr>
          <w:p w14:paraId="0186DBFA"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2DB1BC4B"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1691651D" w14:textId="77777777" w:rsidR="009A7A59" w:rsidRDefault="00000000">
            <w:pPr>
              <w:widowControl/>
              <w:rPr>
                <w:rFonts w:ascii="宋体" w:hAnsi="宋体" w:cs="宋体" w:hint="eastAsia"/>
                <w:szCs w:val="21"/>
              </w:rPr>
            </w:pPr>
            <w:r>
              <w:rPr>
                <w:rFonts w:ascii="宋体" w:hAnsi="宋体" w:cs="Calibri" w:hint="eastAsia"/>
                <w:color w:val="000000"/>
                <w:szCs w:val="21"/>
              </w:rPr>
              <w:t>网址：</w:t>
            </w:r>
            <w:hyperlink r:id="rId40" w:history="1">
              <w:r>
                <w:rPr>
                  <w:color w:val="000000"/>
                </w:rPr>
                <w:t>www.snjijin</w:t>
              </w:r>
            </w:hyperlink>
            <w:r>
              <w:rPr>
                <w:rFonts w:ascii="宋体" w:hAnsi="宋体" w:cs="Calibri" w:hint="eastAsia"/>
                <w:color w:val="000000"/>
                <w:szCs w:val="21"/>
              </w:rPr>
              <w:t>.com</w:t>
            </w:r>
          </w:p>
        </w:tc>
      </w:tr>
      <w:tr w:rsidR="009A7A59" w14:paraId="56BEE0E6" w14:textId="77777777">
        <w:tc>
          <w:tcPr>
            <w:tcW w:w="738" w:type="dxa"/>
          </w:tcPr>
          <w:p w14:paraId="62B2FE58" w14:textId="77777777" w:rsidR="009A7A59" w:rsidRDefault="00000000">
            <w:pPr>
              <w:rPr>
                <w:rFonts w:ascii="宋体" w:hAnsi="宋体" w:cs="宋体" w:hint="eastAsia"/>
                <w:szCs w:val="21"/>
              </w:rPr>
            </w:pPr>
            <w:r>
              <w:rPr>
                <w:rFonts w:ascii="宋体" w:hAnsi="宋体" w:hint="eastAsia"/>
                <w:color w:val="000000"/>
              </w:rPr>
              <w:t>31</w:t>
            </w:r>
          </w:p>
        </w:tc>
        <w:tc>
          <w:tcPr>
            <w:tcW w:w="2521" w:type="dxa"/>
          </w:tcPr>
          <w:p w14:paraId="07D44EB0" w14:textId="77777777" w:rsidR="009A7A59" w:rsidRDefault="00000000">
            <w:pPr>
              <w:rPr>
                <w:rFonts w:ascii="宋体" w:hAnsi="宋体" w:cs="宋体" w:hint="eastAsia"/>
                <w:szCs w:val="21"/>
                <w:lang w:val="zh-CN"/>
              </w:rPr>
            </w:pPr>
            <w:r>
              <w:rPr>
                <w:rFonts w:ascii="宋体" w:hAnsi="宋体" w:cs="Calibri" w:hint="eastAsia"/>
                <w:color w:val="000000"/>
                <w:szCs w:val="21"/>
              </w:rPr>
              <w:t>中证金牛（北京）投资咨询有限公司</w:t>
            </w:r>
          </w:p>
        </w:tc>
        <w:tc>
          <w:tcPr>
            <w:tcW w:w="5105" w:type="dxa"/>
          </w:tcPr>
          <w:p w14:paraId="76DB6BCF"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 :北京市宣武门外大街甲1号</w:t>
            </w:r>
            <w:proofErr w:type="gramStart"/>
            <w:r>
              <w:rPr>
                <w:rFonts w:ascii="宋体" w:hAnsi="宋体" w:cs="Calibri" w:hint="eastAsia"/>
                <w:color w:val="000000"/>
                <w:szCs w:val="21"/>
              </w:rPr>
              <w:t>环球财讯中心</w:t>
            </w:r>
            <w:proofErr w:type="gramEnd"/>
            <w:r>
              <w:rPr>
                <w:rFonts w:ascii="宋体" w:hAnsi="宋体" w:cs="Calibri" w:hint="eastAsia"/>
                <w:color w:val="000000"/>
                <w:szCs w:val="21"/>
              </w:rPr>
              <w:t>A座4层</w:t>
            </w:r>
          </w:p>
          <w:p w14:paraId="5AC3D50A"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客户服务电话：4008-909-998</w:t>
            </w:r>
          </w:p>
          <w:p w14:paraId="25D0CFC1" w14:textId="77777777" w:rsidR="009A7A59" w:rsidRDefault="00000000">
            <w:pPr>
              <w:widowControl/>
              <w:rPr>
                <w:rFonts w:ascii="宋体" w:hAnsi="宋体" w:cs="宋体" w:hint="eastAsia"/>
                <w:szCs w:val="21"/>
              </w:rPr>
            </w:pPr>
            <w:r>
              <w:rPr>
                <w:rFonts w:ascii="宋体" w:hAnsi="宋体" w:cs="Calibri" w:hint="eastAsia"/>
                <w:color w:val="000000"/>
                <w:szCs w:val="21"/>
              </w:rPr>
              <w:t>网址：www.jnlc.com</w:t>
            </w:r>
          </w:p>
        </w:tc>
      </w:tr>
      <w:tr w:rsidR="009A7A59" w14:paraId="407EA691" w14:textId="77777777">
        <w:tc>
          <w:tcPr>
            <w:tcW w:w="738" w:type="dxa"/>
          </w:tcPr>
          <w:p w14:paraId="73C6C3D3" w14:textId="77777777" w:rsidR="009A7A59" w:rsidRDefault="00000000">
            <w:pPr>
              <w:rPr>
                <w:rFonts w:ascii="宋体" w:hAnsi="宋体" w:cs="宋体" w:hint="eastAsia"/>
                <w:szCs w:val="21"/>
              </w:rPr>
            </w:pPr>
            <w:r>
              <w:rPr>
                <w:rFonts w:ascii="宋体" w:hAnsi="宋体" w:hint="eastAsia"/>
                <w:color w:val="000000"/>
              </w:rPr>
              <w:t>32</w:t>
            </w:r>
          </w:p>
        </w:tc>
        <w:tc>
          <w:tcPr>
            <w:tcW w:w="2521" w:type="dxa"/>
          </w:tcPr>
          <w:p w14:paraId="2B53618D" w14:textId="77777777" w:rsidR="009A7A59" w:rsidRDefault="00000000">
            <w:pPr>
              <w:rPr>
                <w:rFonts w:ascii="宋体" w:hAnsi="宋体" w:cs="宋体" w:hint="eastAsia"/>
                <w:szCs w:val="21"/>
                <w:lang w:val="zh-CN"/>
              </w:rPr>
            </w:pPr>
            <w:r>
              <w:rPr>
                <w:rFonts w:ascii="宋体" w:hAnsi="宋体" w:cs="Calibri" w:hint="eastAsia"/>
                <w:color w:val="000000"/>
                <w:szCs w:val="21"/>
              </w:rPr>
              <w:t>江苏汇林保大基金销售有限公司</w:t>
            </w:r>
          </w:p>
        </w:tc>
        <w:tc>
          <w:tcPr>
            <w:tcW w:w="5105" w:type="dxa"/>
          </w:tcPr>
          <w:p w14:paraId="38D22747"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 :南京市高淳区经济开发区古檀大道47号</w:t>
            </w:r>
          </w:p>
          <w:p w14:paraId="7139AC73"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4C99B9ED" w14:textId="77777777" w:rsidR="009A7A59" w:rsidRDefault="00000000">
            <w:pPr>
              <w:widowControl/>
              <w:rPr>
                <w:rFonts w:ascii="宋体" w:hAnsi="宋体" w:cs="宋体" w:hint="eastAsia"/>
                <w:szCs w:val="21"/>
              </w:rPr>
            </w:pPr>
            <w:r>
              <w:rPr>
                <w:rFonts w:ascii="宋体" w:hAnsi="宋体" w:cs="Calibri" w:hint="eastAsia"/>
                <w:color w:val="000000"/>
                <w:szCs w:val="21"/>
              </w:rPr>
              <w:t>网址：www.huilinbd.com</w:t>
            </w:r>
          </w:p>
        </w:tc>
      </w:tr>
      <w:tr w:rsidR="009A7A59" w14:paraId="5D7F0A26" w14:textId="77777777">
        <w:tc>
          <w:tcPr>
            <w:tcW w:w="738" w:type="dxa"/>
          </w:tcPr>
          <w:p w14:paraId="55C8F0FA" w14:textId="77777777" w:rsidR="009A7A59" w:rsidRDefault="00000000">
            <w:pPr>
              <w:rPr>
                <w:rFonts w:ascii="宋体" w:hAnsi="宋体" w:cs="宋体" w:hint="eastAsia"/>
                <w:szCs w:val="21"/>
              </w:rPr>
            </w:pPr>
            <w:r>
              <w:rPr>
                <w:rFonts w:ascii="宋体" w:hAnsi="宋体" w:hint="eastAsia"/>
                <w:color w:val="000000"/>
              </w:rPr>
              <w:lastRenderedPageBreak/>
              <w:t>33</w:t>
            </w:r>
          </w:p>
        </w:tc>
        <w:tc>
          <w:tcPr>
            <w:tcW w:w="2521" w:type="dxa"/>
          </w:tcPr>
          <w:p w14:paraId="18D17AAB" w14:textId="77777777" w:rsidR="009A7A59" w:rsidRDefault="00000000">
            <w:pPr>
              <w:rPr>
                <w:rFonts w:ascii="宋体" w:hAnsi="宋体" w:cs="宋体" w:hint="eastAsia"/>
                <w:szCs w:val="21"/>
                <w:lang w:val="zh-CN"/>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105" w:type="dxa"/>
          </w:tcPr>
          <w:p w14:paraId="375BAF6A"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 :中国（上海）自由贸易试验区张杨路7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53653F50"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6E3AB6AD" w14:textId="77777777" w:rsidR="009A7A59" w:rsidRDefault="00000000">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www.licaimofang.cn</w:t>
            </w:r>
          </w:p>
        </w:tc>
      </w:tr>
      <w:tr w:rsidR="009A7A59" w14:paraId="29FC8DFA" w14:textId="77777777">
        <w:tc>
          <w:tcPr>
            <w:tcW w:w="738" w:type="dxa"/>
          </w:tcPr>
          <w:p w14:paraId="6DB54505" w14:textId="77777777" w:rsidR="009A7A59" w:rsidRDefault="00000000">
            <w:pPr>
              <w:rPr>
                <w:rFonts w:ascii="宋体" w:hAnsi="宋体" w:cs="宋体" w:hint="eastAsia"/>
                <w:szCs w:val="21"/>
              </w:rPr>
            </w:pPr>
            <w:r>
              <w:rPr>
                <w:rFonts w:ascii="宋体" w:hAnsi="宋体" w:hint="eastAsia"/>
                <w:color w:val="000000"/>
              </w:rPr>
              <w:t>34</w:t>
            </w:r>
          </w:p>
        </w:tc>
        <w:tc>
          <w:tcPr>
            <w:tcW w:w="2521" w:type="dxa"/>
          </w:tcPr>
          <w:p w14:paraId="5E25BC43" w14:textId="77777777" w:rsidR="009A7A59" w:rsidRDefault="00000000">
            <w:pPr>
              <w:rPr>
                <w:rFonts w:ascii="宋体" w:hAnsi="宋体" w:cs="宋体" w:hint="eastAsia"/>
                <w:szCs w:val="21"/>
                <w:lang w:val="zh-CN"/>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105" w:type="dxa"/>
          </w:tcPr>
          <w:p w14:paraId="68B44276"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注册(办公)地址 :北京市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666686D3"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064F4451" w14:textId="77777777" w:rsidR="009A7A59" w:rsidRDefault="00000000">
            <w:pPr>
              <w:widowControl/>
              <w:rPr>
                <w:rFonts w:ascii="宋体" w:hAnsi="宋体" w:cs="宋体" w:hint="eastAsia"/>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9A7A59" w14:paraId="6AAE0F22" w14:textId="77777777">
        <w:tc>
          <w:tcPr>
            <w:tcW w:w="738" w:type="dxa"/>
          </w:tcPr>
          <w:p w14:paraId="58DF6C49" w14:textId="77777777" w:rsidR="009A7A59" w:rsidRDefault="00000000">
            <w:pPr>
              <w:rPr>
                <w:rFonts w:ascii="宋体" w:hAnsi="宋体" w:hint="eastAsia"/>
                <w:color w:val="000000"/>
              </w:rPr>
            </w:pPr>
            <w:r>
              <w:rPr>
                <w:rFonts w:ascii="宋体" w:hAnsi="宋体" w:hint="eastAsia"/>
                <w:color w:val="000000"/>
              </w:rPr>
              <w:t>35</w:t>
            </w:r>
          </w:p>
        </w:tc>
        <w:tc>
          <w:tcPr>
            <w:tcW w:w="2521" w:type="dxa"/>
          </w:tcPr>
          <w:p w14:paraId="0E4A1CC4" w14:textId="77777777" w:rsidR="009A7A59" w:rsidRDefault="00000000">
            <w:pPr>
              <w:rPr>
                <w:rFonts w:ascii="宋体" w:hAnsi="宋体" w:cs="Calibri" w:hint="eastAsia"/>
                <w:bCs/>
                <w:color w:val="000000"/>
                <w:szCs w:val="21"/>
              </w:rPr>
            </w:pPr>
            <w:proofErr w:type="gramStart"/>
            <w:r>
              <w:rPr>
                <w:rFonts w:ascii="宋体" w:hAnsi="宋体" w:cs="Calibri" w:hint="eastAsia"/>
                <w:color w:val="000000"/>
                <w:szCs w:val="21"/>
              </w:rPr>
              <w:t>和耕传承</w:t>
            </w:r>
            <w:proofErr w:type="gramEnd"/>
            <w:r>
              <w:rPr>
                <w:rFonts w:ascii="宋体" w:hAnsi="宋体" w:cs="Calibri" w:hint="eastAsia"/>
                <w:color w:val="000000"/>
                <w:szCs w:val="21"/>
              </w:rPr>
              <w:t>基金销售有限公司</w:t>
            </w:r>
          </w:p>
        </w:tc>
        <w:tc>
          <w:tcPr>
            <w:tcW w:w="5105" w:type="dxa"/>
          </w:tcPr>
          <w:p w14:paraId="4C3E426D" w14:textId="77777777" w:rsidR="009A7A59" w:rsidRDefault="00000000">
            <w:pPr>
              <w:rPr>
                <w:rFonts w:ascii="宋体" w:hAnsi="宋体" w:cs="Calibri" w:hint="eastAsia"/>
                <w:color w:val="000000"/>
                <w:szCs w:val="21"/>
              </w:rPr>
            </w:pPr>
            <w:r>
              <w:rPr>
                <w:rFonts w:ascii="宋体" w:hAnsi="宋体" w:cs="Calibri" w:hint="eastAsia"/>
                <w:color w:val="000000"/>
                <w:szCs w:val="21"/>
              </w:rPr>
              <w:t>注册（办公）地址：河南自贸试验区郑州片区（郑东）东风南路东康宁街北6号楼5楼503</w:t>
            </w:r>
          </w:p>
          <w:p w14:paraId="0B87246C"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5A8CE806" w14:textId="77777777" w:rsidR="009A7A59" w:rsidRDefault="00000000">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https://www.hgccpb.com/</w:t>
            </w:r>
          </w:p>
        </w:tc>
      </w:tr>
      <w:tr w:rsidR="009A7A59" w14:paraId="50A7EF26" w14:textId="77777777">
        <w:tc>
          <w:tcPr>
            <w:tcW w:w="738" w:type="dxa"/>
          </w:tcPr>
          <w:p w14:paraId="32878D34" w14:textId="77777777" w:rsidR="009A7A59" w:rsidRDefault="00000000">
            <w:pPr>
              <w:rPr>
                <w:rFonts w:ascii="宋体" w:hAnsi="宋体" w:hint="eastAsia"/>
                <w:color w:val="000000"/>
              </w:rPr>
            </w:pPr>
            <w:r>
              <w:rPr>
                <w:rFonts w:ascii="宋体" w:hAnsi="宋体" w:hint="eastAsia"/>
                <w:color w:val="000000"/>
              </w:rPr>
              <w:t>36</w:t>
            </w:r>
          </w:p>
        </w:tc>
        <w:tc>
          <w:tcPr>
            <w:tcW w:w="2521" w:type="dxa"/>
          </w:tcPr>
          <w:p w14:paraId="1540D56A" w14:textId="77777777" w:rsidR="009A7A59" w:rsidRDefault="00000000">
            <w:pPr>
              <w:rPr>
                <w:rFonts w:ascii="宋体" w:hAnsi="宋体" w:cs="Calibri" w:hint="eastAsia"/>
                <w:bCs/>
                <w:color w:val="000000"/>
                <w:szCs w:val="21"/>
              </w:rPr>
            </w:pPr>
            <w:r>
              <w:rPr>
                <w:rFonts w:ascii="宋体" w:hAnsi="宋体" w:cs="Calibri" w:hint="eastAsia"/>
                <w:color w:val="000000"/>
                <w:szCs w:val="21"/>
              </w:rPr>
              <w:t>北京新</w:t>
            </w:r>
            <w:proofErr w:type="gramStart"/>
            <w:r>
              <w:rPr>
                <w:rFonts w:ascii="宋体" w:hAnsi="宋体" w:cs="Calibri" w:hint="eastAsia"/>
                <w:color w:val="000000"/>
                <w:szCs w:val="21"/>
              </w:rPr>
              <w:t>浪仓石基金</w:t>
            </w:r>
            <w:proofErr w:type="gramEnd"/>
            <w:r>
              <w:rPr>
                <w:rFonts w:ascii="宋体" w:hAnsi="宋体" w:cs="Calibri" w:hint="eastAsia"/>
                <w:color w:val="000000"/>
                <w:szCs w:val="21"/>
              </w:rPr>
              <w:t>销售有限公司</w:t>
            </w:r>
          </w:p>
        </w:tc>
        <w:tc>
          <w:tcPr>
            <w:tcW w:w="5105" w:type="dxa"/>
          </w:tcPr>
          <w:p w14:paraId="73480EF5" w14:textId="77777777" w:rsidR="009A7A59" w:rsidRDefault="00000000">
            <w:pPr>
              <w:rPr>
                <w:rFonts w:ascii="宋体" w:hAnsi="宋体" w:cs="Calibri" w:hint="eastAsia"/>
                <w:color w:val="000000"/>
                <w:szCs w:val="21"/>
              </w:rPr>
            </w:pPr>
            <w:r>
              <w:rPr>
                <w:rFonts w:ascii="宋体" w:hAnsi="宋体" w:cs="Calibri" w:hint="eastAsia"/>
                <w:color w:val="000000"/>
                <w:szCs w:val="21"/>
              </w:rPr>
              <w:t>注册（办公）地址：北京市海淀区东北旺西路中关村软件园二期（西扩）N-1、N-2地块新浪总部科研楼5层518室</w:t>
            </w:r>
          </w:p>
          <w:p w14:paraId="2E72C9D6"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客户服务电话：010-62675369</w:t>
            </w:r>
          </w:p>
          <w:p w14:paraId="04B5E1E6" w14:textId="77777777" w:rsidR="009A7A59" w:rsidRDefault="00000000">
            <w:pPr>
              <w:rPr>
                <w:rFonts w:ascii="宋体" w:hAnsi="宋体" w:cs="Calibri" w:hint="eastAsia"/>
                <w:color w:val="000000"/>
                <w:szCs w:val="21"/>
              </w:rPr>
            </w:pPr>
            <w:r>
              <w:rPr>
                <w:rFonts w:ascii="宋体" w:hAnsi="宋体" w:cs="Calibri" w:hint="eastAsia"/>
                <w:color w:val="000000"/>
                <w:szCs w:val="21"/>
              </w:rPr>
              <w:t>网址：www.xincai.com</w:t>
            </w:r>
          </w:p>
        </w:tc>
      </w:tr>
      <w:tr w:rsidR="009A7A59" w14:paraId="11A03F72" w14:textId="77777777">
        <w:tc>
          <w:tcPr>
            <w:tcW w:w="738" w:type="dxa"/>
          </w:tcPr>
          <w:p w14:paraId="558E604B" w14:textId="77777777" w:rsidR="009A7A59" w:rsidRDefault="00000000">
            <w:pPr>
              <w:rPr>
                <w:rFonts w:ascii="宋体" w:hAnsi="宋体" w:hint="eastAsia"/>
                <w:color w:val="000000"/>
              </w:rPr>
            </w:pPr>
            <w:r>
              <w:rPr>
                <w:rFonts w:ascii="宋体" w:hAnsi="宋体" w:hint="eastAsia"/>
                <w:color w:val="000000"/>
              </w:rPr>
              <w:t>37</w:t>
            </w:r>
          </w:p>
        </w:tc>
        <w:tc>
          <w:tcPr>
            <w:tcW w:w="2521" w:type="dxa"/>
          </w:tcPr>
          <w:p w14:paraId="5210EEC4" w14:textId="77777777" w:rsidR="009A7A59" w:rsidRDefault="00000000">
            <w:pPr>
              <w:rPr>
                <w:rFonts w:ascii="宋体" w:hAnsi="宋体" w:cs="Calibri" w:hint="eastAsia"/>
                <w:bCs/>
                <w:color w:val="000000"/>
                <w:szCs w:val="21"/>
              </w:rPr>
            </w:pPr>
            <w:r>
              <w:rPr>
                <w:rFonts w:ascii="宋体" w:hAnsi="宋体" w:cs="Calibri" w:hint="eastAsia"/>
                <w:color w:val="000000"/>
                <w:szCs w:val="21"/>
              </w:rPr>
              <w:t>华瑞保险销售有限公司</w:t>
            </w:r>
          </w:p>
        </w:tc>
        <w:tc>
          <w:tcPr>
            <w:tcW w:w="5105" w:type="dxa"/>
          </w:tcPr>
          <w:p w14:paraId="6EA4C704" w14:textId="77777777" w:rsidR="009A7A59" w:rsidRDefault="00000000">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上海市嘉定区南翔</w:t>
            </w:r>
            <w:proofErr w:type="gramStart"/>
            <w:r>
              <w:rPr>
                <w:rFonts w:ascii="宋体" w:hAnsi="宋体" w:cs="Calibri" w:hint="eastAsia"/>
                <w:color w:val="000000"/>
                <w:szCs w:val="21"/>
              </w:rPr>
              <w:t>镇众仁路</w:t>
            </w:r>
            <w:proofErr w:type="gramEnd"/>
            <w:r>
              <w:rPr>
                <w:rFonts w:ascii="宋体" w:hAnsi="宋体" w:cs="Calibri" w:hint="eastAsia"/>
                <w:color w:val="000000"/>
                <w:szCs w:val="21"/>
              </w:rPr>
              <w:t>399号</w:t>
            </w:r>
            <w:proofErr w:type="gramStart"/>
            <w:r>
              <w:rPr>
                <w:rFonts w:ascii="宋体" w:hAnsi="宋体" w:cs="Calibri" w:hint="eastAsia"/>
                <w:color w:val="000000"/>
                <w:szCs w:val="21"/>
              </w:rPr>
              <w:t>运通星财富</w:t>
            </w:r>
            <w:proofErr w:type="gramEnd"/>
            <w:r>
              <w:rPr>
                <w:rFonts w:ascii="宋体" w:hAnsi="宋体" w:cs="Calibri" w:hint="eastAsia"/>
                <w:color w:val="000000"/>
                <w:szCs w:val="21"/>
              </w:rPr>
              <w:t>广场1号楼B座14层</w:t>
            </w:r>
          </w:p>
          <w:p w14:paraId="4273E149"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客户服务电话：952303</w:t>
            </w:r>
          </w:p>
          <w:p w14:paraId="729678AB" w14:textId="77777777" w:rsidR="009A7A59" w:rsidRDefault="00000000">
            <w:pPr>
              <w:rPr>
                <w:rFonts w:ascii="宋体" w:hAnsi="宋体" w:cs="Calibri" w:hint="eastAsia"/>
                <w:color w:val="000000"/>
                <w:szCs w:val="21"/>
              </w:rPr>
            </w:pPr>
            <w:r>
              <w:rPr>
                <w:rFonts w:ascii="宋体" w:hAnsi="宋体" w:cs="Calibri" w:hint="eastAsia"/>
                <w:color w:val="000000"/>
                <w:szCs w:val="21"/>
              </w:rPr>
              <w:t>网址：w</w:t>
            </w:r>
            <w:r>
              <w:rPr>
                <w:rFonts w:ascii="宋体" w:hAnsi="宋体" w:cs="Calibri"/>
                <w:color w:val="000000"/>
                <w:szCs w:val="21"/>
              </w:rPr>
              <w:t>ww.huaruisales.com</w:t>
            </w:r>
          </w:p>
        </w:tc>
      </w:tr>
      <w:tr w:rsidR="009A7A59" w14:paraId="36DACCEA" w14:textId="77777777">
        <w:tc>
          <w:tcPr>
            <w:tcW w:w="738" w:type="dxa"/>
          </w:tcPr>
          <w:p w14:paraId="4BAEADB0" w14:textId="77777777" w:rsidR="009A7A59" w:rsidRDefault="00000000">
            <w:pPr>
              <w:rPr>
                <w:rFonts w:ascii="宋体" w:hAnsi="宋体" w:hint="eastAsia"/>
                <w:color w:val="000000"/>
              </w:rPr>
            </w:pPr>
            <w:r>
              <w:rPr>
                <w:rFonts w:ascii="宋体" w:hAnsi="宋体" w:hint="eastAsia"/>
                <w:color w:val="000000"/>
              </w:rPr>
              <w:t>38</w:t>
            </w:r>
          </w:p>
        </w:tc>
        <w:tc>
          <w:tcPr>
            <w:tcW w:w="2521" w:type="dxa"/>
          </w:tcPr>
          <w:p w14:paraId="074A1866" w14:textId="77777777" w:rsidR="009A7A59" w:rsidRDefault="00000000">
            <w:pPr>
              <w:rPr>
                <w:rFonts w:ascii="宋体" w:hAnsi="宋体" w:cs="Calibri" w:hint="eastAsia"/>
                <w:bCs/>
                <w:color w:val="000000"/>
                <w:szCs w:val="21"/>
              </w:rPr>
            </w:pPr>
            <w:r>
              <w:rPr>
                <w:rFonts w:ascii="宋体" w:hAnsi="宋体" w:cs="Calibri" w:hint="eastAsia"/>
                <w:bCs/>
                <w:color w:val="000000"/>
                <w:szCs w:val="21"/>
              </w:rPr>
              <w:t>阳光人寿保险股份有限公司</w:t>
            </w:r>
          </w:p>
        </w:tc>
        <w:tc>
          <w:tcPr>
            <w:tcW w:w="5105" w:type="dxa"/>
          </w:tcPr>
          <w:p w14:paraId="4096C444" w14:textId="77777777" w:rsidR="009A7A59" w:rsidRDefault="00000000">
            <w:pPr>
              <w:rPr>
                <w:rFonts w:ascii="宋体" w:hAnsi="宋体" w:cs="Calibri" w:hint="eastAsia"/>
                <w:color w:val="000000"/>
                <w:szCs w:val="21"/>
              </w:rPr>
            </w:pPr>
            <w:r>
              <w:rPr>
                <w:rFonts w:ascii="宋体" w:hAnsi="宋体" w:cs="Calibri" w:hint="eastAsia"/>
                <w:color w:val="000000"/>
                <w:szCs w:val="21"/>
              </w:rPr>
              <w:t>注册(办公)地址：海南省三亚市迎宾路360-1号三亚阳光金融广场16层</w:t>
            </w:r>
          </w:p>
          <w:p w14:paraId="72F43BEB"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客户服务电话：95510</w:t>
            </w:r>
          </w:p>
          <w:p w14:paraId="1EAB90B2" w14:textId="77777777" w:rsidR="009A7A59" w:rsidRDefault="00000000">
            <w:pPr>
              <w:rPr>
                <w:rFonts w:ascii="宋体" w:hAnsi="宋体" w:cs="Calibri" w:hint="eastAsia"/>
                <w:color w:val="000000"/>
                <w:szCs w:val="21"/>
              </w:rPr>
            </w:pPr>
            <w:r>
              <w:rPr>
                <w:rFonts w:ascii="宋体" w:hAnsi="宋体" w:cs="Calibri" w:hint="eastAsia"/>
                <w:color w:val="000000"/>
                <w:szCs w:val="21"/>
              </w:rPr>
              <w:t>网址：fund.sinosig.com</w:t>
            </w:r>
          </w:p>
        </w:tc>
      </w:tr>
      <w:tr w:rsidR="009A7A59" w14:paraId="4690B382" w14:textId="77777777">
        <w:tc>
          <w:tcPr>
            <w:tcW w:w="738" w:type="dxa"/>
          </w:tcPr>
          <w:p w14:paraId="02F3F518" w14:textId="77777777" w:rsidR="009A7A59" w:rsidRDefault="00000000">
            <w:pPr>
              <w:rPr>
                <w:rFonts w:ascii="宋体" w:hAnsi="宋体" w:hint="eastAsia"/>
                <w:color w:val="000000"/>
              </w:rPr>
            </w:pPr>
            <w:r>
              <w:rPr>
                <w:rFonts w:ascii="宋体" w:hAnsi="宋体" w:hint="eastAsia"/>
                <w:color w:val="000000"/>
              </w:rPr>
              <w:t>39</w:t>
            </w:r>
          </w:p>
        </w:tc>
        <w:tc>
          <w:tcPr>
            <w:tcW w:w="2521" w:type="dxa"/>
          </w:tcPr>
          <w:p w14:paraId="640E4327" w14:textId="77777777" w:rsidR="009A7A59" w:rsidRDefault="00000000">
            <w:pPr>
              <w:rPr>
                <w:rFonts w:ascii="宋体" w:hAnsi="宋体" w:cs="Calibri" w:hint="eastAsia"/>
                <w:bCs/>
                <w:color w:val="000000"/>
                <w:szCs w:val="21"/>
              </w:rPr>
            </w:pPr>
            <w:r>
              <w:rPr>
                <w:rFonts w:ascii="宋体" w:hAnsi="宋体" w:cs="Calibri" w:hint="eastAsia"/>
                <w:color w:val="000000"/>
                <w:szCs w:val="21"/>
              </w:rPr>
              <w:t>财</w:t>
            </w:r>
            <w:proofErr w:type="gramStart"/>
            <w:r>
              <w:rPr>
                <w:rFonts w:ascii="宋体" w:hAnsi="宋体" w:cs="Calibri" w:hint="eastAsia"/>
                <w:color w:val="000000"/>
                <w:szCs w:val="21"/>
              </w:rPr>
              <w:t>咨</w:t>
            </w:r>
            <w:proofErr w:type="gramEnd"/>
            <w:r>
              <w:rPr>
                <w:rFonts w:ascii="宋体" w:hAnsi="宋体" w:cs="Calibri" w:hint="eastAsia"/>
                <w:color w:val="000000"/>
                <w:szCs w:val="21"/>
              </w:rPr>
              <w:t>道信息技术有限公司</w:t>
            </w:r>
          </w:p>
        </w:tc>
        <w:tc>
          <w:tcPr>
            <w:tcW w:w="5105" w:type="dxa"/>
          </w:tcPr>
          <w:p w14:paraId="12331A2C" w14:textId="77777777" w:rsidR="009A7A59" w:rsidRDefault="00000000">
            <w:pPr>
              <w:widowControl/>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w:t>
            </w:r>
            <w:proofErr w:type="gramStart"/>
            <w:r>
              <w:rPr>
                <w:rFonts w:ascii="宋体" w:hAnsi="宋体" w:cs="Calibri"/>
                <w:color w:val="000000"/>
                <w:szCs w:val="21"/>
              </w:rPr>
              <w:t>浑</w:t>
            </w:r>
            <w:proofErr w:type="gramEnd"/>
            <w:r>
              <w:rPr>
                <w:rFonts w:ascii="宋体" w:hAnsi="宋体" w:cs="Calibri"/>
                <w:color w:val="000000"/>
                <w:szCs w:val="21"/>
              </w:rPr>
              <w:t>南区白塔二南街18-2号B座601</w:t>
            </w:r>
          </w:p>
          <w:p w14:paraId="4D7FBCC9" w14:textId="77777777" w:rsidR="009A7A59" w:rsidRDefault="00000000">
            <w:pPr>
              <w:widowControl/>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387A4AB4" w14:textId="77777777" w:rsidR="009A7A59" w:rsidRDefault="00000000">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9A7A59" w14:paraId="3FFE6775" w14:textId="77777777">
        <w:tc>
          <w:tcPr>
            <w:tcW w:w="738" w:type="dxa"/>
          </w:tcPr>
          <w:p w14:paraId="38434D15" w14:textId="77777777" w:rsidR="009A7A59" w:rsidRDefault="00000000">
            <w:pPr>
              <w:rPr>
                <w:rFonts w:ascii="宋体" w:hAnsi="宋体" w:hint="eastAsia"/>
                <w:color w:val="000000"/>
              </w:rPr>
            </w:pPr>
            <w:r>
              <w:rPr>
                <w:rFonts w:ascii="宋体" w:hAnsi="宋体" w:hint="eastAsia"/>
                <w:color w:val="000000"/>
              </w:rPr>
              <w:t>40</w:t>
            </w:r>
          </w:p>
        </w:tc>
        <w:tc>
          <w:tcPr>
            <w:tcW w:w="2521" w:type="dxa"/>
          </w:tcPr>
          <w:p w14:paraId="08F0E3B7" w14:textId="77777777" w:rsidR="009A7A59" w:rsidRDefault="00000000">
            <w:pPr>
              <w:rPr>
                <w:rFonts w:ascii="宋体" w:hAnsi="宋体" w:cs="Calibri" w:hint="eastAsia"/>
                <w:bCs/>
                <w:color w:val="000000"/>
                <w:szCs w:val="21"/>
              </w:rPr>
            </w:pPr>
            <w:r>
              <w:rPr>
                <w:rFonts w:ascii="宋体" w:hAnsi="宋体" w:cs="Calibri" w:hint="eastAsia"/>
                <w:color w:val="000000"/>
                <w:szCs w:val="21"/>
              </w:rPr>
              <w:t>北京度小满基金销售有限公司</w:t>
            </w:r>
          </w:p>
        </w:tc>
        <w:tc>
          <w:tcPr>
            <w:tcW w:w="5105" w:type="dxa"/>
          </w:tcPr>
          <w:p w14:paraId="1C5CA917" w14:textId="77777777" w:rsidR="009A7A59" w:rsidRDefault="00000000">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北京市海淀区西北旺东路10号院西区4号楼1层103室</w:t>
            </w:r>
          </w:p>
          <w:p w14:paraId="29CFA761" w14:textId="77777777" w:rsidR="009A7A59" w:rsidRDefault="00000000">
            <w:pPr>
              <w:widowControl/>
              <w:rPr>
                <w:rFonts w:ascii="宋体" w:hAnsi="宋体" w:cs="Calibri" w:hint="eastAsia"/>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1E550DC8" w14:textId="77777777" w:rsidR="009A7A59" w:rsidRDefault="00000000">
            <w:pPr>
              <w:rPr>
                <w:rFonts w:ascii="宋体" w:hAnsi="宋体" w:cs="Calibri" w:hint="eastAsia"/>
                <w:color w:val="000000"/>
                <w:szCs w:val="21"/>
              </w:rPr>
            </w:pPr>
            <w:r>
              <w:rPr>
                <w:rFonts w:ascii="宋体" w:hAnsi="宋体" w:cs="Calibri" w:hint="eastAsia"/>
                <w:color w:val="000000"/>
                <w:szCs w:val="21"/>
              </w:rPr>
              <w:t>网站：www.duxiaoman.com</w:t>
            </w:r>
          </w:p>
        </w:tc>
      </w:tr>
      <w:tr w:rsidR="009A7A59" w14:paraId="2803CD6E" w14:textId="77777777">
        <w:tc>
          <w:tcPr>
            <w:tcW w:w="738" w:type="dxa"/>
          </w:tcPr>
          <w:p w14:paraId="1DD3B704" w14:textId="77777777" w:rsidR="009A7A59" w:rsidRDefault="00000000">
            <w:pPr>
              <w:rPr>
                <w:rFonts w:ascii="宋体" w:hAnsi="宋体" w:hint="eastAsia"/>
                <w:color w:val="000000"/>
              </w:rPr>
            </w:pPr>
            <w:r>
              <w:rPr>
                <w:rFonts w:ascii="宋体" w:hAnsi="宋体" w:hint="eastAsia"/>
                <w:color w:val="000000"/>
              </w:rPr>
              <w:t>41</w:t>
            </w:r>
          </w:p>
        </w:tc>
        <w:tc>
          <w:tcPr>
            <w:tcW w:w="2521" w:type="dxa"/>
          </w:tcPr>
          <w:p w14:paraId="5E20E12E" w14:textId="77777777" w:rsidR="009A7A59" w:rsidRDefault="00000000">
            <w:pPr>
              <w:rPr>
                <w:rFonts w:ascii="宋体" w:hAnsi="宋体" w:cs="Calibri" w:hint="eastAsia"/>
                <w:bCs/>
                <w:color w:val="000000"/>
                <w:szCs w:val="21"/>
              </w:rPr>
            </w:pPr>
            <w:r>
              <w:rPr>
                <w:rFonts w:ascii="宋体" w:hAnsi="宋体" w:cs="Calibri" w:hint="eastAsia"/>
                <w:color w:val="000000"/>
                <w:szCs w:val="21"/>
              </w:rPr>
              <w:t>通华财富（上海）基金销售有限公司</w:t>
            </w:r>
          </w:p>
        </w:tc>
        <w:tc>
          <w:tcPr>
            <w:tcW w:w="5105" w:type="dxa"/>
          </w:tcPr>
          <w:p w14:paraId="2E6B7B8D" w14:textId="77777777" w:rsidR="009A7A59" w:rsidRDefault="00000000">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上海市浦东新区</w:t>
            </w:r>
            <w:proofErr w:type="gramStart"/>
            <w:r>
              <w:rPr>
                <w:rFonts w:ascii="宋体" w:hAnsi="宋体" w:cs="Calibri" w:hint="eastAsia"/>
                <w:color w:val="000000"/>
                <w:szCs w:val="21"/>
              </w:rPr>
              <w:t>金沪路55号</w:t>
            </w:r>
            <w:proofErr w:type="gramEnd"/>
            <w:r>
              <w:rPr>
                <w:rFonts w:ascii="宋体" w:hAnsi="宋体" w:cs="Calibri" w:hint="eastAsia"/>
                <w:color w:val="000000"/>
                <w:szCs w:val="21"/>
              </w:rPr>
              <w:t>通华科技大厦10层</w:t>
            </w:r>
          </w:p>
          <w:p w14:paraId="6C6FA1E4"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11A2A796" w14:textId="77777777" w:rsidR="009A7A59" w:rsidRDefault="00000000">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9A7A59" w14:paraId="5F65F475" w14:textId="77777777">
        <w:tc>
          <w:tcPr>
            <w:tcW w:w="738" w:type="dxa"/>
          </w:tcPr>
          <w:p w14:paraId="34ECC7AF" w14:textId="77777777" w:rsidR="009A7A59" w:rsidRDefault="00000000">
            <w:pPr>
              <w:rPr>
                <w:rFonts w:ascii="宋体" w:hAnsi="宋体" w:hint="eastAsia"/>
                <w:color w:val="000000"/>
              </w:rPr>
            </w:pPr>
            <w:r>
              <w:rPr>
                <w:rFonts w:ascii="宋体" w:hAnsi="宋体" w:hint="eastAsia"/>
                <w:color w:val="000000"/>
              </w:rPr>
              <w:t>42</w:t>
            </w:r>
          </w:p>
        </w:tc>
        <w:tc>
          <w:tcPr>
            <w:tcW w:w="2521" w:type="dxa"/>
          </w:tcPr>
          <w:p w14:paraId="7AB54C6D" w14:textId="77777777" w:rsidR="009A7A59" w:rsidRDefault="00000000">
            <w:pPr>
              <w:rPr>
                <w:rFonts w:ascii="宋体" w:hAnsi="宋体" w:cs="Calibri" w:hint="eastAsia"/>
                <w:bCs/>
                <w:color w:val="000000"/>
                <w:szCs w:val="21"/>
              </w:rPr>
            </w:pPr>
            <w:r>
              <w:rPr>
                <w:rFonts w:ascii="宋体" w:hAnsi="宋体" w:cs="Calibri" w:hint="eastAsia"/>
                <w:bCs/>
                <w:color w:val="000000"/>
                <w:szCs w:val="21"/>
              </w:rPr>
              <w:t>上海万得基金销售有限公司</w:t>
            </w:r>
          </w:p>
        </w:tc>
        <w:tc>
          <w:tcPr>
            <w:tcW w:w="5105" w:type="dxa"/>
          </w:tcPr>
          <w:p w14:paraId="1841F938" w14:textId="77777777" w:rsidR="009A7A59" w:rsidRDefault="00000000">
            <w:pPr>
              <w:rPr>
                <w:rFonts w:ascii="宋体" w:hAnsi="宋体" w:cs="Calibri" w:hint="eastAsia"/>
                <w:color w:val="000000"/>
                <w:szCs w:val="21"/>
              </w:rPr>
            </w:pPr>
            <w:r>
              <w:rPr>
                <w:rFonts w:ascii="宋体" w:hAnsi="宋体" w:cs="Calibri" w:hint="eastAsia"/>
                <w:color w:val="000000"/>
                <w:szCs w:val="21"/>
              </w:rPr>
              <w:t>注册（办公）地址：中国（上海）浦东新区浦明路1500号万得大厦11楼</w:t>
            </w:r>
          </w:p>
          <w:p w14:paraId="3602AA7E"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400-799-1888</w:t>
            </w:r>
          </w:p>
          <w:p w14:paraId="1F5372C0" w14:textId="77777777" w:rsidR="009A7A59" w:rsidRDefault="00000000">
            <w:pPr>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www.520fund.com.cn</w:t>
            </w:r>
          </w:p>
        </w:tc>
      </w:tr>
      <w:tr w:rsidR="009A7A59" w14:paraId="75801379" w14:textId="77777777">
        <w:tc>
          <w:tcPr>
            <w:tcW w:w="738" w:type="dxa"/>
          </w:tcPr>
          <w:p w14:paraId="65601BFF" w14:textId="77777777" w:rsidR="009A7A59" w:rsidRDefault="00000000">
            <w:pPr>
              <w:rPr>
                <w:rFonts w:ascii="宋体" w:hAnsi="宋体" w:hint="eastAsia"/>
                <w:color w:val="000000"/>
              </w:rPr>
            </w:pPr>
            <w:r>
              <w:rPr>
                <w:rFonts w:ascii="宋体" w:hAnsi="宋体" w:hint="eastAsia"/>
                <w:color w:val="000000"/>
              </w:rPr>
              <w:t>43</w:t>
            </w:r>
          </w:p>
        </w:tc>
        <w:tc>
          <w:tcPr>
            <w:tcW w:w="2521" w:type="dxa"/>
          </w:tcPr>
          <w:p w14:paraId="331EEA44" w14:textId="77777777" w:rsidR="009A7A59" w:rsidRDefault="00000000">
            <w:pPr>
              <w:rPr>
                <w:rFonts w:ascii="宋体" w:hAnsi="宋体" w:cs="Calibri" w:hint="eastAsia"/>
                <w:color w:val="000000"/>
                <w:szCs w:val="21"/>
              </w:rPr>
            </w:pPr>
            <w:r>
              <w:rPr>
                <w:rFonts w:ascii="宋体" w:hAnsi="宋体" w:cs="Calibri"/>
                <w:color w:val="000000"/>
                <w:szCs w:val="21"/>
              </w:rPr>
              <w:t>泛华</w:t>
            </w:r>
            <w:proofErr w:type="gramStart"/>
            <w:r>
              <w:rPr>
                <w:rFonts w:ascii="宋体" w:hAnsi="宋体" w:cs="Calibri"/>
                <w:color w:val="000000"/>
                <w:szCs w:val="21"/>
              </w:rPr>
              <w:t>普益基金</w:t>
            </w:r>
            <w:proofErr w:type="gramEnd"/>
            <w:r>
              <w:rPr>
                <w:rFonts w:ascii="宋体" w:hAnsi="宋体" w:cs="Calibri"/>
                <w:color w:val="000000"/>
                <w:szCs w:val="21"/>
              </w:rPr>
              <w:t xml:space="preserve">销售有限公司 </w:t>
            </w:r>
          </w:p>
          <w:p w14:paraId="440E0A5F" w14:textId="77777777" w:rsidR="009A7A59" w:rsidRDefault="009A7A59">
            <w:pPr>
              <w:rPr>
                <w:rFonts w:ascii="宋体" w:hAnsi="宋体" w:cs="Calibri" w:hint="eastAsia"/>
                <w:bCs/>
                <w:color w:val="000000"/>
                <w:szCs w:val="21"/>
              </w:rPr>
            </w:pPr>
          </w:p>
        </w:tc>
        <w:tc>
          <w:tcPr>
            <w:tcW w:w="5105" w:type="dxa"/>
          </w:tcPr>
          <w:p w14:paraId="69B0A5EB" w14:textId="77777777" w:rsidR="009A7A59" w:rsidRDefault="00000000">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地址：成都市成华区建设路9号高地中心1101 室</w:t>
            </w:r>
          </w:p>
          <w:p w14:paraId="38DA062F" w14:textId="77777777" w:rsidR="009A7A59" w:rsidRDefault="00000000">
            <w:pPr>
              <w:rPr>
                <w:rFonts w:ascii="宋体" w:hAnsi="宋体" w:cs="Calibri" w:hint="eastAsia"/>
                <w:color w:val="000000"/>
                <w:szCs w:val="21"/>
              </w:rPr>
            </w:pPr>
            <w:r>
              <w:rPr>
                <w:rFonts w:ascii="宋体" w:hAnsi="宋体" w:cs="Calibri"/>
                <w:color w:val="000000"/>
                <w:szCs w:val="21"/>
              </w:rPr>
              <w:t xml:space="preserve">客户服务电话：400-080-3388 </w:t>
            </w:r>
          </w:p>
          <w:p w14:paraId="1F2BFC70" w14:textId="77777777" w:rsidR="009A7A59" w:rsidRDefault="00000000">
            <w:pPr>
              <w:rPr>
                <w:rFonts w:ascii="宋体" w:hAnsi="宋体" w:cs="Calibri" w:hint="eastAsia"/>
                <w:color w:val="000000"/>
                <w:szCs w:val="21"/>
              </w:rPr>
            </w:pPr>
            <w:r>
              <w:rPr>
                <w:rFonts w:ascii="宋体" w:hAnsi="宋体" w:cs="Calibri"/>
                <w:color w:val="000000"/>
                <w:szCs w:val="21"/>
              </w:rPr>
              <w:t>网址：</w:t>
            </w:r>
            <w:hyperlink r:id="rId41" w:history="1">
              <w:r>
                <w:rPr>
                  <w:rFonts w:ascii="宋体" w:hAnsi="宋体" w:cs="Calibri"/>
                  <w:color w:val="000000"/>
                  <w:szCs w:val="21"/>
                </w:rPr>
                <w:t>www.puyifund.com</w:t>
              </w:r>
            </w:hyperlink>
          </w:p>
        </w:tc>
      </w:tr>
      <w:tr w:rsidR="009A7A59" w14:paraId="5DA0D0E3" w14:textId="77777777">
        <w:tc>
          <w:tcPr>
            <w:tcW w:w="738" w:type="dxa"/>
          </w:tcPr>
          <w:p w14:paraId="4D781167" w14:textId="77777777" w:rsidR="009A7A59" w:rsidRDefault="00000000">
            <w:pPr>
              <w:rPr>
                <w:rFonts w:ascii="宋体" w:hAnsi="宋体" w:hint="eastAsia"/>
                <w:color w:val="000000"/>
              </w:rPr>
            </w:pPr>
            <w:r>
              <w:rPr>
                <w:rFonts w:ascii="宋体" w:hAnsi="宋体" w:hint="eastAsia"/>
                <w:color w:val="000000"/>
              </w:rPr>
              <w:t>44</w:t>
            </w:r>
          </w:p>
        </w:tc>
        <w:tc>
          <w:tcPr>
            <w:tcW w:w="2521" w:type="dxa"/>
          </w:tcPr>
          <w:p w14:paraId="12406D6B" w14:textId="77777777" w:rsidR="009A7A59" w:rsidRDefault="00000000">
            <w:pPr>
              <w:rPr>
                <w:rFonts w:ascii="宋体" w:hAnsi="宋体" w:cs="Calibri" w:hint="eastAsia"/>
                <w:color w:val="000000"/>
                <w:szCs w:val="21"/>
              </w:rPr>
            </w:pPr>
            <w:proofErr w:type="gramStart"/>
            <w:r>
              <w:rPr>
                <w:rFonts w:ascii="宋体" w:hAnsi="宋体" w:cs="Calibri" w:hint="eastAsia"/>
                <w:color w:val="000000"/>
                <w:szCs w:val="21"/>
              </w:rPr>
              <w:t>众惠基金</w:t>
            </w:r>
            <w:proofErr w:type="gramEnd"/>
            <w:r>
              <w:rPr>
                <w:rFonts w:ascii="宋体" w:hAnsi="宋体" w:cs="Calibri" w:hint="eastAsia"/>
                <w:color w:val="000000"/>
                <w:szCs w:val="21"/>
              </w:rPr>
              <w:t>销售有限公司</w:t>
            </w:r>
          </w:p>
          <w:p w14:paraId="4CB262E9" w14:textId="77777777" w:rsidR="009A7A59" w:rsidRDefault="009A7A59">
            <w:pPr>
              <w:rPr>
                <w:rFonts w:ascii="宋体" w:hAnsi="宋体" w:cs="Calibri" w:hint="eastAsia"/>
                <w:bCs/>
                <w:color w:val="000000"/>
                <w:szCs w:val="21"/>
              </w:rPr>
            </w:pPr>
          </w:p>
        </w:tc>
        <w:tc>
          <w:tcPr>
            <w:tcW w:w="5105" w:type="dxa"/>
          </w:tcPr>
          <w:p w14:paraId="72895198" w14:textId="77777777" w:rsidR="009A7A59" w:rsidRDefault="00000000">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贵州省贵阳市观山湖区长岭北路贵阳国际金融中心二期商务区第C4栋30层</w:t>
            </w:r>
          </w:p>
          <w:p w14:paraId="190C22F7" w14:textId="77777777" w:rsidR="009A7A59" w:rsidRDefault="00000000">
            <w:pPr>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0851-82209888</w:t>
            </w:r>
          </w:p>
          <w:p w14:paraId="01A62331" w14:textId="77777777" w:rsidR="009A7A59" w:rsidRDefault="00000000">
            <w:pPr>
              <w:rPr>
                <w:rFonts w:ascii="宋体" w:hAnsi="宋体" w:cs="Calibri" w:hint="eastAsia"/>
                <w:color w:val="000000"/>
                <w:szCs w:val="21"/>
              </w:rPr>
            </w:pPr>
            <w:r>
              <w:rPr>
                <w:rFonts w:ascii="宋体" w:hAnsi="宋体" w:cs="Calibri" w:hint="eastAsia"/>
                <w:color w:val="000000"/>
                <w:szCs w:val="21"/>
              </w:rPr>
              <w:t>公司网站：www.hyzhfund.com</w:t>
            </w:r>
          </w:p>
        </w:tc>
      </w:tr>
      <w:tr w:rsidR="009A7A59" w14:paraId="794E93F9" w14:textId="77777777">
        <w:tc>
          <w:tcPr>
            <w:tcW w:w="738" w:type="dxa"/>
          </w:tcPr>
          <w:p w14:paraId="531318EF" w14:textId="77777777" w:rsidR="009A7A59" w:rsidRDefault="00000000">
            <w:pPr>
              <w:ind w:left="420" w:hanging="420"/>
              <w:rPr>
                <w:rFonts w:ascii="宋体" w:hAnsi="宋体" w:hint="eastAsia"/>
                <w:color w:val="000000"/>
              </w:rPr>
            </w:pPr>
            <w:r>
              <w:rPr>
                <w:rFonts w:ascii="宋体" w:hAnsi="宋体" w:hint="eastAsia"/>
                <w:color w:val="000000"/>
              </w:rPr>
              <w:t>45</w:t>
            </w:r>
          </w:p>
        </w:tc>
        <w:tc>
          <w:tcPr>
            <w:tcW w:w="2521" w:type="dxa"/>
          </w:tcPr>
          <w:p w14:paraId="1EB0661D" w14:textId="77777777" w:rsidR="009A7A59" w:rsidRDefault="00000000">
            <w:pPr>
              <w:pStyle w:val="a9"/>
              <w:jc w:val="both"/>
            </w:pPr>
            <w:proofErr w:type="gramStart"/>
            <w:r>
              <w:rPr>
                <w:rFonts w:hint="eastAsia"/>
              </w:rPr>
              <w:t>腾安基金</w:t>
            </w:r>
            <w:proofErr w:type="gramEnd"/>
            <w:r>
              <w:rPr>
                <w:rFonts w:hint="eastAsia"/>
              </w:rPr>
              <w:t>销售（深圳）有限</w:t>
            </w:r>
            <w:r>
              <w:rPr>
                <w:rFonts w:hint="eastAsia"/>
              </w:rPr>
              <w:lastRenderedPageBreak/>
              <w:t>公司</w:t>
            </w:r>
          </w:p>
          <w:p w14:paraId="704A1F7A" w14:textId="77777777" w:rsidR="009A7A59" w:rsidRDefault="009A7A59">
            <w:pPr>
              <w:rPr>
                <w:rFonts w:asciiTheme="minorEastAsia" w:hAnsiTheme="minorEastAsia" w:cs="Arial" w:hint="eastAsia"/>
                <w:szCs w:val="20"/>
              </w:rPr>
            </w:pPr>
          </w:p>
        </w:tc>
        <w:tc>
          <w:tcPr>
            <w:tcW w:w="5105" w:type="dxa"/>
          </w:tcPr>
          <w:p w14:paraId="66A68D52" w14:textId="77777777" w:rsidR="009A7A59" w:rsidRDefault="00000000">
            <w:pPr>
              <w:pStyle w:val="a9"/>
              <w:jc w:val="both"/>
            </w:pPr>
            <w:r>
              <w:lastRenderedPageBreak/>
              <w:t>注册</w:t>
            </w:r>
            <w:r>
              <w:rPr>
                <w:rFonts w:ascii="宋体" w:hAnsi="宋体" w:cs="Calibri" w:hint="eastAsia"/>
                <w:color w:val="000000"/>
                <w:szCs w:val="21"/>
              </w:rPr>
              <w:t>（办公）</w:t>
            </w:r>
            <w:r>
              <w:t>地址：</w:t>
            </w:r>
            <w:r>
              <w:rPr>
                <w:rFonts w:hint="eastAsia"/>
              </w:rPr>
              <w:t>深圳市南山区海天二路</w:t>
            </w:r>
            <w:proofErr w:type="gramStart"/>
            <w:r>
              <w:rPr>
                <w:rFonts w:hint="eastAsia"/>
              </w:rPr>
              <w:t>33</w:t>
            </w:r>
            <w:r>
              <w:rPr>
                <w:rFonts w:hint="eastAsia"/>
              </w:rPr>
              <w:t>号腾讯滨</w:t>
            </w:r>
            <w:r>
              <w:rPr>
                <w:rFonts w:hint="eastAsia"/>
              </w:rPr>
              <w:lastRenderedPageBreak/>
              <w:t>海</w:t>
            </w:r>
            <w:proofErr w:type="gramEnd"/>
            <w:r>
              <w:rPr>
                <w:rFonts w:hint="eastAsia"/>
              </w:rPr>
              <w:t>大厦</w:t>
            </w:r>
            <w:r>
              <w:rPr>
                <w:rFonts w:hint="eastAsia"/>
              </w:rPr>
              <w:t>15</w:t>
            </w:r>
            <w:r>
              <w:rPr>
                <w:rFonts w:hint="eastAsia"/>
              </w:rPr>
              <w:t>楼</w:t>
            </w:r>
          </w:p>
          <w:p w14:paraId="1E886253" w14:textId="77777777" w:rsidR="009A7A59" w:rsidRDefault="00000000">
            <w:pPr>
              <w:pStyle w:val="a9"/>
              <w:jc w:val="both"/>
            </w:pPr>
            <w:r>
              <w:t>客服电话：</w:t>
            </w:r>
            <w:r>
              <w:t>4000-890-555</w:t>
            </w:r>
          </w:p>
          <w:p w14:paraId="7130D454" w14:textId="77777777" w:rsidR="009A7A59" w:rsidRDefault="00000000">
            <w:pPr>
              <w:rPr>
                <w:rFonts w:asciiTheme="minorEastAsia" w:hAnsiTheme="minorEastAsia" w:cs="Arial" w:hint="eastAsia"/>
                <w:szCs w:val="20"/>
              </w:rPr>
            </w:pPr>
            <w:r>
              <w:t>公司网站：</w:t>
            </w:r>
            <w:hyperlink r:id="rId42" w:history="1">
              <w:r>
                <w:rPr>
                  <w:rStyle w:val="affb"/>
                </w:rPr>
                <w:t>www.txfund.com</w:t>
              </w:r>
            </w:hyperlink>
          </w:p>
        </w:tc>
      </w:tr>
      <w:tr w:rsidR="009A7A59" w14:paraId="4319DE7B" w14:textId="77777777">
        <w:tc>
          <w:tcPr>
            <w:tcW w:w="738" w:type="dxa"/>
          </w:tcPr>
          <w:p w14:paraId="568FA23B" w14:textId="77777777" w:rsidR="009A7A59" w:rsidRDefault="00000000">
            <w:pPr>
              <w:ind w:left="420" w:hanging="420"/>
              <w:rPr>
                <w:rFonts w:ascii="宋体" w:hAnsi="宋体" w:hint="eastAsia"/>
                <w:color w:val="000000"/>
              </w:rPr>
            </w:pPr>
            <w:r>
              <w:rPr>
                <w:rFonts w:ascii="宋体" w:hAnsi="宋体" w:hint="eastAsia"/>
                <w:color w:val="000000"/>
              </w:rPr>
              <w:lastRenderedPageBreak/>
              <w:t>46</w:t>
            </w:r>
          </w:p>
        </w:tc>
        <w:tc>
          <w:tcPr>
            <w:tcW w:w="2521" w:type="dxa"/>
          </w:tcPr>
          <w:p w14:paraId="5F4F8520" w14:textId="77777777" w:rsidR="009A7A59" w:rsidRDefault="00000000">
            <w:pPr>
              <w:pStyle w:val="a9"/>
              <w:jc w:val="both"/>
            </w:pPr>
            <w:r>
              <w:t>北京</w:t>
            </w:r>
            <w:proofErr w:type="gramStart"/>
            <w:r>
              <w:t>创金启富基金</w:t>
            </w:r>
            <w:proofErr w:type="gramEnd"/>
            <w:r>
              <w:t>销售有限公司</w:t>
            </w:r>
          </w:p>
          <w:p w14:paraId="08B318B6" w14:textId="77777777" w:rsidR="009A7A59" w:rsidRDefault="009A7A59">
            <w:pPr>
              <w:rPr>
                <w:rFonts w:asciiTheme="minorEastAsia" w:hAnsiTheme="minorEastAsia" w:cs="Arial" w:hint="eastAsia"/>
                <w:szCs w:val="20"/>
              </w:rPr>
            </w:pPr>
          </w:p>
        </w:tc>
        <w:tc>
          <w:tcPr>
            <w:tcW w:w="5105" w:type="dxa"/>
          </w:tcPr>
          <w:p w14:paraId="59C7A9CD" w14:textId="77777777" w:rsidR="009A7A59" w:rsidRDefault="00000000">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北京市丰台区金泽路161号1号楼3层309</w:t>
            </w:r>
          </w:p>
          <w:p w14:paraId="5BC9F357" w14:textId="77777777" w:rsidR="009A7A59" w:rsidRDefault="00000000">
            <w:pPr>
              <w:rPr>
                <w:rFonts w:ascii="宋体" w:hAnsi="宋体" w:cs="Calibri" w:hint="eastAsia"/>
                <w:color w:val="000000"/>
                <w:szCs w:val="21"/>
              </w:rPr>
            </w:pPr>
            <w:r>
              <w:rPr>
                <w:rFonts w:ascii="宋体" w:hAnsi="宋体" w:cs="Calibri"/>
                <w:color w:val="000000"/>
                <w:szCs w:val="21"/>
              </w:rPr>
              <w:t xml:space="preserve">客服电话：010-66154828 </w:t>
            </w:r>
          </w:p>
          <w:p w14:paraId="6D893096" w14:textId="77777777" w:rsidR="009A7A59" w:rsidRDefault="00000000">
            <w:pPr>
              <w:rPr>
                <w:rFonts w:asciiTheme="minorEastAsia" w:hAnsiTheme="minorEastAsia" w:cs="Arial" w:hint="eastAsia"/>
                <w:szCs w:val="20"/>
              </w:rPr>
            </w:pPr>
            <w:r>
              <w:rPr>
                <w:rFonts w:ascii="宋体" w:hAnsi="宋体" w:cs="Calibri"/>
                <w:color w:val="000000"/>
                <w:szCs w:val="21"/>
              </w:rPr>
              <w:t>公司网站：https://www.5irich.com/</w:t>
            </w:r>
          </w:p>
        </w:tc>
      </w:tr>
      <w:tr w:rsidR="009A7A59" w14:paraId="304F3A87" w14:textId="77777777">
        <w:tc>
          <w:tcPr>
            <w:tcW w:w="738" w:type="dxa"/>
          </w:tcPr>
          <w:p w14:paraId="5278F56A" w14:textId="77777777" w:rsidR="009A7A59" w:rsidRDefault="00000000">
            <w:pPr>
              <w:ind w:left="420" w:hanging="420"/>
              <w:rPr>
                <w:rFonts w:ascii="宋体" w:hAnsi="宋体" w:hint="eastAsia"/>
                <w:color w:val="000000"/>
              </w:rPr>
            </w:pPr>
            <w:r>
              <w:rPr>
                <w:rFonts w:ascii="宋体" w:hAnsi="宋体" w:hint="eastAsia"/>
                <w:color w:val="000000"/>
              </w:rPr>
              <w:t>47</w:t>
            </w:r>
          </w:p>
        </w:tc>
        <w:tc>
          <w:tcPr>
            <w:tcW w:w="2521" w:type="dxa"/>
          </w:tcPr>
          <w:p w14:paraId="056BD075" w14:textId="77777777" w:rsidR="009A7A59" w:rsidRDefault="00000000">
            <w:pPr>
              <w:rPr>
                <w:rFonts w:asciiTheme="minorEastAsia" w:hAnsiTheme="minorEastAsia" w:cs="Arial" w:hint="eastAsia"/>
                <w:szCs w:val="20"/>
              </w:rPr>
            </w:pPr>
            <w:r>
              <w:t>上海</w:t>
            </w:r>
            <w:proofErr w:type="gramStart"/>
            <w:r>
              <w:t>陆享基金</w:t>
            </w:r>
            <w:proofErr w:type="gramEnd"/>
            <w:r>
              <w:t>销售有限公司</w:t>
            </w:r>
          </w:p>
        </w:tc>
        <w:tc>
          <w:tcPr>
            <w:tcW w:w="5105" w:type="dxa"/>
          </w:tcPr>
          <w:p w14:paraId="1428D007" w14:textId="77777777" w:rsidR="009A7A59" w:rsidRDefault="00000000">
            <w:pPr>
              <w:snapToGrid w:val="0"/>
              <w:rPr>
                <w:rFonts w:ascii="宋体" w:hAnsi="宋体" w:cs="Calibri" w:hint="eastAsia"/>
                <w:color w:val="000000"/>
                <w:szCs w:val="21"/>
              </w:rPr>
            </w:pPr>
            <w:r>
              <w:t>注册</w:t>
            </w:r>
            <w:r>
              <w:rPr>
                <w:rFonts w:ascii="宋体" w:hAnsi="宋体" w:cs="Calibri" w:hint="eastAsia"/>
                <w:color w:val="000000"/>
                <w:szCs w:val="21"/>
              </w:rPr>
              <w:t>（办公）地址：</w:t>
            </w:r>
            <w:r>
              <w:rPr>
                <w:rFonts w:hint="eastAsia"/>
              </w:rPr>
              <w:t>上海市浦东新区滨江大道</w:t>
            </w:r>
            <w:r>
              <w:rPr>
                <w:rFonts w:hint="eastAsia"/>
              </w:rPr>
              <w:t>1111</w:t>
            </w:r>
            <w:r>
              <w:rPr>
                <w:rFonts w:hint="eastAsia"/>
              </w:rPr>
              <w:t>弄</w:t>
            </w:r>
            <w:r>
              <w:rPr>
                <w:rFonts w:hint="eastAsia"/>
              </w:rPr>
              <w:t>1</w:t>
            </w:r>
            <w:r>
              <w:rPr>
                <w:rFonts w:hint="eastAsia"/>
              </w:rPr>
              <w:t>号中</w:t>
            </w:r>
            <w:proofErr w:type="gramStart"/>
            <w:r>
              <w:rPr>
                <w:rFonts w:hint="eastAsia"/>
              </w:rPr>
              <w:t>企国际</w:t>
            </w:r>
            <w:proofErr w:type="gramEnd"/>
            <w:r>
              <w:rPr>
                <w:rFonts w:hint="eastAsia"/>
              </w:rPr>
              <w:t>金融中心</w:t>
            </w:r>
            <w:r>
              <w:rPr>
                <w:rFonts w:hint="eastAsia"/>
              </w:rPr>
              <w:t>A</w:t>
            </w:r>
            <w:r>
              <w:rPr>
                <w:rFonts w:hint="eastAsia"/>
              </w:rPr>
              <w:t>楼</w:t>
            </w:r>
            <w:r>
              <w:rPr>
                <w:rFonts w:hint="eastAsia"/>
              </w:rPr>
              <w:t>10</w:t>
            </w:r>
            <w:r>
              <w:rPr>
                <w:rFonts w:hint="eastAsia"/>
              </w:rPr>
              <w:t>层</w:t>
            </w:r>
            <w:r>
              <w:rPr>
                <w:rFonts w:hint="eastAsia"/>
              </w:rPr>
              <w:t>02</w:t>
            </w:r>
            <w:r>
              <w:rPr>
                <w:rFonts w:hint="eastAsia"/>
              </w:rPr>
              <w:t>、</w:t>
            </w:r>
            <w:r>
              <w:rPr>
                <w:rFonts w:hint="eastAsia"/>
              </w:rPr>
              <w:t>03</w:t>
            </w:r>
            <w:r>
              <w:rPr>
                <w:rFonts w:hint="eastAsia"/>
              </w:rPr>
              <w:t>、</w:t>
            </w:r>
            <w:r>
              <w:rPr>
                <w:rFonts w:hint="eastAsia"/>
              </w:rPr>
              <w:t>04</w:t>
            </w:r>
            <w:r>
              <w:rPr>
                <w:rFonts w:hint="eastAsia"/>
              </w:rPr>
              <w:t>、</w:t>
            </w:r>
            <w:r>
              <w:rPr>
                <w:rFonts w:hint="eastAsia"/>
              </w:rPr>
              <w:t>05</w:t>
            </w:r>
            <w:r>
              <w:rPr>
                <w:rFonts w:hint="eastAsia"/>
              </w:rPr>
              <w:t>、</w:t>
            </w:r>
            <w:r>
              <w:rPr>
                <w:rFonts w:hint="eastAsia"/>
              </w:rPr>
              <w:t>06</w:t>
            </w:r>
            <w:r>
              <w:rPr>
                <w:rFonts w:hint="eastAsia"/>
              </w:rPr>
              <w:t>单元</w:t>
            </w:r>
          </w:p>
          <w:p w14:paraId="7CC166DE"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客服电话：400-168-1235</w:t>
            </w:r>
          </w:p>
          <w:p w14:paraId="22945A0C" w14:textId="77777777" w:rsidR="009A7A59" w:rsidRDefault="00000000">
            <w:pPr>
              <w:pStyle w:val="a9"/>
              <w:jc w:val="both"/>
              <w:rPr>
                <w:rFonts w:asciiTheme="minorEastAsia" w:hAnsiTheme="minorEastAsia" w:cs="Arial" w:hint="eastAsia"/>
                <w:kern w:val="2"/>
                <w:sz w:val="21"/>
                <w:szCs w:val="20"/>
              </w:rPr>
            </w:pPr>
            <w:r>
              <w:rPr>
                <w:rFonts w:ascii="宋体" w:hAnsi="宋体" w:cs="Calibri" w:hint="eastAsia"/>
                <w:color w:val="000000"/>
                <w:szCs w:val="21"/>
              </w:rPr>
              <w:t>公司网站：</w:t>
            </w:r>
            <w:r>
              <w:rPr>
                <w:rFonts w:ascii="宋体" w:hAnsi="宋体" w:cs="Calibri"/>
                <w:color w:val="000000"/>
                <w:szCs w:val="21"/>
              </w:rPr>
              <w:t>www.luxxfund.com</w:t>
            </w:r>
          </w:p>
        </w:tc>
      </w:tr>
      <w:tr w:rsidR="009A7A59" w14:paraId="74EAA90A" w14:textId="77777777">
        <w:tc>
          <w:tcPr>
            <w:tcW w:w="738" w:type="dxa"/>
          </w:tcPr>
          <w:p w14:paraId="6A852169" w14:textId="77777777" w:rsidR="009A7A59" w:rsidRDefault="00000000">
            <w:pPr>
              <w:ind w:left="420" w:hanging="420"/>
              <w:rPr>
                <w:rFonts w:ascii="宋体" w:hAnsi="宋体" w:hint="eastAsia"/>
                <w:color w:val="000000"/>
              </w:rPr>
            </w:pPr>
            <w:r>
              <w:rPr>
                <w:rFonts w:ascii="宋体" w:hAnsi="宋体" w:hint="eastAsia"/>
                <w:color w:val="000000"/>
              </w:rPr>
              <w:t>48</w:t>
            </w:r>
          </w:p>
        </w:tc>
        <w:tc>
          <w:tcPr>
            <w:tcW w:w="2521" w:type="dxa"/>
          </w:tcPr>
          <w:p w14:paraId="105FA738" w14:textId="77777777" w:rsidR="009A7A59" w:rsidRDefault="00000000">
            <w:pPr>
              <w:pStyle w:val="a9"/>
              <w:jc w:val="both"/>
            </w:pPr>
            <w:r>
              <w:rPr>
                <w:rFonts w:hint="eastAsia"/>
              </w:rPr>
              <w:t>和讯信息科技有限公司</w:t>
            </w:r>
          </w:p>
          <w:p w14:paraId="409EBC4D" w14:textId="77777777" w:rsidR="009A7A59" w:rsidRDefault="009A7A59">
            <w:pPr>
              <w:rPr>
                <w:rFonts w:asciiTheme="minorEastAsia" w:hAnsiTheme="minorEastAsia" w:cs="Arial" w:hint="eastAsia"/>
                <w:szCs w:val="20"/>
              </w:rPr>
            </w:pPr>
          </w:p>
        </w:tc>
        <w:tc>
          <w:tcPr>
            <w:tcW w:w="5105" w:type="dxa"/>
          </w:tcPr>
          <w:p w14:paraId="24AAAF37" w14:textId="77777777" w:rsidR="009A7A59" w:rsidRDefault="00000000">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北京市朝外大街</w:t>
            </w:r>
            <w:proofErr w:type="gramStart"/>
            <w:r>
              <w:rPr>
                <w:rFonts w:ascii="宋体" w:hAnsi="宋体" w:cs="Calibri" w:hint="eastAsia"/>
                <w:color w:val="000000"/>
                <w:szCs w:val="21"/>
              </w:rPr>
              <w:t>22号泛利大厦</w:t>
            </w:r>
            <w:proofErr w:type="gramEnd"/>
            <w:r>
              <w:rPr>
                <w:rFonts w:ascii="宋体" w:hAnsi="宋体" w:cs="Calibri" w:hint="eastAsia"/>
                <w:color w:val="000000"/>
                <w:szCs w:val="21"/>
              </w:rPr>
              <w:t>10层</w:t>
            </w:r>
          </w:p>
          <w:p w14:paraId="43109145" w14:textId="77777777" w:rsidR="009A7A59" w:rsidRDefault="00000000">
            <w:pPr>
              <w:rPr>
                <w:rFonts w:ascii="宋体" w:hAnsi="宋体" w:cs="Calibri" w:hint="eastAsia"/>
                <w:color w:val="000000"/>
                <w:szCs w:val="21"/>
              </w:rPr>
            </w:pPr>
            <w:r>
              <w:rPr>
                <w:rFonts w:ascii="宋体" w:hAnsi="宋体" w:cs="Calibri" w:hint="eastAsia"/>
                <w:color w:val="000000"/>
                <w:szCs w:val="21"/>
              </w:rPr>
              <w:t>客服电话：400-920-0022</w:t>
            </w:r>
          </w:p>
          <w:p w14:paraId="6DA1D80F" w14:textId="77777777" w:rsidR="009A7A59" w:rsidRDefault="00000000">
            <w:pPr>
              <w:rPr>
                <w:rFonts w:asciiTheme="minorEastAsia" w:hAnsiTheme="minorEastAsia" w:cs="Arial" w:hint="eastAsia"/>
                <w:szCs w:val="20"/>
              </w:rPr>
            </w:pPr>
            <w:r>
              <w:rPr>
                <w:rFonts w:ascii="宋体" w:hAnsi="宋体" w:cs="Calibri" w:hint="eastAsia"/>
                <w:color w:val="000000"/>
                <w:szCs w:val="21"/>
              </w:rPr>
              <w:t>公司网站：</w:t>
            </w:r>
            <w:hyperlink r:id="rId43" w:history="1">
              <w:r>
                <w:rPr>
                  <w:rFonts w:ascii="宋体" w:hAnsi="宋体" w:cs="Calibri" w:hint="eastAsia"/>
                  <w:color w:val="000000"/>
                  <w:szCs w:val="21"/>
                </w:rPr>
                <w:t>www.licaike.com</w:t>
              </w:r>
            </w:hyperlink>
          </w:p>
        </w:tc>
      </w:tr>
      <w:tr w:rsidR="009A7A59" w14:paraId="0F8C20CF" w14:textId="77777777">
        <w:tc>
          <w:tcPr>
            <w:tcW w:w="738" w:type="dxa"/>
          </w:tcPr>
          <w:p w14:paraId="6963CC8E" w14:textId="77777777" w:rsidR="009A7A59" w:rsidRDefault="00000000">
            <w:pPr>
              <w:ind w:left="420" w:hanging="420"/>
              <w:rPr>
                <w:rFonts w:ascii="宋体" w:hAnsi="宋体" w:hint="eastAsia"/>
                <w:color w:val="000000"/>
              </w:rPr>
            </w:pPr>
            <w:r>
              <w:rPr>
                <w:rFonts w:ascii="宋体" w:hAnsi="宋体" w:hint="eastAsia"/>
                <w:color w:val="000000"/>
              </w:rPr>
              <w:t>49</w:t>
            </w:r>
          </w:p>
        </w:tc>
        <w:tc>
          <w:tcPr>
            <w:tcW w:w="2521" w:type="dxa"/>
          </w:tcPr>
          <w:p w14:paraId="34AB6164" w14:textId="77777777" w:rsidR="009A7A59" w:rsidRDefault="00000000">
            <w:pPr>
              <w:rPr>
                <w:rFonts w:asciiTheme="minorEastAsia" w:hAnsiTheme="minorEastAsia" w:cs="Arial" w:hint="eastAsia"/>
                <w:szCs w:val="20"/>
              </w:rPr>
            </w:pPr>
            <w:r>
              <w:rPr>
                <w:rFonts w:asciiTheme="minorEastAsia" w:hAnsiTheme="minorEastAsia" w:cs="Arial" w:hint="eastAsia"/>
                <w:szCs w:val="20"/>
              </w:rPr>
              <w:t>深圳市前海排</w:t>
            </w:r>
            <w:proofErr w:type="gramStart"/>
            <w:r>
              <w:rPr>
                <w:rFonts w:asciiTheme="minorEastAsia" w:hAnsiTheme="minorEastAsia" w:cs="Arial" w:hint="eastAsia"/>
                <w:szCs w:val="20"/>
              </w:rPr>
              <w:t>排</w:t>
            </w:r>
            <w:proofErr w:type="gramEnd"/>
            <w:r>
              <w:rPr>
                <w:rFonts w:asciiTheme="minorEastAsia" w:hAnsiTheme="minorEastAsia" w:cs="Arial" w:hint="eastAsia"/>
                <w:szCs w:val="20"/>
              </w:rPr>
              <w:t>网基金销售有限责任公司</w:t>
            </w:r>
          </w:p>
        </w:tc>
        <w:tc>
          <w:tcPr>
            <w:tcW w:w="5105" w:type="dxa"/>
          </w:tcPr>
          <w:p w14:paraId="2DC41232" w14:textId="77777777" w:rsidR="009A7A59" w:rsidRDefault="00000000">
            <w:pPr>
              <w:rPr>
                <w:rFonts w:asciiTheme="minorEastAsia" w:hAnsiTheme="minorEastAsia" w:cs="Arial" w:hint="eastAsia"/>
                <w:szCs w:val="20"/>
              </w:rPr>
            </w:pPr>
            <w:r>
              <w:rPr>
                <w:rFonts w:asciiTheme="minorEastAsia" w:hAnsiTheme="minorEastAsia" w:cs="Arial" w:hint="eastAsia"/>
                <w:szCs w:val="20"/>
              </w:rPr>
              <w:t>注册（办公）地址：深圳市前海深港合作区前湾一路</w:t>
            </w:r>
            <w:r>
              <w:rPr>
                <w:rFonts w:asciiTheme="minorEastAsia" w:hAnsiTheme="minorEastAsia" w:cs="Arial"/>
                <w:szCs w:val="20"/>
              </w:rPr>
              <w:t>1号A栋201室</w:t>
            </w:r>
          </w:p>
          <w:p w14:paraId="55FACBF9" w14:textId="77777777" w:rsidR="009A7A59" w:rsidRDefault="00000000">
            <w:pPr>
              <w:rPr>
                <w:rFonts w:asciiTheme="minorEastAsia" w:hAnsiTheme="minorEastAsia" w:cs="Arial" w:hint="eastAsia"/>
                <w:szCs w:val="20"/>
              </w:rPr>
            </w:pPr>
            <w:r>
              <w:rPr>
                <w:rFonts w:asciiTheme="minorEastAsia" w:hAnsiTheme="minorEastAsia" w:cs="Arial" w:hint="eastAsia"/>
                <w:szCs w:val="20"/>
              </w:rPr>
              <w:t>客服电话：</w:t>
            </w:r>
            <w:r>
              <w:rPr>
                <w:rFonts w:asciiTheme="minorEastAsia" w:hAnsiTheme="minorEastAsia" w:cs="Arial"/>
                <w:szCs w:val="20"/>
              </w:rPr>
              <w:t xml:space="preserve">400-666-7388 </w:t>
            </w:r>
          </w:p>
          <w:p w14:paraId="116FF80F" w14:textId="77777777" w:rsidR="009A7A59" w:rsidRDefault="00000000">
            <w:pPr>
              <w:pStyle w:val="a9"/>
              <w:jc w:val="both"/>
              <w:rPr>
                <w:rFonts w:asciiTheme="minorEastAsia" w:hAnsiTheme="minorEastAsia" w:cs="Arial" w:hint="eastAsia"/>
                <w:kern w:val="2"/>
                <w:sz w:val="21"/>
                <w:szCs w:val="20"/>
              </w:rPr>
            </w:pPr>
            <w:r>
              <w:rPr>
                <w:rFonts w:asciiTheme="minorEastAsia" w:hAnsiTheme="minorEastAsia" w:cs="Arial" w:hint="eastAsia"/>
                <w:kern w:val="2"/>
                <w:sz w:val="21"/>
                <w:szCs w:val="20"/>
              </w:rPr>
              <w:t>公司网站：</w:t>
            </w:r>
            <w:r>
              <w:rPr>
                <w:rFonts w:asciiTheme="minorEastAsia" w:hAnsiTheme="minorEastAsia" w:cs="Arial"/>
                <w:kern w:val="2"/>
                <w:sz w:val="21"/>
                <w:szCs w:val="20"/>
              </w:rPr>
              <w:t>www.ppwfund.com</w:t>
            </w:r>
          </w:p>
        </w:tc>
      </w:tr>
      <w:tr w:rsidR="009A7A59" w14:paraId="662FB65C" w14:textId="77777777">
        <w:tc>
          <w:tcPr>
            <w:tcW w:w="738" w:type="dxa"/>
          </w:tcPr>
          <w:p w14:paraId="0DD35202" w14:textId="77777777" w:rsidR="009A7A59" w:rsidRDefault="00000000">
            <w:pPr>
              <w:ind w:left="420" w:hanging="420"/>
              <w:rPr>
                <w:rFonts w:ascii="宋体" w:hAnsi="宋体" w:hint="eastAsia"/>
                <w:color w:val="000000"/>
              </w:rPr>
            </w:pPr>
            <w:r>
              <w:rPr>
                <w:rFonts w:ascii="宋体" w:hAnsi="宋体" w:hint="eastAsia"/>
                <w:color w:val="000000"/>
              </w:rPr>
              <w:t>50</w:t>
            </w:r>
          </w:p>
        </w:tc>
        <w:tc>
          <w:tcPr>
            <w:tcW w:w="2521" w:type="dxa"/>
          </w:tcPr>
          <w:p w14:paraId="7EFDE207" w14:textId="77777777" w:rsidR="009A7A59" w:rsidRDefault="00000000">
            <w:pPr>
              <w:rPr>
                <w:rFonts w:asciiTheme="minorEastAsia" w:hAnsiTheme="minorEastAsia" w:cs="Arial" w:hint="eastAsia"/>
                <w:szCs w:val="20"/>
              </w:rPr>
            </w:pPr>
            <w:r>
              <w:rPr>
                <w:rFonts w:asciiTheme="minorEastAsia" w:hAnsiTheme="minorEastAsia" w:cs="Arial" w:hint="eastAsia"/>
                <w:szCs w:val="20"/>
              </w:rPr>
              <w:t>嘉实财富管理有限公司</w:t>
            </w:r>
          </w:p>
        </w:tc>
        <w:tc>
          <w:tcPr>
            <w:tcW w:w="5105" w:type="dxa"/>
          </w:tcPr>
          <w:p w14:paraId="6CD5156F" w14:textId="77777777" w:rsidR="009A7A59" w:rsidRDefault="00000000">
            <w:pPr>
              <w:rPr>
                <w:rFonts w:asciiTheme="minorEastAsia" w:hAnsiTheme="minorEastAsia" w:cs="Arial" w:hint="eastAsia"/>
                <w:szCs w:val="20"/>
              </w:rPr>
            </w:pPr>
            <w:r>
              <w:rPr>
                <w:rFonts w:asciiTheme="minorEastAsia" w:hAnsiTheme="minorEastAsia" w:cs="Arial" w:hint="eastAsia"/>
                <w:szCs w:val="20"/>
              </w:rPr>
              <w:t>注册（办公）地址：海南省三亚市天涯区凤凰岛</w:t>
            </w:r>
            <w:r>
              <w:rPr>
                <w:rFonts w:asciiTheme="minorEastAsia" w:hAnsiTheme="minorEastAsia" w:cs="Arial"/>
                <w:szCs w:val="20"/>
              </w:rPr>
              <w:t>1</w:t>
            </w:r>
            <w:r>
              <w:rPr>
                <w:rFonts w:asciiTheme="minorEastAsia" w:hAnsiTheme="minorEastAsia" w:cs="Arial" w:hint="eastAsia"/>
                <w:szCs w:val="20"/>
              </w:rPr>
              <w:t>号楼</w:t>
            </w:r>
            <w:r>
              <w:rPr>
                <w:rFonts w:asciiTheme="minorEastAsia" w:hAnsiTheme="minorEastAsia" w:cs="Arial"/>
                <w:szCs w:val="20"/>
              </w:rPr>
              <w:t>7</w:t>
            </w:r>
            <w:r>
              <w:rPr>
                <w:rFonts w:asciiTheme="minorEastAsia" w:hAnsiTheme="minorEastAsia" w:cs="Arial" w:hint="eastAsia"/>
                <w:szCs w:val="20"/>
              </w:rPr>
              <w:t>层</w:t>
            </w:r>
            <w:r>
              <w:rPr>
                <w:rFonts w:asciiTheme="minorEastAsia" w:hAnsiTheme="minorEastAsia" w:cs="Arial"/>
                <w:szCs w:val="20"/>
              </w:rPr>
              <w:t>710</w:t>
            </w:r>
            <w:r>
              <w:rPr>
                <w:rFonts w:asciiTheme="minorEastAsia" w:hAnsiTheme="minorEastAsia" w:cs="Arial" w:hint="eastAsia"/>
                <w:szCs w:val="20"/>
              </w:rPr>
              <w:t>号</w:t>
            </w:r>
          </w:p>
          <w:p w14:paraId="45A43CEF" w14:textId="77777777" w:rsidR="009A7A59" w:rsidRDefault="00000000">
            <w:pPr>
              <w:rPr>
                <w:rFonts w:asciiTheme="minorEastAsia" w:hAnsiTheme="minorEastAsia" w:cs="Arial" w:hint="eastAsia"/>
                <w:szCs w:val="20"/>
              </w:rPr>
            </w:pPr>
            <w:r>
              <w:rPr>
                <w:rFonts w:asciiTheme="minorEastAsia" w:hAnsiTheme="minorEastAsia" w:cs="Arial" w:hint="eastAsia"/>
                <w:szCs w:val="20"/>
              </w:rPr>
              <w:t>客服电话：</w:t>
            </w:r>
            <w:r>
              <w:rPr>
                <w:rFonts w:asciiTheme="minorEastAsia" w:hAnsiTheme="minorEastAsia" w:cs="Arial"/>
                <w:szCs w:val="20"/>
              </w:rPr>
              <w:t>400-021-8850</w:t>
            </w:r>
          </w:p>
          <w:p w14:paraId="48C26F2C" w14:textId="77777777" w:rsidR="009A7A59" w:rsidRDefault="00000000">
            <w:pPr>
              <w:pStyle w:val="a9"/>
              <w:jc w:val="both"/>
              <w:rPr>
                <w:rFonts w:asciiTheme="minorEastAsia" w:hAnsiTheme="minorEastAsia" w:cs="Arial" w:hint="eastAsia"/>
                <w:kern w:val="2"/>
                <w:sz w:val="21"/>
                <w:szCs w:val="20"/>
              </w:rPr>
            </w:pPr>
            <w:r>
              <w:rPr>
                <w:rFonts w:asciiTheme="minorEastAsia" w:hAnsiTheme="minorEastAsia" w:cs="Arial" w:hint="eastAsia"/>
                <w:kern w:val="2"/>
                <w:sz w:val="21"/>
                <w:szCs w:val="20"/>
              </w:rPr>
              <w:t>公司网站：</w:t>
            </w:r>
            <w:r>
              <w:rPr>
                <w:rFonts w:asciiTheme="minorEastAsia" w:hAnsiTheme="minorEastAsia" w:cs="Arial"/>
                <w:kern w:val="2"/>
                <w:sz w:val="21"/>
                <w:szCs w:val="20"/>
              </w:rPr>
              <w:t>www.harvestwm.cn</w:t>
            </w:r>
          </w:p>
        </w:tc>
      </w:tr>
      <w:tr w:rsidR="009A7A59" w14:paraId="1162D30B" w14:textId="77777777">
        <w:tc>
          <w:tcPr>
            <w:tcW w:w="738" w:type="dxa"/>
          </w:tcPr>
          <w:p w14:paraId="4F73DD49" w14:textId="77777777" w:rsidR="009A7A59" w:rsidRDefault="00000000">
            <w:pPr>
              <w:ind w:left="420" w:hanging="420"/>
              <w:rPr>
                <w:rFonts w:ascii="宋体" w:hAnsi="宋体" w:hint="eastAsia"/>
                <w:color w:val="000000"/>
              </w:rPr>
            </w:pPr>
            <w:r>
              <w:rPr>
                <w:rFonts w:ascii="宋体" w:hAnsi="宋体" w:hint="eastAsia"/>
                <w:color w:val="000000"/>
              </w:rPr>
              <w:t>51</w:t>
            </w:r>
          </w:p>
        </w:tc>
        <w:tc>
          <w:tcPr>
            <w:tcW w:w="2521" w:type="dxa"/>
          </w:tcPr>
          <w:p w14:paraId="2AFD08A5" w14:textId="77777777" w:rsidR="009A7A59" w:rsidRDefault="00000000">
            <w:pPr>
              <w:rPr>
                <w:rFonts w:asciiTheme="minorEastAsia" w:hAnsiTheme="minorEastAsia" w:cs="Arial" w:hint="eastAsia"/>
                <w:szCs w:val="20"/>
              </w:rPr>
            </w:pPr>
            <w:r>
              <w:rPr>
                <w:rFonts w:asciiTheme="minorEastAsia" w:hAnsiTheme="minorEastAsia" w:cs="Arial" w:hint="eastAsia"/>
                <w:szCs w:val="20"/>
              </w:rPr>
              <w:t>上海</w:t>
            </w:r>
            <w:proofErr w:type="gramStart"/>
            <w:r>
              <w:rPr>
                <w:rFonts w:asciiTheme="minorEastAsia" w:hAnsiTheme="minorEastAsia" w:cs="Arial" w:hint="eastAsia"/>
                <w:szCs w:val="20"/>
              </w:rPr>
              <w:t>攀赢基金</w:t>
            </w:r>
            <w:proofErr w:type="gramEnd"/>
            <w:r>
              <w:rPr>
                <w:rFonts w:asciiTheme="minorEastAsia" w:hAnsiTheme="minorEastAsia" w:cs="Arial" w:hint="eastAsia"/>
                <w:szCs w:val="20"/>
              </w:rPr>
              <w:t>销售有限公司</w:t>
            </w:r>
          </w:p>
        </w:tc>
        <w:tc>
          <w:tcPr>
            <w:tcW w:w="5105" w:type="dxa"/>
          </w:tcPr>
          <w:p w14:paraId="48417496" w14:textId="77777777" w:rsidR="009A7A59" w:rsidRDefault="00000000">
            <w:pPr>
              <w:snapToGrid w:val="0"/>
              <w:rPr>
                <w:rFonts w:asciiTheme="minorEastAsia" w:hAnsiTheme="minorEastAsia" w:cs="Arial" w:hint="eastAsia"/>
                <w:szCs w:val="20"/>
              </w:rPr>
            </w:pPr>
            <w:r>
              <w:rPr>
                <w:rFonts w:asciiTheme="minorEastAsia" w:hAnsiTheme="minorEastAsia" w:cs="Arial" w:hint="eastAsia"/>
                <w:szCs w:val="20"/>
              </w:rPr>
              <w:t>注册（办公）地址：上海市闸北区广中西路</w:t>
            </w:r>
            <w:r>
              <w:rPr>
                <w:rFonts w:asciiTheme="minorEastAsia" w:hAnsiTheme="minorEastAsia" w:cs="Arial"/>
                <w:szCs w:val="20"/>
              </w:rPr>
              <w:t>1207</w:t>
            </w:r>
            <w:r>
              <w:rPr>
                <w:rFonts w:asciiTheme="minorEastAsia" w:hAnsiTheme="minorEastAsia" w:cs="Arial" w:hint="eastAsia"/>
                <w:szCs w:val="20"/>
              </w:rPr>
              <w:t>号</w:t>
            </w:r>
            <w:r>
              <w:rPr>
                <w:rFonts w:asciiTheme="minorEastAsia" w:hAnsiTheme="minorEastAsia" w:cs="Arial"/>
                <w:szCs w:val="20"/>
              </w:rPr>
              <w:t>306</w:t>
            </w:r>
            <w:r>
              <w:rPr>
                <w:rFonts w:asciiTheme="minorEastAsia" w:hAnsiTheme="minorEastAsia" w:cs="Arial" w:hint="eastAsia"/>
                <w:szCs w:val="20"/>
              </w:rPr>
              <w:t>室</w:t>
            </w:r>
          </w:p>
          <w:p w14:paraId="122285BF" w14:textId="77777777" w:rsidR="009A7A59" w:rsidRDefault="00000000">
            <w:pPr>
              <w:snapToGrid w:val="0"/>
              <w:rPr>
                <w:rFonts w:asciiTheme="minorEastAsia" w:hAnsiTheme="minorEastAsia" w:cs="Arial" w:hint="eastAsia"/>
                <w:szCs w:val="20"/>
              </w:rPr>
            </w:pPr>
            <w:r>
              <w:rPr>
                <w:rFonts w:asciiTheme="minorEastAsia" w:hAnsiTheme="minorEastAsia" w:cs="Arial" w:hint="eastAsia"/>
                <w:szCs w:val="20"/>
              </w:rPr>
              <w:t>客服电话：</w:t>
            </w:r>
            <w:r>
              <w:rPr>
                <w:rFonts w:asciiTheme="minorEastAsia" w:hAnsiTheme="minorEastAsia" w:cs="Arial"/>
                <w:szCs w:val="20"/>
              </w:rPr>
              <w:t>021-68889082</w:t>
            </w:r>
          </w:p>
          <w:p w14:paraId="5171AF67" w14:textId="77777777" w:rsidR="009A7A59" w:rsidRDefault="00000000">
            <w:pPr>
              <w:pStyle w:val="a9"/>
              <w:jc w:val="both"/>
              <w:rPr>
                <w:rFonts w:asciiTheme="minorEastAsia" w:hAnsiTheme="minorEastAsia" w:cs="Arial" w:hint="eastAsia"/>
                <w:kern w:val="2"/>
                <w:sz w:val="21"/>
                <w:szCs w:val="20"/>
              </w:rPr>
            </w:pPr>
            <w:r>
              <w:rPr>
                <w:rFonts w:asciiTheme="minorEastAsia" w:hAnsiTheme="minorEastAsia" w:cs="Arial" w:hint="eastAsia"/>
                <w:kern w:val="2"/>
                <w:sz w:val="21"/>
                <w:szCs w:val="20"/>
              </w:rPr>
              <w:t>公司网站：</w:t>
            </w:r>
            <w:r>
              <w:rPr>
                <w:rFonts w:asciiTheme="minorEastAsia" w:hAnsiTheme="minorEastAsia" w:cs="Arial"/>
                <w:kern w:val="2"/>
                <w:sz w:val="21"/>
                <w:szCs w:val="20"/>
              </w:rPr>
              <w:t>www.pytz.cn</w:t>
            </w:r>
          </w:p>
        </w:tc>
      </w:tr>
      <w:tr w:rsidR="009A7A59" w14:paraId="14C1D7B2" w14:textId="77777777">
        <w:tc>
          <w:tcPr>
            <w:tcW w:w="738" w:type="dxa"/>
          </w:tcPr>
          <w:p w14:paraId="1747118F" w14:textId="77777777" w:rsidR="009A7A59" w:rsidRDefault="00000000">
            <w:pPr>
              <w:ind w:left="420" w:hanging="420"/>
              <w:rPr>
                <w:rFonts w:ascii="宋体" w:hAnsi="宋体" w:hint="eastAsia"/>
                <w:color w:val="000000"/>
              </w:rPr>
            </w:pPr>
            <w:r>
              <w:rPr>
                <w:rFonts w:ascii="宋体" w:hAnsi="宋体" w:hint="eastAsia"/>
                <w:color w:val="000000"/>
              </w:rPr>
              <w:t>52</w:t>
            </w:r>
          </w:p>
        </w:tc>
        <w:tc>
          <w:tcPr>
            <w:tcW w:w="2521" w:type="dxa"/>
          </w:tcPr>
          <w:p w14:paraId="1C795625" w14:textId="77777777" w:rsidR="009A7A59" w:rsidRDefault="00000000">
            <w:pPr>
              <w:rPr>
                <w:rFonts w:asciiTheme="minorEastAsia" w:hAnsiTheme="minorEastAsia" w:cs="Arial" w:hint="eastAsia"/>
                <w:szCs w:val="20"/>
              </w:rPr>
            </w:pPr>
            <w:r>
              <w:rPr>
                <w:rFonts w:asciiTheme="minorEastAsia" w:hAnsiTheme="minorEastAsia" w:cs="Arial" w:hint="eastAsia"/>
                <w:szCs w:val="20"/>
              </w:rPr>
              <w:t>上海爱建基金销售有限公司</w:t>
            </w:r>
          </w:p>
        </w:tc>
        <w:tc>
          <w:tcPr>
            <w:tcW w:w="5105" w:type="dxa"/>
          </w:tcPr>
          <w:p w14:paraId="75EA8FF2" w14:textId="77777777" w:rsidR="009A7A59" w:rsidRDefault="00000000">
            <w:pPr>
              <w:snapToGrid w:val="0"/>
              <w:rPr>
                <w:rFonts w:asciiTheme="minorEastAsia" w:hAnsiTheme="minorEastAsia" w:cs="Arial" w:hint="eastAsia"/>
                <w:szCs w:val="20"/>
              </w:rPr>
            </w:pPr>
            <w:r>
              <w:rPr>
                <w:rFonts w:asciiTheme="minorEastAsia" w:hAnsiTheme="minorEastAsia" w:cs="Arial" w:hint="eastAsia"/>
                <w:szCs w:val="20"/>
              </w:rPr>
              <w:t>注册</w:t>
            </w:r>
            <w:r>
              <w:rPr>
                <w:rFonts w:asciiTheme="minorEastAsia" w:hAnsiTheme="minorEastAsia" w:cs="Arial"/>
                <w:szCs w:val="20"/>
              </w:rPr>
              <w:t xml:space="preserve">(办公)地址 : </w:t>
            </w:r>
            <w:r>
              <w:rPr>
                <w:rFonts w:asciiTheme="minorEastAsia" w:hAnsiTheme="minorEastAsia" w:cs="Arial" w:hint="eastAsia"/>
                <w:szCs w:val="20"/>
              </w:rPr>
              <w:t>上海市黄浦区西藏中路336号1806-13室</w:t>
            </w:r>
          </w:p>
          <w:p w14:paraId="42A13432" w14:textId="77777777" w:rsidR="009A7A59" w:rsidRDefault="00000000">
            <w:pPr>
              <w:snapToGrid w:val="0"/>
              <w:rPr>
                <w:rFonts w:asciiTheme="minorEastAsia" w:hAnsiTheme="minorEastAsia" w:cs="Arial" w:hint="eastAsia"/>
                <w:szCs w:val="20"/>
              </w:rPr>
            </w:pPr>
            <w:r>
              <w:rPr>
                <w:rFonts w:asciiTheme="minorEastAsia" w:hAnsiTheme="minorEastAsia" w:cs="Arial" w:hint="eastAsia"/>
                <w:szCs w:val="20"/>
              </w:rPr>
              <w:t>客户服务电话：400-803-2733</w:t>
            </w:r>
          </w:p>
          <w:p w14:paraId="3D5C309D" w14:textId="77777777" w:rsidR="009A7A59" w:rsidRDefault="00000000">
            <w:pPr>
              <w:pStyle w:val="a9"/>
              <w:jc w:val="both"/>
              <w:rPr>
                <w:rFonts w:asciiTheme="minorEastAsia" w:hAnsiTheme="minorEastAsia" w:cs="Arial" w:hint="eastAsia"/>
                <w:kern w:val="2"/>
                <w:sz w:val="21"/>
                <w:szCs w:val="20"/>
              </w:rPr>
            </w:pPr>
            <w:r>
              <w:rPr>
                <w:rFonts w:asciiTheme="minorEastAsia" w:hAnsiTheme="minorEastAsia" w:cs="Arial" w:hint="eastAsia"/>
                <w:szCs w:val="20"/>
              </w:rPr>
              <w:t>网址：</w:t>
            </w:r>
            <w:r>
              <w:rPr>
                <w:rFonts w:asciiTheme="minorEastAsia" w:hAnsiTheme="minorEastAsia" w:cs="Arial"/>
                <w:szCs w:val="20"/>
              </w:rPr>
              <w:t>www.ajwm.com.cn</w:t>
            </w:r>
          </w:p>
        </w:tc>
      </w:tr>
      <w:tr w:rsidR="009A7A59" w14:paraId="713C7BFD" w14:textId="77777777">
        <w:tc>
          <w:tcPr>
            <w:tcW w:w="738" w:type="dxa"/>
          </w:tcPr>
          <w:p w14:paraId="6B7C8747" w14:textId="77777777" w:rsidR="009A7A59" w:rsidRDefault="00000000">
            <w:pPr>
              <w:ind w:left="420" w:hanging="420"/>
              <w:rPr>
                <w:rFonts w:ascii="宋体" w:hAnsi="宋体" w:hint="eastAsia"/>
                <w:color w:val="000000"/>
              </w:rPr>
            </w:pPr>
            <w:r>
              <w:rPr>
                <w:rFonts w:ascii="宋体" w:hAnsi="宋体" w:hint="eastAsia"/>
                <w:color w:val="000000"/>
              </w:rPr>
              <w:t>53</w:t>
            </w:r>
          </w:p>
        </w:tc>
        <w:tc>
          <w:tcPr>
            <w:tcW w:w="2521" w:type="dxa"/>
          </w:tcPr>
          <w:p w14:paraId="235E90CD" w14:textId="77777777" w:rsidR="009A7A59" w:rsidRDefault="00000000">
            <w:pPr>
              <w:rPr>
                <w:rFonts w:asciiTheme="minorEastAsia" w:hAnsiTheme="minorEastAsia" w:cs="Arial" w:hint="eastAsia"/>
                <w:szCs w:val="20"/>
              </w:rPr>
            </w:pPr>
            <w:r>
              <w:rPr>
                <w:rFonts w:asciiTheme="minorEastAsia" w:hAnsiTheme="minorEastAsia" w:cs="Arial" w:hint="eastAsia"/>
                <w:szCs w:val="20"/>
              </w:rPr>
              <w:t>金元证券股份有限公司</w:t>
            </w:r>
          </w:p>
        </w:tc>
        <w:tc>
          <w:tcPr>
            <w:tcW w:w="5105" w:type="dxa"/>
          </w:tcPr>
          <w:p w14:paraId="7DE5D26C" w14:textId="77777777" w:rsidR="009A7A59" w:rsidRDefault="00000000">
            <w:pPr>
              <w:snapToGrid w:val="0"/>
              <w:rPr>
                <w:rFonts w:asciiTheme="minorEastAsia" w:hAnsiTheme="minorEastAsia" w:cs="Arial" w:hint="eastAsia"/>
                <w:szCs w:val="20"/>
              </w:rPr>
            </w:pPr>
            <w:r>
              <w:rPr>
                <w:rFonts w:asciiTheme="minorEastAsia" w:hAnsiTheme="minorEastAsia" w:cs="Arial" w:hint="eastAsia"/>
                <w:szCs w:val="20"/>
              </w:rPr>
              <w:t>注册</w:t>
            </w:r>
            <w:r>
              <w:rPr>
                <w:rFonts w:asciiTheme="minorEastAsia" w:hAnsiTheme="minorEastAsia" w:cs="Arial"/>
                <w:szCs w:val="20"/>
              </w:rPr>
              <w:t xml:space="preserve">(办公)地址 : </w:t>
            </w:r>
            <w:r>
              <w:rPr>
                <w:rFonts w:asciiTheme="minorEastAsia" w:hAnsiTheme="minorEastAsia" w:cs="Arial" w:hint="eastAsia"/>
                <w:szCs w:val="20"/>
              </w:rPr>
              <w:t>深圳市深南大道</w:t>
            </w:r>
            <w:r>
              <w:rPr>
                <w:rFonts w:asciiTheme="minorEastAsia" w:hAnsiTheme="minorEastAsia" w:cs="Arial"/>
                <w:szCs w:val="20"/>
              </w:rPr>
              <w:t>4001号时代金融中心大厦17楼</w:t>
            </w:r>
          </w:p>
          <w:p w14:paraId="74C68426" w14:textId="77777777" w:rsidR="009A7A59" w:rsidRDefault="00000000">
            <w:pPr>
              <w:snapToGrid w:val="0"/>
              <w:rPr>
                <w:rFonts w:asciiTheme="minorEastAsia" w:hAnsiTheme="minorEastAsia" w:cs="Arial" w:hint="eastAsia"/>
                <w:szCs w:val="20"/>
              </w:rPr>
            </w:pPr>
            <w:r>
              <w:rPr>
                <w:rFonts w:asciiTheme="minorEastAsia" w:hAnsiTheme="minorEastAsia" w:cs="Arial" w:hint="eastAsia"/>
                <w:szCs w:val="20"/>
              </w:rPr>
              <w:t>客户服务电话：</w:t>
            </w:r>
            <w:r>
              <w:rPr>
                <w:rFonts w:asciiTheme="minorEastAsia" w:hAnsiTheme="minorEastAsia" w:cs="Arial"/>
                <w:szCs w:val="20"/>
              </w:rPr>
              <w:t>95372</w:t>
            </w:r>
          </w:p>
          <w:p w14:paraId="7EC89D03" w14:textId="77777777" w:rsidR="009A7A59" w:rsidRDefault="00000000">
            <w:pPr>
              <w:pStyle w:val="a9"/>
              <w:jc w:val="both"/>
              <w:rPr>
                <w:rFonts w:asciiTheme="minorEastAsia" w:hAnsiTheme="minorEastAsia" w:cs="Arial" w:hint="eastAsia"/>
                <w:kern w:val="2"/>
                <w:sz w:val="21"/>
                <w:szCs w:val="20"/>
              </w:rPr>
            </w:pPr>
            <w:r>
              <w:rPr>
                <w:rFonts w:asciiTheme="minorEastAsia" w:hAnsiTheme="minorEastAsia" w:cs="Arial" w:hint="eastAsia"/>
                <w:kern w:val="2"/>
                <w:sz w:val="21"/>
                <w:szCs w:val="20"/>
              </w:rPr>
              <w:t>网址：</w:t>
            </w:r>
            <w:r>
              <w:rPr>
                <w:rFonts w:asciiTheme="minorEastAsia" w:hAnsiTheme="minorEastAsia" w:cs="Arial"/>
                <w:kern w:val="2"/>
                <w:sz w:val="21"/>
                <w:szCs w:val="20"/>
              </w:rPr>
              <w:t>www.jyzq.cn</w:t>
            </w:r>
          </w:p>
        </w:tc>
      </w:tr>
      <w:tr w:rsidR="009A7A59" w14:paraId="1963353B" w14:textId="77777777">
        <w:tc>
          <w:tcPr>
            <w:tcW w:w="738" w:type="dxa"/>
          </w:tcPr>
          <w:p w14:paraId="386D9B83" w14:textId="77777777" w:rsidR="009A7A59" w:rsidRDefault="00000000">
            <w:pPr>
              <w:rPr>
                <w:rFonts w:ascii="宋体" w:hAnsi="宋体" w:hint="eastAsia"/>
                <w:color w:val="000000"/>
              </w:rPr>
            </w:pPr>
            <w:r>
              <w:rPr>
                <w:rFonts w:ascii="宋体" w:hAnsi="宋体" w:hint="eastAsia"/>
                <w:color w:val="000000"/>
              </w:rPr>
              <w:t>54</w:t>
            </w:r>
          </w:p>
        </w:tc>
        <w:tc>
          <w:tcPr>
            <w:tcW w:w="2521" w:type="dxa"/>
          </w:tcPr>
          <w:p w14:paraId="5FF3BB24" w14:textId="77777777" w:rsidR="009A7A59" w:rsidRDefault="00000000">
            <w:pPr>
              <w:rPr>
                <w:rFonts w:asciiTheme="minorEastAsia" w:hAnsiTheme="minorEastAsia" w:cs="Arial" w:hint="eastAsia"/>
                <w:szCs w:val="20"/>
              </w:rPr>
            </w:pPr>
            <w:r>
              <w:rPr>
                <w:rFonts w:asciiTheme="minorEastAsia" w:hAnsiTheme="minorEastAsia" w:cs="Arial" w:hint="eastAsia"/>
                <w:szCs w:val="21"/>
              </w:rPr>
              <w:t>上海大智慧基金销售有限公司</w:t>
            </w:r>
          </w:p>
        </w:tc>
        <w:tc>
          <w:tcPr>
            <w:tcW w:w="5105" w:type="dxa"/>
          </w:tcPr>
          <w:p w14:paraId="245F4A04" w14:textId="77777777" w:rsidR="009A7A59" w:rsidRDefault="00000000">
            <w:pPr>
              <w:snapToGrid w:val="0"/>
              <w:rPr>
                <w:rFonts w:asciiTheme="minorEastAsia" w:hAnsiTheme="minorEastAsia" w:cs="Arial" w:hint="eastAsia"/>
                <w:szCs w:val="21"/>
              </w:rPr>
            </w:pPr>
            <w:r>
              <w:rPr>
                <w:rFonts w:asciiTheme="minorEastAsia" w:hAnsiTheme="minorEastAsia" w:cs="Arial" w:hint="eastAsia"/>
                <w:szCs w:val="21"/>
              </w:rPr>
              <w:t>注册（办公）地址：上海市浦东</w:t>
            </w:r>
            <w:proofErr w:type="gramStart"/>
            <w:r>
              <w:rPr>
                <w:rFonts w:asciiTheme="minorEastAsia" w:hAnsiTheme="minorEastAsia" w:cs="Arial" w:hint="eastAsia"/>
                <w:szCs w:val="21"/>
              </w:rPr>
              <w:t>新区杨</w:t>
            </w:r>
            <w:proofErr w:type="gramEnd"/>
            <w:r>
              <w:rPr>
                <w:rFonts w:asciiTheme="minorEastAsia" w:hAnsiTheme="minorEastAsia" w:cs="Arial" w:hint="eastAsia"/>
                <w:szCs w:val="21"/>
              </w:rPr>
              <w:t>高南路428弄由</w:t>
            </w:r>
            <w:proofErr w:type="gramStart"/>
            <w:r>
              <w:rPr>
                <w:rFonts w:asciiTheme="minorEastAsia" w:hAnsiTheme="minorEastAsia" w:cs="Arial" w:hint="eastAsia"/>
                <w:szCs w:val="21"/>
              </w:rPr>
              <w:t>由</w:t>
            </w:r>
            <w:proofErr w:type="gramEnd"/>
            <w:r>
              <w:rPr>
                <w:rFonts w:asciiTheme="minorEastAsia" w:hAnsiTheme="minorEastAsia" w:cs="Arial" w:hint="eastAsia"/>
                <w:szCs w:val="21"/>
              </w:rPr>
              <w:t>世纪广场1号楼</w:t>
            </w:r>
          </w:p>
          <w:p w14:paraId="76A7518B" w14:textId="77777777" w:rsidR="009A7A59" w:rsidRDefault="00000000">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021-20219988</w:t>
            </w:r>
          </w:p>
          <w:p w14:paraId="0BF03663" w14:textId="77777777" w:rsidR="009A7A59" w:rsidRDefault="00000000">
            <w:pPr>
              <w:widowControl/>
              <w:rPr>
                <w:rFonts w:asciiTheme="minorEastAsia" w:hAnsiTheme="minorEastAsia" w:cs="Arial" w:hint="eastAsia"/>
                <w:sz w:val="22"/>
                <w:szCs w:val="22"/>
              </w:rPr>
            </w:pPr>
            <w:r>
              <w:rPr>
                <w:rFonts w:asciiTheme="minorEastAsia" w:hAnsiTheme="minorEastAsia" w:cs="Arial" w:hint="eastAsia"/>
                <w:szCs w:val="21"/>
              </w:rPr>
              <w:t>公司网站：</w:t>
            </w:r>
            <w:r>
              <w:rPr>
                <w:rFonts w:asciiTheme="minorEastAsia" w:hAnsiTheme="minorEastAsia" w:cs="Arial"/>
                <w:szCs w:val="21"/>
              </w:rPr>
              <w:t>https://www.gw.com.cn/</w:t>
            </w:r>
          </w:p>
        </w:tc>
      </w:tr>
      <w:tr w:rsidR="009A7A59" w14:paraId="372FAE93" w14:textId="77777777">
        <w:tc>
          <w:tcPr>
            <w:tcW w:w="738" w:type="dxa"/>
          </w:tcPr>
          <w:p w14:paraId="0DFDD3EE" w14:textId="77777777" w:rsidR="009A7A59" w:rsidRDefault="00000000">
            <w:pPr>
              <w:rPr>
                <w:rFonts w:ascii="宋体" w:hAnsi="宋体" w:hint="eastAsia"/>
                <w:color w:val="000000"/>
              </w:rPr>
            </w:pPr>
            <w:r>
              <w:rPr>
                <w:rFonts w:ascii="宋体" w:hAnsi="宋体" w:hint="eastAsia"/>
                <w:color w:val="000000"/>
              </w:rPr>
              <w:t>55</w:t>
            </w:r>
          </w:p>
        </w:tc>
        <w:tc>
          <w:tcPr>
            <w:tcW w:w="2521" w:type="dxa"/>
          </w:tcPr>
          <w:p w14:paraId="5DB80D7A" w14:textId="77777777" w:rsidR="009A7A59" w:rsidRDefault="00000000">
            <w:pPr>
              <w:rPr>
                <w:rFonts w:asciiTheme="minorEastAsia" w:hAnsiTheme="minorEastAsia" w:cs="Arial" w:hint="eastAsia"/>
                <w:szCs w:val="20"/>
              </w:rPr>
            </w:pPr>
            <w:r>
              <w:rPr>
                <w:rFonts w:asciiTheme="minorEastAsia" w:hAnsiTheme="minorEastAsia" w:cs="Arial" w:hint="eastAsia"/>
                <w:szCs w:val="21"/>
              </w:rPr>
              <w:t>上海华夏财富投资管理有限公司</w:t>
            </w:r>
          </w:p>
        </w:tc>
        <w:tc>
          <w:tcPr>
            <w:tcW w:w="5105" w:type="dxa"/>
          </w:tcPr>
          <w:p w14:paraId="78E9EE1D" w14:textId="77777777" w:rsidR="009A7A59" w:rsidRDefault="00000000">
            <w:pPr>
              <w:rPr>
                <w:rFonts w:asciiTheme="minorEastAsia" w:hAnsiTheme="minorEastAsia" w:cs="Arial" w:hint="eastAsia"/>
                <w:szCs w:val="21"/>
              </w:rPr>
            </w:pPr>
            <w:r>
              <w:rPr>
                <w:rFonts w:asciiTheme="minorEastAsia" w:hAnsiTheme="minorEastAsia" w:cs="Arial" w:hint="eastAsia"/>
                <w:szCs w:val="21"/>
              </w:rPr>
              <w:t>注册（办公）地址：北京市西城区金融大街33号通泰大厦B座8层</w:t>
            </w:r>
          </w:p>
          <w:p w14:paraId="4160C4D9" w14:textId="77777777" w:rsidR="009A7A59" w:rsidRDefault="00000000">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400-817-5666</w:t>
            </w:r>
          </w:p>
          <w:p w14:paraId="386C8B7B" w14:textId="77777777" w:rsidR="009A7A59" w:rsidRDefault="00000000">
            <w:pPr>
              <w:widowControl/>
              <w:rPr>
                <w:rFonts w:asciiTheme="minorEastAsia" w:hAnsiTheme="minorEastAsia" w:cs="Arial" w:hint="eastAsia"/>
                <w:sz w:val="22"/>
                <w:szCs w:val="22"/>
              </w:rPr>
            </w:pPr>
            <w:r>
              <w:rPr>
                <w:rFonts w:asciiTheme="minorEastAsia" w:hAnsiTheme="minorEastAsia" w:cs="Arial" w:hint="eastAsia"/>
                <w:szCs w:val="21"/>
              </w:rPr>
              <w:t>公司网站：</w:t>
            </w:r>
            <w:r>
              <w:rPr>
                <w:rFonts w:asciiTheme="minorEastAsia" w:hAnsiTheme="minorEastAsia" w:cs="Arial"/>
                <w:szCs w:val="21"/>
              </w:rPr>
              <w:t>https://www.amcfortune.com/</w:t>
            </w:r>
          </w:p>
        </w:tc>
      </w:tr>
      <w:tr w:rsidR="009A7A59" w14:paraId="2680DACA" w14:textId="77777777">
        <w:tc>
          <w:tcPr>
            <w:tcW w:w="738" w:type="dxa"/>
          </w:tcPr>
          <w:p w14:paraId="3B48FC6B" w14:textId="77777777" w:rsidR="009A7A59" w:rsidRDefault="00000000">
            <w:pPr>
              <w:rPr>
                <w:rFonts w:ascii="宋体" w:hAnsi="宋体" w:hint="eastAsia"/>
                <w:color w:val="000000"/>
              </w:rPr>
            </w:pPr>
            <w:r>
              <w:rPr>
                <w:rFonts w:ascii="宋体" w:hAnsi="宋体" w:hint="eastAsia"/>
                <w:color w:val="000000"/>
              </w:rPr>
              <w:t>56</w:t>
            </w:r>
          </w:p>
        </w:tc>
        <w:tc>
          <w:tcPr>
            <w:tcW w:w="2521" w:type="dxa"/>
          </w:tcPr>
          <w:p w14:paraId="7A08657E" w14:textId="77777777" w:rsidR="009A7A59" w:rsidRDefault="00000000">
            <w:pPr>
              <w:rPr>
                <w:rFonts w:asciiTheme="minorEastAsia" w:hAnsiTheme="minorEastAsia" w:cs="Arial" w:hint="eastAsia"/>
                <w:szCs w:val="20"/>
              </w:rPr>
            </w:pPr>
            <w:r>
              <w:t>上海</w:t>
            </w:r>
            <w:proofErr w:type="gramStart"/>
            <w:r>
              <w:t>中正达广基金</w:t>
            </w:r>
            <w:proofErr w:type="gramEnd"/>
            <w:r>
              <w:t>销售有限公司</w:t>
            </w:r>
          </w:p>
        </w:tc>
        <w:tc>
          <w:tcPr>
            <w:tcW w:w="5105" w:type="dxa"/>
          </w:tcPr>
          <w:p w14:paraId="2F2A7DB3" w14:textId="77777777" w:rsidR="009A7A59" w:rsidRDefault="00000000">
            <w:pPr>
              <w:rPr>
                <w:rFonts w:asciiTheme="minorEastAsia" w:hAnsiTheme="minorEastAsia" w:cs="Arial" w:hint="eastAsia"/>
                <w:szCs w:val="21"/>
              </w:rPr>
            </w:pPr>
            <w:r>
              <w:rPr>
                <w:rFonts w:asciiTheme="minorEastAsia" w:hAnsiTheme="minorEastAsia" w:cs="Arial" w:hint="eastAsia"/>
                <w:szCs w:val="21"/>
              </w:rPr>
              <w:t>注册（办公）地址：上海市徐汇区龙兰路277号东航滨江中心1号楼1203室</w:t>
            </w:r>
          </w:p>
          <w:p w14:paraId="0C24F74D" w14:textId="77777777" w:rsidR="009A7A59" w:rsidRDefault="00000000">
            <w:pPr>
              <w:rPr>
                <w:rFonts w:asciiTheme="minorEastAsia" w:hAnsiTheme="minorEastAsia" w:cs="Arial" w:hint="eastAsia"/>
                <w:szCs w:val="21"/>
              </w:rPr>
            </w:pPr>
            <w:r>
              <w:rPr>
                <w:rFonts w:asciiTheme="minorEastAsia" w:hAnsiTheme="minorEastAsia" w:cs="Arial" w:hint="eastAsia"/>
                <w:szCs w:val="21"/>
              </w:rPr>
              <w:t>客服电话：</w:t>
            </w:r>
            <w:r>
              <w:t>400-6767-523</w:t>
            </w:r>
          </w:p>
          <w:p w14:paraId="012FEC17" w14:textId="77777777" w:rsidR="009A7A59" w:rsidRDefault="00000000">
            <w:pPr>
              <w:widowControl/>
              <w:rPr>
                <w:rFonts w:asciiTheme="minorEastAsia" w:hAnsiTheme="minorEastAsia" w:cs="Arial" w:hint="eastAsia"/>
                <w:sz w:val="22"/>
                <w:szCs w:val="22"/>
              </w:rPr>
            </w:pPr>
            <w:r>
              <w:rPr>
                <w:rFonts w:asciiTheme="minorEastAsia" w:hAnsiTheme="minorEastAsia" w:cs="Arial" w:hint="eastAsia"/>
                <w:szCs w:val="21"/>
              </w:rPr>
              <w:t>公司网站：</w:t>
            </w:r>
            <w:r>
              <w:t>www.zhongzhengfund.com</w:t>
            </w:r>
          </w:p>
        </w:tc>
      </w:tr>
      <w:tr w:rsidR="009A7A59" w14:paraId="3F07E2C5" w14:textId="77777777">
        <w:tc>
          <w:tcPr>
            <w:tcW w:w="738" w:type="dxa"/>
          </w:tcPr>
          <w:p w14:paraId="38564636" w14:textId="77777777" w:rsidR="009A7A59" w:rsidRDefault="00000000">
            <w:pPr>
              <w:rPr>
                <w:rFonts w:ascii="宋体" w:hAnsi="宋体" w:hint="eastAsia"/>
                <w:color w:val="000000"/>
              </w:rPr>
            </w:pPr>
            <w:r>
              <w:rPr>
                <w:rFonts w:ascii="宋体" w:hAnsi="宋体" w:hint="eastAsia"/>
                <w:color w:val="000000"/>
              </w:rPr>
              <w:t>57</w:t>
            </w:r>
          </w:p>
        </w:tc>
        <w:tc>
          <w:tcPr>
            <w:tcW w:w="2521" w:type="dxa"/>
          </w:tcPr>
          <w:p w14:paraId="60D047E4" w14:textId="77777777" w:rsidR="009A7A59" w:rsidRDefault="00000000">
            <w:r>
              <w:rPr>
                <w:rFonts w:hint="eastAsia"/>
              </w:rPr>
              <w:t>上海中欧财富基金销售有限公司</w:t>
            </w:r>
          </w:p>
        </w:tc>
        <w:tc>
          <w:tcPr>
            <w:tcW w:w="5105" w:type="dxa"/>
          </w:tcPr>
          <w:p w14:paraId="3162D5E3" w14:textId="77777777" w:rsidR="009A7A59" w:rsidRDefault="00000000">
            <w:pPr>
              <w:rPr>
                <w:rFonts w:asciiTheme="minorEastAsia" w:hAnsiTheme="minorEastAsia" w:cs="Arial" w:hint="eastAsia"/>
                <w:szCs w:val="21"/>
              </w:rPr>
            </w:pPr>
            <w:r>
              <w:rPr>
                <w:rFonts w:asciiTheme="minorEastAsia" w:hAnsiTheme="minorEastAsia" w:cs="Arial" w:hint="eastAsia"/>
                <w:szCs w:val="21"/>
              </w:rPr>
              <w:t>注册（办公）地址：上海市虹口区公平路18号8栋嘉</w:t>
            </w:r>
            <w:proofErr w:type="gramStart"/>
            <w:r>
              <w:rPr>
                <w:rFonts w:asciiTheme="minorEastAsia" w:hAnsiTheme="minorEastAsia" w:cs="Arial" w:hint="eastAsia"/>
                <w:szCs w:val="21"/>
              </w:rPr>
              <w:t>昱</w:t>
            </w:r>
            <w:proofErr w:type="gramEnd"/>
            <w:r>
              <w:rPr>
                <w:rFonts w:asciiTheme="minorEastAsia" w:hAnsiTheme="minorEastAsia" w:cs="Arial" w:hint="eastAsia"/>
                <w:szCs w:val="21"/>
              </w:rPr>
              <w:t>大厦6楼</w:t>
            </w:r>
          </w:p>
          <w:p w14:paraId="37B43A0F" w14:textId="77777777" w:rsidR="009A7A59" w:rsidRDefault="00000000">
            <w:pPr>
              <w:rPr>
                <w:rFonts w:asciiTheme="minorEastAsia" w:hAnsiTheme="minorEastAsia" w:cs="Arial" w:hint="eastAsia"/>
                <w:szCs w:val="21"/>
              </w:rPr>
            </w:pPr>
            <w:r>
              <w:rPr>
                <w:rFonts w:asciiTheme="minorEastAsia" w:hAnsiTheme="minorEastAsia" w:cs="Arial" w:hint="eastAsia"/>
                <w:szCs w:val="21"/>
              </w:rPr>
              <w:lastRenderedPageBreak/>
              <w:t>客服电话：400-100-2666</w:t>
            </w:r>
          </w:p>
          <w:p w14:paraId="18242E10" w14:textId="77777777" w:rsidR="009A7A59" w:rsidRDefault="00000000">
            <w:pPr>
              <w:rPr>
                <w:rFonts w:asciiTheme="minorEastAsia" w:hAnsiTheme="minorEastAsia" w:cs="Arial" w:hint="eastAsia"/>
                <w:szCs w:val="21"/>
              </w:rPr>
            </w:pPr>
            <w:r>
              <w:rPr>
                <w:rFonts w:asciiTheme="minorEastAsia" w:hAnsiTheme="minorEastAsia" w:cs="Arial" w:hint="eastAsia"/>
                <w:szCs w:val="21"/>
              </w:rPr>
              <w:t>公司网站：www.zocaifu.com</w:t>
            </w:r>
          </w:p>
        </w:tc>
      </w:tr>
      <w:tr w:rsidR="009A7A59" w14:paraId="29F92830" w14:textId="77777777">
        <w:tc>
          <w:tcPr>
            <w:tcW w:w="738" w:type="dxa"/>
          </w:tcPr>
          <w:p w14:paraId="2C9379EE" w14:textId="77777777" w:rsidR="009A7A59" w:rsidRDefault="00000000">
            <w:pPr>
              <w:rPr>
                <w:rFonts w:ascii="宋体" w:hAnsi="宋体" w:hint="eastAsia"/>
                <w:color w:val="000000"/>
              </w:rPr>
            </w:pPr>
            <w:r>
              <w:rPr>
                <w:rFonts w:ascii="宋体" w:hAnsi="宋体" w:hint="eastAsia"/>
                <w:color w:val="000000"/>
              </w:rPr>
              <w:lastRenderedPageBreak/>
              <w:t>58</w:t>
            </w:r>
          </w:p>
        </w:tc>
        <w:tc>
          <w:tcPr>
            <w:tcW w:w="2521" w:type="dxa"/>
          </w:tcPr>
          <w:p w14:paraId="30B97B8D" w14:textId="77777777" w:rsidR="009A7A59" w:rsidRDefault="00000000">
            <w:r>
              <w:rPr>
                <w:rFonts w:hint="eastAsia"/>
              </w:rPr>
              <w:t>上海云湾基金销售有限公司</w:t>
            </w:r>
          </w:p>
        </w:tc>
        <w:tc>
          <w:tcPr>
            <w:tcW w:w="5105" w:type="dxa"/>
          </w:tcPr>
          <w:p w14:paraId="56C58CC3" w14:textId="77777777" w:rsidR="009A7A59" w:rsidRDefault="00000000">
            <w:pPr>
              <w:rPr>
                <w:rFonts w:asciiTheme="minorEastAsia" w:hAnsiTheme="minorEastAsia" w:cs="Arial" w:hint="eastAsia"/>
                <w:szCs w:val="21"/>
              </w:rPr>
            </w:pPr>
            <w:r>
              <w:rPr>
                <w:rFonts w:asciiTheme="minorEastAsia" w:hAnsiTheme="minorEastAsia" w:cs="Arial" w:hint="eastAsia"/>
                <w:szCs w:val="21"/>
              </w:rPr>
              <w:t>注册（办公）地址：中国（上海）自由贸易试验区新金桥路27号、明月路1257号1幢1层103-1、103-2办公区</w:t>
            </w:r>
          </w:p>
          <w:p w14:paraId="73B60C0C" w14:textId="77777777" w:rsidR="009A7A59" w:rsidRDefault="00000000">
            <w:pPr>
              <w:rPr>
                <w:rFonts w:asciiTheme="minorEastAsia" w:hAnsiTheme="minorEastAsia" w:cs="Arial" w:hint="eastAsia"/>
                <w:szCs w:val="21"/>
              </w:rPr>
            </w:pPr>
            <w:r>
              <w:rPr>
                <w:rFonts w:asciiTheme="minorEastAsia" w:hAnsiTheme="minorEastAsia" w:cs="Arial" w:hint="eastAsia"/>
                <w:szCs w:val="21"/>
              </w:rPr>
              <w:t>客服电话：021-20538888</w:t>
            </w:r>
          </w:p>
        </w:tc>
      </w:tr>
      <w:tr w:rsidR="009A7A59" w14:paraId="3251C35A" w14:textId="77777777">
        <w:tc>
          <w:tcPr>
            <w:tcW w:w="738" w:type="dxa"/>
          </w:tcPr>
          <w:p w14:paraId="56878EC8" w14:textId="77777777" w:rsidR="009A7A59" w:rsidRDefault="00000000">
            <w:pPr>
              <w:rPr>
                <w:rFonts w:ascii="宋体" w:hAnsi="宋体" w:hint="eastAsia"/>
                <w:color w:val="000000"/>
              </w:rPr>
            </w:pPr>
            <w:r>
              <w:rPr>
                <w:rFonts w:ascii="宋体" w:hAnsi="宋体" w:hint="eastAsia"/>
                <w:color w:val="000000"/>
              </w:rPr>
              <w:t>59</w:t>
            </w:r>
          </w:p>
        </w:tc>
        <w:tc>
          <w:tcPr>
            <w:tcW w:w="2521" w:type="dxa"/>
          </w:tcPr>
          <w:p w14:paraId="297D643A" w14:textId="77777777" w:rsidR="009A7A59" w:rsidRDefault="00000000">
            <w:r>
              <w:rPr>
                <w:rFonts w:hint="eastAsia"/>
              </w:rPr>
              <w:t>深圳</w:t>
            </w:r>
            <w:proofErr w:type="gramStart"/>
            <w:r>
              <w:rPr>
                <w:rFonts w:hint="eastAsia"/>
              </w:rPr>
              <w:t>腾元基金</w:t>
            </w:r>
            <w:proofErr w:type="gramEnd"/>
            <w:r>
              <w:rPr>
                <w:rFonts w:hint="eastAsia"/>
              </w:rPr>
              <w:t>销售有限公司</w:t>
            </w:r>
          </w:p>
        </w:tc>
        <w:tc>
          <w:tcPr>
            <w:tcW w:w="5105" w:type="dxa"/>
          </w:tcPr>
          <w:p w14:paraId="4A7AC92E" w14:textId="77777777" w:rsidR="009A7A59" w:rsidRDefault="00000000">
            <w:pPr>
              <w:rPr>
                <w:rFonts w:asciiTheme="minorEastAsia" w:hAnsiTheme="minorEastAsia" w:cs="Arial" w:hint="eastAsia"/>
                <w:szCs w:val="21"/>
              </w:rPr>
            </w:pPr>
            <w:r>
              <w:rPr>
                <w:rFonts w:asciiTheme="minorEastAsia" w:hAnsiTheme="minorEastAsia" w:cs="Arial" w:hint="eastAsia"/>
                <w:szCs w:val="21"/>
              </w:rPr>
              <w:t>注册（办公）地址：广东省深圳市南山区南山街道</w:t>
            </w:r>
            <w:proofErr w:type="gramStart"/>
            <w:r>
              <w:rPr>
                <w:rFonts w:asciiTheme="minorEastAsia" w:hAnsiTheme="minorEastAsia" w:cs="Arial" w:hint="eastAsia"/>
                <w:szCs w:val="21"/>
              </w:rPr>
              <w:t>桂湾社区听海</w:t>
            </w:r>
            <w:proofErr w:type="gramEnd"/>
            <w:r>
              <w:rPr>
                <w:rFonts w:asciiTheme="minorEastAsia" w:hAnsiTheme="minorEastAsia" w:cs="Arial" w:hint="eastAsia"/>
                <w:szCs w:val="21"/>
              </w:rPr>
              <w:t>大道5059号前海鸿荣源中心A座24层04B号</w:t>
            </w:r>
          </w:p>
          <w:p w14:paraId="6384C7D2" w14:textId="77777777" w:rsidR="009A7A59" w:rsidRDefault="00000000">
            <w:pPr>
              <w:rPr>
                <w:rFonts w:asciiTheme="minorEastAsia" w:hAnsiTheme="minorEastAsia" w:cs="Arial" w:hint="eastAsia"/>
                <w:szCs w:val="21"/>
              </w:rPr>
            </w:pPr>
            <w:r>
              <w:rPr>
                <w:rFonts w:asciiTheme="minorEastAsia" w:hAnsiTheme="minorEastAsia" w:cs="Arial" w:hint="eastAsia"/>
                <w:szCs w:val="21"/>
              </w:rPr>
              <w:t xml:space="preserve">客服电话：400-990-8601   </w:t>
            </w:r>
          </w:p>
          <w:p w14:paraId="77F2A285" w14:textId="77777777" w:rsidR="009A7A59" w:rsidRDefault="00000000">
            <w:pPr>
              <w:rPr>
                <w:rFonts w:asciiTheme="minorEastAsia" w:hAnsiTheme="minorEastAsia" w:cs="Arial" w:hint="eastAsia"/>
                <w:szCs w:val="21"/>
              </w:rPr>
            </w:pPr>
            <w:r>
              <w:rPr>
                <w:rFonts w:asciiTheme="minorEastAsia" w:hAnsiTheme="minorEastAsia" w:cs="Arial" w:hint="eastAsia"/>
                <w:szCs w:val="21"/>
              </w:rPr>
              <w:t>公司网站：https://www.tenyuanfund.com/</w:t>
            </w:r>
          </w:p>
        </w:tc>
      </w:tr>
      <w:tr w:rsidR="009A7A59" w14:paraId="16096864" w14:textId="77777777">
        <w:tc>
          <w:tcPr>
            <w:tcW w:w="738" w:type="dxa"/>
          </w:tcPr>
          <w:p w14:paraId="05C01111" w14:textId="77777777" w:rsidR="009A7A59" w:rsidRDefault="00000000">
            <w:pPr>
              <w:rPr>
                <w:rFonts w:ascii="宋体" w:hAnsi="宋体" w:hint="eastAsia"/>
                <w:color w:val="000000"/>
              </w:rPr>
            </w:pPr>
            <w:r>
              <w:rPr>
                <w:rFonts w:ascii="宋体" w:hAnsi="宋体" w:hint="eastAsia"/>
                <w:color w:val="000000"/>
              </w:rPr>
              <w:t>60</w:t>
            </w:r>
          </w:p>
        </w:tc>
        <w:tc>
          <w:tcPr>
            <w:tcW w:w="2521" w:type="dxa"/>
          </w:tcPr>
          <w:p w14:paraId="345B6396" w14:textId="77777777" w:rsidR="009A7A59" w:rsidRDefault="00000000">
            <w:proofErr w:type="gramStart"/>
            <w:r>
              <w:rPr>
                <w:rFonts w:hint="eastAsia"/>
              </w:rPr>
              <w:t>洪泰财富</w:t>
            </w:r>
            <w:proofErr w:type="gramEnd"/>
            <w:r>
              <w:rPr>
                <w:rFonts w:hint="eastAsia"/>
              </w:rPr>
              <w:t>（青岛）基金销售有限责任公司</w:t>
            </w:r>
          </w:p>
        </w:tc>
        <w:tc>
          <w:tcPr>
            <w:tcW w:w="5105" w:type="dxa"/>
          </w:tcPr>
          <w:p w14:paraId="310843FD" w14:textId="77777777" w:rsidR="009A7A59" w:rsidRDefault="00000000">
            <w:pPr>
              <w:rPr>
                <w:rFonts w:asciiTheme="minorEastAsia" w:hAnsiTheme="minorEastAsia" w:cs="Arial" w:hint="eastAsia"/>
                <w:szCs w:val="21"/>
              </w:rPr>
            </w:pPr>
            <w:r>
              <w:rPr>
                <w:rFonts w:asciiTheme="minorEastAsia" w:hAnsiTheme="minorEastAsia" w:cs="Arial" w:hint="eastAsia"/>
                <w:szCs w:val="21"/>
              </w:rPr>
              <w:t>注册（办公）地址：山东省青岛市市南区岳阳路10号十号楼</w:t>
            </w:r>
          </w:p>
          <w:p w14:paraId="25251A3A" w14:textId="77777777" w:rsidR="009A7A59" w:rsidRDefault="00000000">
            <w:pPr>
              <w:rPr>
                <w:rFonts w:asciiTheme="minorEastAsia" w:hAnsiTheme="minorEastAsia" w:cs="Arial" w:hint="eastAsia"/>
                <w:szCs w:val="21"/>
              </w:rPr>
            </w:pPr>
            <w:r>
              <w:rPr>
                <w:rFonts w:asciiTheme="minorEastAsia" w:hAnsiTheme="minorEastAsia" w:cs="Arial" w:hint="eastAsia"/>
                <w:szCs w:val="21"/>
              </w:rPr>
              <w:t xml:space="preserve">客服电话：400-8189-598  </w:t>
            </w:r>
          </w:p>
          <w:p w14:paraId="1B6BEA54" w14:textId="77777777" w:rsidR="009A7A59" w:rsidRDefault="00000000">
            <w:pPr>
              <w:rPr>
                <w:rFonts w:asciiTheme="minorEastAsia" w:hAnsiTheme="minorEastAsia" w:cs="Arial" w:hint="eastAsia"/>
                <w:szCs w:val="21"/>
              </w:rPr>
            </w:pPr>
            <w:r>
              <w:rPr>
                <w:rFonts w:asciiTheme="minorEastAsia" w:hAnsiTheme="minorEastAsia" w:cs="Arial" w:hint="eastAsia"/>
                <w:szCs w:val="21"/>
              </w:rPr>
              <w:t>公司网站：https://www.hongtaiwealth.com/</w:t>
            </w:r>
          </w:p>
        </w:tc>
      </w:tr>
      <w:tr w:rsidR="009A7A59" w14:paraId="17C797B8" w14:textId="77777777">
        <w:tc>
          <w:tcPr>
            <w:tcW w:w="738" w:type="dxa"/>
          </w:tcPr>
          <w:p w14:paraId="1DB13EC5" w14:textId="77777777" w:rsidR="009A7A59" w:rsidRDefault="00000000">
            <w:pPr>
              <w:rPr>
                <w:rFonts w:ascii="宋体" w:hAnsi="宋体" w:hint="eastAsia"/>
                <w:color w:val="000000"/>
              </w:rPr>
            </w:pPr>
            <w:r>
              <w:t>61</w:t>
            </w:r>
          </w:p>
        </w:tc>
        <w:tc>
          <w:tcPr>
            <w:tcW w:w="2521" w:type="dxa"/>
          </w:tcPr>
          <w:p w14:paraId="33C1C304" w14:textId="77777777" w:rsidR="009A7A59" w:rsidRDefault="00000000">
            <w:proofErr w:type="gramStart"/>
            <w:r>
              <w:rPr>
                <w:rFonts w:ascii="宋体" w:hAnsi="宋体" w:cs="宋体" w:hint="eastAsia"/>
                <w:szCs w:val="21"/>
              </w:rPr>
              <w:t>浙商银行</w:t>
            </w:r>
            <w:proofErr w:type="gramEnd"/>
            <w:r>
              <w:rPr>
                <w:rFonts w:ascii="宋体" w:hAnsi="宋体" w:cs="宋体" w:hint="eastAsia"/>
                <w:szCs w:val="21"/>
              </w:rPr>
              <w:t>股份有限公司</w:t>
            </w:r>
          </w:p>
        </w:tc>
        <w:tc>
          <w:tcPr>
            <w:tcW w:w="5105" w:type="dxa"/>
          </w:tcPr>
          <w:p w14:paraId="6FFA161B"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注册地址：浙江省杭州市</w:t>
            </w:r>
            <w:proofErr w:type="gramStart"/>
            <w:r>
              <w:rPr>
                <w:rFonts w:ascii="宋体" w:hAnsi="宋体" w:cs="Calibri" w:hint="eastAsia"/>
                <w:color w:val="000000"/>
                <w:szCs w:val="21"/>
              </w:rPr>
              <w:t>萧山区鸿宁</w:t>
            </w:r>
            <w:proofErr w:type="gramEnd"/>
            <w:r>
              <w:rPr>
                <w:rFonts w:ascii="宋体" w:hAnsi="宋体" w:cs="Calibri" w:hint="eastAsia"/>
                <w:color w:val="000000"/>
                <w:szCs w:val="21"/>
              </w:rPr>
              <w:t>路1788号</w:t>
            </w:r>
          </w:p>
          <w:p w14:paraId="682EFD59"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客户服务电话：95527</w:t>
            </w:r>
          </w:p>
          <w:p w14:paraId="2B6333D1"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网址：www.czbank.com</w:t>
            </w:r>
          </w:p>
        </w:tc>
      </w:tr>
      <w:tr w:rsidR="009A7A59" w14:paraId="1845519F" w14:textId="77777777">
        <w:tc>
          <w:tcPr>
            <w:tcW w:w="738" w:type="dxa"/>
          </w:tcPr>
          <w:p w14:paraId="21F0B200" w14:textId="77777777" w:rsidR="009A7A59" w:rsidRDefault="00000000">
            <w:pPr>
              <w:rPr>
                <w:rFonts w:ascii="宋体" w:hAnsi="宋体" w:hint="eastAsia"/>
                <w:color w:val="000000"/>
              </w:rPr>
            </w:pPr>
            <w:r>
              <w:t>62</w:t>
            </w:r>
          </w:p>
        </w:tc>
        <w:tc>
          <w:tcPr>
            <w:tcW w:w="2521" w:type="dxa"/>
          </w:tcPr>
          <w:p w14:paraId="29E96040" w14:textId="77777777" w:rsidR="009A7A59" w:rsidRDefault="00000000">
            <w:r>
              <w:rPr>
                <w:rFonts w:ascii="宋体" w:hAnsi="宋体" w:cs="宋体" w:hint="eastAsia"/>
                <w:szCs w:val="21"/>
              </w:rPr>
              <w:t>平安银行股份有限公司</w:t>
            </w:r>
          </w:p>
        </w:tc>
        <w:tc>
          <w:tcPr>
            <w:tcW w:w="5105" w:type="dxa"/>
          </w:tcPr>
          <w:p w14:paraId="4C12E2EF"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注册地址：广东省深圳市罗湖区深南东路5047号</w:t>
            </w:r>
          </w:p>
          <w:p w14:paraId="0B98C51E"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客户服务电话：95511-3-8</w:t>
            </w:r>
          </w:p>
          <w:p w14:paraId="791E3E34"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网址：bank.pingan.com</w:t>
            </w:r>
          </w:p>
        </w:tc>
      </w:tr>
      <w:tr w:rsidR="009A7A59" w14:paraId="72FDDA60" w14:textId="77777777">
        <w:tc>
          <w:tcPr>
            <w:tcW w:w="738" w:type="dxa"/>
          </w:tcPr>
          <w:p w14:paraId="00E7B1D5" w14:textId="77777777" w:rsidR="009A7A59" w:rsidRDefault="00000000">
            <w:pPr>
              <w:rPr>
                <w:rFonts w:ascii="宋体" w:hAnsi="宋体" w:hint="eastAsia"/>
                <w:color w:val="000000"/>
              </w:rPr>
            </w:pPr>
            <w:r>
              <w:t>63</w:t>
            </w:r>
          </w:p>
        </w:tc>
        <w:tc>
          <w:tcPr>
            <w:tcW w:w="2521" w:type="dxa"/>
          </w:tcPr>
          <w:p w14:paraId="539DE64F" w14:textId="77777777" w:rsidR="009A7A59" w:rsidRDefault="00000000">
            <w:r>
              <w:rPr>
                <w:rFonts w:ascii="宋体" w:hAnsi="宋体" w:cs="宋体" w:hint="eastAsia"/>
                <w:szCs w:val="21"/>
              </w:rPr>
              <w:t>宁波银行股份有限公司</w:t>
            </w:r>
          </w:p>
        </w:tc>
        <w:tc>
          <w:tcPr>
            <w:tcW w:w="5105" w:type="dxa"/>
          </w:tcPr>
          <w:p w14:paraId="11352F93"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406ED9B8"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客户服务电话：95574</w:t>
            </w:r>
          </w:p>
          <w:p w14:paraId="6B994BCD"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网址：www.nbcb.com.cn</w:t>
            </w:r>
          </w:p>
        </w:tc>
      </w:tr>
      <w:tr w:rsidR="009A7A59" w14:paraId="3823A7CE" w14:textId="77777777">
        <w:tc>
          <w:tcPr>
            <w:tcW w:w="738" w:type="dxa"/>
          </w:tcPr>
          <w:p w14:paraId="06DE8366" w14:textId="77777777" w:rsidR="009A7A59" w:rsidRDefault="00000000">
            <w:pPr>
              <w:rPr>
                <w:rFonts w:ascii="宋体" w:hAnsi="宋体" w:hint="eastAsia"/>
                <w:color w:val="000000"/>
              </w:rPr>
            </w:pPr>
            <w:r>
              <w:t>64</w:t>
            </w:r>
          </w:p>
        </w:tc>
        <w:tc>
          <w:tcPr>
            <w:tcW w:w="2521" w:type="dxa"/>
          </w:tcPr>
          <w:p w14:paraId="2163824D" w14:textId="77777777" w:rsidR="009A7A59" w:rsidRDefault="00000000">
            <w:r>
              <w:rPr>
                <w:rFonts w:ascii="宋体" w:hAnsi="宋体" w:cs="宋体" w:hint="eastAsia"/>
                <w:szCs w:val="21"/>
              </w:rPr>
              <w:t>平安证券股份有限公司</w:t>
            </w:r>
          </w:p>
        </w:tc>
        <w:tc>
          <w:tcPr>
            <w:tcW w:w="5105" w:type="dxa"/>
          </w:tcPr>
          <w:p w14:paraId="2B87B690"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10737F91"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客户服务电话：95511-8</w:t>
            </w:r>
          </w:p>
          <w:p w14:paraId="018A77D4"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网址：stock.pingan.com</w:t>
            </w:r>
          </w:p>
        </w:tc>
      </w:tr>
      <w:tr w:rsidR="009A7A59" w14:paraId="78E04409" w14:textId="77777777">
        <w:tc>
          <w:tcPr>
            <w:tcW w:w="738" w:type="dxa"/>
          </w:tcPr>
          <w:p w14:paraId="53FA1D56" w14:textId="77777777" w:rsidR="009A7A59" w:rsidRDefault="00000000">
            <w:pPr>
              <w:rPr>
                <w:rFonts w:ascii="宋体" w:hAnsi="宋体" w:hint="eastAsia"/>
                <w:color w:val="000000"/>
              </w:rPr>
            </w:pPr>
            <w:r>
              <w:t>65</w:t>
            </w:r>
          </w:p>
        </w:tc>
        <w:tc>
          <w:tcPr>
            <w:tcW w:w="2521" w:type="dxa"/>
          </w:tcPr>
          <w:p w14:paraId="3D444FE6" w14:textId="77777777" w:rsidR="009A7A59" w:rsidRDefault="00000000">
            <w:r>
              <w:rPr>
                <w:rFonts w:ascii="宋体" w:hAnsi="宋体" w:cs="宋体" w:hint="eastAsia"/>
                <w:szCs w:val="21"/>
              </w:rPr>
              <w:t>中</w:t>
            </w:r>
            <w:proofErr w:type="gramStart"/>
            <w:r>
              <w:rPr>
                <w:rFonts w:ascii="宋体" w:hAnsi="宋体" w:cs="宋体" w:hint="eastAsia"/>
                <w:szCs w:val="21"/>
              </w:rPr>
              <w:t>信建投证券</w:t>
            </w:r>
            <w:proofErr w:type="gramEnd"/>
            <w:r>
              <w:rPr>
                <w:rFonts w:ascii="宋体" w:hAnsi="宋体" w:cs="宋体" w:hint="eastAsia"/>
                <w:szCs w:val="21"/>
              </w:rPr>
              <w:t>股份有限公司</w:t>
            </w:r>
          </w:p>
        </w:tc>
        <w:tc>
          <w:tcPr>
            <w:tcW w:w="5105" w:type="dxa"/>
          </w:tcPr>
          <w:p w14:paraId="72E0158B"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19A770D5"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 4008888108</w:t>
            </w:r>
          </w:p>
          <w:p w14:paraId="00B9F45D"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网址：www.csc108.com</w:t>
            </w:r>
          </w:p>
        </w:tc>
      </w:tr>
      <w:tr w:rsidR="009A7A59" w14:paraId="07B14345" w14:textId="77777777">
        <w:tc>
          <w:tcPr>
            <w:tcW w:w="738" w:type="dxa"/>
          </w:tcPr>
          <w:p w14:paraId="2B31E44B" w14:textId="77777777" w:rsidR="009A7A59" w:rsidRDefault="00000000">
            <w:pPr>
              <w:rPr>
                <w:rFonts w:ascii="宋体" w:hAnsi="宋体" w:hint="eastAsia"/>
                <w:color w:val="000000"/>
              </w:rPr>
            </w:pPr>
            <w:r>
              <w:t>66</w:t>
            </w:r>
          </w:p>
        </w:tc>
        <w:tc>
          <w:tcPr>
            <w:tcW w:w="2521" w:type="dxa"/>
          </w:tcPr>
          <w:p w14:paraId="340FDD4D" w14:textId="77777777" w:rsidR="009A7A59" w:rsidRDefault="00000000">
            <w:proofErr w:type="gramStart"/>
            <w:r>
              <w:rPr>
                <w:rFonts w:ascii="宋体" w:hAnsi="宋体" w:cs="宋体" w:hint="eastAsia"/>
                <w:szCs w:val="21"/>
              </w:rPr>
              <w:t>粤开证券</w:t>
            </w:r>
            <w:proofErr w:type="gramEnd"/>
            <w:r>
              <w:rPr>
                <w:rFonts w:ascii="宋体" w:hAnsi="宋体" w:cs="宋体" w:hint="eastAsia"/>
                <w:szCs w:val="21"/>
              </w:rPr>
              <w:t>股份有限公司</w:t>
            </w:r>
          </w:p>
        </w:tc>
        <w:tc>
          <w:tcPr>
            <w:tcW w:w="5105" w:type="dxa"/>
          </w:tcPr>
          <w:p w14:paraId="22085C55"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35CAF169"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客户服务电话：95564</w:t>
            </w:r>
          </w:p>
          <w:p w14:paraId="5FA99475"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网址：www.ykzq.com</w:t>
            </w:r>
          </w:p>
        </w:tc>
      </w:tr>
      <w:tr w:rsidR="009A7A59" w14:paraId="6B86ED5A" w14:textId="77777777">
        <w:tc>
          <w:tcPr>
            <w:tcW w:w="738" w:type="dxa"/>
          </w:tcPr>
          <w:p w14:paraId="08655166" w14:textId="77777777" w:rsidR="009A7A59" w:rsidRDefault="00000000">
            <w:pPr>
              <w:rPr>
                <w:rFonts w:ascii="宋体" w:hAnsi="宋体" w:hint="eastAsia"/>
                <w:color w:val="000000"/>
              </w:rPr>
            </w:pPr>
            <w:r>
              <w:t>67</w:t>
            </w:r>
          </w:p>
        </w:tc>
        <w:tc>
          <w:tcPr>
            <w:tcW w:w="2521" w:type="dxa"/>
          </w:tcPr>
          <w:p w14:paraId="31F072C0" w14:textId="77777777" w:rsidR="009A7A59" w:rsidRDefault="00000000">
            <w:r>
              <w:rPr>
                <w:rFonts w:ascii="宋体" w:hAnsi="宋体" w:cs="宋体" w:hint="eastAsia"/>
                <w:szCs w:val="21"/>
              </w:rPr>
              <w:t>国投证券股份有限公司</w:t>
            </w:r>
          </w:p>
        </w:tc>
        <w:tc>
          <w:tcPr>
            <w:tcW w:w="5105" w:type="dxa"/>
          </w:tcPr>
          <w:p w14:paraId="310738AE"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注册地址：深圳市福田区福田街道福华一路119号安信金融大厦</w:t>
            </w:r>
          </w:p>
          <w:p w14:paraId="7D1639F5"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客户服务电话：95517</w:t>
            </w:r>
          </w:p>
          <w:p w14:paraId="706EF3AB"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网址：www.essence.com.cn</w:t>
            </w:r>
          </w:p>
        </w:tc>
      </w:tr>
      <w:tr w:rsidR="009A7A59" w14:paraId="2ADBB1AC" w14:textId="77777777">
        <w:tc>
          <w:tcPr>
            <w:tcW w:w="738" w:type="dxa"/>
          </w:tcPr>
          <w:p w14:paraId="03F356E8" w14:textId="77777777" w:rsidR="009A7A59" w:rsidRDefault="00000000">
            <w:pPr>
              <w:rPr>
                <w:rFonts w:ascii="宋体" w:hAnsi="宋体" w:hint="eastAsia"/>
                <w:color w:val="000000"/>
              </w:rPr>
            </w:pPr>
            <w:r>
              <w:t>68</w:t>
            </w:r>
          </w:p>
        </w:tc>
        <w:tc>
          <w:tcPr>
            <w:tcW w:w="2521" w:type="dxa"/>
          </w:tcPr>
          <w:p w14:paraId="2959C532" w14:textId="77777777" w:rsidR="009A7A59" w:rsidRDefault="00000000">
            <w:r>
              <w:rPr>
                <w:rFonts w:ascii="宋体" w:hAnsi="宋体" w:cs="宋体" w:hint="eastAsia"/>
                <w:szCs w:val="21"/>
              </w:rPr>
              <w:t>世纪证券有限责任公司</w:t>
            </w:r>
          </w:p>
        </w:tc>
        <w:tc>
          <w:tcPr>
            <w:tcW w:w="5105" w:type="dxa"/>
          </w:tcPr>
          <w:p w14:paraId="1CFB3A7C"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6CFF774B"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客户服务电话：956019</w:t>
            </w:r>
          </w:p>
          <w:p w14:paraId="73EECA81"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网址：www.csco.com.cn</w:t>
            </w:r>
          </w:p>
        </w:tc>
      </w:tr>
      <w:tr w:rsidR="009A7A59" w14:paraId="3DC94844" w14:textId="77777777">
        <w:tc>
          <w:tcPr>
            <w:tcW w:w="738" w:type="dxa"/>
          </w:tcPr>
          <w:p w14:paraId="4A2F8C34" w14:textId="77777777" w:rsidR="009A7A59" w:rsidRDefault="00000000">
            <w:pPr>
              <w:rPr>
                <w:rFonts w:ascii="宋体" w:hAnsi="宋体" w:hint="eastAsia"/>
                <w:color w:val="000000"/>
              </w:rPr>
            </w:pPr>
            <w:r>
              <w:t>69</w:t>
            </w:r>
          </w:p>
        </w:tc>
        <w:tc>
          <w:tcPr>
            <w:tcW w:w="2521" w:type="dxa"/>
          </w:tcPr>
          <w:p w14:paraId="1D228A9F" w14:textId="77777777" w:rsidR="009A7A59" w:rsidRDefault="00000000">
            <w:r>
              <w:rPr>
                <w:rFonts w:ascii="宋体" w:hAnsi="宋体" w:cs="宋体" w:hint="eastAsia"/>
                <w:szCs w:val="21"/>
              </w:rPr>
              <w:t>华鑫证券有限责任公司</w:t>
            </w:r>
          </w:p>
        </w:tc>
        <w:tc>
          <w:tcPr>
            <w:tcW w:w="5105" w:type="dxa"/>
          </w:tcPr>
          <w:p w14:paraId="4BC90193"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794E3E8A"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客户服务电话：95323</w:t>
            </w:r>
          </w:p>
          <w:p w14:paraId="512CC689"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网址：www.cfsc.com.cn</w:t>
            </w:r>
          </w:p>
        </w:tc>
      </w:tr>
      <w:tr w:rsidR="009A7A59" w14:paraId="2A9C5BDA" w14:textId="77777777">
        <w:tc>
          <w:tcPr>
            <w:tcW w:w="738" w:type="dxa"/>
          </w:tcPr>
          <w:p w14:paraId="52749DEF" w14:textId="77777777" w:rsidR="009A7A59" w:rsidRDefault="00000000">
            <w:pPr>
              <w:rPr>
                <w:rFonts w:ascii="宋体" w:hAnsi="宋体" w:hint="eastAsia"/>
                <w:color w:val="000000"/>
              </w:rPr>
            </w:pPr>
            <w:r>
              <w:t>70</w:t>
            </w:r>
          </w:p>
        </w:tc>
        <w:tc>
          <w:tcPr>
            <w:tcW w:w="2521" w:type="dxa"/>
          </w:tcPr>
          <w:p w14:paraId="5EDBB60F" w14:textId="77777777" w:rsidR="009A7A59" w:rsidRDefault="00000000">
            <w:r>
              <w:rPr>
                <w:rFonts w:ascii="宋体" w:hAnsi="宋体" w:cs="宋体" w:hint="eastAsia"/>
                <w:szCs w:val="21"/>
              </w:rPr>
              <w:t>长城证券股份有限公司</w:t>
            </w:r>
          </w:p>
        </w:tc>
        <w:tc>
          <w:tcPr>
            <w:tcW w:w="5105" w:type="dxa"/>
          </w:tcPr>
          <w:p w14:paraId="52104292"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注册地址：广东省深圳市福田区福田街道金田路2026号能源大厦南塔楼10-19层</w:t>
            </w:r>
          </w:p>
          <w:p w14:paraId="54D6C86F" w14:textId="77777777" w:rsidR="009A7A59" w:rsidRDefault="00000000">
            <w:pPr>
              <w:rPr>
                <w:rFonts w:ascii="宋体" w:hAnsi="宋体" w:cs="Calibri" w:hint="eastAsia"/>
                <w:color w:val="000000"/>
                <w:szCs w:val="21"/>
              </w:rPr>
            </w:pPr>
            <w:r>
              <w:rPr>
                <w:rFonts w:ascii="宋体" w:hAnsi="宋体" w:cs="Calibri" w:hint="eastAsia"/>
                <w:color w:val="000000"/>
                <w:szCs w:val="21"/>
              </w:rPr>
              <w:lastRenderedPageBreak/>
              <w:t>客户服务电话：95514</w:t>
            </w:r>
          </w:p>
          <w:p w14:paraId="2DE44E4B"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网址：www.cgws.com</w:t>
            </w:r>
          </w:p>
        </w:tc>
      </w:tr>
      <w:tr w:rsidR="009A7A59" w14:paraId="47692D7C" w14:textId="77777777">
        <w:tc>
          <w:tcPr>
            <w:tcW w:w="738" w:type="dxa"/>
          </w:tcPr>
          <w:p w14:paraId="295D21A6" w14:textId="77777777" w:rsidR="009A7A59" w:rsidRDefault="00000000">
            <w:pPr>
              <w:rPr>
                <w:rFonts w:ascii="宋体" w:hAnsi="宋体" w:hint="eastAsia"/>
                <w:color w:val="000000"/>
              </w:rPr>
            </w:pPr>
            <w:r>
              <w:lastRenderedPageBreak/>
              <w:t>71</w:t>
            </w:r>
          </w:p>
        </w:tc>
        <w:tc>
          <w:tcPr>
            <w:tcW w:w="2521" w:type="dxa"/>
          </w:tcPr>
          <w:p w14:paraId="74E0B8DD" w14:textId="77777777" w:rsidR="009A7A59" w:rsidRDefault="00000000">
            <w:r>
              <w:rPr>
                <w:rFonts w:ascii="宋体" w:hAnsi="宋体" w:cs="宋体" w:hint="eastAsia"/>
                <w:color w:val="000000"/>
                <w:kern w:val="0"/>
                <w:szCs w:val="21"/>
                <w:lang w:bidi="ar"/>
              </w:rPr>
              <w:t>五</w:t>
            </w:r>
            <w:proofErr w:type="gramStart"/>
            <w:r>
              <w:rPr>
                <w:rFonts w:ascii="宋体" w:hAnsi="宋体" w:cs="宋体" w:hint="eastAsia"/>
                <w:color w:val="000000"/>
                <w:kern w:val="0"/>
                <w:szCs w:val="21"/>
                <w:lang w:bidi="ar"/>
              </w:rPr>
              <w:t>矿证券</w:t>
            </w:r>
            <w:proofErr w:type="gramEnd"/>
            <w:r>
              <w:rPr>
                <w:rFonts w:ascii="宋体" w:hAnsi="宋体" w:cs="宋体" w:hint="eastAsia"/>
                <w:color w:val="000000"/>
                <w:kern w:val="0"/>
                <w:szCs w:val="21"/>
                <w:lang w:bidi="ar"/>
              </w:rPr>
              <w:t>有限公司</w:t>
            </w:r>
          </w:p>
        </w:tc>
        <w:tc>
          <w:tcPr>
            <w:tcW w:w="5105" w:type="dxa"/>
          </w:tcPr>
          <w:p w14:paraId="2D0014B3"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7726DBE2"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客户服务电话：4001840028</w:t>
            </w:r>
          </w:p>
          <w:p w14:paraId="6C20F523"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网址：www.wkzq.com.cn</w:t>
            </w:r>
          </w:p>
        </w:tc>
      </w:tr>
      <w:tr w:rsidR="009A7A59" w14:paraId="436235F9" w14:textId="77777777">
        <w:tc>
          <w:tcPr>
            <w:tcW w:w="738" w:type="dxa"/>
          </w:tcPr>
          <w:p w14:paraId="2ABF2044" w14:textId="77777777" w:rsidR="009A7A59" w:rsidRDefault="00000000">
            <w:pPr>
              <w:rPr>
                <w:rFonts w:ascii="宋体" w:hAnsi="宋体" w:hint="eastAsia"/>
                <w:color w:val="000000"/>
              </w:rPr>
            </w:pPr>
            <w:r>
              <w:t>72</w:t>
            </w:r>
          </w:p>
        </w:tc>
        <w:tc>
          <w:tcPr>
            <w:tcW w:w="2521" w:type="dxa"/>
          </w:tcPr>
          <w:p w14:paraId="01459AD0" w14:textId="77777777" w:rsidR="009A7A59" w:rsidRDefault="00000000">
            <w:r>
              <w:rPr>
                <w:rFonts w:ascii="宋体" w:hAnsi="宋体" w:cs="宋体" w:hint="eastAsia"/>
                <w:color w:val="000000"/>
                <w:kern w:val="0"/>
                <w:szCs w:val="21"/>
                <w:lang w:bidi="ar"/>
              </w:rPr>
              <w:t>光大证券股份有限公司</w:t>
            </w:r>
          </w:p>
        </w:tc>
        <w:tc>
          <w:tcPr>
            <w:tcW w:w="5105" w:type="dxa"/>
          </w:tcPr>
          <w:p w14:paraId="09698A68"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注册地址：上海市静安区新闸路1508号</w:t>
            </w:r>
          </w:p>
          <w:p w14:paraId="30EF6D22"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客户服务电话：95525</w:t>
            </w:r>
          </w:p>
          <w:p w14:paraId="6650C353"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网址：www.ebscn.com</w:t>
            </w:r>
          </w:p>
        </w:tc>
      </w:tr>
      <w:tr w:rsidR="009A7A59" w14:paraId="3F230080" w14:textId="77777777">
        <w:tc>
          <w:tcPr>
            <w:tcW w:w="738" w:type="dxa"/>
          </w:tcPr>
          <w:p w14:paraId="7C0A9B70" w14:textId="77777777" w:rsidR="009A7A59" w:rsidRDefault="00000000">
            <w:pPr>
              <w:rPr>
                <w:rFonts w:ascii="宋体" w:hAnsi="宋体" w:hint="eastAsia"/>
                <w:color w:val="000000"/>
              </w:rPr>
            </w:pPr>
            <w:r>
              <w:t>73</w:t>
            </w:r>
          </w:p>
        </w:tc>
        <w:tc>
          <w:tcPr>
            <w:tcW w:w="2521" w:type="dxa"/>
          </w:tcPr>
          <w:p w14:paraId="3DFA0383" w14:textId="77777777" w:rsidR="009A7A59" w:rsidRDefault="00000000">
            <w:r>
              <w:rPr>
                <w:rFonts w:ascii="宋体" w:hAnsi="宋体" w:cs="宋体" w:hint="eastAsia"/>
                <w:color w:val="000000"/>
                <w:kern w:val="0"/>
                <w:szCs w:val="21"/>
                <w:lang w:bidi="ar"/>
              </w:rPr>
              <w:t>招商证券股份有限公司</w:t>
            </w:r>
          </w:p>
        </w:tc>
        <w:tc>
          <w:tcPr>
            <w:tcW w:w="5105" w:type="dxa"/>
          </w:tcPr>
          <w:p w14:paraId="46ED358C"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152C158D"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客户服务电话：95565</w:t>
            </w:r>
          </w:p>
          <w:p w14:paraId="3B657AC1"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网址：www.cmschina.com</w:t>
            </w:r>
          </w:p>
        </w:tc>
      </w:tr>
      <w:tr w:rsidR="009A7A59" w14:paraId="4D256B6E" w14:textId="77777777">
        <w:tc>
          <w:tcPr>
            <w:tcW w:w="738" w:type="dxa"/>
          </w:tcPr>
          <w:p w14:paraId="62EC10DA" w14:textId="77777777" w:rsidR="009A7A59" w:rsidRDefault="00000000">
            <w:pPr>
              <w:rPr>
                <w:rFonts w:ascii="宋体" w:hAnsi="宋体" w:hint="eastAsia"/>
                <w:color w:val="000000"/>
              </w:rPr>
            </w:pPr>
            <w:r>
              <w:t>74</w:t>
            </w:r>
          </w:p>
        </w:tc>
        <w:tc>
          <w:tcPr>
            <w:tcW w:w="2521" w:type="dxa"/>
          </w:tcPr>
          <w:p w14:paraId="154F605A" w14:textId="77777777" w:rsidR="009A7A59" w:rsidRDefault="00000000">
            <w:r>
              <w:rPr>
                <w:rFonts w:ascii="宋体" w:hAnsi="宋体" w:cs="宋体" w:hint="eastAsia"/>
                <w:color w:val="000000"/>
                <w:kern w:val="0"/>
                <w:szCs w:val="21"/>
                <w:lang w:bidi="ar"/>
              </w:rPr>
              <w:t>华安证券股份有限公司</w:t>
            </w:r>
          </w:p>
        </w:tc>
        <w:tc>
          <w:tcPr>
            <w:tcW w:w="5105" w:type="dxa"/>
          </w:tcPr>
          <w:p w14:paraId="70AB5C18"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注册地址：安徽省合肥市包河区</w:t>
            </w:r>
            <w:proofErr w:type="gramStart"/>
            <w:r>
              <w:rPr>
                <w:rFonts w:ascii="宋体" w:hAnsi="宋体" w:cs="Calibri" w:hint="eastAsia"/>
                <w:color w:val="000000"/>
                <w:szCs w:val="21"/>
              </w:rPr>
              <w:t>滨湖新区</w:t>
            </w:r>
            <w:proofErr w:type="gramEnd"/>
            <w:r>
              <w:rPr>
                <w:rFonts w:ascii="宋体" w:hAnsi="宋体" w:cs="Calibri" w:hint="eastAsia"/>
                <w:color w:val="000000"/>
                <w:szCs w:val="21"/>
              </w:rPr>
              <w:t>紫云路1018号</w:t>
            </w:r>
          </w:p>
          <w:p w14:paraId="78F8F9FA"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客户服务电话：95318</w:t>
            </w:r>
          </w:p>
          <w:p w14:paraId="2130186A"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网址：www.hazq.com</w:t>
            </w:r>
          </w:p>
        </w:tc>
      </w:tr>
      <w:tr w:rsidR="009A7A59" w14:paraId="3A23D130" w14:textId="77777777">
        <w:tc>
          <w:tcPr>
            <w:tcW w:w="738" w:type="dxa"/>
          </w:tcPr>
          <w:p w14:paraId="65F79FD1" w14:textId="77777777" w:rsidR="009A7A59" w:rsidRDefault="00000000">
            <w:pPr>
              <w:rPr>
                <w:rFonts w:ascii="宋体" w:hAnsi="宋体" w:hint="eastAsia"/>
                <w:color w:val="000000"/>
              </w:rPr>
            </w:pPr>
            <w:r>
              <w:t>75</w:t>
            </w:r>
          </w:p>
        </w:tc>
        <w:tc>
          <w:tcPr>
            <w:tcW w:w="2521" w:type="dxa"/>
          </w:tcPr>
          <w:p w14:paraId="67BAF296" w14:textId="77777777" w:rsidR="009A7A59" w:rsidRDefault="00000000">
            <w:r>
              <w:rPr>
                <w:rFonts w:ascii="宋体" w:hAnsi="宋体" w:cs="宋体" w:hint="eastAsia"/>
                <w:color w:val="000000"/>
                <w:kern w:val="0"/>
                <w:szCs w:val="21"/>
                <w:lang w:bidi="ar"/>
              </w:rPr>
              <w:t>恒泰证券股份有限公司</w:t>
            </w:r>
          </w:p>
        </w:tc>
        <w:tc>
          <w:tcPr>
            <w:tcW w:w="5105" w:type="dxa"/>
          </w:tcPr>
          <w:p w14:paraId="71F44497"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注册地址：内蒙古自治区呼和浩特市新城区海拉尔东街满</w:t>
            </w:r>
            <w:proofErr w:type="gramStart"/>
            <w:r>
              <w:rPr>
                <w:rFonts w:ascii="宋体" w:hAnsi="宋体" w:cs="Calibri" w:hint="eastAsia"/>
                <w:color w:val="000000"/>
                <w:szCs w:val="21"/>
              </w:rPr>
              <w:t>世</w:t>
            </w:r>
            <w:proofErr w:type="gramEnd"/>
            <w:r>
              <w:rPr>
                <w:rFonts w:ascii="宋体" w:hAnsi="宋体" w:cs="Calibri" w:hint="eastAsia"/>
                <w:color w:val="000000"/>
                <w:szCs w:val="21"/>
              </w:rPr>
              <w:t>尚都办公商业综合楼</w:t>
            </w:r>
          </w:p>
          <w:p w14:paraId="42F84B04"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客户服务电话：956088</w:t>
            </w:r>
          </w:p>
          <w:p w14:paraId="09F94048"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网址：www.cnht.com.cn</w:t>
            </w:r>
          </w:p>
        </w:tc>
      </w:tr>
      <w:tr w:rsidR="009A7A59" w14:paraId="4BAF89DE" w14:textId="77777777">
        <w:tc>
          <w:tcPr>
            <w:tcW w:w="738" w:type="dxa"/>
          </w:tcPr>
          <w:p w14:paraId="608543DB" w14:textId="77777777" w:rsidR="009A7A59" w:rsidRDefault="00000000">
            <w:pPr>
              <w:rPr>
                <w:rFonts w:ascii="宋体" w:hAnsi="宋体" w:hint="eastAsia"/>
                <w:color w:val="000000"/>
              </w:rPr>
            </w:pPr>
            <w:r>
              <w:t>76</w:t>
            </w:r>
          </w:p>
        </w:tc>
        <w:tc>
          <w:tcPr>
            <w:tcW w:w="2521" w:type="dxa"/>
          </w:tcPr>
          <w:p w14:paraId="73890F95" w14:textId="77777777" w:rsidR="009A7A59" w:rsidRDefault="00000000">
            <w:r>
              <w:rPr>
                <w:rFonts w:ascii="宋体" w:hAnsi="宋体" w:cs="宋体" w:hint="eastAsia"/>
                <w:color w:val="000000"/>
                <w:kern w:val="0"/>
                <w:szCs w:val="21"/>
                <w:lang w:bidi="ar"/>
              </w:rPr>
              <w:t>渤海证券股份有限公司</w:t>
            </w:r>
          </w:p>
        </w:tc>
        <w:tc>
          <w:tcPr>
            <w:tcW w:w="5105" w:type="dxa"/>
          </w:tcPr>
          <w:p w14:paraId="53C65DB3"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7C0589CB"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客户服务电话：956066</w:t>
            </w:r>
          </w:p>
          <w:p w14:paraId="6C27BDF6"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网址：www.bhzq.com</w:t>
            </w:r>
          </w:p>
        </w:tc>
      </w:tr>
      <w:tr w:rsidR="009A7A59" w14:paraId="1F59FA86" w14:textId="77777777">
        <w:tc>
          <w:tcPr>
            <w:tcW w:w="738" w:type="dxa"/>
          </w:tcPr>
          <w:p w14:paraId="394C40F9" w14:textId="77777777" w:rsidR="009A7A59" w:rsidRDefault="00000000">
            <w:pPr>
              <w:rPr>
                <w:rFonts w:ascii="宋体" w:hAnsi="宋体" w:hint="eastAsia"/>
                <w:color w:val="000000"/>
              </w:rPr>
            </w:pPr>
            <w:r>
              <w:t>77</w:t>
            </w:r>
          </w:p>
        </w:tc>
        <w:tc>
          <w:tcPr>
            <w:tcW w:w="2521" w:type="dxa"/>
          </w:tcPr>
          <w:p w14:paraId="3D655B3C" w14:textId="77777777" w:rsidR="009A7A59" w:rsidRDefault="00000000">
            <w:r>
              <w:rPr>
                <w:rFonts w:ascii="宋体" w:hAnsi="宋体" w:cs="宋体" w:hint="eastAsia"/>
                <w:color w:val="000000"/>
                <w:kern w:val="0"/>
                <w:szCs w:val="21"/>
                <w:lang w:bidi="ar"/>
              </w:rPr>
              <w:t>中山证券有限责任公司</w:t>
            </w:r>
          </w:p>
        </w:tc>
        <w:tc>
          <w:tcPr>
            <w:tcW w:w="5105" w:type="dxa"/>
          </w:tcPr>
          <w:p w14:paraId="711882F6"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54650A88"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客户服务电话：95329</w:t>
            </w:r>
          </w:p>
          <w:p w14:paraId="7469F146"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网址：www.zszq.com</w:t>
            </w:r>
          </w:p>
        </w:tc>
      </w:tr>
      <w:tr w:rsidR="009A7A59" w14:paraId="79350EFE" w14:textId="77777777">
        <w:tc>
          <w:tcPr>
            <w:tcW w:w="738" w:type="dxa"/>
          </w:tcPr>
          <w:p w14:paraId="6BB3C0F6" w14:textId="77777777" w:rsidR="009A7A59" w:rsidRDefault="00000000">
            <w:pPr>
              <w:rPr>
                <w:rFonts w:ascii="宋体" w:hAnsi="宋体" w:hint="eastAsia"/>
                <w:color w:val="000000"/>
              </w:rPr>
            </w:pPr>
            <w:r>
              <w:t>78</w:t>
            </w:r>
          </w:p>
        </w:tc>
        <w:tc>
          <w:tcPr>
            <w:tcW w:w="2521" w:type="dxa"/>
          </w:tcPr>
          <w:p w14:paraId="69FE922E" w14:textId="77777777" w:rsidR="009A7A59" w:rsidRDefault="00000000">
            <w:r>
              <w:rPr>
                <w:rFonts w:ascii="宋体" w:hAnsi="宋体" w:cs="宋体" w:hint="eastAsia"/>
                <w:color w:val="000000"/>
                <w:kern w:val="0"/>
                <w:szCs w:val="21"/>
                <w:lang w:bidi="ar"/>
              </w:rPr>
              <w:t>中</w:t>
            </w:r>
            <w:proofErr w:type="gramStart"/>
            <w:r>
              <w:rPr>
                <w:rFonts w:ascii="宋体" w:hAnsi="宋体" w:cs="宋体" w:hint="eastAsia"/>
                <w:color w:val="000000"/>
                <w:kern w:val="0"/>
                <w:szCs w:val="21"/>
                <w:lang w:bidi="ar"/>
              </w:rPr>
              <w:t>邮证券</w:t>
            </w:r>
            <w:proofErr w:type="gramEnd"/>
            <w:r>
              <w:rPr>
                <w:rFonts w:ascii="宋体" w:hAnsi="宋体" w:cs="宋体" w:hint="eastAsia"/>
                <w:color w:val="000000"/>
                <w:kern w:val="0"/>
                <w:szCs w:val="21"/>
                <w:lang w:bidi="ar"/>
              </w:rPr>
              <w:t>有限责任公司</w:t>
            </w:r>
          </w:p>
        </w:tc>
        <w:tc>
          <w:tcPr>
            <w:tcW w:w="5105" w:type="dxa"/>
          </w:tcPr>
          <w:p w14:paraId="1C7A781F"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215EEBA5"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客户服务电话：956039</w:t>
            </w:r>
          </w:p>
          <w:p w14:paraId="663ACF71"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网址：www.cnpsec.com</w:t>
            </w:r>
          </w:p>
        </w:tc>
      </w:tr>
      <w:tr w:rsidR="009A7A59" w14:paraId="3194AB9D" w14:textId="77777777">
        <w:tc>
          <w:tcPr>
            <w:tcW w:w="738" w:type="dxa"/>
          </w:tcPr>
          <w:p w14:paraId="4C07DD1F" w14:textId="77777777" w:rsidR="009A7A59" w:rsidRDefault="00000000">
            <w:pPr>
              <w:rPr>
                <w:rFonts w:ascii="宋体" w:hAnsi="宋体" w:hint="eastAsia"/>
                <w:color w:val="000000"/>
              </w:rPr>
            </w:pPr>
            <w:r>
              <w:t>79</w:t>
            </w:r>
          </w:p>
        </w:tc>
        <w:tc>
          <w:tcPr>
            <w:tcW w:w="2521" w:type="dxa"/>
          </w:tcPr>
          <w:p w14:paraId="64BABE49" w14:textId="77777777" w:rsidR="009A7A59" w:rsidRDefault="00000000">
            <w:r>
              <w:rPr>
                <w:rFonts w:ascii="宋体" w:hAnsi="宋体" w:cs="宋体" w:hint="eastAsia"/>
                <w:color w:val="000000"/>
                <w:kern w:val="0"/>
                <w:szCs w:val="21"/>
                <w:lang w:bidi="ar"/>
              </w:rPr>
              <w:t>中信证券股份有限公司</w:t>
            </w:r>
          </w:p>
        </w:tc>
        <w:tc>
          <w:tcPr>
            <w:tcW w:w="5105" w:type="dxa"/>
          </w:tcPr>
          <w:p w14:paraId="7D19AEE7"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5D57DA56"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客户服务电话：95548</w:t>
            </w:r>
          </w:p>
          <w:p w14:paraId="6B22D00E"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网址：www.citics.com</w:t>
            </w:r>
          </w:p>
        </w:tc>
      </w:tr>
      <w:tr w:rsidR="009A7A59" w14:paraId="339196B4" w14:textId="77777777">
        <w:tc>
          <w:tcPr>
            <w:tcW w:w="738" w:type="dxa"/>
          </w:tcPr>
          <w:p w14:paraId="71BD35D2" w14:textId="77777777" w:rsidR="009A7A59" w:rsidRDefault="00000000">
            <w:pPr>
              <w:rPr>
                <w:rFonts w:ascii="宋体" w:hAnsi="宋体" w:hint="eastAsia"/>
                <w:color w:val="000000"/>
              </w:rPr>
            </w:pPr>
            <w:r>
              <w:t>80</w:t>
            </w:r>
          </w:p>
        </w:tc>
        <w:tc>
          <w:tcPr>
            <w:tcW w:w="2521" w:type="dxa"/>
          </w:tcPr>
          <w:p w14:paraId="02C6B141" w14:textId="77777777" w:rsidR="009A7A59" w:rsidRDefault="00000000">
            <w:r>
              <w:rPr>
                <w:rFonts w:ascii="宋体" w:hAnsi="宋体" w:cs="宋体" w:hint="eastAsia"/>
                <w:color w:val="000000"/>
                <w:kern w:val="0"/>
                <w:szCs w:val="21"/>
                <w:lang w:bidi="ar"/>
              </w:rPr>
              <w:t>中信证券(山东)有限责任公司</w:t>
            </w:r>
          </w:p>
        </w:tc>
        <w:tc>
          <w:tcPr>
            <w:tcW w:w="5105" w:type="dxa"/>
          </w:tcPr>
          <w:p w14:paraId="537F690A"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59ED79AD"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客户服务电话：95548</w:t>
            </w:r>
          </w:p>
          <w:p w14:paraId="1B8AB6C0"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网址：sd.citics.com</w:t>
            </w:r>
          </w:p>
        </w:tc>
      </w:tr>
      <w:tr w:rsidR="009A7A59" w14:paraId="3CCFC80F" w14:textId="77777777">
        <w:tc>
          <w:tcPr>
            <w:tcW w:w="738" w:type="dxa"/>
          </w:tcPr>
          <w:p w14:paraId="4982271A" w14:textId="77777777" w:rsidR="009A7A59" w:rsidRDefault="00000000">
            <w:pPr>
              <w:rPr>
                <w:rFonts w:ascii="宋体" w:hAnsi="宋体" w:hint="eastAsia"/>
                <w:color w:val="000000"/>
              </w:rPr>
            </w:pPr>
            <w:r>
              <w:t>81</w:t>
            </w:r>
          </w:p>
        </w:tc>
        <w:tc>
          <w:tcPr>
            <w:tcW w:w="2521" w:type="dxa"/>
          </w:tcPr>
          <w:p w14:paraId="2122F766" w14:textId="77777777" w:rsidR="009A7A59" w:rsidRDefault="00000000">
            <w:r>
              <w:rPr>
                <w:rFonts w:ascii="宋体" w:hAnsi="宋体" w:cs="宋体" w:hint="eastAsia"/>
                <w:color w:val="000000"/>
                <w:kern w:val="0"/>
                <w:szCs w:val="21"/>
                <w:lang w:bidi="ar"/>
              </w:rPr>
              <w:t>中信证券华南股份有限公司</w:t>
            </w:r>
          </w:p>
        </w:tc>
        <w:tc>
          <w:tcPr>
            <w:tcW w:w="5105" w:type="dxa"/>
          </w:tcPr>
          <w:p w14:paraId="548566DE"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1CC82D04"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客户服务电话：95548</w:t>
            </w:r>
          </w:p>
          <w:p w14:paraId="5579CD8F"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9A7A59" w14:paraId="0FC6C001" w14:textId="77777777">
        <w:tc>
          <w:tcPr>
            <w:tcW w:w="738" w:type="dxa"/>
          </w:tcPr>
          <w:p w14:paraId="54347D85" w14:textId="77777777" w:rsidR="009A7A59" w:rsidRDefault="00000000">
            <w:pPr>
              <w:rPr>
                <w:rFonts w:ascii="宋体" w:hAnsi="宋体" w:hint="eastAsia"/>
                <w:color w:val="000000"/>
              </w:rPr>
            </w:pPr>
            <w:r>
              <w:t>82</w:t>
            </w:r>
          </w:p>
        </w:tc>
        <w:tc>
          <w:tcPr>
            <w:tcW w:w="2521" w:type="dxa"/>
          </w:tcPr>
          <w:p w14:paraId="7CC03FD7" w14:textId="77777777" w:rsidR="009A7A59" w:rsidRDefault="00000000">
            <w:r>
              <w:rPr>
                <w:rFonts w:ascii="宋体" w:hAnsi="宋体" w:cs="宋体" w:hint="eastAsia"/>
                <w:color w:val="000000"/>
                <w:kern w:val="0"/>
                <w:szCs w:val="21"/>
                <w:lang w:bidi="ar"/>
              </w:rPr>
              <w:t>中信期货有限公司</w:t>
            </w:r>
          </w:p>
        </w:tc>
        <w:tc>
          <w:tcPr>
            <w:tcW w:w="5105" w:type="dxa"/>
          </w:tcPr>
          <w:p w14:paraId="5E2CCF54"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781AC512" w14:textId="77777777" w:rsidR="009A7A59"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765E03DA"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t>
            </w:r>
            <w:r>
              <w:rPr>
                <w:rFonts w:ascii="宋体" w:hAnsi="宋体" w:cs="Calibri"/>
                <w:color w:val="000000"/>
                <w:szCs w:val="21"/>
              </w:rPr>
              <w:t>www.citicsf.com</w:t>
            </w:r>
          </w:p>
        </w:tc>
      </w:tr>
      <w:tr w:rsidR="009A7A59" w14:paraId="2C078E30" w14:textId="77777777">
        <w:tc>
          <w:tcPr>
            <w:tcW w:w="738" w:type="dxa"/>
          </w:tcPr>
          <w:p w14:paraId="57B3F30A" w14:textId="77777777" w:rsidR="009A7A59" w:rsidRDefault="00000000">
            <w:pPr>
              <w:rPr>
                <w:rFonts w:ascii="宋体" w:hAnsi="宋体" w:hint="eastAsia"/>
                <w:color w:val="000000"/>
              </w:rPr>
            </w:pPr>
            <w:r>
              <w:t>83</w:t>
            </w:r>
          </w:p>
        </w:tc>
        <w:tc>
          <w:tcPr>
            <w:tcW w:w="2521" w:type="dxa"/>
          </w:tcPr>
          <w:p w14:paraId="2D7FB6E0" w14:textId="77777777" w:rsidR="009A7A59" w:rsidRDefault="00000000">
            <w:proofErr w:type="gramStart"/>
            <w:r>
              <w:rPr>
                <w:rFonts w:ascii="宋体" w:hAnsi="宋体" w:cs="宋体" w:hint="eastAsia"/>
                <w:color w:val="000000"/>
                <w:kern w:val="0"/>
                <w:szCs w:val="21"/>
                <w:lang w:bidi="ar"/>
              </w:rPr>
              <w:t>万联证券</w:t>
            </w:r>
            <w:proofErr w:type="gramEnd"/>
            <w:r>
              <w:rPr>
                <w:rFonts w:ascii="宋体" w:hAnsi="宋体" w:cs="宋体" w:hint="eastAsia"/>
                <w:color w:val="000000"/>
                <w:kern w:val="0"/>
                <w:szCs w:val="21"/>
                <w:lang w:bidi="ar"/>
              </w:rPr>
              <w:t>股份有限公司</w:t>
            </w:r>
          </w:p>
        </w:tc>
        <w:tc>
          <w:tcPr>
            <w:tcW w:w="5105" w:type="dxa"/>
          </w:tcPr>
          <w:p w14:paraId="2D67DD0A"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0497A027"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客户服务电话：95322</w:t>
            </w:r>
          </w:p>
          <w:p w14:paraId="17978CF7" w14:textId="77777777" w:rsidR="009A7A59" w:rsidRDefault="00000000">
            <w:pPr>
              <w:rPr>
                <w:rFonts w:asciiTheme="minorEastAsia" w:hAnsiTheme="minorEastAsia" w:cs="Arial" w:hint="eastAsia"/>
                <w:szCs w:val="21"/>
              </w:rPr>
            </w:pPr>
            <w:r>
              <w:rPr>
                <w:rFonts w:ascii="宋体" w:hAnsi="宋体" w:cs="Calibri" w:hint="eastAsia"/>
                <w:color w:val="000000"/>
                <w:szCs w:val="21"/>
              </w:rPr>
              <w:lastRenderedPageBreak/>
              <w:t>网址：www.wlzq.cn</w:t>
            </w:r>
          </w:p>
        </w:tc>
      </w:tr>
      <w:tr w:rsidR="009A7A59" w14:paraId="0690DA4C" w14:textId="77777777">
        <w:tc>
          <w:tcPr>
            <w:tcW w:w="738" w:type="dxa"/>
          </w:tcPr>
          <w:p w14:paraId="4748F0D3" w14:textId="77777777" w:rsidR="009A7A59" w:rsidRDefault="00000000">
            <w:pPr>
              <w:rPr>
                <w:rFonts w:ascii="宋体" w:hAnsi="宋体" w:hint="eastAsia"/>
                <w:color w:val="000000"/>
              </w:rPr>
            </w:pPr>
            <w:r>
              <w:lastRenderedPageBreak/>
              <w:t>84</w:t>
            </w:r>
          </w:p>
        </w:tc>
        <w:tc>
          <w:tcPr>
            <w:tcW w:w="2521" w:type="dxa"/>
          </w:tcPr>
          <w:p w14:paraId="544BAF02" w14:textId="77777777" w:rsidR="009A7A59" w:rsidRDefault="00000000">
            <w:r>
              <w:rPr>
                <w:rFonts w:ascii="宋体" w:hAnsi="宋体" w:cs="宋体" w:hint="eastAsia"/>
                <w:color w:val="000000"/>
                <w:kern w:val="0"/>
                <w:szCs w:val="21"/>
                <w:lang w:bidi="ar"/>
              </w:rPr>
              <w:t>华</w:t>
            </w:r>
            <w:proofErr w:type="gramStart"/>
            <w:r>
              <w:rPr>
                <w:rFonts w:ascii="宋体" w:hAnsi="宋体" w:cs="宋体" w:hint="eastAsia"/>
                <w:color w:val="000000"/>
                <w:kern w:val="0"/>
                <w:szCs w:val="21"/>
                <w:lang w:bidi="ar"/>
              </w:rPr>
              <w:t>源证券</w:t>
            </w:r>
            <w:proofErr w:type="gramEnd"/>
            <w:r>
              <w:rPr>
                <w:rFonts w:ascii="宋体" w:hAnsi="宋体" w:cs="宋体" w:hint="eastAsia"/>
                <w:color w:val="000000"/>
                <w:kern w:val="0"/>
                <w:szCs w:val="21"/>
                <w:lang w:bidi="ar"/>
              </w:rPr>
              <w:t>股份有限公司</w:t>
            </w:r>
          </w:p>
        </w:tc>
        <w:tc>
          <w:tcPr>
            <w:tcW w:w="5105" w:type="dxa"/>
          </w:tcPr>
          <w:p w14:paraId="78A48E0A"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5BEA20EC"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客户服务电话：95305</w:t>
            </w:r>
          </w:p>
          <w:p w14:paraId="7685D031"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网址：www.jzsec.com</w:t>
            </w:r>
          </w:p>
        </w:tc>
      </w:tr>
      <w:tr w:rsidR="009A7A59" w14:paraId="20396240" w14:textId="77777777">
        <w:tc>
          <w:tcPr>
            <w:tcW w:w="738" w:type="dxa"/>
          </w:tcPr>
          <w:p w14:paraId="2418E2F9" w14:textId="77777777" w:rsidR="009A7A59" w:rsidRDefault="00000000">
            <w:pPr>
              <w:rPr>
                <w:rFonts w:ascii="宋体" w:hAnsi="宋体" w:hint="eastAsia"/>
                <w:color w:val="000000"/>
              </w:rPr>
            </w:pPr>
            <w:r>
              <w:t>85</w:t>
            </w:r>
          </w:p>
        </w:tc>
        <w:tc>
          <w:tcPr>
            <w:tcW w:w="2521" w:type="dxa"/>
          </w:tcPr>
          <w:p w14:paraId="69C824F9" w14:textId="77777777" w:rsidR="009A7A59" w:rsidRDefault="00000000">
            <w:r>
              <w:rPr>
                <w:rFonts w:ascii="宋体" w:hAnsi="宋体" w:cs="宋体" w:hint="eastAsia"/>
                <w:color w:val="000000"/>
                <w:kern w:val="0"/>
                <w:szCs w:val="21"/>
                <w:lang w:bidi="ar"/>
              </w:rPr>
              <w:t>海通证券股份有限公司</w:t>
            </w:r>
          </w:p>
        </w:tc>
        <w:tc>
          <w:tcPr>
            <w:tcW w:w="5105" w:type="dxa"/>
          </w:tcPr>
          <w:p w14:paraId="67420F39"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注册地址：上海市黄浦区广东路689号</w:t>
            </w:r>
          </w:p>
          <w:p w14:paraId="6C4ED9A4"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客户服务电话：95553</w:t>
            </w:r>
          </w:p>
          <w:p w14:paraId="3E3F5F57"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网址：www.htsec.com</w:t>
            </w:r>
          </w:p>
        </w:tc>
      </w:tr>
      <w:tr w:rsidR="009A7A59" w14:paraId="498E3139" w14:textId="77777777">
        <w:tc>
          <w:tcPr>
            <w:tcW w:w="738" w:type="dxa"/>
          </w:tcPr>
          <w:p w14:paraId="6774F2BF" w14:textId="77777777" w:rsidR="009A7A59" w:rsidRDefault="00000000">
            <w:pPr>
              <w:rPr>
                <w:rFonts w:ascii="宋体" w:hAnsi="宋体" w:hint="eastAsia"/>
                <w:color w:val="000000"/>
              </w:rPr>
            </w:pPr>
            <w:r>
              <w:t>86</w:t>
            </w:r>
          </w:p>
        </w:tc>
        <w:tc>
          <w:tcPr>
            <w:tcW w:w="2521" w:type="dxa"/>
          </w:tcPr>
          <w:p w14:paraId="0C917C08" w14:textId="77777777" w:rsidR="009A7A59" w:rsidRDefault="00000000">
            <w:r>
              <w:rPr>
                <w:rFonts w:ascii="宋体" w:hAnsi="宋体" w:cs="宋体" w:hint="eastAsia"/>
                <w:color w:val="000000"/>
                <w:kern w:val="0"/>
                <w:szCs w:val="21"/>
                <w:lang w:bidi="ar"/>
              </w:rPr>
              <w:t>华金证券股份有限公司</w:t>
            </w:r>
          </w:p>
        </w:tc>
        <w:tc>
          <w:tcPr>
            <w:tcW w:w="5105" w:type="dxa"/>
          </w:tcPr>
          <w:p w14:paraId="330FFE1C"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07944367"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客户服务电话：956011</w:t>
            </w:r>
          </w:p>
          <w:p w14:paraId="444FEEEF"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网址：www.huajinsc.cn</w:t>
            </w:r>
          </w:p>
        </w:tc>
      </w:tr>
      <w:tr w:rsidR="009A7A59" w14:paraId="2A848D18" w14:textId="77777777">
        <w:tc>
          <w:tcPr>
            <w:tcW w:w="738" w:type="dxa"/>
          </w:tcPr>
          <w:p w14:paraId="31D76C79" w14:textId="77777777" w:rsidR="009A7A59" w:rsidRDefault="00000000">
            <w:pPr>
              <w:rPr>
                <w:rFonts w:ascii="宋体" w:hAnsi="宋体" w:hint="eastAsia"/>
                <w:color w:val="000000"/>
              </w:rPr>
            </w:pPr>
            <w:r>
              <w:t>87</w:t>
            </w:r>
          </w:p>
        </w:tc>
        <w:tc>
          <w:tcPr>
            <w:tcW w:w="2521" w:type="dxa"/>
          </w:tcPr>
          <w:p w14:paraId="306918ED" w14:textId="77777777" w:rsidR="009A7A59" w:rsidRDefault="00000000">
            <w:r>
              <w:rPr>
                <w:rFonts w:ascii="宋体" w:hAnsi="宋体" w:cs="宋体" w:hint="eastAsia"/>
                <w:color w:val="000000"/>
                <w:kern w:val="0"/>
                <w:szCs w:val="21"/>
                <w:lang w:bidi="ar"/>
              </w:rPr>
              <w:t>华</w:t>
            </w:r>
            <w:proofErr w:type="gramStart"/>
            <w:r>
              <w:rPr>
                <w:rFonts w:ascii="宋体" w:hAnsi="宋体" w:cs="宋体" w:hint="eastAsia"/>
                <w:color w:val="000000"/>
                <w:kern w:val="0"/>
                <w:szCs w:val="21"/>
                <w:lang w:bidi="ar"/>
              </w:rPr>
              <w:t>宝证券</w:t>
            </w:r>
            <w:proofErr w:type="gramEnd"/>
            <w:r>
              <w:rPr>
                <w:rFonts w:ascii="宋体" w:hAnsi="宋体" w:cs="宋体" w:hint="eastAsia"/>
                <w:color w:val="000000"/>
                <w:kern w:val="0"/>
                <w:szCs w:val="21"/>
                <w:lang w:bidi="ar"/>
              </w:rPr>
              <w:t>股份有限公司</w:t>
            </w:r>
          </w:p>
        </w:tc>
        <w:tc>
          <w:tcPr>
            <w:tcW w:w="5105" w:type="dxa"/>
          </w:tcPr>
          <w:p w14:paraId="7AC66B31"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290B1F07"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客户服务电话：400-820-9898</w:t>
            </w:r>
          </w:p>
          <w:p w14:paraId="4AEE1410"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网址：www.cnhbstock.com</w:t>
            </w:r>
          </w:p>
        </w:tc>
      </w:tr>
      <w:tr w:rsidR="009A7A59" w14:paraId="2C7BD865" w14:textId="77777777">
        <w:tc>
          <w:tcPr>
            <w:tcW w:w="738" w:type="dxa"/>
          </w:tcPr>
          <w:p w14:paraId="290C66C7" w14:textId="77777777" w:rsidR="009A7A59" w:rsidRDefault="00000000">
            <w:pPr>
              <w:rPr>
                <w:rFonts w:ascii="宋体" w:hAnsi="宋体" w:hint="eastAsia"/>
                <w:color w:val="000000"/>
              </w:rPr>
            </w:pPr>
            <w:r>
              <w:t>88</w:t>
            </w:r>
          </w:p>
        </w:tc>
        <w:tc>
          <w:tcPr>
            <w:tcW w:w="2521" w:type="dxa"/>
          </w:tcPr>
          <w:p w14:paraId="5BCFB2B6" w14:textId="77777777" w:rsidR="009A7A59" w:rsidRDefault="00000000">
            <w:r>
              <w:rPr>
                <w:rFonts w:ascii="宋体" w:hAnsi="宋体" w:cs="宋体" w:hint="eastAsia"/>
                <w:color w:val="000000"/>
                <w:kern w:val="0"/>
                <w:szCs w:val="21"/>
                <w:lang w:bidi="ar"/>
              </w:rPr>
              <w:t>江海证券有限公司</w:t>
            </w:r>
          </w:p>
        </w:tc>
        <w:tc>
          <w:tcPr>
            <w:tcW w:w="5105" w:type="dxa"/>
          </w:tcPr>
          <w:p w14:paraId="587CB7A3"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439DD23D"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客户服务电话：956007</w:t>
            </w:r>
          </w:p>
          <w:p w14:paraId="4A07E8D4"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网址：www.jhzq.com.cn</w:t>
            </w:r>
          </w:p>
        </w:tc>
      </w:tr>
      <w:tr w:rsidR="009A7A59" w14:paraId="6DA25337" w14:textId="77777777">
        <w:tc>
          <w:tcPr>
            <w:tcW w:w="738" w:type="dxa"/>
          </w:tcPr>
          <w:p w14:paraId="173ED7F6" w14:textId="77777777" w:rsidR="009A7A59" w:rsidRDefault="00000000">
            <w:pPr>
              <w:rPr>
                <w:rFonts w:ascii="宋体" w:hAnsi="宋体" w:hint="eastAsia"/>
                <w:color w:val="000000"/>
              </w:rPr>
            </w:pPr>
            <w:r>
              <w:t>89</w:t>
            </w:r>
          </w:p>
        </w:tc>
        <w:tc>
          <w:tcPr>
            <w:tcW w:w="2521" w:type="dxa"/>
          </w:tcPr>
          <w:p w14:paraId="60EFAAA4" w14:textId="77777777" w:rsidR="009A7A59" w:rsidRDefault="00000000">
            <w:r>
              <w:rPr>
                <w:rFonts w:ascii="宋体" w:hAnsi="宋体" w:cs="宋体" w:hint="eastAsia"/>
                <w:color w:val="000000"/>
                <w:kern w:val="0"/>
                <w:szCs w:val="21"/>
                <w:lang w:bidi="ar"/>
              </w:rPr>
              <w:t>国金证券股份有限公司</w:t>
            </w:r>
          </w:p>
        </w:tc>
        <w:tc>
          <w:tcPr>
            <w:tcW w:w="5105" w:type="dxa"/>
          </w:tcPr>
          <w:p w14:paraId="7DA915D4"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5AB757C1"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客户服务电话：95310</w:t>
            </w:r>
          </w:p>
          <w:p w14:paraId="65725135"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网址：www.gjzq.com.cn</w:t>
            </w:r>
          </w:p>
        </w:tc>
      </w:tr>
      <w:tr w:rsidR="009A7A59" w14:paraId="6250C398" w14:textId="77777777">
        <w:tc>
          <w:tcPr>
            <w:tcW w:w="738" w:type="dxa"/>
          </w:tcPr>
          <w:p w14:paraId="1DC6061B" w14:textId="77777777" w:rsidR="009A7A59" w:rsidRDefault="00000000">
            <w:pPr>
              <w:rPr>
                <w:rFonts w:ascii="宋体" w:hAnsi="宋体" w:hint="eastAsia"/>
                <w:color w:val="000000"/>
              </w:rPr>
            </w:pPr>
            <w:r>
              <w:t>90</w:t>
            </w:r>
          </w:p>
        </w:tc>
        <w:tc>
          <w:tcPr>
            <w:tcW w:w="2521" w:type="dxa"/>
          </w:tcPr>
          <w:p w14:paraId="50E507BC" w14:textId="77777777" w:rsidR="009A7A59" w:rsidRDefault="00000000">
            <w:r>
              <w:rPr>
                <w:rFonts w:ascii="宋体" w:hAnsi="宋体" w:cs="宋体" w:hint="eastAsia"/>
                <w:color w:val="000000"/>
                <w:kern w:val="0"/>
                <w:szCs w:val="21"/>
                <w:lang w:bidi="ar"/>
              </w:rPr>
              <w:t>华西证券股份有限公司</w:t>
            </w:r>
          </w:p>
        </w:tc>
        <w:tc>
          <w:tcPr>
            <w:tcW w:w="5105" w:type="dxa"/>
          </w:tcPr>
          <w:p w14:paraId="24858C9C"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326FF4A5"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客户服务电话：95584</w:t>
            </w:r>
          </w:p>
          <w:p w14:paraId="7D668D89"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网址：www.hx168.com.cn</w:t>
            </w:r>
          </w:p>
        </w:tc>
      </w:tr>
      <w:tr w:rsidR="009A7A59" w14:paraId="746E132C" w14:textId="77777777">
        <w:tc>
          <w:tcPr>
            <w:tcW w:w="738" w:type="dxa"/>
          </w:tcPr>
          <w:p w14:paraId="2BFA8568" w14:textId="77777777" w:rsidR="009A7A59" w:rsidRDefault="00000000">
            <w:pPr>
              <w:rPr>
                <w:rFonts w:ascii="宋体" w:hAnsi="宋体" w:hint="eastAsia"/>
                <w:color w:val="000000"/>
              </w:rPr>
            </w:pPr>
            <w:r>
              <w:t>91</w:t>
            </w:r>
          </w:p>
        </w:tc>
        <w:tc>
          <w:tcPr>
            <w:tcW w:w="2521" w:type="dxa"/>
          </w:tcPr>
          <w:p w14:paraId="44DCAE7D" w14:textId="77777777" w:rsidR="009A7A59" w:rsidRDefault="00000000">
            <w:r>
              <w:rPr>
                <w:rFonts w:ascii="宋体" w:hAnsi="宋体" w:cs="宋体" w:hint="eastAsia"/>
                <w:color w:val="000000"/>
                <w:kern w:val="0"/>
                <w:szCs w:val="21"/>
                <w:lang w:bidi="ar"/>
              </w:rPr>
              <w:t>山西证券股份有限公司</w:t>
            </w:r>
          </w:p>
        </w:tc>
        <w:tc>
          <w:tcPr>
            <w:tcW w:w="5105" w:type="dxa"/>
          </w:tcPr>
          <w:p w14:paraId="0CC921DD"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注册地址：山西省太原市杏花岭区府西街69号山西国际贸易中心东塔楼29层</w:t>
            </w:r>
          </w:p>
          <w:p w14:paraId="1B24DE93"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客户服务电话：95573</w:t>
            </w:r>
          </w:p>
          <w:p w14:paraId="611EC4BB"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网址：www.sxzq.com</w:t>
            </w:r>
          </w:p>
        </w:tc>
      </w:tr>
      <w:tr w:rsidR="009A7A59" w14:paraId="11050602" w14:textId="77777777">
        <w:tc>
          <w:tcPr>
            <w:tcW w:w="738" w:type="dxa"/>
          </w:tcPr>
          <w:p w14:paraId="3C46C2A3" w14:textId="77777777" w:rsidR="009A7A59" w:rsidRDefault="00000000">
            <w:pPr>
              <w:rPr>
                <w:rFonts w:ascii="宋体" w:hAnsi="宋体" w:hint="eastAsia"/>
                <w:color w:val="000000"/>
              </w:rPr>
            </w:pPr>
            <w:r>
              <w:t>92</w:t>
            </w:r>
          </w:p>
        </w:tc>
        <w:tc>
          <w:tcPr>
            <w:tcW w:w="2521" w:type="dxa"/>
          </w:tcPr>
          <w:p w14:paraId="01A5BD89" w14:textId="77777777" w:rsidR="009A7A59" w:rsidRDefault="00000000">
            <w:r>
              <w:rPr>
                <w:rFonts w:ascii="宋体" w:hAnsi="宋体" w:cs="宋体" w:hint="eastAsia"/>
                <w:color w:val="000000"/>
                <w:kern w:val="0"/>
                <w:szCs w:val="21"/>
                <w:lang w:bidi="ar"/>
              </w:rPr>
              <w:t>广发期货有限公司</w:t>
            </w:r>
          </w:p>
        </w:tc>
        <w:tc>
          <w:tcPr>
            <w:tcW w:w="5105" w:type="dxa"/>
          </w:tcPr>
          <w:p w14:paraId="110313C2"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注册地址：广东省广州市黄埔</w:t>
            </w:r>
            <w:proofErr w:type="gramStart"/>
            <w:r>
              <w:rPr>
                <w:rFonts w:ascii="宋体" w:hAnsi="宋体" w:cs="Calibri" w:hint="eastAsia"/>
                <w:color w:val="000000"/>
                <w:szCs w:val="21"/>
              </w:rPr>
              <w:t>区峻弦街</w:t>
            </w:r>
            <w:proofErr w:type="gramEnd"/>
            <w:r>
              <w:rPr>
                <w:rFonts w:ascii="宋体" w:hAnsi="宋体" w:cs="Calibri" w:hint="eastAsia"/>
                <w:color w:val="000000"/>
                <w:szCs w:val="21"/>
              </w:rPr>
              <w:t>12号1002房</w:t>
            </w:r>
          </w:p>
          <w:p w14:paraId="3E19B8CB"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客户服务电话：9510-5826</w:t>
            </w:r>
          </w:p>
          <w:p w14:paraId="4E64EDD6"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网址：www.gfqh.cn</w:t>
            </w:r>
          </w:p>
        </w:tc>
      </w:tr>
      <w:tr w:rsidR="009A7A59" w14:paraId="45AE68FE" w14:textId="77777777">
        <w:tc>
          <w:tcPr>
            <w:tcW w:w="738" w:type="dxa"/>
          </w:tcPr>
          <w:p w14:paraId="46679ABF" w14:textId="77777777" w:rsidR="009A7A59" w:rsidRDefault="00000000">
            <w:pPr>
              <w:rPr>
                <w:rFonts w:ascii="宋体" w:hAnsi="宋体" w:hint="eastAsia"/>
                <w:color w:val="000000"/>
              </w:rPr>
            </w:pPr>
            <w:r>
              <w:t>93</w:t>
            </w:r>
          </w:p>
        </w:tc>
        <w:tc>
          <w:tcPr>
            <w:tcW w:w="2521" w:type="dxa"/>
          </w:tcPr>
          <w:p w14:paraId="0FA87100" w14:textId="77777777" w:rsidR="009A7A59" w:rsidRDefault="00000000">
            <w:r>
              <w:rPr>
                <w:rFonts w:ascii="宋体" w:hAnsi="宋体" w:cs="宋体" w:hint="eastAsia"/>
                <w:color w:val="000000"/>
                <w:kern w:val="0"/>
                <w:szCs w:val="21"/>
                <w:lang w:bidi="ar"/>
              </w:rPr>
              <w:t>兴业银行股份有限公司</w:t>
            </w:r>
          </w:p>
        </w:tc>
        <w:tc>
          <w:tcPr>
            <w:tcW w:w="5105" w:type="dxa"/>
          </w:tcPr>
          <w:p w14:paraId="37A87A13" w14:textId="77777777" w:rsidR="009A7A59" w:rsidRDefault="00000000">
            <w:pPr>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555FF801" w14:textId="77777777" w:rsidR="009A7A59" w:rsidRDefault="00000000">
            <w:pPr>
              <w:rPr>
                <w:rFonts w:ascii="宋体" w:hAnsi="宋体" w:cs="Calibri" w:hint="eastAsia"/>
                <w:color w:val="000000"/>
                <w:szCs w:val="21"/>
              </w:rPr>
            </w:pPr>
            <w:r>
              <w:rPr>
                <w:rFonts w:ascii="宋体" w:hAnsi="宋体" w:cs="Calibri" w:hint="eastAsia"/>
                <w:color w:val="000000"/>
                <w:szCs w:val="21"/>
              </w:rPr>
              <w:t>客户服务电话：95561</w:t>
            </w:r>
          </w:p>
          <w:p w14:paraId="4C03B7C9" w14:textId="77777777" w:rsidR="009A7A59" w:rsidRDefault="00000000">
            <w:pPr>
              <w:rPr>
                <w:rFonts w:asciiTheme="minorEastAsia" w:hAnsiTheme="minorEastAsia" w:cs="Arial" w:hint="eastAsia"/>
                <w:szCs w:val="21"/>
              </w:rPr>
            </w:pPr>
            <w:r>
              <w:rPr>
                <w:rFonts w:ascii="宋体" w:hAnsi="宋体" w:cs="Calibri" w:hint="eastAsia"/>
                <w:color w:val="000000"/>
                <w:szCs w:val="21"/>
              </w:rPr>
              <w:t>网址：www.cib.com.cn</w:t>
            </w:r>
          </w:p>
        </w:tc>
      </w:tr>
    </w:tbl>
    <w:p w14:paraId="30251266" w14:textId="77777777" w:rsidR="009A7A59" w:rsidRDefault="00000000">
      <w:pPr>
        <w:adjustRightInd w:val="0"/>
        <w:snapToGrid w:val="0"/>
        <w:spacing w:line="360" w:lineRule="auto"/>
        <w:ind w:firstLineChars="200" w:firstLine="422"/>
        <w:rPr>
          <w:rFonts w:ascii="Arial Unicode MS" w:hAnsi="Arial Unicode MS" w:cs="Arial" w:hint="eastAsia"/>
          <w:b/>
          <w:color w:val="000000"/>
          <w:szCs w:val="21"/>
        </w:rPr>
      </w:pPr>
      <w:r>
        <w:rPr>
          <w:rFonts w:ascii="Arial Unicode MS" w:hAnsi="Arial Unicode MS" w:cs="Arial"/>
          <w:b/>
          <w:color w:val="000000"/>
          <w:szCs w:val="21"/>
        </w:rPr>
        <w:t>二、登记机构</w:t>
      </w:r>
    </w:p>
    <w:p w14:paraId="193FA208" w14:textId="77777777" w:rsidR="009A7A59" w:rsidRDefault="00000000">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名称：富荣基金管理有限公司</w:t>
      </w:r>
      <w:r>
        <w:rPr>
          <w:rFonts w:ascii="Arial Unicode MS" w:hAnsi="Arial Unicode MS" w:cs="Arial" w:hint="eastAsia"/>
          <w:color w:val="000000"/>
          <w:kern w:val="0"/>
          <w:szCs w:val="21"/>
        </w:rPr>
        <w:t xml:space="preserve"> </w:t>
      </w:r>
    </w:p>
    <w:p w14:paraId="3937D19E" w14:textId="77777777" w:rsidR="009A7A59" w:rsidRDefault="00000000">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住所：</w:t>
      </w:r>
      <w:r>
        <w:rPr>
          <w:rFonts w:ascii="Arial Unicode MS" w:hAnsi="Arial Unicode MS" w:cs="Arial" w:hint="eastAsia"/>
          <w:kern w:val="0"/>
          <w:szCs w:val="21"/>
        </w:rPr>
        <w:t>广州市南沙区横</w:t>
      </w:r>
      <w:proofErr w:type="gramStart"/>
      <w:r>
        <w:rPr>
          <w:rFonts w:ascii="Arial Unicode MS" w:hAnsi="Arial Unicode MS" w:cs="Arial" w:hint="eastAsia"/>
          <w:kern w:val="0"/>
          <w:szCs w:val="21"/>
        </w:rPr>
        <w:t>沥</w:t>
      </w:r>
      <w:proofErr w:type="gramEnd"/>
      <w:r>
        <w:rPr>
          <w:rFonts w:ascii="Arial Unicode MS" w:hAnsi="Arial Unicode MS" w:cs="Arial" w:hint="eastAsia"/>
          <w:kern w:val="0"/>
          <w:szCs w:val="21"/>
        </w:rPr>
        <w:t>镇汇通二街</w:t>
      </w:r>
      <w:r>
        <w:rPr>
          <w:rFonts w:ascii="Arial Unicode MS" w:hAnsi="Arial Unicode MS" w:cs="Arial" w:hint="eastAsia"/>
          <w:kern w:val="0"/>
          <w:szCs w:val="21"/>
        </w:rPr>
        <w:t>2</w:t>
      </w:r>
      <w:r>
        <w:rPr>
          <w:rFonts w:ascii="Arial Unicode MS" w:hAnsi="Arial Unicode MS" w:cs="Arial" w:hint="eastAsia"/>
          <w:kern w:val="0"/>
          <w:szCs w:val="21"/>
        </w:rPr>
        <w:t>号</w:t>
      </w:r>
      <w:r>
        <w:rPr>
          <w:rFonts w:ascii="Arial Unicode MS" w:hAnsi="Arial Unicode MS" w:cs="Arial" w:hint="eastAsia"/>
          <w:kern w:val="0"/>
          <w:szCs w:val="21"/>
        </w:rPr>
        <w:t>3110</w:t>
      </w:r>
      <w:r>
        <w:rPr>
          <w:rFonts w:ascii="Arial Unicode MS" w:hAnsi="Arial Unicode MS" w:cs="Arial" w:hint="eastAsia"/>
          <w:kern w:val="0"/>
          <w:szCs w:val="21"/>
        </w:rPr>
        <w:t>房</w:t>
      </w:r>
    </w:p>
    <w:p w14:paraId="2D716388" w14:textId="77777777" w:rsidR="009A7A59" w:rsidRDefault="00000000">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r>
        <w:rPr>
          <w:rFonts w:ascii="Arial Unicode MS" w:hAnsi="Arial Unicode MS" w:cs="Arial" w:hint="eastAsia"/>
          <w:color w:val="000000"/>
          <w:kern w:val="0"/>
          <w:szCs w:val="21"/>
        </w:rPr>
        <w:t xml:space="preserve"> </w:t>
      </w:r>
    </w:p>
    <w:p w14:paraId="720416AB" w14:textId="77777777" w:rsidR="009A7A59" w:rsidRDefault="00000000">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法定代表人：</w:t>
      </w:r>
      <w:r>
        <w:rPr>
          <w:rFonts w:ascii="Arial Unicode MS" w:hAnsi="Arial Unicode MS" w:cs="Arial" w:hint="eastAsia"/>
          <w:color w:val="000000"/>
        </w:rPr>
        <w:t>王亦伟</w:t>
      </w:r>
    </w:p>
    <w:p w14:paraId="21E69C27" w14:textId="77777777" w:rsidR="009A7A59" w:rsidRDefault="00000000">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联系人：黄文飞</w:t>
      </w:r>
    </w:p>
    <w:p w14:paraId="27014BBA" w14:textId="77777777" w:rsidR="009A7A59" w:rsidRDefault="00000000">
      <w:pPr>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 xml:space="preserve"> 0755-84356604</w:t>
      </w:r>
    </w:p>
    <w:p w14:paraId="77C2E3F3" w14:textId="77777777" w:rsidR="009A7A59" w:rsidRDefault="00000000">
      <w:pPr>
        <w:adjustRightInd w:val="0"/>
        <w:snapToGrid w:val="0"/>
        <w:spacing w:line="360" w:lineRule="auto"/>
        <w:ind w:firstLineChars="200" w:firstLine="420"/>
        <w:rPr>
          <w:rFonts w:ascii="Arial Unicode MS" w:hAnsi="Arial Unicode MS" w:cs="Arial" w:hint="eastAsia"/>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 xml:space="preserve"> 0755-83230787</w:t>
      </w:r>
    </w:p>
    <w:p w14:paraId="0AAFE920" w14:textId="77777777" w:rsidR="009A7A59" w:rsidRDefault="00000000">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lastRenderedPageBreak/>
        <w:t>三</w:t>
      </w:r>
      <w:r>
        <w:rPr>
          <w:rFonts w:ascii="Arial Unicode MS" w:hAnsi="Arial Unicode MS" w:cs="Arial"/>
          <w:b/>
          <w:szCs w:val="21"/>
        </w:rPr>
        <w:t>、</w:t>
      </w:r>
      <w:r>
        <w:rPr>
          <w:rFonts w:ascii="Arial Unicode MS" w:hAnsi="Arial Unicode MS" w:hint="eastAsia"/>
          <w:b/>
          <w:bCs/>
        </w:rPr>
        <w:t>出具法律意见书的律师事务所</w:t>
      </w:r>
    </w:p>
    <w:p w14:paraId="198F303E"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名称：上海市通力律师事务所</w:t>
      </w:r>
    </w:p>
    <w:p w14:paraId="253A762B"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4ED41993"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39E600F5"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负责人：韩炯</w:t>
      </w:r>
    </w:p>
    <w:p w14:paraId="47BF87B4"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021-31358666</w:t>
      </w:r>
    </w:p>
    <w:p w14:paraId="19C5CFEC"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021-31358600</w:t>
      </w:r>
    </w:p>
    <w:p w14:paraId="54C647CE"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经办律师：安冬</w:t>
      </w:r>
      <w:r>
        <w:rPr>
          <w:rFonts w:ascii="Arial Unicode MS" w:hAnsi="Arial Unicode MS" w:cs="Arial" w:hint="eastAsia"/>
          <w:kern w:val="0"/>
          <w:szCs w:val="21"/>
        </w:rPr>
        <w:t xml:space="preserve"> </w:t>
      </w:r>
      <w:r>
        <w:rPr>
          <w:rFonts w:ascii="Arial Unicode MS" w:hAnsi="Arial Unicode MS" w:cs="Arial" w:hint="eastAsia"/>
          <w:kern w:val="0"/>
          <w:szCs w:val="21"/>
        </w:rPr>
        <w:t>陆奇</w:t>
      </w:r>
    </w:p>
    <w:p w14:paraId="55BD9715"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w:t>
      </w:r>
      <w:r>
        <w:rPr>
          <w:rFonts w:ascii="Arial Unicode MS" w:hAnsi="Arial Unicode MS" w:cs="Arial" w:hint="eastAsia"/>
          <w:kern w:val="0"/>
          <w:szCs w:val="21"/>
        </w:rPr>
        <w:t xml:space="preserve"> </w:t>
      </w:r>
      <w:r>
        <w:rPr>
          <w:rFonts w:ascii="Arial Unicode MS" w:hAnsi="Arial Unicode MS" w:cs="Arial" w:hint="eastAsia"/>
          <w:kern w:val="0"/>
          <w:szCs w:val="21"/>
        </w:rPr>
        <w:t>安冬</w:t>
      </w:r>
    </w:p>
    <w:p w14:paraId="6559D406" w14:textId="77777777" w:rsidR="009A7A59" w:rsidRDefault="00000000">
      <w:pPr>
        <w:snapToGrid w:val="0"/>
        <w:spacing w:line="360" w:lineRule="auto"/>
        <w:ind w:firstLineChars="200" w:firstLine="422"/>
        <w:rPr>
          <w:rFonts w:ascii="Arial Unicode MS" w:hAnsi="Arial Unicode MS" w:cs="Arial" w:hint="eastAsia"/>
          <w:b/>
          <w:szCs w:val="21"/>
        </w:rPr>
      </w:pPr>
      <w:r>
        <w:rPr>
          <w:rFonts w:ascii="Arial Unicode MS" w:hAnsi="Arial Unicode MS" w:cs="Arial"/>
          <w:b/>
          <w:szCs w:val="21"/>
        </w:rPr>
        <w:t>四、</w:t>
      </w:r>
      <w:r>
        <w:rPr>
          <w:rFonts w:ascii="Arial Unicode MS" w:hAnsi="Arial Unicode MS" w:hint="eastAsia"/>
          <w:b/>
          <w:bCs/>
        </w:rPr>
        <w:t>审计基金财产的会计师事务所</w:t>
      </w:r>
    </w:p>
    <w:p w14:paraId="4227CA63"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名称：安永华明会计师事务所（特殊普通合伙）</w:t>
      </w:r>
    </w:p>
    <w:p w14:paraId="0B8C1A80"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17</w:t>
      </w:r>
      <w:r>
        <w:rPr>
          <w:rFonts w:ascii="Arial Unicode MS" w:hAnsi="Arial Unicode MS" w:cs="Arial" w:hint="eastAsia"/>
          <w:kern w:val="0"/>
          <w:szCs w:val="21"/>
        </w:rPr>
        <w:t>层</w:t>
      </w:r>
    </w:p>
    <w:p w14:paraId="18E14E82"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17</w:t>
      </w:r>
      <w:r>
        <w:rPr>
          <w:rFonts w:ascii="Arial Unicode MS" w:hAnsi="Arial Unicode MS" w:cs="Arial" w:hint="eastAsia"/>
          <w:kern w:val="0"/>
          <w:szCs w:val="21"/>
        </w:rPr>
        <w:t>层</w:t>
      </w:r>
    </w:p>
    <w:p w14:paraId="168D98F0"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w:t>
      </w:r>
      <w:proofErr w:type="gramStart"/>
      <w:r>
        <w:rPr>
          <w:rFonts w:ascii="Arial Unicode MS" w:hAnsi="Arial Unicode MS" w:cs="Arial" w:hint="eastAsia"/>
          <w:kern w:val="0"/>
          <w:szCs w:val="21"/>
        </w:rPr>
        <w:t>毛鞍宁</w:t>
      </w:r>
      <w:proofErr w:type="gramEnd"/>
    </w:p>
    <w:p w14:paraId="5130DC25"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+86 10 58153000</w:t>
      </w:r>
    </w:p>
    <w:p w14:paraId="5A7A50AE"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+86 10 85188298</w:t>
      </w:r>
    </w:p>
    <w:p w14:paraId="217609DD"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签字注册会计师：吴翠蓉、高鹤</w:t>
      </w:r>
    </w:p>
    <w:p w14:paraId="48653748" w14:textId="77777777" w:rsidR="009A7A59" w:rsidRDefault="00000000">
      <w:pPr>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联系人：吴翠蓉</w:t>
      </w:r>
    </w:p>
    <w:p w14:paraId="6E069062" w14:textId="77777777" w:rsidR="009A7A59" w:rsidRDefault="009A7A59">
      <w:pPr>
        <w:adjustRightInd w:val="0"/>
        <w:snapToGrid w:val="0"/>
        <w:spacing w:line="360" w:lineRule="auto"/>
        <w:ind w:firstLineChars="200" w:firstLine="420"/>
        <w:rPr>
          <w:rFonts w:ascii="Arial Unicode MS" w:hAnsi="Arial Unicode MS" w:cs="Arial" w:hint="eastAsia"/>
          <w:kern w:val="0"/>
          <w:szCs w:val="21"/>
        </w:rPr>
        <w:sectPr w:rsidR="009A7A59">
          <w:footerReference w:type="first" r:id="rId44"/>
          <w:pgSz w:w="11906" w:h="16838"/>
          <w:pgMar w:top="1440" w:right="1800" w:bottom="1440" w:left="1800" w:header="851" w:footer="992" w:gutter="0"/>
          <w:cols w:space="720"/>
          <w:titlePg/>
          <w:docGrid w:linePitch="312"/>
        </w:sectPr>
      </w:pPr>
    </w:p>
    <w:p w14:paraId="0CDDE788" w14:textId="77777777" w:rsidR="009A7A59" w:rsidRDefault="00000000">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21" w:name="_Toc147463116"/>
      <w:bookmarkStart w:id="22" w:name="_Toc12357169"/>
      <w:bookmarkStart w:id="23" w:name="_Toc21073389"/>
      <w:bookmarkStart w:id="24" w:name="_Toc320887645"/>
      <w:bookmarkStart w:id="25" w:name="_Toc63676441"/>
      <w:bookmarkStart w:id="26" w:name="_Toc335232694"/>
      <w:bookmarkStart w:id="27" w:name="_Toc317088540"/>
      <w:bookmarkStart w:id="28" w:name="_Toc214873595"/>
      <w:bookmarkStart w:id="29" w:name="_Toc317088143"/>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1"/>
      <w:bookmarkEnd w:id="22"/>
      <w:bookmarkEnd w:id="23"/>
      <w:r>
        <w:rPr>
          <w:rFonts w:ascii="Arial Unicode MS" w:eastAsia="宋体" w:hAnsi="Arial Unicode MS" w:cs="Arial"/>
          <w:b/>
          <w:bCs/>
          <w:sz w:val="28"/>
          <w:szCs w:val="28"/>
        </w:rPr>
        <w:t>基金的</w:t>
      </w:r>
      <w:r>
        <w:rPr>
          <w:rFonts w:ascii="Arial Unicode MS" w:eastAsia="宋体" w:hAnsi="Arial Unicode MS" w:cs="Arial" w:hint="eastAsia"/>
          <w:b/>
          <w:bCs/>
          <w:sz w:val="28"/>
          <w:szCs w:val="28"/>
        </w:rPr>
        <w:t>历史沿革</w:t>
      </w:r>
      <w:bookmarkEnd w:id="24"/>
      <w:bookmarkEnd w:id="25"/>
      <w:bookmarkEnd w:id="26"/>
      <w:bookmarkEnd w:id="27"/>
      <w:bookmarkEnd w:id="28"/>
      <w:bookmarkEnd w:id="29"/>
    </w:p>
    <w:p w14:paraId="3807FD7C" w14:textId="77777777" w:rsidR="009A7A59" w:rsidRDefault="009A7A59"/>
    <w:p w14:paraId="259456EA"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bookmarkStart w:id="30" w:name="_Toc21073390"/>
      <w:bookmarkStart w:id="31" w:name="_Toc147463117"/>
      <w:bookmarkStart w:id="32" w:name="_Toc12357170"/>
      <w:r>
        <w:rPr>
          <w:rFonts w:ascii="Arial Unicode MS" w:hAnsi="Arial Unicode MS" w:cs="Arial" w:hint="eastAsia"/>
          <w:bCs/>
          <w:szCs w:val="21"/>
        </w:rPr>
        <w:t>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经中国证监会《关于准予富荣富兴纯债债券型证券投资基金注册的批复》（证监许可〔</w:t>
      </w:r>
      <w:r>
        <w:rPr>
          <w:rFonts w:ascii="Arial Unicode MS" w:hAnsi="Arial Unicode MS" w:cs="Arial" w:hint="eastAsia"/>
          <w:bCs/>
          <w:szCs w:val="21"/>
        </w:rPr>
        <w:t>2016</w:t>
      </w:r>
      <w:r>
        <w:rPr>
          <w:rFonts w:ascii="Arial Unicode MS" w:hAnsi="Arial Unicode MS" w:cs="Arial" w:hint="eastAsia"/>
          <w:bCs/>
          <w:szCs w:val="21"/>
        </w:rPr>
        <w:t>〕</w:t>
      </w:r>
      <w:r>
        <w:rPr>
          <w:rFonts w:ascii="Arial Unicode MS" w:hAnsi="Arial Unicode MS" w:cs="Arial" w:hint="eastAsia"/>
          <w:bCs/>
          <w:szCs w:val="21"/>
        </w:rPr>
        <w:t>2526</w:t>
      </w:r>
      <w:r>
        <w:rPr>
          <w:rFonts w:ascii="Arial Unicode MS" w:hAnsi="Arial Unicode MS" w:cs="Arial" w:hint="eastAsia"/>
          <w:bCs/>
          <w:szCs w:val="21"/>
        </w:rPr>
        <w:t>号）准予注册。基金管理人为富荣基金管理有限公司，基金托管人为包商银行股份有限公司。</w:t>
      </w:r>
      <w:r>
        <w:rPr>
          <w:rFonts w:ascii="Arial Unicode MS" w:hAnsi="Arial Unicode MS" w:cs="Arial" w:hint="eastAsia"/>
          <w:bCs/>
          <w:szCs w:val="21"/>
        </w:rPr>
        <w:t xml:space="preserve"> </w:t>
      </w:r>
    </w:p>
    <w:p w14:paraId="46D712D1"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于</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hint="eastAsia"/>
          <w:bCs/>
          <w:szCs w:val="21"/>
        </w:rPr>
        <w:t>3</w:t>
      </w:r>
      <w:r>
        <w:rPr>
          <w:rFonts w:ascii="Arial Unicode MS" w:hAnsi="Arial Unicode MS" w:cs="Arial" w:hint="eastAsia"/>
          <w:bCs/>
          <w:szCs w:val="21"/>
        </w:rPr>
        <w:t>月</w:t>
      </w:r>
      <w:r>
        <w:rPr>
          <w:rFonts w:ascii="Arial Unicode MS" w:hAnsi="Arial Unicode MS" w:cs="Arial" w:hint="eastAsia"/>
          <w:bCs/>
          <w:szCs w:val="21"/>
        </w:rPr>
        <w:t>7</w:t>
      </w:r>
      <w:r>
        <w:rPr>
          <w:rFonts w:ascii="Arial Unicode MS" w:hAnsi="Arial Unicode MS" w:cs="Arial" w:hint="eastAsia"/>
          <w:bCs/>
          <w:szCs w:val="21"/>
        </w:rPr>
        <w:t>日至</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日公开募集，募集结束后基金管理人向中国证监会办理备案手续。经中国证监会书面确认，《富荣富兴纯债债券型</w:t>
      </w:r>
      <w:r>
        <w:rPr>
          <w:rFonts w:ascii="Arial Unicode MS" w:hAnsi="Arial Unicode MS" w:cs="Arial"/>
          <w:bCs/>
          <w:szCs w:val="21"/>
        </w:rPr>
        <w:t>证券投资基金</w:t>
      </w:r>
      <w:r>
        <w:rPr>
          <w:rFonts w:ascii="Arial Unicode MS" w:hAnsi="Arial Unicode MS" w:cs="Arial" w:hint="eastAsia"/>
          <w:bCs/>
          <w:szCs w:val="21"/>
        </w:rPr>
        <w:t>基金合同》于</w:t>
      </w:r>
      <w:r>
        <w:rPr>
          <w:rFonts w:ascii="Arial Unicode MS" w:hAnsi="Arial Unicode MS" w:cs="Arial" w:hint="eastAsia"/>
          <w:bCs/>
          <w:szCs w:val="21"/>
        </w:rPr>
        <w:t>201</w:t>
      </w:r>
      <w:r>
        <w:rPr>
          <w:rFonts w:ascii="Arial Unicode MS" w:hAnsi="Arial Unicode MS" w:cs="Arial"/>
          <w:bCs/>
          <w:szCs w:val="21"/>
        </w:rPr>
        <w:t>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9</w:t>
      </w:r>
      <w:r>
        <w:rPr>
          <w:rFonts w:ascii="Arial Unicode MS" w:hAnsi="Arial Unicode MS" w:cs="Arial" w:hint="eastAsia"/>
          <w:bCs/>
          <w:szCs w:val="21"/>
        </w:rPr>
        <w:t>日生效。</w:t>
      </w:r>
    </w:p>
    <w:p w14:paraId="43F9C487"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bCs/>
          <w:szCs w:val="21"/>
        </w:rPr>
        <w:t>2021</w:t>
      </w:r>
      <w:r>
        <w:rPr>
          <w:rFonts w:ascii="Arial Unicode MS" w:hAnsi="Arial Unicode MS" w:cs="Arial" w:hint="eastAsia"/>
          <w:bCs/>
          <w:szCs w:val="21"/>
        </w:rPr>
        <w:t>年</w:t>
      </w:r>
      <w:r>
        <w:rPr>
          <w:rFonts w:ascii="Arial Unicode MS" w:hAnsi="Arial Unicode MS" w:cs="Arial"/>
          <w:bCs/>
          <w:szCs w:val="21"/>
        </w:rPr>
        <w:t>2</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日由中国证监会指定中国建设银行股份有限公司为本基金的临时基金托管人。</w:t>
      </w:r>
    </w:p>
    <w:p w14:paraId="5FF53865"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sectPr w:rsidR="009A7A59">
          <w:footerReference w:type="default" r:id="rId45"/>
          <w:footerReference w:type="first" r:id="rId46"/>
          <w:pgSz w:w="11906" w:h="16838"/>
          <w:pgMar w:top="1440" w:right="1800" w:bottom="1440" w:left="1800" w:header="851" w:footer="992" w:gutter="0"/>
          <w:cols w:space="720"/>
          <w:titlePg/>
          <w:docGrid w:linePitch="312"/>
        </w:sectPr>
      </w:pP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5</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5</w:t>
      </w:r>
      <w:r>
        <w:rPr>
          <w:rFonts w:ascii="Arial Unicode MS" w:hAnsi="Arial Unicode MS" w:cs="Arial" w:hint="eastAsia"/>
          <w:bCs/>
          <w:szCs w:val="21"/>
        </w:rPr>
        <w:t>日至</w:t>
      </w: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6</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4</w:t>
      </w:r>
      <w:r>
        <w:rPr>
          <w:rFonts w:ascii="Arial Unicode MS" w:hAnsi="Arial Unicode MS" w:cs="Arial" w:hint="eastAsia"/>
          <w:bCs/>
          <w:szCs w:val="21"/>
        </w:rPr>
        <w:t>日，富荣富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召开基金份额持有人大会，会议审议通过了《关于富荣富兴纯债债券型</w:t>
      </w:r>
      <w:r>
        <w:rPr>
          <w:rFonts w:ascii="Arial Unicode MS" w:hAnsi="Arial Unicode MS" w:cs="Arial"/>
          <w:bCs/>
          <w:szCs w:val="21"/>
        </w:rPr>
        <w:t>证券投资基金</w:t>
      </w:r>
      <w:r>
        <w:rPr>
          <w:rFonts w:ascii="Arial Unicode MS" w:hAnsi="Arial Unicode MS" w:cs="Arial" w:hint="eastAsia"/>
          <w:bCs/>
          <w:szCs w:val="21"/>
        </w:rPr>
        <w:t>更换基金</w:t>
      </w:r>
      <w:r>
        <w:rPr>
          <w:rFonts w:ascii="Arial Unicode MS" w:hAnsi="Arial Unicode MS" w:cs="Arial"/>
          <w:bCs/>
          <w:szCs w:val="21"/>
        </w:rPr>
        <w:t>托管人</w:t>
      </w:r>
      <w:r>
        <w:rPr>
          <w:rFonts w:ascii="Arial Unicode MS" w:hAnsi="Arial Unicode MS" w:cs="Arial" w:hint="eastAsia"/>
          <w:bCs/>
          <w:szCs w:val="21"/>
        </w:rPr>
        <w:t>等并修改法律文件等有关事项的议案》，内容为富荣富</w:t>
      </w:r>
      <w:proofErr w:type="gramStart"/>
      <w:r>
        <w:rPr>
          <w:rFonts w:ascii="Arial Unicode MS" w:hAnsi="Arial Unicode MS" w:cs="Arial" w:hint="eastAsia"/>
          <w:bCs/>
          <w:szCs w:val="21"/>
        </w:rPr>
        <w:t>兴纯债</w:t>
      </w:r>
      <w:proofErr w:type="gramEnd"/>
      <w:r>
        <w:rPr>
          <w:rFonts w:ascii="Arial Unicode MS" w:hAnsi="Arial Unicode MS" w:cs="Arial" w:hint="eastAsia"/>
          <w:bCs/>
          <w:szCs w:val="21"/>
        </w:rPr>
        <w:t>债券型</w:t>
      </w:r>
      <w:r>
        <w:rPr>
          <w:rFonts w:ascii="Arial Unicode MS" w:hAnsi="Arial Unicode MS" w:cs="Arial"/>
          <w:bCs/>
          <w:szCs w:val="21"/>
        </w:rPr>
        <w:t>证券投资基金</w:t>
      </w:r>
      <w:r>
        <w:rPr>
          <w:rFonts w:ascii="Arial Unicode MS" w:hAnsi="Arial Unicode MS" w:cs="Arial" w:hint="eastAsia"/>
          <w:bCs/>
          <w:szCs w:val="21"/>
        </w:rPr>
        <w:t>更换</w:t>
      </w:r>
      <w:r>
        <w:rPr>
          <w:rFonts w:ascii="Arial Unicode MS" w:hAnsi="Arial Unicode MS" w:cs="Arial"/>
          <w:bCs/>
          <w:szCs w:val="21"/>
        </w:rPr>
        <w:t>基金托管人为</w:t>
      </w:r>
      <w:r>
        <w:rPr>
          <w:rFonts w:ascii="Arial Unicode MS" w:hAnsi="Arial Unicode MS" w:cs="Arial" w:hint="eastAsia"/>
          <w:bCs/>
          <w:szCs w:val="21"/>
        </w:rPr>
        <w:t>中国建设银行股份有限公司等并相应修订法律文件等，上述基金份额持有人大会决议自表决通过之日起生效。</w:t>
      </w:r>
    </w:p>
    <w:p w14:paraId="5D817439" w14:textId="77777777" w:rsidR="009A7A59" w:rsidRDefault="00000000">
      <w:pPr>
        <w:pStyle w:val="11"/>
        <w:snapToGrid w:val="0"/>
        <w:spacing w:before="0" w:after="0" w:line="360" w:lineRule="auto"/>
        <w:rPr>
          <w:rFonts w:ascii="Arial Unicode MS" w:eastAsia="宋体" w:hAnsi="Arial Unicode MS" w:cs="Arial" w:hint="eastAsia"/>
          <w:b/>
          <w:bCs/>
          <w:sz w:val="28"/>
          <w:szCs w:val="28"/>
        </w:rPr>
      </w:pPr>
      <w:bookmarkStart w:id="33" w:name="_Toc214873596"/>
      <w:bookmarkStart w:id="34" w:name="_Toc317088541"/>
      <w:bookmarkStart w:id="35" w:name="_Toc317088144"/>
      <w:bookmarkStart w:id="36" w:name="_Toc63676442"/>
      <w:bookmarkStart w:id="37" w:name="_Toc320887646"/>
      <w:bookmarkStart w:id="38" w:name="_Toc335232695"/>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w:t>
      </w:r>
      <w:bookmarkEnd w:id="30"/>
      <w:bookmarkEnd w:id="31"/>
      <w:bookmarkEnd w:id="32"/>
      <w:bookmarkEnd w:id="33"/>
      <w:bookmarkEnd w:id="34"/>
      <w:bookmarkEnd w:id="35"/>
      <w:r>
        <w:rPr>
          <w:rFonts w:ascii="Arial Unicode MS" w:eastAsia="宋体" w:hAnsi="Arial Unicode MS" w:cs="Arial" w:hint="eastAsia"/>
          <w:b/>
          <w:bCs/>
          <w:sz w:val="28"/>
          <w:szCs w:val="28"/>
        </w:rPr>
        <w:t>的存续</w:t>
      </w:r>
      <w:bookmarkEnd w:id="36"/>
      <w:bookmarkEnd w:id="37"/>
      <w:bookmarkEnd w:id="38"/>
    </w:p>
    <w:p w14:paraId="4A54A05F" w14:textId="77777777" w:rsidR="009A7A59" w:rsidRDefault="00000000">
      <w:pPr>
        <w:spacing w:line="360" w:lineRule="auto"/>
        <w:ind w:firstLineChars="200" w:firstLine="420"/>
        <w:rPr>
          <w:bCs/>
        </w:rPr>
      </w:pPr>
      <w:r>
        <w:rPr>
          <w:rFonts w:hint="eastAsia"/>
          <w:bCs/>
        </w:rPr>
        <w:t>基金合同生效后，连续二十个工作日出现基金份额持有人数量</w:t>
      </w:r>
      <w:proofErr w:type="gramStart"/>
      <w:r>
        <w:rPr>
          <w:rFonts w:hint="eastAsia"/>
          <w:bCs/>
        </w:rPr>
        <w:t>不满二百</w:t>
      </w:r>
      <w:proofErr w:type="gramEnd"/>
      <w:r>
        <w:rPr>
          <w:rFonts w:hint="eastAsia"/>
          <w:bCs/>
        </w:rPr>
        <w:t>人或者基金资产净值低于五千万元情形的，基金管理人应当在定期报告中予以披露；连续六十个工作日出现前述情形的，基金管理人应当向中国证监会报告并提出解决方案，如持续运作、转换运作方式、与其他基金合并或者终止基金合同等，并在</w:t>
      </w:r>
      <w:r>
        <w:rPr>
          <w:rFonts w:hint="eastAsia"/>
          <w:bCs/>
        </w:rPr>
        <w:t>6</w:t>
      </w:r>
      <w:r>
        <w:rPr>
          <w:rFonts w:hint="eastAsia"/>
          <w:bCs/>
        </w:rPr>
        <w:t>个月内召开基金份额持有人大会进行表决。</w:t>
      </w:r>
    </w:p>
    <w:p w14:paraId="2B994B68" w14:textId="77777777" w:rsidR="009A7A59" w:rsidRDefault="00000000">
      <w:pPr>
        <w:spacing w:line="360" w:lineRule="auto"/>
        <w:ind w:firstLineChars="200" w:firstLine="420"/>
        <w:rPr>
          <w:rFonts w:ascii="宋体" w:hAnsi="宋体" w:hint="eastAsia"/>
          <w:color w:val="000000"/>
          <w:kern w:val="0"/>
          <w:szCs w:val="21"/>
        </w:rPr>
      </w:pPr>
      <w:r>
        <w:rPr>
          <w:bCs/>
        </w:rPr>
        <w:t>法律法规另有规定时，从其规定</w:t>
      </w:r>
      <w:r>
        <w:rPr>
          <w:rFonts w:hint="eastAsia"/>
          <w:bCs/>
        </w:rPr>
        <w:t>。</w:t>
      </w:r>
    </w:p>
    <w:p w14:paraId="32EEA807" w14:textId="77777777" w:rsidR="009A7A59" w:rsidRDefault="009A7A59">
      <w:pPr>
        <w:pStyle w:val="11"/>
        <w:snapToGrid w:val="0"/>
        <w:spacing w:before="0" w:after="0" w:line="360" w:lineRule="auto"/>
        <w:ind w:firstLineChars="150" w:firstLine="422"/>
        <w:rPr>
          <w:rFonts w:ascii="Arial Unicode MS" w:eastAsia="宋体" w:hAnsi="Arial Unicode MS" w:cs="Arial" w:hint="eastAsia"/>
          <w:b/>
          <w:bCs/>
          <w:sz w:val="28"/>
          <w:szCs w:val="28"/>
        </w:rPr>
        <w:sectPr w:rsidR="009A7A59">
          <w:pgSz w:w="11906" w:h="16838"/>
          <w:pgMar w:top="1440" w:right="1800" w:bottom="1440" w:left="1800" w:header="851" w:footer="992" w:gutter="0"/>
          <w:cols w:space="720"/>
          <w:titlePg/>
          <w:docGrid w:linePitch="312"/>
        </w:sectPr>
      </w:pPr>
      <w:bookmarkStart w:id="39" w:name="_Toc214873597"/>
      <w:bookmarkStart w:id="40" w:name="_Toc21073391"/>
      <w:bookmarkStart w:id="41" w:name="_Toc147463118"/>
      <w:bookmarkStart w:id="42" w:name="_Toc12357171"/>
      <w:bookmarkStart w:id="43" w:name="_Toc320887647"/>
      <w:bookmarkStart w:id="44" w:name="_Toc317088145"/>
      <w:bookmarkStart w:id="45" w:name="_Toc335232696"/>
      <w:bookmarkStart w:id="46" w:name="_Toc317088542"/>
    </w:p>
    <w:p w14:paraId="08B0E6D1" w14:textId="77777777" w:rsidR="009A7A59" w:rsidRDefault="00000000">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47" w:name="_Toc636764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0593A457" w14:textId="77777777" w:rsidR="009A7A59" w:rsidRDefault="009A7A59">
      <w:pPr>
        <w:ind w:firstLine="315"/>
      </w:pPr>
    </w:p>
    <w:p w14:paraId="0C144ADE" w14:textId="77777777" w:rsidR="009A7A59" w:rsidRDefault="00000000">
      <w:pPr>
        <w:adjustRightInd w:val="0"/>
        <w:snapToGrid w:val="0"/>
        <w:spacing w:line="360" w:lineRule="auto"/>
        <w:ind w:firstLineChars="200" w:firstLine="422"/>
        <w:rPr>
          <w:rFonts w:ascii="Arial Unicode MS" w:hAnsi="Arial Unicode MS" w:cs="Arial" w:hint="eastAsia"/>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14:paraId="0188CF0A"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申购与赎回将通过销售机构进行。具体的销售网点将由基金管理人在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87B626F" w14:textId="77777777" w:rsidR="009A7A59" w:rsidRDefault="00000000">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14:paraId="307C382F"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bookmarkStart w:id="48" w:name="_Toc510842719"/>
      <w:r>
        <w:rPr>
          <w:rFonts w:ascii="Arial Unicode MS" w:hAnsi="Arial Unicode MS" w:cs="Arial" w:hint="eastAsia"/>
          <w:szCs w:val="21"/>
        </w:rPr>
        <w:t>1</w:t>
      </w:r>
      <w:r>
        <w:rPr>
          <w:rFonts w:ascii="Arial Unicode MS" w:hAnsi="Arial Unicode MS" w:cs="Arial" w:hint="eastAsia"/>
          <w:szCs w:val="21"/>
        </w:rPr>
        <w:t>、开放日及开放时间</w:t>
      </w:r>
    </w:p>
    <w:p w14:paraId="28842BD5"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1924C2A"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1480D388"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、申购、赎回开始日及业务办理时间</w:t>
      </w:r>
    </w:p>
    <w:p w14:paraId="2D3FCE04" w14:textId="77777777" w:rsidR="009A7A59" w:rsidRDefault="00000000">
      <w:pPr>
        <w:spacing w:line="360" w:lineRule="auto"/>
        <w:ind w:firstLineChars="200" w:firstLine="420"/>
        <w:rPr>
          <w:rFonts w:ascii="宋体" w:hAnsi="宋体" w:hint="eastAsia"/>
          <w:color w:val="000000"/>
          <w:kern w:val="0"/>
          <w:szCs w:val="21"/>
        </w:rPr>
      </w:pPr>
      <w:r>
        <w:rPr>
          <w:rFonts w:ascii="宋体" w:hAnsi="宋体" w:hint="eastAsia"/>
          <w:color w:val="000000"/>
          <w:kern w:val="0"/>
          <w:szCs w:val="21"/>
        </w:rPr>
        <w:t>本基金A类基金份额已于2017年3月10日开始办理申购、赎回业务。</w:t>
      </w:r>
    </w:p>
    <w:p w14:paraId="7E38B0EE" w14:textId="77777777" w:rsidR="009A7A59" w:rsidRDefault="00000000">
      <w:pPr>
        <w:spacing w:line="360" w:lineRule="auto"/>
        <w:ind w:firstLineChars="200" w:firstLine="420"/>
        <w:rPr>
          <w:rFonts w:ascii="宋体" w:hAnsi="宋体" w:hint="eastAsia"/>
          <w:color w:val="000000"/>
          <w:kern w:val="0"/>
          <w:szCs w:val="21"/>
        </w:rPr>
      </w:pPr>
      <w:r>
        <w:rPr>
          <w:rFonts w:ascii="宋体" w:hAnsi="宋体" w:hint="eastAsia"/>
          <w:color w:val="000000"/>
          <w:kern w:val="0"/>
          <w:szCs w:val="21"/>
        </w:rPr>
        <w:t>本基金C类基金份额于2024年7月25日新增，并自该日开始办理申购、赎回业务。</w:t>
      </w:r>
    </w:p>
    <w:p w14:paraId="03CF3F7B" w14:textId="77777777" w:rsidR="009A7A59" w:rsidRDefault="00000000">
      <w:pPr>
        <w:spacing w:line="360" w:lineRule="auto"/>
        <w:ind w:firstLineChars="200" w:firstLine="420"/>
        <w:rPr>
          <w:rFonts w:ascii="宋体" w:hAnsi="宋体" w:hint="eastAsia"/>
          <w:color w:val="000000"/>
          <w:kern w:val="0"/>
          <w:szCs w:val="21"/>
        </w:rPr>
      </w:pPr>
      <w:r>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Pr>
          <w:rFonts w:ascii="宋体" w:hAnsi="宋体" w:hint="eastAsia"/>
          <w:color w:val="000000"/>
          <w:kern w:val="0"/>
          <w:szCs w:val="21"/>
        </w:rPr>
        <w:t>且登记</w:t>
      </w:r>
      <w:proofErr w:type="gramEnd"/>
      <w:r>
        <w:rPr>
          <w:rFonts w:ascii="宋体" w:hAnsi="宋体" w:hint="eastAsia"/>
          <w:color w:val="000000"/>
          <w:kern w:val="0"/>
          <w:szCs w:val="21"/>
        </w:rPr>
        <w:t>机构确认接受的，其基金份额申购、赎回价格为下一开放日该类基金份额申购、赎回的价格。</w:t>
      </w:r>
    </w:p>
    <w:bookmarkEnd w:id="48"/>
    <w:p w14:paraId="40C304DC" w14:textId="77777777" w:rsidR="009A7A59" w:rsidRDefault="00000000">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三</w:t>
      </w:r>
      <w:r>
        <w:rPr>
          <w:rFonts w:ascii="Arial Unicode MS" w:hAnsi="Arial Unicode MS" w:cs="Arial"/>
          <w:b/>
          <w:szCs w:val="21"/>
        </w:rPr>
        <w:t>、申购与赎回的原则</w:t>
      </w:r>
    </w:p>
    <w:p w14:paraId="149E4816"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、“未知价”原则，即申购、赎回价格以申请当日收市后计算的该类基金份额净值为基准进行计算；</w:t>
      </w:r>
    </w:p>
    <w:p w14:paraId="17403781"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、“金额申购、份额赎回”原则，即申购以金额申请，赎回以份额申请；</w:t>
      </w:r>
    </w:p>
    <w:p w14:paraId="159E1C98"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、当日的申购与赎回申请可以在基金管理人规定的时间以内撤销；</w:t>
      </w:r>
    </w:p>
    <w:p w14:paraId="6DBBA6B1"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、赎回遵循“先进先出”原则，即按照投资人认购、申购的先后次序进行顺序赎回。</w:t>
      </w:r>
    </w:p>
    <w:p w14:paraId="52F6CC56"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、办理申购、赎回业务时，应当遵循基金份额持有人利益优先原则，确保投资者的合法权益不受损害并得到公平对待。</w:t>
      </w:r>
    </w:p>
    <w:p w14:paraId="6109D8C8"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51CE4CD1" w14:textId="77777777" w:rsidR="009A7A59" w:rsidRDefault="00000000">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四、申购与赎回的数额限制</w:t>
      </w:r>
    </w:p>
    <w:p w14:paraId="7265D7CC"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lastRenderedPageBreak/>
        <w:t>1</w:t>
      </w:r>
      <w:r>
        <w:rPr>
          <w:rFonts w:ascii="Arial Unicode MS" w:hAnsi="Arial Unicode MS" w:cs="Arial" w:hint="eastAsia"/>
          <w:bCs/>
          <w:szCs w:val="21"/>
        </w:rPr>
        <w:t>、首次购买基金份额的最低金额为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元，追加购买最低金额为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w:t>
      </w:r>
      <w:r>
        <w:rPr>
          <w:rFonts w:ascii="Arial Unicode MS" w:hAnsi="Arial Unicode MS" w:cs="Arial"/>
          <w:bCs/>
          <w:szCs w:val="21"/>
        </w:rPr>
        <w:t>详情请见当地销售机构公告</w:t>
      </w:r>
      <w:r>
        <w:rPr>
          <w:rFonts w:ascii="Arial Unicode MS" w:hAnsi="Arial Unicode MS" w:cs="Arial" w:hint="eastAsia"/>
          <w:bCs/>
          <w:szCs w:val="21"/>
        </w:rPr>
        <w:t>；</w:t>
      </w:r>
    </w:p>
    <w:p w14:paraId="4814A033"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、每个交易账户最低持有基金份额余额为</w:t>
      </w:r>
      <w:r>
        <w:rPr>
          <w:rFonts w:ascii="Arial Unicode MS" w:hAnsi="Arial Unicode MS" w:cs="Arial" w:hint="eastAsia"/>
          <w:bCs/>
          <w:szCs w:val="21"/>
        </w:rPr>
        <w:t>1</w:t>
      </w:r>
      <w:r>
        <w:rPr>
          <w:rFonts w:ascii="Arial Unicode MS" w:hAnsi="Arial Unicode MS" w:cs="Arial" w:hint="eastAsia"/>
          <w:bCs/>
          <w:szCs w:val="21"/>
        </w:rPr>
        <w:t>份，若某笔赎回导致单个交易账户的基金份额余额少于</w:t>
      </w:r>
      <w:r>
        <w:rPr>
          <w:rFonts w:ascii="Arial Unicode MS" w:hAnsi="Arial Unicode MS" w:cs="Arial" w:hint="eastAsia"/>
          <w:bCs/>
          <w:szCs w:val="21"/>
        </w:rPr>
        <w:t>1</w:t>
      </w:r>
      <w:r>
        <w:rPr>
          <w:rFonts w:ascii="Arial Unicode MS" w:hAnsi="Arial Unicode MS" w:cs="Arial" w:hint="eastAsia"/>
          <w:bCs/>
          <w:szCs w:val="21"/>
        </w:rPr>
        <w:t>份时，余额部分基金份额必须一同赎回；</w:t>
      </w:r>
      <w:r>
        <w:rPr>
          <w:rFonts w:ascii="Arial Unicode MS" w:hAnsi="Arial Unicode MS" w:cs="Arial" w:hint="eastAsia"/>
          <w:bCs/>
          <w:szCs w:val="21"/>
        </w:rPr>
        <w:t xml:space="preserve"> </w:t>
      </w:r>
    </w:p>
    <w:p w14:paraId="5A529E5D"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2E924DD2"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p>
    <w:p w14:paraId="3DC04AAE"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14FDC370" w14:textId="77777777" w:rsidR="009A7A59" w:rsidRDefault="00000000">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五</w:t>
      </w:r>
      <w:r>
        <w:rPr>
          <w:rFonts w:ascii="Arial Unicode MS" w:hAnsi="Arial Unicode MS" w:cs="Arial"/>
          <w:b/>
          <w:szCs w:val="21"/>
        </w:rPr>
        <w:t>、申购与赎回的程序</w:t>
      </w:r>
    </w:p>
    <w:p w14:paraId="663F6B70"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hint="eastAsia"/>
          <w:bCs/>
          <w:szCs w:val="21"/>
        </w:rPr>
        <w:t>、</w:t>
      </w:r>
      <w:r>
        <w:rPr>
          <w:rFonts w:ascii="Arial Unicode MS" w:hAnsi="Arial Unicode MS"/>
          <w:bCs/>
          <w:szCs w:val="21"/>
        </w:rPr>
        <w:t>申购和赎回的申请方式</w:t>
      </w:r>
    </w:p>
    <w:p w14:paraId="2A099A08"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投资人必须根据销售机构规定的程序，在开放日的具体业务办理时间内提出申购或赎回的申请。</w:t>
      </w:r>
    </w:p>
    <w:p w14:paraId="4D66DF6D"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hint="eastAsia"/>
          <w:bCs/>
          <w:szCs w:val="21"/>
        </w:rPr>
        <w:t>、</w:t>
      </w:r>
      <w:r>
        <w:rPr>
          <w:rFonts w:ascii="Arial Unicode MS" w:hAnsi="Arial Unicode MS"/>
          <w:bCs/>
          <w:szCs w:val="21"/>
        </w:rPr>
        <w:t>申购和赎回的款项支付</w:t>
      </w:r>
    </w:p>
    <w:p w14:paraId="7E962D1D"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lang w:val="zh-CN"/>
        </w:rPr>
        <w:t>投资人申购基金份额时，必须全额交付申购款项，投资人</w:t>
      </w:r>
      <w:r>
        <w:rPr>
          <w:rFonts w:ascii="Arial Unicode MS" w:hAnsi="Arial Unicode MS" w:hint="eastAsia"/>
          <w:bCs/>
          <w:szCs w:val="21"/>
          <w:lang w:val="zh-CN"/>
        </w:rPr>
        <w:t>全额</w:t>
      </w:r>
      <w:r>
        <w:rPr>
          <w:rFonts w:ascii="Arial Unicode MS" w:hAnsi="Arial Unicode MS"/>
          <w:bCs/>
          <w:szCs w:val="21"/>
          <w:lang w:val="zh-CN"/>
        </w:rPr>
        <w:t>交付</w:t>
      </w:r>
      <w:r>
        <w:rPr>
          <w:rFonts w:ascii="Arial Unicode MS" w:hAnsi="Arial Unicode MS" w:hint="eastAsia"/>
          <w:bCs/>
          <w:szCs w:val="21"/>
          <w:lang w:val="zh-CN"/>
        </w:rPr>
        <w:t>申购</w:t>
      </w:r>
      <w:r>
        <w:rPr>
          <w:rFonts w:ascii="Arial Unicode MS" w:hAnsi="Arial Unicode MS"/>
          <w:bCs/>
          <w:szCs w:val="21"/>
          <w:lang w:val="zh-CN"/>
        </w:rPr>
        <w:t>款项，申购申请</w:t>
      </w:r>
      <w:r>
        <w:rPr>
          <w:rFonts w:ascii="Arial Unicode MS" w:hAnsi="Arial Unicode MS" w:hint="eastAsia"/>
          <w:bCs/>
          <w:szCs w:val="21"/>
          <w:lang w:val="zh-CN"/>
        </w:rPr>
        <w:t>成立；登记机构确认基金份额时，</w:t>
      </w:r>
      <w:r>
        <w:rPr>
          <w:rFonts w:ascii="Arial Unicode MS" w:hAnsi="Arial Unicode MS"/>
          <w:bCs/>
          <w:szCs w:val="21"/>
          <w:lang w:val="zh-CN"/>
        </w:rPr>
        <w:t>申购</w:t>
      </w:r>
      <w:r>
        <w:rPr>
          <w:rFonts w:ascii="Arial Unicode MS" w:hAnsi="Arial Unicode MS" w:hint="eastAsia"/>
          <w:bCs/>
          <w:szCs w:val="21"/>
          <w:lang w:val="zh-CN"/>
        </w:rPr>
        <w:t>生</w:t>
      </w:r>
      <w:r>
        <w:rPr>
          <w:rFonts w:ascii="Arial Unicode MS" w:hAnsi="Arial Unicode MS"/>
          <w:bCs/>
          <w:szCs w:val="21"/>
          <w:lang w:val="zh-CN"/>
        </w:rPr>
        <w:t>效。</w:t>
      </w:r>
    </w:p>
    <w:p w14:paraId="624DAD8A"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基金份额持有人递交赎回申请，赎回成立；登记机构确认赎回时，赎回生效。</w:t>
      </w:r>
      <w:r>
        <w:rPr>
          <w:rFonts w:ascii="Arial Unicode MS" w:hAnsi="Arial Unicode MS"/>
          <w:bCs/>
          <w:szCs w:val="21"/>
        </w:rPr>
        <w:t>投资人赎回申请成功后，基金管理人将在</w:t>
      </w:r>
      <w:r>
        <w:rPr>
          <w:rFonts w:ascii="Arial Unicode MS" w:hAnsi="Arial Unicode MS"/>
          <w:bCs/>
          <w:szCs w:val="21"/>
        </w:rPr>
        <w:t>T</w:t>
      </w: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bCs/>
          <w:szCs w:val="21"/>
        </w:rPr>
        <w:t>内支付赎回款项。在发生巨额赎回时，款项的支付办法参照基金合同有关条款处理。</w:t>
      </w:r>
    </w:p>
    <w:p w14:paraId="590778A6"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hint="eastAsia"/>
          <w:bCs/>
          <w:szCs w:val="21"/>
        </w:rPr>
        <w:t>、</w:t>
      </w:r>
      <w:r>
        <w:rPr>
          <w:rFonts w:ascii="Arial Unicode MS" w:hAnsi="Arial Unicode MS"/>
          <w:bCs/>
          <w:szCs w:val="21"/>
        </w:rPr>
        <w:t>申购和赎回申请的确认</w:t>
      </w:r>
    </w:p>
    <w:p w14:paraId="0EAC5944"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基金管理人应以交易时间结束前受理</w:t>
      </w:r>
      <w:r>
        <w:rPr>
          <w:rFonts w:ascii="Arial Unicode MS" w:hAnsi="Arial Unicode MS" w:hint="eastAsia"/>
          <w:bCs/>
          <w:szCs w:val="21"/>
        </w:rPr>
        <w:t>有效</w:t>
      </w:r>
      <w:r>
        <w:rPr>
          <w:rFonts w:ascii="Arial Unicode MS" w:hAnsi="Arial Unicode MS"/>
          <w:bCs/>
          <w:szCs w:val="21"/>
        </w:rPr>
        <w:t>申购和赎回申请的当天作为申购或赎回申请日</w:t>
      </w:r>
      <w:r>
        <w:rPr>
          <w:rFonts w:ascii="Arial Unicode MS" w:hAnsi="Arial Unicode MS"/>
          <w:bCs/>
          <w:szCs w:val="21"/>
        </w:rPr>
        <w:t>(T</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，在正常情况下，本基金登记机构在</w:t>
      </w:r>
      <w:r>
        <w:rPr>
          <w:rFonts w:ascii="Arial Unicode MS" w:hAnsi="Arial Unicode MS"/>
          <w:bCs/>
          <w:szCs w:val="21"/>
        </w:rPr>
        <w:t>T+</w:t>
      </w:r>
      <w:r>
        <w:rPr>
          <w:rFonts w:ascii="Arial Unicode MS" w:hAnsi="Arial Unicode MS" w:hint="eastAsia"/>
          <w:bCs/>
          <w:szCs w:val="21"/>
        </w:rPr>
        <w:t>1</w:t>
      </w:r>
      <w:r>
        <w:rPr>
          <w:rFonts w:ascii="Arial Unicode MS" w:hAnsi="Arial Unicode MS"/>
          <w:bCs/>
          <w:szCs w:val="21"/>
        </w:rPr>
        <w:t>日内对该交易的有效性进行确认。</w:t>
      </w:r>
      <w:r>
        <w:rPr>
          <w:rFonts w:ascii="Arial Unicode MS" w:hAnsi="Arial Unicode MS"/>
          <w:bCs/>
          <w:szCs w:val="21"/>
        </w:rPr>
        <w:t>T</w:t>
      </w:r>
      <w:r>
        <w:rPr>
          <w:rFonts w:ascii="Arial Unicode MS" w:hAnsi="Arial Unicode MS"/>
          <w:bCs/>
          <w:szCs w:val="21"/>
        </w:rPr>
        <w:t>日提交的有效申请，投资人</w:t>
      </w:r>
      <w:r>
        <w:rPr>
          <w:rFonts w:ascii="Arial Unicode MS" w:hAnsi="Arial Unicode MS" w:hint="eastAsia"/>
          <w:bCs/>
          <w:szCs w:val="21"/>
        </w:rPr>
        <w:t>应</w:t>
      </w:r>
      <w:r>
        <w:rPr>
          <w:rFonts w:ascii="Arial Unicode MS" w:hAnsi="Arial Unicode MS"/>
          <w:bCs/>
          <w:szCs w:val="21"/>
        </w:rPr>
        <w:t>在</w:t>
      </w:r>
      <w:r>
        <w:rPr>
          <w:rFonts w:ascii="Arial Unicode MS" w:hAnsi="Arial Unicode MS"/>
          <w:bCs/>
          <w:szCs w:val="21"/>
        </w:rPr>
        <w:t>T+</w:t>
      </w:r>
      <w:r>
        <w:rPr>
          <w:rFonts w:ascii="Arial Unicode MS" w:hAnsi="Arial Unicode MS" w:hint="eastAsia"/>
          <w:bCs/>
          <w:szCs w:val="21"/>
        </w:rPr>
        <w:t>2</w:t>
      </w:r>
      <w:r>
        <w:rPr>
          <w:rFonts w:ascii="Arial Unicode MS" w:hAnsi="Arial Unicode MS"/>
          <w:bCs/>
          <w:szCs w:val="21"/>
        </w:rPr>
        <w:t>日后</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hint="eastAsia"/>
          <w:bCs/>
          <w:szCs w:val="21"/>
        </w:rPr>
        <w:t>及时</w:t>
      </w:r>
      <w:r>
        <w:rPr>
          <w:rFonts w:ascii="Arial Unicode MS" w:hAnsi="Arial Unicode MS"/>
          <w:bCs/>
          <w:szCs w:val="21"/>
        </w:rPr>
        <w:t>到销售网点柜台或以销售机构规定的其他方式查询申请的确认情况。若申购不成功，则申购款项退还给投资人。</w:t>
      </w:r>
    </w:p>
    <w:p w14:paraId="04E93AD5"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282A88B" w14:textId="77777777" w:rsidR="009A7A59" w:rsidRDefault="00000000">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14:paraId="69888195"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szCs w:val="21"/>
        </w:rPr>
        <w:t>1</w:t>
      </w:r>
      <w:r>
        <w:rPr>
          <w:rFonts w:ascii="Arial Unicode MS" w:hAnsi="Arial Unicode MS" w:cs="Arial"/>
          <w:szCs w:val="21"/>
        </w:rPr>
        <w:t>、投资</w:t>
      </w:r>
      <w:r>
        <w:rPr>
          <w:rFonts w:ascii="Arial Unicode MS" w:hAnsi="Arial Unicode MS" w:cs="Arial" w:hint="eastAsia"/>
          <w:szCs w:val="21"/>
        </w:rPr>
        <w:t>者</w:t>
      </w:r>
      <w:r>
        <w:rPr>
          <w:rFonts w:ascii="Arial Unicode MS" w:hAnsi="Arial Unicode MS" w:cs="Arial"/>
          <w:szCs w:val="21"/>
        </w:rPr>
        <w:t>可以多次申购本基金，申购费率按每笔申购申请单独计算。</w:t>
      </w:r>
    </w:p>
    <w:p w14:paraId="34E02DF6" w14:textId="77777777" w:rsidR="009A7A59" w:rsidRDefault="00000000">
      <w:pPr>
        <w:adjustRightInd w:val="0"/>
        <w:snapToGrid w:val="0"/>
        <w:spacing w:line="360" w:lineRule="auto"/>
        <w:ind w:firstLineChars="200" w:firstLine="420"/>
        <w:rPr>
          <w:rFonts w:ascii="Arial Unicode MS" w:hAnsi="Arial Unicode MS" w:cs="Arial" w:hint="eastAsia"/>
        </w:rPr>
      </w:pPr>
      <w:r>
        <w:rPr>
          <w:rFonts w:ascii="Arial Unicode MS" w:hAnsi="Arial Unicode MS" w:cs="Arial"/>
          <w:szCs w:val="21"/>
        </w:rPr>
        <w:lastRenderedPageBreak/>
        <w:t>本基金</w:t>
      </w:r>
      <w:r>
        <w:rPr>
          <w:rFonts w:ascii="Arial Unicode MS" w:hAnsi="Arial Unicode MS" w:cs="Arial" w:hint="eastAsia"/>
          <w:szCs w:val="21"/>
        </w:rPr>
        <w:t>A</w:t>
      </w:r>
      <w:r>
        <w:rPr>
          <w:rFonts w:ascii="Arial Unicode MS" w:hAnsi="Arial Unicode MS" w:cs="Arial" w:hint="eastAsia"/>
          <w:szCs w:val="21"/>
        </w:rPr>
        <w:t>类</w:t>
      </w:r>
      <w:r>
        <w:rPr>
          <w:rFonts w:ascii="Arial Unicode MS" w:hAnsi="Arial Unicode MS" w:cs="Arial"/>
          <w:szCs w:val="21"/>
        </w:rPr>
        <w:t>基金份额采用</w:t>
      </w:r>
      <w:r>
        <w:rPr>
          <w:rFonts w:ascii="Arial Unicode MS" w:hAnsi="Arial Unicode MS" w:cs="Arial" w:hint="eastAsia"/>
          <w:szCs w:val="21"/>
        </w:rPr>
        <w:t>前</w:t>
      </w:r>
      <w:r>
        <w:rPr>
          <w:rFonts w:ascii="Arial Unicode MS" w:hAnsi="Arial Unicode MS" w:cs="Arial"/>
          <w:szCs w:val="21"/>
        </w:rPr>
        <w:t>端收费模式收取基金申购费用。</w:t>
      </w:r>
      <w:r>
        <w:rPr>
          <w:rFonts w:ascii="Arial Unicode MS" w:hAnsi="Arial Unicode MS" w:cs="Arial" w:hint="eastAsia"/>
        </w:rPr>
        <w:t>投资者的</w:t>
      </w:r>
      <w:r>
        <w:rPr>
          <w:rFonts w:ascii="Arial Unicode MS" w:hAnsi="Arial Unicode MS" w:cs="Arial"/>
        </w:rPr>
        <w:t>申购费用</w:t>
      </w:r>
      <w:r>
        <w:rPr>
          <w:rFonts w:ascii="Arial Unicode MS" w:hAnsi="Arial Unicode MS" w:cs="Arial" w:hint="eastAsia"/>
        </w:rPr>
        <w:t>如下：</w:t>
      </w:r>
    </w:p>
    <w:p w14:paraId="17501860" w14:textId="77777777" w:rsidR="009A7A59" w:rsidRDefault="00000000">
      <w:pPr>
        <w:snapToGrid w:val="0"/>
        <w:spacing w:line="360" w:lineRule="auto"/>
        <w:jc w:val="center"/>
        <w:rPr>
          <w:rFonts w:ascii="Arial Unicode MS" w:hAnsi="Arial Unicode MS" w:cs="Arial" w:hint="eastAsia"/>
        </w:rPr>
      </w:pPr>
      <w:r>
        <w:rPr>
          <w:rFonts w:ascii="Arial Unicode MS" w:hAnsi="Arial Unicode MS" w:cs="Arial" w:hint="eastAsia"/>
        </w:rPr>
        <w:t>表</w:t>
      </w:r>
      <w:r>
        <w:rPr>
          <w:rFonts w:ascii="Arial Unicode MS" w:hAnsi="Arial Unicode MS" w:cs="Arial" w:hint="eastAsia"/>
        </w:rPr>
        <w:t>2</w:t>
      </w:r>
      <w:r>
        <w:rPr>
          <w:rFonts w:ascii="Arial Unicode MS" w:hAnsi="Arial Unicode MS" w:cs="Arial" w:hint="eastAsia"/>
        </w:rPr>
        <w:t>：本基金各类基金份额的申购费率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9A7A59" w14:paraId="6C02F21C" w14:textId="77777777">
        <w:trPr>
          <w:trHeight w:val="190"/>
          <w:jc w:val="center"/>
        </w:trPr>
        <w:tc>
          <w:tcPr>
            <w:tcW w:w="5000" w:type="pct"/>
            <w:gridSpan w:val="2"/>
          </w:tcPr>
          <w:p w14:paraId="2E96D8AB" w14:textId="77777777" w:rsidR="009A7A59" w:rsidRDefault="0000000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A</w:t>
            </w:r>
            <w:r>
              <w:rPr>
                <w:rFonts w:ascii="Arial Unicode MS" w:hAnsi="Arial Unicode MS" w:hint="eastAsia"/>
                <w:bCs/>
                <w:kern w:val="0"/>
                <w:szCs w:val="21"/>
              </w:rPr>
              <w:t>类基金份额</w:t>
            </w:r>
          </w:p>
        </w:tc>
      </w:tr>
      <w:tr w:rsidR="009A7A59" w14:paraId="16941AE4" w14:textId="77777777">
        <w:trPr>
          <w:trHeight w:val="190"/>
          <w:jc w:val="center"/>
        </w:trPr>
        <w:tc>
          <w:tcPr>
            <w:tcW w:w="2400" w:type="pct"/>
          </w:tcPr>
          <w:p w14:paraId="76C3E4D4" w14:textId="77777777" w:rsidR="009A7A59" w:rsidRDefault="0000000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Pr>
                <w:rFonts w:ascii="Arial Unicode MS" w:hAnsi="Arial Unicode MS" w:hint="eastAsia"/>
                <w:bCs/>
                <w:kern w:val="0"/>
                <w:szCs w:val="21"/>
              </w:rPr>
              <w:t>，元</w:t>
            </w:r>
            <w:r>
              <w:rPr>
                <w:rFonts w:ascii="Arial Unicode MS" w:hAnsi="Arial Unicode MS"/>
                <w:bCs/>
                <w:kern w:val="0"/>
                <w:szCs w:val="21"/>
              </w:rPr>
              <w:t>）</w:t>
            </w:r>
          </w:p>
        </w:tc>
        <w:tc>
          <w:tcPr>
            <w:tcW w:w="2600" w:type="pct"/>
          </w:tcPr>
          <w:p w14:paraId="542E7D92" w14:textId="77777777" w:rsidR="009A7A59" w:rsidRDefault="00000000">
            <w:pPr>
              <w:widowControl/>
              <w:spacing w:line="360" w:lineRule="auto"/>
              <w:jc w:val="center"/>
              <w:rPr>
                <w:rFonts w:ascii="Arial Unicode MS" w:hAnsi="Arial Unicode MS" w:hint="eastAsia"/>
                <w:bCs/>
                <w:kern w:val="0"/>
                <w:szCs w:val="21"/>
              </w:rPr>
            </w:pPr>
            <w:r>
              <w:rPr>
                <w:rFonts w:ascii="Arial Unicode MS" w:hAnsi="Arial Unicode MS"/>
                <w:bCs/>
                <w:kern w:val="0"/>
                <w:szCs w:val="21"/>
              </w:rPr>
              <w:t>申购费率</w:t>
            </w:r>
          </w:p>
        </w:tc>
      </w:tr>
      <w:tr w:rsidR="009A7A59" w14:paraId="15C71EAA" w14:textId="77777777">
        <w:trPr>
          <w:trHeight w:val="190"/>
          <w:jc w:val="center"/>
        </w:trPr>
        <w:tc>
          <w:tcPr>
            <w:tcW w:w="2400" w:type="pct"/>
          </w:tcPr>
          <w:p w14:paraId="4AD84FEE" w14:textId="77777777" w:rsidR="009A7A59" w:rsidRDefault="00000000">
            <w:pPr>
              <w:widowControl/>
              <w:spacing w:line="360" w:lineRule="auto"/>
              <w:jc w:val="center"/>
              <w:rPr>
                <w:rFonts w:ascii="Arial Unicode MS" w:hAnsi="Arial Unicode MS" w:hint="eastAsia"/>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600" w:type="pct"/>
          </w:tcPr>
          <w:p w14:paraId="677F32A7" w14:textId="77777777" w:rsidR="009A7A59" w:rsidRDefault="00000000">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0.80%</w:t>
            </w:r>
          </w:p>
        </w:tc>
      </w:tr>
      <w:tr w:rsidR="009A7A59" w14:paraId="7B9C46AE" w14:textId="77777777">
        <w:trPr>
          <w:trHeight w:val="190"/>
          <w:jc w:val="center"/>
        </w:trPr>
        <w:tc>
          <w:tcPr>
            <w:tcW w:w="2400" w:type="pct"/>
          </w:tcPr>
          <w:p w14:paraId="12F02C1D" w14:textId="77777777" w:rsidR="009A7A59" w:rsidRDefault="00000000">
            <w:pPr>
              <w:widowControl/>
              <w:spacing w:line="360" w:lineRule="auto"/>
              <w:jc w:val="center"/>
              <w:rPr>
                <w:rFonts w:ascii="Arial Unicode MS" w:hAnsi="Arial Unicode MS" w:hint="eastAsia"/>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600" w:type="pct"/>
          </w:tcPr>
          <w:p w14:paraId="22D90B89" w14:textId="77777777" w:rsidR="009A7A59" w:rsidRDefault="00000000">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0.50%</w:t>
            </w:r>
          </w:p>
        </w:tc>
      </w:tr>
      <w:tr w:rsidR="009A7A59" w14:paraId="6724987D" w14:textId="77777777">
        <w:trPr>
          <w:trHeight w:val="190"/>
          <w:jc w:val="center"/>
        </w:trPr>
        <w:tc>
          <w:tcPr>
            <w:tcW w:w="2400" w:type="pct"/>
          </w:tcPr>
          <w:p w14:paraId="35507F17" w14:textId="77777777" w:rsidR="009A7A59" w:rsidRDefault="00000000">
            <w:pPr>
              <w:widowControl/>
              <w:spacing w:line="360" w:lineRule="auto"/>
              <w:jc w:val="center"/>
              <w:rPr>
                <w:rFonts w:ascii="Arial Unicode MS" w:hAnsi="Arial Unicode MS" w:hint="eastAsia"/>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600" w:type="pct"/>
          </w:tcPr>
          <w:p w14:paraId="6C287530" w14:textId="77777777" w:rsidR="009A7A59" w:rsidRDefault="00000000">
            <w:pPr>
              <w:widowControl/>
              <w:spacing w:line="360" w:lineRule="auto"/>
              <w:jc w:val="center"/>
              <w:rPr>
                <w:rFonts w:ascii="Arial Unicode MS" w:hAnsi="Arial Unicode MS" w:hint="eastAsia"/>
                <w:bCs/>
                <w:kern w:val="0"/>
                <w:szCs w:val="21"/>
              </w:rPr>
            </w:pPr>
            <w:r>
              <w:rPr>
                <w:rFonts w:ascii="Arial Unicode MS" w:hAnsi="Arial Unicode MS"/>
                <w:bCs/>
                <w:kern w:val="0"/>
                <w:szCs w:val="21"/>
              </w:rPr>
              <w:t>0.30%</w:t>
            </w:r>
          </w:p>
        </w:tc>
      </w:tr>
      <w:tr w:rsidR="009A7A59" w14:paraId="502455D2" w14:textId="77777777">
        <w:trPr>
          <w:trHeight w:val="190"/>
          <w:jc w:val="center"/>
        </w:trPr>
        <w:tc>
          <w:tcPr>
            <w:tcW w:w="2400" w:type="pct"/>
          </w:tcPr>
          <w:p w14:paraId="01FADC8A" w14:textId="77777777" w:rsidR="009A7A59" w:rsidRDefault="00000000">
            <w:pPr>
              <w:widowControl/>
              <w:spacing w:line="360" w:lineRule="auto"/>
              <w:jc w:val="center"/>
              <w:rPr>
                <w:rFonts w:ascii="Arial Unicode MS" w:hAnsi="Arial Unicode MS" w:hint="eastAsia"/>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600" w:type="pct"/>
          </w:tcPr>
          <w:p w14:paraId="0FEB478B" w14:textId="77777777" w:rsidR="009A7A59" w:rsidRDefault="00000000">
            <w:pPr>
              <w:widowControl/>
              <w:spacing w:line="360" w:lineRule="auto"/>
              <w:jc w:val="center"/>
              <w:rPr>
                <w:rFonts w:ascii="Arial Unicode MS" w:hAnsi="Arial Unicode MS" w:hint="eastAsia"/>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r w:rsidR="009A7A59" w14:paraId="19247D7B" w14:textId="77777777">
        <w:trPr>
          <w:trHeight w:val="190"/>
          <w:jc w:val="center"/>
        </w:trPr>
        <w:tc>
          <w:tcPr>
            <w:tcW w:w="5000" w:type="pct"/>
            <w:gridSpan w:val="2"/>
          </w:tcPr>
          <w:p w14:paraId="15EF51DE" w14:textId="77777777" w:rsidR="009A7A59" w:rsidRDefault="0000000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C</w:t>
            </w:r>
            <w:r>
              <w:rPr>
                <w:rFonts w:ascii="Arial Unicode MS" w:hAnsi="Arial Unicode MS" w:hint="eastAsia"/>
                <w:bCs/>
                <w:kern w:val="0"/>
                <w:szCs w:val="21"/>
              </w:rPr>
              <w:t>类基金份额</w:t>
            </w:r>
          </w:p>
        </w:tc>
      </w:tr>
      <w:tr w:rsidR="009A7A59" w14:paraId="50190975" w14:textId="77777777">
        <w:trPr>
          <w:trHeight w:val="190"/>
          <w:jc w:val="center"/>
        </w:trPr>
        <w:tc>
          <w:tcPr>
            <w:tcW w:w="5000" w:type="pct"/>
            <w:gridSpan w:val="2"/>
          </w:tcPr>
          <w:p w14:paraId="07C29D4B" w14:textId="77777777" w:rsidR="009A7A59" w:rsidRDefault="00000000">
            <w:pPr>
              <w:widowControl/>
              <w:spacing w:line="360" w:lineRule="auto"/>
              <w:jc w:val="center"/>
              <w:rPr>
                <w:rFonts w:ascii="Arial Unicode MS" w:hAnsi="Arial Unicode MS" w:hint="eastAsia"/>
                <w:bCs/>
                <w:kern w:val="0"/>
                <w:szCs w:val="21"/>
              </w:rPr>
            </w:pPr>
            <w:r>
              <w:rPr>
                <w:rFonts w:ascii="Arial Unicode MS" w:hAnsi="Arial Unicode MS" w:hint="eastAsia"/>
                <w:bCs/>
                <w:kern w:val="0"/>
                <w:szCs w:val="21"/>
              </w:rPr>
              <w:t>申购费率为零</w:t>
            </w:r>
          </w:p>
        </w:tc>
      </w:tr>
    </w:tbl>
    <w:p w14:paraId="1CFD3E38" w14:textId="77777777" w:rsidR="009A7A59" w:rsidRDefault="009A7A59">
      <w:pPr>
        <w:adjustRightInd w:val="0"/>
        <w:snapToGrid w:val="0"/>
        <w:spacing w:line="360" w:lineRule="auto"/>
        <w:ind w:firstLineChars="200" w:firstLine="420"/>
        <w:rPr>
          <w:rFonts w:ascii="Arial Unicode MS" w:hAnsi="Arial Unicode MS" w:cs="Arial" w:hint="eastAsia"/>
          <w:bCs/>
          <w:kern w:val="0"/>
          <w:szCs w:val="21"/>
        </w:rPr>
      </w:pPr>
    </w:p>
    <w:p w14:paraId="3A48B785"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本基金</w:t>
      </w:r>
      <w:r>
        <w:rPr>
          <w:rFonts w:ascii="Arial Unicode MS" w:hAnsi="Arial Unicode MS" w:cs="Arial" w:hint="eastAsia"/>
          <w:szCs w:val="21"/>
        </w:rPr>
        <w:t>A</w:t>
      </w:r>
      <w:r>
        <w:rPr>
          <w:rFonts w:ascii="Arial Unicode MS" w:hAnsi="Arial Unicode MS" w:cs="Arial" w:hint="eastAsia"/>
          <w:szCs w:val="21"/>
        </w:rPr>
        <w:t>类基金份额</w:t>
      </w:r>
      <w:r>
        <w:rPr>
          <w:rFonts w:ascii="Arial Unicode MS" w:hAnsi="Arial Unicode MS" w:cs="Arial"/>
          <w:szCs w:val="21"/>
        </w:rPr>
        <w:t>的申购费用由</w:t>
      </w:r>
      <w:r>
        <w:rPr>
          <w:rFonts w:ascii="Arial Unicode MS" w:hAnsi="Arial Unicode MS" w:cs="Arial" w:hint="eastAsia"/>
          <w:szCs w:val="21"/>
        </w:rPr>
        <w:t>投资人</w:t>
      </w:r>
      <w:r>
        <w:rPr>
          <w:rFonts w:ascii="Arial Unicode MS" w:hAnsi="Arial Unicode MS" w:cs="Arial"/>
          <w:szCs w:val="21"/>
        </w:rPr>
        <w:t>承担，主要用于本基金的市场推广、销售、登记等各项费用，不列入基金财产。</w:t>
      </w:r>
      <w:r>
        <w:rPr>
          <w:rFonts w:ascii="Arial Unicode MS" w:hAnsi="Arial Unicode MS" w:cs="Arial" w:hint="eastAsia"/>
          <w:szCs w:val="21"/>
        </w:rPr>
        <w:t>C</w:t>
      </w:r>
      <w:r>
        <w:rPr>
          <w:rFonts w:ascii="Arial Unicode MS" w:hAnsi="Arial Unicode MS" w:cs="Arial" w:hint="eastAsia"/>
          <w:szCs w:val="21"/>
        </w:rPr>
        <w:t>类基金份额不收取申购费用。</w:t>
      </w:r>
    </w:p>
    <w:p w14:paraId="12B5469B"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szCs w:val="21"/>
        </w:rPr>
        <w:t>2</w:t>
      </w:r>
      <w:r>
        <w:rPr>
          <w:rFonts w:ascii="Arial Unicode MS" w:hAnsi="Arial Unicode MS" w:cs="Arial"/>
          <w:szCs w:val="21"/>
        </w:rPr>
        <w:t>、赎回费率见下表：</w:t>
      </w:r>
    </w:p>
    <w:p w14:paraId="4F626141" w14:textId="77777777" w:rsidR="009A7A59" w:rsidRDefault="00000000">
      <w:pPr>
        <w:pStyle w:val="a5"/>
        <w:ind w:firstLine="420"/>
        <w:jc w:val="center"/>
        <w:rPr>
          <w:rFonts w:ascii="Arial Unicode MS" w:eastAsia="宋体" w:hAnsi="Arial Unicode MS" w:cs="Tahoma" w:hint="eastAsia"/>
          <w:sz w:val="21"/>
        </w:rPr>
      </w:pPr>
      <w:r>
        <w:rPr>
          <w:rFonts w:ascii="Arial Unicode MS" w:eastAsia="宋体" w:hAnsi="Arial Unicode MS" w:cs="Tahoma" w:hint="eastAsia"/>
          <w:sz w:val="21"/>
        </w:rPr>
        <w:t>表</w:t>
      </w:r>
      <w:r>
        <w:rPr>
          <w:rFonts w:ascii="Arial Unicode MS" w:eastAsia="宋体" w:hAnsi="Arial Unicode MS" w:cs="Tahoma" w:hint="eastAsia"/>
          <w:sz w:val="21"/>
        </w:rPr>
        <w:t>3</w:t>
      </w:r>
      <w:r>
        <w:rPr>
          <w:rFonts w:ascii="Arial Unicode MS" w:eastAsia="宋体" w:hAnsi="Arial Unicode MS" w:cs="Tahoma" w:hint="eastAsia"/>
          <w:sz w:val="21"/>
        </w:rPr>
        <w:t>：本基金各类基金份额的赎回费率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gridCol w:w="1587"/>
      </w:tblGrid>
      <w:tr w:rsidR="009A7A59" w14:paraId="3E3BED54" w14:textId="77777777">
        <w:trPr>
          <w:cantSplit/>
          <w:trHeight w:val="272"/>
          <w:jc w:val="center"/>
        </w:trPr>
        <w:tc>
          <w:tcPr>
            <w:tcW w:w="3035" w:type="dxa"/>
            <w:tcMar>
              <w:top w:w="0" w:type="dxa"/>
              <w:left w:w="108" w:type="dxa"/>
              <w:bottom w:w="0" w:type="dxa"/>
              <w:right w:w="108" w:type="dxa"/>
            </w:tcMar>
            <w:vAlign w:val="center"/>
          </w:tcPr>
          <w:p w14:paraId="0C39D641" w14:textId="77777777" w:rsidR="009A7A59" w:rsidRDefault="00000000">
            <w:pPr>
              <w:spacing w:line="360" w:lineRule="auto"/>
              <w:jc w:val="center"/>
              <w:rPr>
                <w:rFonts w:ascii="Arial Unicode MS" w:hAnsi="Arial Unicode MS" w:cs="宋体" w:hint="eastAsia"/>
                <w:szCs w:val="21"/>
              </w:rPr>
            </w:pPr>
            <w:r>
              <w:rPr>
                <w:rFonts w:ascii="Arial Unicode MS" w:hAnsi="Arial Unicode MS" w:hint="eastAsia"/>
              </w:rPr>
              <w:t>持有期间（</w:t>
            </w:r>
            <w:r>
              <w:rPr>
                <w:rFonts w:ascii="Arial Unicode MS" w:hAnsi="Arial Unicode MS" w:hint="eastAsia"/>
              </w:rPr>
              <w:t>Y</w:t>
            </w:r>
            <w:r>
              <w:rPr>
                <w:rFonts w:ascii="Arial Unicode MS" w:hAnsi="Arial Unicode MS" w:hint="eastAsia"/>
              </w:rPr>
              <w:t>）</w:t>
            </w:r>
          </w:p>
        </w:tc>
        <w:tc>
          <w:tcPr>
            <w:tcW w:w="1587" w:type="dxa"/>
            <w:tcMar>
              <w:top w:w="0" w:type="dxa"/>
              <w:left w:w="108" w:type="dxa"/>
              <w:bottom w:w="0" w:type="dxa"/>
              <w:right w:w="108" w:type="dxa"/>
            </w:tcMar>
            <w:vAlign w:val="center"/>
          </w:tcPr>
          <w:p w14:paraId="21DD34B6" w14:textId="77777777" w:rsidR="009A7A59" w:rsidRDefault="00000000">
            <w:pPr>
              <w:spacing w:line="360" w:lineRule="auto"/>
              <w:jc w:val="center"/>
              <w:rPr>
                <w:rFonts w:ascii="Arial Unicode MS" w:hAnsi="Arial Unicode MS" w:cs="宋体" w:hint="eastAsia"/>
                <w:szCs w:val="21"/>
              </w:rPr>
            </w:pPr>
            <w:r>
              <w:rPr>
                <w:rFonts w:ascii="Arial Unicode MS" w:hAnsi="Arial Unicode MS" w:hint="eastAsia"/>
              </w:rPr>
              <w:t>A</w:t>
            </w:r>
            <w:r>
              <w:rPr>
                <w:rFonts w:ascii="Arial Unicode MS" w:hAnsi="Arial Unicode MS" w:hint="eastAsia"/>
              </w:rPr>
              <w:t>类基金份额赎回费率</w:t>
            </w:r>
          </w:p>
        </w:tc>
        <w:tc>
          <w:tcPr>
            <w:tcW w:w="1587" w:type="dxa"/>
          </w:tcPr>
          <w:p w14:paraId="08ADA53D" w14:textId="77777777" w:rsidR="009A7A59" w:rsidRDefault="00000000">
            <w:pPr>
              <w:spacing w:line="360" w:lineRule="auto"/>
              <w:jc w:val="center"/>
              <w:rPr>
                <w:rFonts w:ascii="Arial Unicode MS" w:hAnsi="Arial Unicode MS" w:hint="eastAsia"/>
              </w:rPr>
            </w:pPr>
            <w:r>
              <w:rPr>
                <w:rFonts w:ascii="Arial Unicode MS" w:hAnsi="Arial Unicode MS" w:hint="eastAsia"/>
              </w:rPr>
              <w:t>C</w:t>
            </w:r>
            <w:r>
              <w:rPr>
                <w:rFonts w:ascii="Arial Unicode MS" w:hAnsi="Arial Unicode MS" w:hint="eastAsia"/>
              </w:rPr>
              <w:t>类基金份额</w:t>
            </w:r>
          </w:p>
          <w:p w14:paraId="192501D3" w14:textId="77777777" w:rsidR="009A7A59" w:rsidRDefault="00000000">
            <w:pPr>
              <w:spacing w:line="360" w:lineRule="auto"/>
              <w:jc w:val="center"/>
              <w:rPr>
                <w:rFonts w:ascii="Arial Unicode MS" w:hAnsi="Arial Unicode MS" w:hint="eastAsia"/>
              </w:rPr>
            </w:pPr>
            <w:r>
              <w:rPr>
                <w:rFonts w:ascii="Arial Unicode MS" w:hAnsi="Arial Unicode MS" w:hint="eastAsia"/>
              </w:rPr>
              <w:t>赎回费率</w:t>
            </w:r>
          </w:p>
        </w:tc>
      </w:tr>
      <w:tr w:rsidR="009A7A59" w14:paraId="4B591A26" w14:textId="77777777">
        <w:trPr>
          <w:cantSplit/>
          <w:trHeight w:val="272"/>
          <w:jc w:val="center"/>
        </w:trPr>
        <w:tc>
          <w:tcPr>
            <w:tcW w:w="3035" w:type="dxa"/>
            <w:tcMar>
              <w:top w:w="0" w:type="dxa"/>
              <w:left w:w="108" w:type="dxa"/>
              <w:bottom w:w="0" w:type="dxa"/>
              <w:right w:w="108" w:type="dxa"/>
            </w:tcMar>
          </w:tcPr>
          <w:p w14:paraId="1C0C86BC" w14:textId="77777777" w:rsidR="009A7A59" w:rsidRDefault="00000000">
            <w:pPr>
              <w:spacing w:line="360" w:lineRule="auto"/>
              <w:jc w:val="center"/>
              <w:rPr>
                <w:rFonts w:ascii="Arial Unicode MS" w:hAnsi="Arial Unicode MS" w:hint="eastAsia"/>
              </w:rPr>
            </w:pPr>
            <w:r>
              <w:rPr>
                <w:rFonts w:ascii="Arial Unicode MS" w:hAnsi="Arial Unicode MS" w:hint="eastAsia"/>
              </w:rPr>
              <w:t>Y</w:t>
            </w:r>
            <w:r>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27999E42" w14:textId="77777777" w:rsidR="009A7A59" w:rsidRDefault="00000000">
            <w:pPr>
              <w:spacing w:line="360" w:lineRule="auto"/>
              <w:ind w:firstLine="420"/>
              <w:jc w:val="center"/>
              <w:rPr>
                <w:rFonts w:ascii="Arial Unicode MS" w:hAnsi="Arial Unicode MS" w:hint="eastAsia"/>
              </w:rPr>
            </w:pPr>
            <w:r>
              <w:rPr>
                <w:rFonts w:ascii="Arial Unicode MS" w:hAnsi="Arial Unicode MS" w:hint="eastAsia"/>
              </w:rPr>
              <w:t>1.5%</w:t>
            </w:r>
          </w:p>
        </w:tc>
        <w:tc>
          <w:tcPr>
            <w:tcW w:w="1587" w:type="dxa"/>
          </w:tcPr>
          <w:p w14:paraId="5FF995F0" w14:textId="77777777" w:rsidR="009A7A59" w:rsidRDefault="00000000">
            <w:pPr>
              <w:spacing w:line="360" w:lineRule="auto"/>
              <w:ind w:firstLine="420"/>
              <w:jc w:val="center"/>
              <w:rPr>
                <w:rFonts w:ascii="Arial Unicode MS" w:hAnsi="Arial Unicode MS" w:hint="eastAsia"/>
              </w:rPr>
            </w:pPr>
            <w:r>
              <w:rPr>
                <w:rFonts w:ascii="Arial Unicode MS" w:hAnsi="Arial Unicode MS" w:hint="eastAsia"/>
              </w:rPr>
              <w:t>1.5%</w:t>
            </w:r>
          </w:p>
        </w:tc>
      </w:tr>
      <w:tr w:rsidR="009A7A59" w14:paraId="1AB4CC87" w14:textId="77777777">
        <w:trPr>
          <w:cantSplit/>
          <w:trHeight w:val="272"/>
          <w:jc w:val="center"/>
        </w:trPr>
        <w:tc>
          <w:tcPr>
            <w:tcW w:w="3035" w:type="dxa"/>
            <w:tcMar>
              <w:top w:w="0" w:type="dxa"/>
              <w:left w:w="108" w:type="dxa"/>
              <w:bottom w:w="0" w:type="dxa"/>
              <w:right w:w="108" w:type="dxa"/>
            </w:tcMar>
          </w:tcPr>
          <w:p w14:paraId="344D0B48" w14:textId="77777777" w:rsidR="009A7A59" w:rsidRDefault="00000000">
            <w:pPr>
              <w:spacing w:line="360" w:lineRule="auto"/>
              <w:jc w:val="center"/>
              <w:rPr>
                <w:rFonts w:ascii="Arial Unicode MS" w:hAnsi="Arial Unicode MS" w:cs="宋体" w:hint="eastAsia"/>
                <w:szCs w:val="21"/>
              </w:rPr>
            </w:pPr>
            <w:r>
              <w:rPr>
                <w:rFonts w:ascii="Arial Unicode MS" w:hAnsi="Arial Unicode MS" w:hint="eastAsia"/>
              </w:rPr>
              <w:t>7</w:t>
            </w:r>
            <w:r>
              <w:rPr>
                <w:rFonts w:ascii="Arial Unicode MS" w:hAnsi="Arial Unicode MS" w:hint="eastAsia"/>
              </w:rPr>
              <w:t>日≤</w:t>
            </w: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AB69D14" w14:textId="77777777" w:rsidR="009A7A59" w:rsidRDefault="00000000">
            <w:pPr>
              <w:spacing w:line="360" w:lineRule="auto"/>
              <w:ind w:firstLine="420"/>
              <w:jc w:val="center"/>
              <w:rPr>
                <w:rFonts w:ascii="Arial Unicode MS" w:hAnsi="Arial Unicode MS" w:cs="宋体" w:hint="eastAsia"/>
                <w:szCs w:val="21"/>
              </w:rPr>
            </w:pPr>
            <w:r>
              <w:rPr>
                <w:rFonts w:ascii="Arial Unicode MS" w:hAnsi="Arial Unicode MS"/>
              </w:rPr>
              <w:t>0.</w:t>
            </w:r>
            <w:r>
              <w:rPr>
                <w:rFonts w:ascii="Arial Unicode MS" w:hAnsi="Arial Unicode MS" w:hint="eastAsia"/>
              </w:rPr>
              <w:t>05%</w:t>
            </w:r>
          </w:p>
        </w:tc>
        <w:tc>
          <w:tcPr>
            <w:tcW w:w="1587" w:type="dxa"/>
          </w:tcPr>
          <w:p w14:paraId="086FB28C" w14:textId="77777777" w:rsidR="009A7A59" w:rsidRDefault="00000000">
            <w:pPr>
              <w:spacing w:line="360" w:lineRule="auto"/>
              <w:ind w:firstLine="420"/>
              <w:jc w:val="center"/>
              <w:rPr>
                <w:rFonts w:ascii="Arial Unicode MS" w:hAnsi="Arial Unicode MS" w:hint="eastAsia"/>
              </w:rPr>
            </w:pPr>
            <w:r>
              <w:rPr>
                <w:rFonts w:ascii="Arial Unicode MS" w:hAnsi="Arial Unicode MS" w:hint="eastAsia"/>
              </w:rPr>
              <w:t>0%</w:t>
            </w:r>
          </w:p>
        </w:tc>
      </w:tr>
      <w:tr w:rsidR="009A7A59" w14:paraId="16C183BC" w14:textId="77777777">
        <w:trPr>
          <w:cantSplit/>
          <w:trHeight w:val="272"/>
          <w:jc w:val="center"/>
        </w:trPr>
        <w:tc>
          <w:tcPr>
            <w:tcW w:w="3035" w:type="dxa"/>
            <w:tcMar>
              <w:top w:w="0" w:type="dxa"/>
              <w:left w:w="108" w:type="dxa"/>
              <w:bottom w:w="0" w:type="dxa"/>
              <w:right w:w="108" w:type="dxa"/>
            </w:tcMar>
          </w:tcPr>
          <w:p w14:paraId="25171CBA" w14:textId="77777777" w:rsidR="009A7A59" w:rsidRDefault="00000000">
            <w:pPr>
              <w:spacing w:line="360" w:lineRule="auto"/>
              <w:jc w:val="center"/>
              <w:rPr>
                <w:rFonts w:ascii="Arial Unicode MS" w:hAnsi="Arial Unicode MS" w:cs="宋体" w:hint="eastAsia"/>
                <w:szCs w:val="21"/>
              </w:rPr>
            </w:pP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2B5E291" w14:textId="77777777" w:rsidR="009A7A59" w:rsidRDefault="00000000">
            <w:pPr>
              <w:spacing w:line="360" w:lineRule="auto"/>
              <w:ind w:firstLine="420"/>
              <w:jc w:val="center"/>
              <w:rPr>
                <w:rFonts w:ascii="Arial Unicode MS" w:hAnsi="Arial Unicode MS" w:cs="宋体" w:hint="eastAsia"/>
                <w:szCs w:val="21"/>
              </w:rPr>
            </w:pPr>
            <w:r>
              <w:rPr>
                <w:rFonts w:ascii="Arial Unicode MS" w:hAnsi="Arial Unicode MS" w:hint="eastAsia"/>
              </w:rPr>
              <w:t>0%</w:t>
            </w:r>
          </w:p>
        </w:tc>
        <w:tc>
          <w:tcPr>
            <w:tcW w:w="1587" w:type="dxa"/>
          </w:tcPr>
          <w:p w14:paraId="5C9F71E2" w14:textId="77777777" w:rsidR="009A7A59" w:rsidRDefault="00000000">
            <w:pPr>
              <w:spacing w:line="360" w:lineRule="auto"/>
              <w:ind w:firstLine="420"/>
              <w:jc w:val="center"/>
              <w:rPr>
                <w:rFonts w:ascii="Arial Unicode MS" w:hAnsi="Arial Unicode MS" w:hint="eastAsia"/>
              </w:rPr>
            </w:pPr>
            <w:r>
              <w:rPr>
                <w:rFonts w:ascii="Arial Unicode MS" w:hAnsi="Arial Unicode MS" w:hint="eastAsia"/>
              </w:rPr>
              <w:t>0%</w:t>
            </w:r>
          </w:p>
        </w:tc>
      </w:tr>
    </w:tbl>
    <w:p w14:paraId="18E7797A" w14:textId="77777777" w:rsidR="009A7A59" w:rsidRDefault="00000000">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032BEDF4" w14:textId="77777777" w:rsidR="009A7A59" w:rsidRDefault="00000000">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本基金的赎回费用由基金份额持有人承担，对持续持有期少于</w:t>
      </w:r>
      <w:r>
        <w:rPr>
          <w:rFonts w:ascii="Arial Unicode MS" w:hAnsi="Arial Unicode MS" w:cs="Tahoma" w:hint="eastAsia"/>
          <w:szCs w:val="21"/>
        </w:rPr>
        <w:t>7</w:t>
      </w:r>
      <w:r>
        <w:rPr>
          <w:rFonts w:ascii="Arial Unicode MS" w:hAnsi="Arial Unicode MS" w:cs="Tahoma" w:hint="eastAsia"/>
          <w:szCs w:val="21"/>
        </w:rPr>
        <w:t>日的投资人收取的赎回费全额计入基金财产，大于等于</w:t>
      </w:r>
      <w:r>
        <w:rPr>
          <w:rFonts w:ascii="Arial Unicode MS" w:hAnsi="Arial Unicode MS" w:cs="Tahoma" w:hint="eastAsia"/>
          <w:szCs w:val="21"/>
        </w:rPr>
        <w:t>7</w:t>
      </w:r>
      <w:r>
        <w:rPr>
          <w:rFonts w:ascii="Arial Unicode MS" w:hAnsi="Arial Unicode MS" w:cs="Tahoma" w:hint="eastAsia"/>
          <w:szCs w:val="21"/>
        </w:rPr>
        <w:t>日的将不低于</w:t>
      </w:r>
      <w:r>
        <w:rPr>
          <w:rFonts w:ascii="Arial Unicode MS" w:hAnsi="Arial Unicode MS" w:cs="Arial"/>
          <w:kern w:val="0"/>
          <w:szCs w:val="21"/>
        </w:rPr>
        <w:t>赎回费</w:t>
      </w:r>
      <w:r>
        <w:rPr>
          <w:rFonts w:ascii="Arial Unicode MS" w:hAnsi="Arial Unicode MS" w:cs="Tahoma" w:hint="eastAsia"/>
          <w:szCs w:val="21"/>
        </w:rPr>
        <w:t>总额的</w:t>
      </w:r>
      <w:r>
        <w:rPr>
          <w:rFonts w:ascii="Arial Unicode MS" w:hAnsi="Arial Unicode MS" w:cs="Arial"/>
          <w:kern w:val="0"/>
          <w:szCs w:val="21"/>
        </w:rPr>
        <w:t>25%</w:t>
      </w:r>
      <w:r>
        <w:rPr>
          <w:rFonts w:ascii="Arial Unicode MS" w:hAnsi="Arial Unicode MS" w:cs="Arial"/>
          <w:kern w:val="0"/>
          <w:szCs w:val="21"/>
        </w:rPr>
        <w:t>计入基金财产</w:t>
      </w:r>
      <w:r>
        <w:rPr>
          <w:rFonts w:ascii="Arial Unicode MS" w:hAnsi="Arial Unicode MS" w:cs="Tahoma"/>
          <w:szCs w:val="21"/>
        </w:rPr>
        <w:t>。</w:t>
      </w:r>
    </w:p>
    <w:p w14:paraId="475458B2" w14:textId="77777777" w:rsidR="009A7A59" w:rsidRDefault="00000000">
      <w:pPr>
        <w:adjustRightInd w:val="0"/>
        <w:snapToGrid w:val="0"/>
        <w:spacing w:line="360" w:lineRule="auto"/>
        <w:ind w:firstLine="420"/>
        <w:rPr>
          <w:rFonts w:ascii="Arial Unicode MS" w:hAnsi="Arial Unicode MS" w:cs="Tahoma" w:hint="eastAsia"/>
          <w:szCs w:val="21"/>
        </w:rPr>
      </w:pPr>
      <w:r>
        <w:rPr>
          <w:rFonts w:ascii="Arial Unicode MS" w:hAnsi="Arial Unicode MS" w:cs="Tahoma" w:hint="eastAsia"/>
          <w:szCs w:val="21"/>
        </w:rPr>
        <w:t>3</w:t>
      </w:r>
      <w:r>
        <w:rPr>
          <w:rFonts w:ascii="Arial Unicode MS" w:hAnsi="Arial Unicode MS" w:cs="Tahoma" w:hint="eastAsia"/>
          <w:szCs w:val="21"/>
        </w:rPr>
        <w:t>、基金管理人可以在基金合同约定的范围内调整费率或收费方式，并依照《信息披露办法》的有关规定进行公告。</w:t>
      </w:r>
    </w:p>
    <w:p w14:paraId="09DB8135" w14:textId="77777777" w:rsidR="009A7A59" w:rsidRDefault="00000000">
      <w:pPr>
        <w:tabs>
          <w:tab w:val="left" w:pos="1110"/>
        </w:tabs>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w:t>
      </w:r>
      <w:r>
        <w:rPr>
          <w:rFonts w:ascii="Arial Unicode MS" w:hAnsi="Arial Unicode MS" w:cs="Arial"/>
          <w:b/>
          <w:bCs/>
          <w:szCs w:val="21"/>
        </w:rPr>
        <w:t>、</w:t>
      </w:r>
      <w:r>
        <w:rPr>
          <w:rFonts w:ascii="Arial Unicode MS" w:hAnsi="Arial Unicode MS" w:cs="Arial" w:hint="eastAsia"/>
          <w:b/>
          <w:bCs/>
          <w:szCs w:val="21"/>
        </w:rPr>
        <w:t>A</w:t>
      </w:r>
      <w:r>
        <w:rPr>
          <w:rFonts w:ascii="Arial Unicode MS" w:hAnsi="Arial Unicode MS" w:cs="Arial" w:hint="eastAsia"/>
          <w:b/>
          <w:bCs/>
          <w:szCs w:val="21"/>
        </w:rPr>
        <w:t>类基金份额和</w:t>
      </w:r>
      <w:r>
        <w:rPr>
          <w:rFonts w:ascii="Arial Unicode MS" w:hAnsi="Arial Unicode MS" w:cs="Arial" w:hint="eastAsia"/>
          <w:b/>
          <w:bCs/>
          <w:szCs w:val="21"/>
        </w:rPr>
        <w:t>C</w:t>
      </w:r>
      <w:r>
        <w:rPr>
          <w:rFonts w:ascii="Arial Unicode MS" w:hAnsi="Arial Unicode MS" w:cs="Arial" w:hint="eastAsia"/>
          <w:b/>
          <w:bCs/>
          <w:szCs w:val="21"/>
        </w:rPr>
        <w:t>类基金份额的</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14:paraId="44F87EE2"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1.A</w:t>
      </w:r>
      <w:r>
        <w:rPr>
          <w:rFonts w:ascii="Arial Unicode MS" w:hAnsi="Arial Unicode MS" w:cs="Arial" w:hint="eastAsia"/>
          <w:szCs w:val="21"/>
        </w:rPr>
        <w:t>类基金份额申购份额的计算方式：</w:t>
      </w:r>
    </w:p>
    <w:p w14:paraId="0C287986"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）申购费用适用比例费率的情形下：</w:t>
      </w:r>
    </w:p>
    <w:p w14:paraId="07CABFDB"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申购费率）</w:t>
      </w:r>
    </w:p>
    <w:p w14:paraId="082EF48D"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净申购金额</w:t>
      </w:r>
    </w:p>
    <w:p w14:paraId="0C687D59"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A</w:t>
      </w:r>
      <w:r>
        <w:rPr>
          <w:rFonts w:ascii="Arial Unicode MS" w:hAnsi="Arial Unicode MS" w:cs="Arial" w:hint="eastAsia"/>
          <w:szCs w:val="21"/>
        </w:rPr>
        <w:t>类基金份额净值</w:t>
      </w:r>
    </w:p>
    <w:p w14:paraId="1F9D74AF"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）申购费用适用固定金额的情形下：</w:t>
      </w:r>
    </w:p>
    <w:p w14:paraId="76921DA3"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固定金额</w:t>
      </w:r>
    </w:p>
    <w:p w14:paraId="5E87DBAB"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固定金额</w:t>
      </w:r>
    </w:p>
    <w:p w14:paraId="1D0306DD"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A</w:t>
      </w:r>
      <w:r>
        <w:rPr>
          <w:rFonts w:ascii="Arial Unicode MS" w:hAnsi="Arial Unicode MS" w:cs="Arial" w:hint="eastAsia"/>
          <w:szCs w:val="21"/>
        </w:rPr>
        <w:t>类基金份额净值</w:t>
      </w:r>
    </w:p>
    <w:p w14:paraId="182B1AAA"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48AA9F15"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 xml:space="preserve"> </w:t>
      </w:r>
      <w:r>
        <w:rPr>
          <w:rFonts w:ascii="Arial Unicode MS" w:hAnsi="Arial Unicode MS" w:cs="Arial" w:hint="eastAsia"/>
          <w:szCs w:val="21"/>
        </w:rPr>
        <w:t>例</w:t>
      </w:r>
      <w:r>
        <w:rPr>
          <w:rFonts w:ascii="Arial Unicode MS" w:hAnsi="Arial Unicode MS" w:cs="Arial" w:hint="eastAsia"/>
          <w:szCs w:val="21"/>
        </w:rPr>
        <w:t>3</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A</w:t>
      </w:r>
      <w:r>
        <w:rPr>
          <w:rFonts w:ascii="Arial Unicode MS" w:hAnsi="Arial Unicode MS" w:cs="Arial" w:hint="eastAsia"/>
          <w:szCs w:val="21"/>
        </w:rPr>
        <w:t>类基金份额净值为</w:t>
      </w:r>
      <w:r>
        <w:rPr>
          <w:rFonts w:ascii="Arial Unicode MS" w:hAnsi="Arial Unicode MS" w:cs="Arial" w:hint="eastAsia"/>
          <w:szCs w:val="21"/>
        </w:rPr>
        <w:t>1.0560</w:t>
      </w:r>
      <w:r>
        <w:rPr>
          <w:rFonts w:ascii="Arial Unicode MS" w:hAnsi="Arial Unicode MS" w:cs="Arial" w:hint="eastAsia"/>
          <w:szCs w:val="21"/>
        </w:rPr>
        <w:t>元，某投资人本次申购本基金</w:t>
      </w:r>
      <w:r>
        <w:rPr>
          <w:rFonts w:ascii="Arial Unicode MS" w:hAnsi="Arial Unicode MS" w:cs="Arial" w:hint="eastAsia"/>
          <w:szCs w:val="21"/>
        </w:rPr>
        <w:t>40</w:t>
      </w:r>
      <w:r>
        <w:rPr>
          <w:rFonts w:ascii="Arial Unicode MS" w:hAnsi="Arial Unicode MS" w:cs="Arial" w:hint="eastAsia"/>
          <w:szCs w:val="21"/>
        </w:rPr>
        <w:t>万元，对应的本次申购费率为</w:t>
      </w:r>
      <w:r>
        <w:rPr>
          <w:rFonts w:ascii="Arial Unicode MS" w:hAnsi="Arial Unicode MS" w:cs="Arial" w:hint="eastAsia"/>
          <w:szCs w:val="21"/>
        </w:rPr>
        <w:t>0.80%</w:t>
      </w:r>
      <w:r>
        <w:rPr>
          <w:rFonts w:ascii="Arial Unicode MS" w:hAnsi="Arial Unicode MS" w:cs="Arial" w:hint="eastAsia"/>
          <w:szCs w:val="21"/>
        </w:rPr>
        <w:t>，该投资人可得到的</w:t>
      </w:r>
      <w:r>
        <w:rPr>
          <w:rFonts w:ascii="Arial Unicode MS" w:hAnsi="Arial Unicode MS" w:cs="Arial" w:hint="eastAsia"/>
          <w:szCs w:val="21"/>
        </w:rPr>
        <w:t>A</w:t>
      </w:r>
      <w:r>
        <w:rPr>
          <w:rFonts w:ascii="Arial Unicode MS" w:hAnsi="Arial Unicode MS" w:cs="Arial" w:hint="eastAsia"/>
          <w:szCs w:val="21"/>
        </w:rPr>
        <w:t>类基金份额为：</w:t>
      </w:r>
    </w:p>
    <w:p w14:paraId="54A5D2BA"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=400,000/</w:t>
      </w:r>
      <w:r>
        <w:rPr>
          <w:rFonts w:ascii="Arial Unicode MS" w:hAnsi="Arial Unicode MS" w:cs="Arial" w:hint="eastAsia"/>
          <w:szCs w:val="21"/>
        </w:rPr>
        <w:t>（</w:t>
      </w:r>
      <w:r>
        <w:rPr>
          <w:rFonts w:ascii="Arial Unicode MS" w:hAnsi="Arial Unicode MS" w:cs="Arial" w:hint="eastAsia"/>
          <w:szCs w:val="21"/>
        </w:rPr>
        <w:t>1+0.80%</w:t>
      </w:r>
      <w:r>
        <w:rPr>
          <w:rFonts w:ascii="Arial Unicode MS" w:hAnsi="Arial Unicode MS" w:cs="Arial" w:hint="eastAsia"/>
          <w:szCs w:val="21"/>
        </w:rPr>
        <w:t>）＝</w:t>
      </w:r>
      <w:r>
        <w:rPr>
          <w:rFonts w:ascii="Arial Unicode MS" w:hAnsi="Arial Unicode MS" w:cs="Arial" w:hint="eastAsia"/>
          <w:szCs w:val="21"/>
        </w:rPr>
        <w:t>396,825.40</w:t>
      </w:r>
      <w:r>
        <w:rPr>
          <w:rFonts w:ascii="Arial Unicode MS" w:hAnsi="Arial Unicode MS" w:cs="Arial" w:hint="eastAsia"/>
          <w:szCs w:val="21"/>
        </w:rPr>
        <w:t>元</w:t>
      </w:r>
    </w:p>
    <w:p w14:paraId="78920B33"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=400,000-396,825.40</w:t>
      </w:r>
      <w:r>
        <w:rPr>
          <w:rFonts w:ascii="Arial Unicode MS" w:hAnsi="Arial Unicode MS" w:cs="Arial" w:hint="eastAsia"/>
          <w:szCs w:val="21"/>
        </w:rPr>
        <w:t>＝</w:t>
      </w:r>
      <w:r>
        <w:rPr>
          <w:rFonts w:ascii="Arial Unicode MS" w:hAnsi="Arial Unicode MS" w:cs="Arial" w:hint="eastAsia"/>
          <w:szCs w:val="21"/>
        </w:rPr>
        <w:t>3,174.60</w:t>
      </w:r>
      <w:r>
        <w:rPr>
          <w:rFonts w:ascii="Arial Unicode MS" w:hAnsi="Arial Unicode MS" w:cs="Arial" w:hint="eastAsia"/>
          <w:szCs w:val="21"/>
        </w:rPr>
        <w:t>元</w:t>
      </w:r>
    </w:p>
    <w:p w14:paraId="15C4975F"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=396,825.40/1.0560</w:t>
      </w:r>
      <w:r>
        <w:rPr>
          <w:rFonts w:ascii="Arial Unicode MS" w:hAnsi="Arial Unicode MS" w:cs="Arial" w:hint="eastAsia"/>
          <w:szCs w:val="21"/>
        </w:rPr>
        <w:t>＝</w:t>
      </w:r>
      <w:r>
        <w:rPr>
          <w:rFonts w:ascii="Arial Unicode MS" w:hAnsi="Arial Unicode MS" w:cs="Arial" w:hint="eastAsia"/>
          <w:szCs w:val="21"/>
        </w:rPr>
        <w:t>375,781.63</w:t>
      </w:r>
      <w:r>
        <w:rPr>
          <w:rFonts w:ascii="Arial Unicode MS" w:hAnsi="Arial Unicode MS" w:cs="Arial" w:hint="eastAsia"/>
          <w:szCs w:val="21"/>
        </w:rPr>
        <w:t>份</w:t>
      </w:r>
    </w:p>
    <w:p w14:paraId="31EFC418"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即：投资人投资</w:t>
      </w:r>
      <w:r>
        <w:rPr>
          <w:rFonts w:ascii="Arial Unicode MS" w:hAnsi="Arial Unicode MS" w:cs="Arial" w:hint="eastAsia"/>
          <w:szCs w:val="21"/>
        </w:rPr>
        <w:t>40</w:t>
      </w:r>
      <w:r>
        <w:rPr>
          <w:rFonts w:ascii="Arial Unicode MS" w:hAnsi="Arial Unicode MS" w:cs="Arial" w:hint="eastAsia"/>
          <w:szCs w:val="21"/>
        </w:rPr>
        <w:t>万元申购本基金的</w:t>
      </w:r>
      <w:r>
        <w:rPr>
          <w:rFonts w:ascii="Arial Unicode MS" w:hAnsi="Arial Unicode MS" w:cs="Arial" w:hint="eastAsia"/>
          <w:szCs w:val="21"/>
        </w:rPr>
        <w:t>A</w:t>
      </w:r>
      <w:r>
        <w:rPr>
          <w:rFonts w:ascii="Arial Unicode MS" w:hAnsi="Arial Unicode MS" w:cs="Arial" w:hint="eastAsia"/>
          <w:szCs w:val="21"/>
        </w:rPr>
        <w:t>类基金份额，对应的申购费率为</w:t>
      </w:r>
      <w:r>
        <w:rPr>
          <w:rFonts w:ascii="Arial Unicode MS" w:hAnsi="Arial Unicode MS" w:cs="Arial" w:hint="eastAsia"/>
          <w:szCs w:val="21"/>
        </w:rPr>
        <w:t>0.80%</w:t>
      </w:r>
      <w:r>
        <w:rPr>
          <w:rFonts w:ascii="Arial Unicode MS" w:hAnsi="Arial Unicode MS" w:cs="Arial" w:hint="eastAsia"/>
          <w:szCs w:val="21"/>
        </w:rPr>
        <w:t>，假定申购当日</w:t>
      </w:r>
      <w:r>
        <w:rPr>
          <w:rFonts w:ascii="Arial Unicode MS" w:hAnsi="Arial Unicode MS" w:cs="Arial" w:hint="eastAsia"/>
          <w:szCs w:val="21"/>
        </w:rPr>
        <w:t>A</w:t>
      </w:r>
      <w:r>
        <w:rPr>
          <w:rFonts w:ascii="Arial Unicode MS" w:hAnsi="Arial Unicode MS" w:cs="Arial" w:hint="eastAsia"/>
          <w:szCs w:val="21"/>
        </w:rPr>
        <w:t>类基金份额净值为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375,781.63</w:t>
      </w:r>
      <w:r>
        <w:rPr>
          <w:rFonts w:ascii="Arial Unicode MS" w:hAnsi="Arial Unicode MS" w:cs="Arial" w:hint="eastAsia"/>
          <w:szCs w:val="21"/>
        </w:rPr>
        <w:t>份</w:t>
      </w:r>
      <w:r>
        <w:rPr>
          <w:rFonts w:ascii="Arial Unicode MS" w:hAnsi="Arial Unicode MS" w:cs="Arial" w:hint="eastAsia"/>
          <w:szCs w:val="21"/>
        </w:rPr>
        <w:t>A</w:t>
      </w:r>
      <w:r>
        <w:rPr>
          <w:rFonts w:ascii="Arial Unicode MS" w:hAnsi="Arial Unicode MS" w:cs="Arial" w:hint="eastAsia"/>
          <w:szCs w:val="21"/>
        </w:rPr>
        <w:t>类基金份额。</w:t>
      </w:r>
    </w:p>
    <w:p w14:paraId="5642A97B"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例</w:t>
      </w:r>
      <w:r>
        <w:rPr>
          <w:rFonts w:ascii="Arial Unicode MS" w:hAnsi="Arial Unicode MS" w:cs="Arial" w:hint="eastAsia"/>
          <w:szCs w:val="21"/>
        </w:rPr>
        <w:t>4</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A</w:t>
      </w:r>
      <w:r>
        <w:rPr>
          <w:rFonts w:ascii="Arial Unicode MS" w:hAnsi="Arial Unicode MS" w:cs="Arial" w:hint="eastAsia"/>
          <w:szCs w:val="21"/>
        </w:rPr>
        <w:t>类基金份额净值为</w:t>
      </w:r>
      <w:r>
        <w:rPr>
          <w:rFonts w:ascii="Arial Unicode MS" w:hAnsi="Arial Unicode MS" w:cs="Arial" w:hint="eastAsia"/>
          <w:szCs w:val="21"/>
        </w:rPr>
        <w:t>1.0560</w:t>
      </w:r>
      <w:r>
        <w:rPr>
          <w:rFonts w:ascii="Arial Unicode MS" w:hAnsi="Arial Unicode MS" w:cs="Arial" w:hint="eastAsia"/>
          <w:szCs w:val="21"/>
        </w:rPr>
        <w:t>元，某投资人投资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元，则其可得到的申购份额为：</w:t>
      </w:r>
    </w:p>
    <w:p w14:paraId="566CA894"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申购费用＝</w:t>
      </w:r>
      <w:r>
        <w:rPr>
          <w:rFonts w:ascii="Arial Unicode MS" w:hAnsi="Arial Unicode MS" w:cs="Arial" w:hint="eastAsia"/>
          <w:szCs w:val="21"/>
        </w:rPr>
        <w:t>1000</w:t>
      </w:r>
      <w:r>
        <w:rPr>
          <w:rFonts w:ascii="Arial Unicode MS" w:hAnsi="Arial Unicode MS" w:cs="Arial" w:hint="eastAsia"/>
          <w:szCs w:val="21"/>
        </w:rPr>
        <w:t>元</w:t>
      </w:r>
    </w:p>
    <w:p w14:paraId="218C07E4"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净申购金额＝</w:t>
      </w:r>
      <w:r>
        <w:rPr>
          <w:rFonts w:ascii="Arial Unicode MS" w:hAnsi="Arial Unicode MS" w:cs="Arial" w:hint="eastAsia"/>
          <w:szCs w:val="21"/>
        </w:rPr>
        <w:t>6,000,000</w:t>
      </w:r>
      <w:r>
        <w:rPr>
          <w:rFonts w:ascii="Arial Unicode MS" w:hAnsi="Arial Unicode MS" w:cs="Arial" w:hint="eastAsia"/>
          <w:szCs w:val="21"/>
        </w:rPr>
        <w:t>－</w:t>
      </w:r>
      <w:r>
        <w:rPr>
          <w:rFonts w:ascii="Arial Unicode MS" w:hAnsi="Arial Unicode MS" w:cs="Arial" w:hint="eastAsia"/>
          <w:szCs w:val="21"/>
        </w:rPr>
        <w:t>1000</w:t>
      </w:r>
      <w:r>
        <w:rPr>
          <w:rFonts w:ascii="Arial Unicode MS" w:hAnsi="Arial Unicode MS" w:cs="Arial" w:hint="eastAsia"/>
          <w:szCs w:val="21"/>
        </w:rPr>
        <w:t>＝</w:t>
      </w:r>
      <w:r>
        <w:rPr>
          <w:rFonts w:ascii="Arial Unicode MS" w:hAnsi="Arial Unicode MS" w:cs="Arial" w:hint="eastAsia"/>
          <w:szCs w:val="21"/>
        </w:rPr>
        <w:t>5,999,000.00</w:t>
      </w:r>
      <w:r>
        <w:rPr>
          <w:rFonts w:ascii="Arial Unicode MS" w:hAnsi="Arial Unicode MS" w:cs="Arial" w:hint="eastAsia"/>
          <w:szCs w:val="21"/>
        </w:rPr>
        <w:t>元</w:t>
      </w:r>
    </w:p>
    <w:p w14:paraId="14176C4E"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5,999,000.00/1.0560</w:t>
      </w:r>
      <w:r>
        <w:rPr>
          <w:rFonts w:ascii="Arial Unicode MS" w:hAnsi="Arial Unicode MS" w:cs="Arial" w:hint="eastAsia"/>
          <w:szCs w:val="21"/>
        </w:rPr>
        <w:t>＝</w:t>
      </w:r>
      <w:r>
        <w:rPr>
          <w:rFonts w:ascii="Arial Unicode MS" w:hAnsi="Arial Unicode MS" w:cs="Arial" w:hint="eastAsia"/>
          <w:szCs w:val="21"/>
        </w:rPr>
        <w:t>5,680,871.21</w:t>
      </w:r>
      <w:r>
        <w:rPr>
          <w:rFonts w:ascii="Arial Unicode MS" w:hAnsi="Arial Unicode MS" w:cs="Arial" w:hint="eastAsia"/>
          <w:szCs w:val="21"/>
        </w:rPr>
        <w:t>份</w:t>
      </w:r>
    </w:p>
    <w:p w14:paraId="61A2A1D5"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即：投资人投资</w:t>
      </w:r>
      <w:r>
        <w:rPr>
          <w:rFonts w:ascii="Arial Unicode MS" w:hAnsi="Arial Unicode MS" w:cs="Arial" w:hint="eastAsia"/>
          <w:szCs w:val="21"/>
        </w:rPr>
        <w:t>600</w:t>
      </w:r>
      <w:r>
        <w:rPr>
          <w:rFonts w:ascii="Arial Unicode MS" w:hAnsi="Arial Unicode MS" w:cs="Arial" w:hint="eastAsia"/>
          <w:szCs w:val="21"/>
        </w:rPr>
        <w:t>万元申购本基金的</w:t>
      </w:r>
      <w:r>
        <w:rPr>
          <w:rFonts w:ascii="Arial Unicode MS" w:hAnsi="Arial Unicode MS" w:cs="Arial" w:hint="eastAsia"/>
          <w:szCs w:val="21"/>
        </w:rPr>
        <w:t>A</w:t>
      </w:r>
      <w:r>
        <w:rPr>
          <w:rFonts w:ascii="Arial Unicode MS" w:hAnsi="Arial Unicode MS" w:cs="Arial" w:hint="eastAsia"/>
          <w:szCs w:val="21"/>
        </w:rPr>
        <w:t>类基金份额，对应的申购费用为</w:t>
      </w:r>
      <w:r>
        <w:rPr>
          <w:rFonts w:ascii="Arial Unicode MS" w:hAnsi="Arial Unicode MS" w:cs="Arial" w:hint="eastAsia"/>
          <w:szCs w:val="21"/>
        </w:rPr>
        <w:t>1000</w:t>
      </w:r>
      <w:r>
        <w:rPr>
          <w:rFonts w:ascii="Arial Unicode MS" w:hAnsi="Arial Unicode MS" w:cs="Arial" w:hint="eastAsia"/>
          <w:szCs w:val="21"/>
        </w:rPr>
        <w:t>元，假定申购当日</w:t>
      </w:r>
      <w:r>
        <w:rPr>
          <w:rFonts w:ascii="Arial Unicode MS" w:hAnsi="Arial Unicode MS" w:cs="Arial" w:hint="eastAsia"/>
          <w:szCs w:val="21"/>
        </w:rPr>
        <w:t>A</w:t>
      </w:r>
      <w:r>
        <w:rPr>
          <w:rFonts w:ascii="Arial Unicode MS" w:hAnsi="Arial Unicode MS" w:cs="Arial" w:hint="eastAsia"/>
          <w:szCs w:val="21"/>
        </w:rPr>
        <w:t>类基金份额净值为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5,680,871.21</w:t>
      </w:r>
      <w:r>
        <w:rPr>
          <w:rFonts w:ascii="Arial Unicode MS" w:hAnsi="Arial Unicode MS" w:cs="Arial" w:hint="eastAsia"/>
          <w:szCs w:val="21"/>
        </w:rPr>
        <w:t>份</w:t>
      </w:r>
      <w:r>
        <w:rPr>
          <w:rFonts w:ascii="Arial Unicode MS" w:hAnsi="Arial Unicode MS" w:cs="Arial" w:hint="eastAsia"/>
          <w:szCs w:val="21"/>
        </w:rPr>
        <w:t>A</w:t>
      </w:r>
      <w:r>
        <w:rPr>
          <w:rFonts w:ascii="Arial Unicode MS" w:hAnsi="Arial Unicode MS" w:cs="Arial" w:hint="eastAsia"/>
          <w:szCs w:val="21"/>
        </w:rPr>
        <w:t>类基金份额。</w:t>
      </w:r>
    </w:p>
    <w:p w14:paraId="311F3916"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C</w:t>
      </w:r>
      <w:r>
        <w:rPr>
          <w:rFonts w:ascii="Arial Unicode MS" w:hAnsi="Arial Unicode MS" w:cs="Arial" w:hint="eastAsia"/>
          <w:szCs w:val="21"/>
        </w:rPr>
        <w:t>类基金份额申购份额的计算方式：</w:t>
      </w:r>
    </w:p>
    <w:p w14:paraId="15DDE16E"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申购份额＝申购金额</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C</w:t>
      </w:r>
      <w:r>
        <w:rPr>
          <w:rFonts w:ascii="Arial Unicode MS" w:hAnsi="Arial Unicode MS" w:cs="Arial" w:hint="eastAsia"/>
          <w:szCs w:val="21"/>
        </w:rPr>
        <w:t>类基金份额净值</w:t>
      </w:r>
    </w:p>
    <w:p w14:paraId="7C1DE3AB"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上述计算结果按照四舍五入方法，保留小数点后两位，由此产生的收益或损失由基金财产承担。</w:t>
      </w:r>
    </w:p>
    <w:p w14:paraId="21B4057E"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例</w:t>
      </w:r>
      <w:r>
        <w:rPr>
          <w:rFonts w:ascii="Arial Unicode MS" w:hAnsi="Arial Unicode MS" w:cs="Arial" w:hint="eastAsia"/>
          <w:szCs w:val="21"/>
        </w:rPr>
        <w:t>5</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C</w:t>
      </w:r>
      <w:r>
        <w:rPr>
          <w:rFonts w:ascii="Arial Unicode MS" w:hAnsi="Arial Unicode MS" w:cs="Arial" w:hint="eastAsia"/>
          <w:szCs w:val="21"/>
        </w:rPr>
        <w:t>类基金份额净值为</w:t>
      </w:r>
      <w:r>
        <w:rPr>
          <w:rFonts w:ascii="Arial Unicode MS" w:hAnsi="Arial Unicode MS" w:cs="Arial" w:hint="eastAsia"/>
          <w:szCs w:val="21"/>
        </w:rPr>
        <w:t>1.0560</w:t>
      </w:r>
      <w:r>
        <w:rPr>
          <w:rFonts w:ascii="Arial Unicode MS" w:hAnsi="Arial Unicode MS" w:cs="Arial" w:hint="eastAsia"/>
          <w:szCs w:val="21"/>
        </w:rPr>
        <w:t>元，某投资人本次申购本基金</w:t>
      </w:r>
      <w:r>
        <w:rPr>
          <w:rFonts w:ascii="Arial Unicode MS" w:hAnsi="Arial Unicode MS" w:cs="Arial" w:hint="eastAsia"/>
          <w:szCs w:val="21"/>
        </w:rPr>
        <w:t>40</w:t>
      </w:r>
      <w:r>
        <w:rPr>
          <w:rFonts w:ascii="Arial Unicode MS" w:hAnsi="Arial Unicode MS" w:cs="Arial" w:hint="eastAsia"/>
          <w:szCs w:val="21"/>
        </w:rPr>
        <w:t>万元，该投资人可得到的</w:t>
      </w:r>
      <w:r>
        <w:rPr>
          <w:rFonts w:ascii="Arial Unicode MS" w:hAnsi="Arial Unicode MS" w:cs="Arial" w:hint="eastAsia"/>
          <w:szCs w:val="21"/>
        </w:rPr>
        <w:t>C</w:t>
      </w:r>
      <w:r>
        <w:rPr>
          <w:rFonts w:ascii="Arial Unicode MS" w:hAnsi="Arial Unicode MS" w:cs="Arial" w:hint="eastAsia"/>
          <w:szCs w:val="21"/>
        </w:rPr>
        <w:t>类基金份额为：</w:t>
      </w:r>
    </w:p>
    <w:p w14:paraId="12437BAF"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申购份额</w:t>
      </w:r>
      <w:r>
        <w:rPr>
          <w:rFonts w:ascii="Arial Unicode MS" w:hAnsi="Arial Unicode MS" w:cs="Arial" w:hint="eastAsia"/>
          <w:szCs w:val="21"/>
        </w:rPr>
        <w:t>=400,000,00/1.0560</w:t>
      </w:r>
      <w:r>
        <w:rPr>
          <w:rFonts w:ascii="Arial Unicode MS" w:hAnsi="Arial Unicode MS" w:cs="Arial" w:hint="eastAsia"/>
          <w:szCs w:val="21"/>
        </w:rPr>
        <w:t>＝</w:t>
      </w:r>
      <w:r>
        <w:rPr>
          <w:rFonts w:ascii="Arial Unicode MS" w:hAnsi="Arial Unicode MS" w:cs="Arial" w:hint="eastAsia"/>
          <w:szCs w:val="21"/>
        </w:rPr>
        <w:t>378,787.88</w:t>
      </w:r>
      <w:r>
        <w:rPr>
          <w:rFonts w:ascii="Arial Unicode MS" w:hAnsi="Arial Unicode MS" w:cs="Arial" w:hint="eastAsia"/>
          <w:szCs w:val="21"/>
        </w:rPr>
        <w:t>份</w:t>
      </w:r>
    </w:p>
    <w:p w14:paraId="5296B379"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即：投资人投资</w:t>
      </w:r>
      <w:r>
        <w:rPr>
          <w:rFonts w:ascii="Arial Unicode MS" w:hAnsi="Arial Unicode MS" w:cs="Arial" w:hint="eastAsia"/>
          <w:szCs w:val="21"/>
        </w:rPr>
        <w:t>40</w:t>
      </w:r>
      <w:r>
        <w:rPr>
          <w:rFonts w:ascii="Arial Unicode MS" w:hAnsi="Arial Unicode MS" w:cs="Arial" w:hint="eastAsia"/>
          <w:szCs w:val="21"/>
        </w:rPr>
        <w:t>万元申购本基金</w:t>
      </w:r>
      <w:r>
        <w:rPr>
          <w:rFonts w:ascii="Arial Unicode MS" w:hAnsi="Arial Unicode MS" w:cs="Arial" w:hint="eastAsia"/>
          <w:szCs w:val="21"/>
        </w:rPr>
        <w:t>C</w:t>
      </w:r>
      <w:r>
        <w:rPr>
          <w:rFonts w:ascii="Arial Unicode MS" w:hAnsi="Arial Unicode MS" w:cs="Arial" w:hint="eastAsia"/>
          <w:szCs w:val="21"/>
        </w:rPr>
        <w:t>类基金份额，假定申购当日</w:t>
      </w:r>
      <w:r>
        <w:rPr>
          <w:rFonts w:ascii="Arial Unicode MS" w:hAnsi="Arial Unicode MS" w:cs="Arial" w:hint="eastAsia"/>
          <w:szCs w:val="21"/>
        </w:rPr>
        <w:t>C</w:t>
      </w:r>
      <w:r>
        <w:rPr>
          <w:rFonts w:ascii="Arial Unicode MS" w:hAnsi="Arial Unicode MS" w:cs="Arial" w:hint="eastAsia"/>
          <w:szCs w:val="21"/>
        </w:rPr>
        <w:t>类基金份额净值为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378,787.88</w:t>
      </w:r>
      <w:r>
        <w:rPr>
          <w:rFonts w:ascii="Arial Unicode MS" w:hAnsi="Arial Unicode MS" w:cs="Arial" w:hint="eastAsia"/>
          <w:szCs w:val="21"/>
        </w:rPr>
        <w:t>份</w:t>
      </w:r>
      <w:r>
        <w:rPr>
          <w:rFonts w:ascii="Arial Unicode MS" w:hAnsi="Arial Unicode MS" w:cs="Arial" w:hint="eastAsia"/>
          <w:szCs w:val="21"/>
        </w:rPr>
        <w:t>C</w:t>
      </w:r>
      <w:r>
        <w:rPr>
          <w:rFonts w:ascii="Arial Unicode MS" w:hAnsi="Arial Unicode MS" w:cs="Arial" w:hint="eastAsia"/>
          <w:szCs w:val="21"/>
        </w:rPr>
        <w:t>类基金份额。</w:t>
      </w:r>
    </w:p>
    <w:p w14:paraId="37275CBE"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、赎回金额的计算方式：</w:t>
      </w:r>
    </w:p>
    <w:p w14:paraId="7C1DC23B"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赎回总金额</w:t>
      </w:r>
      <w:r>
        <w:rPr>
          <w:rFonts w:ascii="Arial Unicode MS" w:hAnsi="Arial Unicode MS" w:cs="Arial" w:hint="eastAsia"/>
          <w:szCs w:val="21"/>
        </w:rPr>
        <w:t>=</w:t>
      </w:r>
      <w:r>
        <w:rPr>
          <w:rFonts w:ascii="Arial Unicode MS" w:hAnsi="Arial Unicode MS" w:cs="Arial" w:hint="eastAsia"/>
          <w:szCs w:val="21"/>
        </w:rPr>
        <w:t>赎回份额×</w:t>
      </w:r>
      <w:r>
        <w:rPr>
          <w:rFonts w:ascii="Arial Unicode MS" w:hAnsi="Arial Unicode MS" w:cs="Arial" w:hint="eastAsia"/>
          <w:szCs w:val="21"/>
        </w:rPr>
        <w:t>T</w:t>
      </w:r>
      <w:r>
        <w:rPr>
          <w:rFonts w:ascii="Arial Unicode MS" w:hAnsi="Arial Unicode MS" w:cs="Arial" w:hint="eastAsia"/>
          <w:szCs w:val="21"/>
        </w:rPr>
        <w:t>日该类基金份额净值</w:t>
      </w:r>
    </w:p>
    <w:p w14:paraId="1CB15024"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赎回费用</w:t>
      </w:r>
      <w:r>
        <w:rPr>
          <w:rFonts w:ascii="Arial Unicode MS" w:hAnsi="Arial Unicode MS" w:cs="Arial" w:hint="eastAsia"/>
          <w:szCs w:val="21"/>
        </w:rPr>
        <w:t>=</w:t>
      </w:r>
      <w:r>
        <w:rPr>
          <w:rFonts w:ascii="Arial Unicode MS" w:hAnsi="Arial Unicode MS" w:cs="Arial" w:hint="eastAsia"/>
          <w:szCs w:val="21"/>
        </w:rPr>
        <w:t>赎回总金额×赎回费率</w:t>
      </w:r>
    </w:p>
    <w:p w14:paraId="595C2E8C"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赎回金额</w:t>
      </w:r>
      <w:r>
        <w:rPr>
          <w:rFonts w:ascii="Arial Unicode MS" w:hAnsi="Arial Unicode MS" w:cs="Arial" w:hint="eastAsia"/>
          <w:szCs w:val="21"/>
        </w:rPr>
        <w:t>=</w:t>
      </w:r>
      <w:r>
        <w:rPr>
          <w:rFonts w:ascii="Arial Unicode MS" w:hAnsi="Arial Unicode MS" w:cs="Arial" w:hint="eastAsia"/>
          <w:szCs w:val="21"/>
        </w:rPr>
        <w:t>赎回总金额—赎回费用</w:t>
      </w:r>
    </w:p>
    <w:p w14:paraId="407296E9"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0714519F"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例</w:t>
      </w:r>
      <w:r>
        <w:rPr>
          <w:rFonts w:ascii="Arial Unicode MS" w:hAnsi="Arial Unicode MS" w:cs="Arial" w:hint="eastAsia"/>
          <w:szCs w:val="21"/>
        </w:rPr>
        <w:t>6</w:t>
      </w:r>
      <w:r>
        <w:rPr>
          <w:rFonts w:ascii="Arial Unicode MS" w:hAnsi="Arial Unicode MS" w:cs="Arial" w:hint="eastAsia"/>
          <w:szCs w:val="21"/>
        </w:rPr>
        <w:t>：某投资者赎回本基金</w:t>
      </w:r>
      <w:r>
        <w:rPr>
          <w:rFonts w:ascii="Arial Unicode MS" w:hAnsi="Arial Unicode MS" w:cs="Arial" w:hint="eastAsia"/>
          <w:szCs w:val="21"/>
        </w:rPr>
        <w:t>1</w:t>
      </w:r>
      <w:r>
        <w:rPr>
          <w:rFonts w:ascii="Arial Unicode MS" w:hAnsi="Arial Unicode MS" w:cs="Arial" w:hint="eastAsia"/>
          <w:szCs w:val="21"/>
        </w:rPr>
        <w:t>万份</w:t>
      </w:r>
      <w:r>
        <w:rPr>
          <w:rFonts w:ascii="Arial Unicode MS" w:hAnsi="Arial Unicode MS" w:cs="Arial" w:hint="eastAsia"/>
          <w:szCs w:val="21"/>
        </w:rPr>
        <w:t>A</w:t>
      </w:r>
      <w:r>
        <w:rPr>
          <w:rFonts w:ascii="Arial Unicode MS" w:hAnsi="Arial Unicode MS" w:cs="Arial" w:hint="eastAsia"/>
          <w:szCs w:val="21"/>
        </w:rPr>
        <w:t>类基金份额，持有时间为三年，对应的赎回费率为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w:t>
      </w:r>
      <w:r>
        <w:rPr>
          <w:rFonts w:ascii="Arial Unicode MS" w:hAnsi="Arial Unicode MS" w:cs="Arial" w:hint="eastAsia"/>
          <w:szCs w:val="21"/>
        </w:rPr>
        <w:t>A</w:t>
      </w:r>
      <w:r>
        <w:rPr>
          <w:rFonts w:ascii="Arial Unicode MS" w:hAnsi="Arial Unicode MS" w:cs="Arial" w:hint="eastAsia"/>
          <w:szCs w:val="21"/>
        </w:rPr>
        <w:t>类基金份额净值是</w:t>
      </w:r>
      <w:r>
        <w:rPr>
          <w:rFonts w:ascii="Arial Unicode MS" w:hAnsi="Arial Unicode MS" w:cs="Arial" w:hint="eastAsia"/>
          <w:szCs w:val="21"/>
        </w:rPr>
        <w:t xml:space="preserve">1.2500 </w:t>
      </w:r>
      <w:r>
        <w:rPr>
          <w:rFonts w:ascii="Arial Unicode MS" w:hAnsi="Arial Unicode MS" w:cs="Arial" w:hint="eastAsia"/>
          <w:szCs w:val="21"/>
        </w:rPr>
        <w:t>元，则其可得到的赎回金额为：</w:t>
      </w:r>
    </w:p>
    <w:p w14:paraId="318C0699"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赎回总金额</w:t>
      </w:r>
      <w:r>
        <w:rPr>
          <w:rFonts w:ascii="Arial Unicode MS" w:hAnsi="Arial Unicode MS" w:cs="Arial" w:hint="eastAsia"/>
          <w:szCs w:val="21"/>
        </w:rPr>
        <w:t>=10,000</w:t>
      </w:r>
      <w:r>
        <w:rPr>
          <w:rFonts w:ascii="Arial Unicode MS" w:hAnsi="Arial Unicode MS" w:cs="Arial" w:hint="eastAsia"/>
          <w:szCs w:val="21"/>
        </w:rPr>
        <w:t>×</w:t>
      </w:r>
      <w:r>
        <w:rPr>
          <w:rFonts w:ascii="Arial Unicode MS" w:hAnsi="Arial Unicode MS" w:cs="Arial" w:hint="eastAsia"/>
          <w:szCs w:val="21"/>
        </w:rPr>
        <w:t xml:space="preserve">1.2500=12,500.00 </w:t>
      </w:r>
      <w:r>
        <w:rPr>
          <w:rFonts w:ascii="Arial Unicode MS" w:hAnsi="Arial Unicode MS" w:cs="Arial" w:hint="eastAsia"/>
          <w:szCs w:val="21"/>
        </w:rPr>
        <w:t>元</w:t>
      </w:r>
    </w:p>
    <w:p w14:paraId="63E5DA25"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赎回费用</w:t>
      </w:r>
      <w:r>
        <w:rPr>
          <w:rFonts w:ascii="Arial Unicode MS" w:hAnsi="Arial Unicode MS" w:cs="Arial" w:hint="eastAsia"/>
          <w:szCs w:val="21"/>
        </w:rPr>
        <w:t>=12,500</w:t>
      </w:r>
      <w:r>
        <w:rPr>
          <w:rFonts w:ascii="Arial Unicode MS" w:hAnsi="Arial Unicode MS" w:cs="Arial" w:hint="eastAsia"/>
          <w:szCs w:val="21"/>
        </w:rPr>
        <w:t>×</w:t>
      </w:r>
      <w:r>
        <w:rPr>
          <w:rFonts w:ascii="Arial Unicode MS" w:hAnsi="Arial Unicode MS" w:cs="Arial" w:hint="eastAsia"/>
          <w:szCs w:val="21"/>
        </w:rPr>
        <w:t xml:space="preserve">0%=0.00 </w:t>
      </w:r>
      <w:r>
        <w:rPr>
          <w:rFonts w:ascii="Arial Unicode MS" w:hAnsi="Arial Unicode MS" w:cs="Arial" w:hint="eastAsia"/>
          <w:szCs w:val="21"/>
        </w:rPr>
        <w:t>元</w:t>
      </w:r>
    </w:p>
    <w:p w14:paraId="03EEB0FC"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赎回金额</w:t>
      </w:r>
      <w:r>
        <w:rPr>
          <w:rFonts w:ascii="Arial Unicode MS" w:hAnsi="Arial Unicode MS" w:cs="Arial" w:hint="eastAsia"/>
          <w:szCs w:val="21"/>
        </w:rPr>
        <w:t xml:space="preserve">=12,500.00-0.00=12,500.00 </w:t>
      </w:r>
      <w:r>
        <w:rPr>
          <w:rFonts w:ascii="Arial Unicode MS" w:hAnsi="Arial Unicode MS" w:cs="Arial" w:hint="eastAsia"/>
          <w:szCs w:val="21"/>
        </w:rPr>
        <w:t>元</w:t>
      </w:r>
    </w:p>
    <w:p w14:paraId="77086A77"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即：投资者赎回本基金</w:t>
      </w:r>
      <w:r>
        <w:rPr>
          <w:rFonts w:ascii="Arial Unicode MS" w:hAnsi="Arial Unicode MS" w:cs="Arial" w:hint="eastAsia"/>
          <w:szCs w:val="21"/>
        </w:rPr>
        <w:t>1</w:t>
      </w:r>
      <w:r>
        <w:rPr>
          <w:rFonts w:ascii="Arial Unicode MS" w:hAnsi="Arial Unicode MS" w:cs="Arial" w:hint="eastAsia"/>
          <w:szCs w:val="21"/>
        </w:rPr>
        <w:t>万份</w:t>
      </w:r>
      <w:r>
        <w:rPr>
          <w:rFonts w:ascii="Arial Unicode MS" w:hAnsi="Arial Unicode MS" w:cs="Arial" w:hint="eastAsia"/>
          <w:szCs w:val="21"/>
        </w:rPr>
        <w:t>A</w:t>
      </w:r>
      <w:r>
        <w:rPr>
          <w:rFonts w:ascii="Arial Unicode MS" w:hAnsi="Arial Unicode MS" w:cs="Arial" w:hint="eastAsia"/>
          <w:szCs w:val="21"/>
        </w:rPr>
        <w:t>类基金份额，持有时间为三年，对应的赎回费率为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w:t>
      </w:r>
      <w:r>
        <w:rPr>
          <w:rFonts w:ascii="Arial Unicode MS" w:hAnsi="Arial Unicode MS" w:cs="Arial" w:hint="eastAsia"/>
          <w:szCs w:val="21"/>
        </w:rPr>
        <w:t>A</w:t>
      </w:r>
      <w:r>
        <w:rPr>
          <w:rFonts w:ascii="Arial Unicode MS" w:hAnsi="Arial Unicode MS" w:cs="Arial" w:hint="eastAsia"/>
          <w:szCs w:val="21"/>
        </w:rPr>
        <w:t>类基金份额净值是</w:t>
      </w:r>
      <w:r>
        <w:rPr>
          <w:rFonts w:ascii="Arial Unicode MS" w:hAnsi="Arial Unicode MS" w:cs="Arial" w:hint="eastAsia"/>
          <w:szCs w:val="21"/>
        </w:rPr>
        <w:t>1.2500</w:t>
      </w:r>
      <w:r>
        <w:rPr>
          <w:rFonts w:ascii="Arial Unicode MS" w:hAnsi="Arial Unicode MS" w:cs="Arial" w:hint="eastAsia"/>
          <w:szCs w:val="21"/>
        </w:rPr>
        <w:t>元，则其可得到的赎回金额为</w:t>
      </w:r>
      <w:r>
        <w:rPr>
          <w:rFonts w:ascii="Arial Unicode MS" w:hAnsi="Arial Unicode MS" w:cs="Arial" w:hint="eastAsia"/>
          <w:szCs w:val="21"/>
        </w:rPr>
        <w:t>12,500.00</w:t>
      </w:r>
      <w:r>
        <w:rPr>
          <w:rFonts w:ascii="Arial Unicode MS" w:hAnsi="Arial Unicode MS" w:cs="Arial" w:hint="eastAsia"/>
          <w:szCs w:val="21"/>
        </w:rPr>
        <w:t>元。</w:t>
      </w:r>
    </w:p>
    <w:p w14:paraId="4D0FF6EE"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例</w:t>
      </w:r>
      <w:r>
        <w:rPr>
          <w:rFonts w:ascii="Arial Unicode MS" w:hAnsi="Arial Unicode MS" w:cs="Arial" w:hint="eastAsia"/>
          <w:szCs w:val="21"/>
        </w:rPr>
        <w:t>7</w:t>
      </w:r>
      <w:r>
        <w:rPr>
          <w:rFonts w:ascii="Arial Unicode MS" w:hAnsi="Arial Unicode MS" w:cs="Arial" w:hint="eastAsia"/>
          <w:szCs w:val="21"/>
        </w:rPr>
        <w:t>：某投资者赎回本基金</w:t>
      </w:r>
      <w:r>
        <w:rPr>
          <w:rFonts w:ascii="Arial Unicode MS" w:hAnsi="Arial Unicode MS" w:cs="Arial" w:hint="eastAsia"/>
          <w:szCs w:val="21"/>
        </w:rPr>
        <w:t>1</w:t>
      </w:r>
      <w:r>
        <w:rPr>
          <w:rFonts w:ascii="Arial Unicode MS" w:hAnsi="Arial Unicode MS" w:cs="Arial" w:hint="eastAsia"/>
          <w:szCs w:val="21"/>
        </w:rPr>
        <w:t>万份</w:t>
      </w:r>
      <w:r>
        <w:rPr>
          <w:rFonts w:ascii="Arial Unicode MS" w:hAnsi="Arial Unicode MS" w:cs="Arial" w:hint="eastAsia"/>
          <w:szCs w:val="21"/>
        </w:rPr>
        <w:t>C</w:t>
      </w:r>
      <w:r>
        <w:rPr>
          <w:rFonts w:ascii="Arial Unicode MS" w:hAnsi="Arial Unicode MS" w:cs="Arial" w:hint="eastAsia"/>
          <w:szCs w:val="21"/>
        </w:rPr>
        <w:t>类基金份额，持有时间为三年，对应的赎回费率为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w:t>
      </w:r>
      <w:r>
        <w:rPr>
          <w:rFonts w:ascii="Arial Unicode MS" w:hAnsi="Arial Unicode MS" w:cs="Arial" w:hint="eastAsia"/>
          <w:szCs w:val="21"/>
        </w:rPr>
        <w:t>C</w:t>
      </w:r>
      <w:r>
        <w:rPr>
          <w:rFonts w:ascii="Arial Unicode MS" w:hAnsi="Arial Unicode MS" w:cs="Arial" w:hint="eastAsia"/>
          <w:szCs w:val="21"/>
        </w:rPr>
        <w:t>类基金份额净值是</w:t>
      </w:r>
      <w:r>
        <w:rPr>
          <w:rFonts w:ascii="Arial Unicode MS" w:hAnsi="Arial Unicode MS" w:cs="Arial" w:hint="eastAsia"/>
          <w:szCs w:val="21"/>
        </w:rPr>
        <w:t xml:space="preserve">1.2500 </w:t>
      </w:r>
      <w:r>
        <w:rPr>
          <w:rFonts w:ascii="Arial Unicode MS" w:hAnsi="Arial Unicode MS" w:cs="Arial" w:hint="eastAsia"/>
          <w:szCs w:val="21"/>
        </w:rPr>
        <w:t>元，则其可得到的赎回金额为：</w:t>
      </w:r>
    </w:p>
    <w:p w14:paraId="7880D782"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赎回总金额</w:t>
      </w:r>
      <w:r>
        <w:rPr>
          <w:rFonts w:ascii="Arial Unicode MS" w:hAnsi="Arial Unicode MS" w:cs="Arial" w:hint="eastAsia"/>
          <w:szCs w:val="21"/>
        </w:rPr>
        <w:t>=10,000</w:t>
      </w:r>
      <w:r>
        <w:rPr>
          <w:rFonts w:ascii="Arial Unicode MS" w:hAnsi="Arial Unicode MS" w:cs="Arial" w:hint="eastAsia"/>
          <w:szCs w:val="21"/>
        </w:rPr>
        <w:t>×</w:t>
      </w:r>
      <w:r>
        <w:rPr>
          <w:rFonts w:ascii="Arial Unicode MS" w:hAnsi="Arial Unicode MS" w:cs="Arial" w:hint="eastAsia"/>
          <w:szCs w:val="21"/>
        </w:rPr>
        <w:t xml:space="preserve">1.2500=12,500.00 </w:t>
      </w:r>
      <w:r>
        <w:rPr>
          <w:rFonts w:ascii="Arial Unicode MS" w:hAnsi="Arial Unicode MS" w:cs="Arial" w:hint="eastAsia"/>
          <w:szCs w:val="21"/>
        </w:rPr>
        <w:t>元</w:t>
      </w:r>
    </w:p>
    <w:p w14:paraId="01D88846"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赎回费用</w:t>
      </w:r>
      <w:r>
        <w:rPr>
          <w:rFonts w:ascii="Arial Unicode MS" w:hAnsi="Arial Unicode MS" w:cs="Arial" w:hint="eastAsia"/>
          <w:szCs w:val="21"/>
        </w:rPr>
        <w:t>=12,500</w:t>
      </w:r>
      <w:r>
        <w:rPr>
          <w:rFonts w:ascii="Arial Unicode MS" w:hAnsi="Arial Unicode MS" w:cs="Arial" w:hint="eastAsia"/>
          <w:szCs w:val="21"/>
        </w:rPr>
        <w:t>×</w:t>
      </w:r>
      <w:r>
        <w:rPr>
          <w:rFonts w:ascii="Arial Unicode MS" w:hAnsi="Arial Unicode MS" w:cs="Arial" w:hint="eastAsia"/>
          <w:szCs w:val="21"/>
        </w:rPr>
        <w:t xml:space="preserve">0%=0.00 </w:t>
      </w:r>
      <w:r>
        <w:rPr>
          <w:rFonts w:ascii="Arial Unicode MS" w:hAnsi="Arial Unicode MS" w:cs="Arial" w:hint="eastAsia"/>
          <w:szCs w:val="21"/>
        </w:rPr>
        <w:t>元</w:t>
      </w:r>
    </w:p>
    <w:p w14:paraId="6AF08439"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净赎回金额</w:t>
      </w:r>
      <w:r>
        <w:rPr>
          <w:rFonts w:ascii="Arial Unicode MS" w:hAnsi="Arial Unicode MS" w:cs="Arial" w:hint="eastAsia"/>
          <w:szCs w:val="21"/>
        </w:rPr>
        <w:t xml:space="preserve">=12,500.00-0.00=12,500.00 </w:t>
      </w:r>
      <w:r>
        <w:rPr>
          <w:rFonts w:ascii="Arial Unicode MS" w:hAnsi="Arial Unicode MS" w:cs="Arial" w:hint="eastAsia"/>
          <w:szCs w:val="21"/>
        </w:rPr>
        <w:t>元</w:t>
      </w:r>
    </w:p>
    <w:p w14:paraId="3745C790"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即：投资者赎回本基金</w:t>
      </w:r>
      <w:r>
        <w:rPr>
          <w:rFonts w:ascii="Arial Unicode MS" w:hAnsi="Arial Unicode MS" w:cs="Arial" w:hint="eastAsia"/>
          <w:szCs w:val="21"/>
        </w:rPr>
        <w:t>1</w:t>
      </w:r>
      <w:r>
        <w:rPr>
          <w:rFonts w:ascii="Arial Unicode MS" w:hAnsi="Arial Unicode MS" w:cs="Arial" w:hint="eastAsia"/>
          <w:szCs w:val="21"/>
        </w:rPr>
        <w:t>万份</w:t>
      </w:r>
      <w:r>
        <w:rPr>
          <w:rFonts w:ascii="Arial Unicode MS" w:hAnsi="Arial Unicode MS" w:cs="Arial" w:hint="eastAsia"/>
          <w:szCs w:val="21"/>
        </w:rPr>
        <w:t>C</w:t>
      </w:r>
      <w:r>
        <w:rPr>
          <w:rFonts w:ascii="Arial Unicode MS" w:hAnsi="Arial Unicode MS" w:cs="Arial" w:hint="eastAsia"/>
          <w:szCs w:val="21"/>
        </w:rPr>
        <w:t>类基金份额，持有时间为三年，对应的赎回费率为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w:t>
      </w:r>
      <w:r>
        <w:rPr>
          <w:rFonts w:ascii="Arial Unicode MS" w:hAnsi="Arial Unicode MS" w:cs="Arial" w:hint="eastAsia"/>
          <w:szCs w:val="21"/>
        </w:rPr>
        <w:t>C</w:t>
      </w:r>
      <w:r>
        <w:rPr>
          <w:rFonts w:ascii="Arial Unicode MS" w:hAnsi="Arial Unicode MS" w:cs="Arial" w:hint="eastAsia"/>
          <w:szCs w:val="21"/>
        </w:rPr>
        <w:t>类基金份额净值是</w:t>
      </w:r>
      <w:r>
        <w:rPr>
          <w:rFonts w:ascii="Arial Unicode MS" w:hAnsi="Arial Unicode MS" w:cs="Arial" w:hint="eastAsia"/>
          <w:szCs w:val="21"/>
        </w:rPr>
        <w:t>1.2500</w:t>
      </w:r>
      <w:r>
        <w:rPr>
          <w:rFonts w:ascii="Arial Unicode MS" w:hAnsi="Arial Unicode MS" w:cs="Arial" w:hint="eastAsia"/>
          <w:szCs w:val="21"/>
        </w:rPr>
        <w:t>元，则其可得到的赎回金额为</w:t>
      </w:r>
      <w:r>
        <w:rPr>
          <w:rFonts w:ascii="Arial Unicode MS" w:hAnsi="Arial Unicode MS" w:cs="Arial" w:hint="eastAsia"/>
          <w:szCs w:val="21"/>
        </w:rPr>
        <w:t>12,500.00</w:t>
      </w:r>
      <w:r>
        <w:rPr>
          <w:rFonts w:ascii="Arial Unicode MS" w:hAnsi="Arial Unicode MS" w:cs="Arial" w:hint="eastAsia"/>
          <w:szCs w:val="21"/>
        </w:rPr>
        <w:t>元。</w:t>
      </w:r>
    </w:p>
    <w:p w14:paraId="18E95CE8"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、本基金各类基金份额净值的计算，均保留到小数点后</w:t>
      </w:r>
      <w:r>
        <w:rPr>
          <w:rFonts w:ascii="Arial Unicode MS" w:hAnsi="Arial Unicode MS" w:cs="Arial"/>
          <w:szCs w:val="21"/>
        </w:rPr>
        <w:t>4</w:t>
      </w:r>
      <w:r>
        <w:rPr>
          <w:rFonts w:ascii="Arial Unicode MS" w:hAnsi="Arial Unicode MS" w:cs="Arial" w:hint="eastAsia"/>
          <w:szCs w:val="21"/>
        </w:rPr>
        <w:t>位，小数点后第</w:t>
      </w:r>
      <w:r>
        <w:rPr>
          <w:rFonts w:ascii="Arial Unicode MS" w:hAnsi="Arial Unicode MS" w:cs="Arial"/>
          <w:szCs w:val="21"/>
        </w:rPr>
        <w:t>5</w:t>
      </w:r>
      <w:r>
        <w:rPr>
          <w:rFonts w:ascii="Arial Unicode MS" w:hAnsi="Arial Unicode MS" w:cs="Arial" w:hint="eastAsia"/>
          <w:szCs w:val="21"/>
        </w:rPr>
        <w:t>位四舍五入，由此产生的收益或损失由基金财产承担。</w:t>
      </w:r>
      <w:r>
        <w:rPr>
          <w:rFonts w:ascii="Arial Unicode MS" w:hAnsi="Arial Unicode MS" w:cs="Arial" w:hint="eastAsia"/>
          <w:szCs w:val="21"/>
        </w:rPr>
        <w:t>T</w:t>
      </w:r>
      <w:r>
        <w:rPr>
          <w:rFonts w:ascii="Arial Unicode MS" w:hAnsi="Arial Unicode MS" w:cs="Arial" w:hint="eastAsia"/>
          <w:szCs w:val="21"/>
        </w:rPr>
        <w:t>日的各类基金份额净值在当天收市后计算，并在</w:t>
      </w:r>
      <w:r>
        <w:rPr>
          <w:rFonts w:ascii="Arial Unicode MS" w:hAnsi="Arial Unicode MS" w:cs="Arial" w:hint="eastAsia"/>
          <w:szCs w:val="21"/>
        </w:rPr>
        <w:t>T+1</w:t>
      </w:r>
      <w:r>
        <w:rPr>
          <w:rFonts w:ascii="Arial Unicode MS" w:hAnsi="Arial Unicode MS" w:cs="Arial" w:hint="eastAsia"/>
          <w:szCs w:val="21"/>
        </w:rPr>
        <w:t>日内公告。遇特殊情况，经履行适当程序，可以适当延迟计算或公告。</w:t>
      </w:r>
    </w:p>
    <w:p w14:paraId="4B9DE58E"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基金赎回费率和销售服务费率，并进行公告。</w:t>
      </w:r>
    </w:p>
    <w:p w14:paraId="037C580C" w14:textId="77777777" w:rsidR="009A7A59" w:rsidRDefault="00000000">
      <w:pPr>
        <w:autoSpaceDE w:val="0"/>
        <w:autoSpaceDN w:val="0"/>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八、申购与赎回的登记</w:t>
      </w:r>
    </w:p>
    <w:p w14:paraId="544A8792"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、经基金销售机构同意，基金投资者提出的申购和赎回申请，在基金管理人规定的时间之前可以撤销。</w:t>
      </w:r>
    </w:p>
    <w:p w14:paraId="4A3FC341"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、投资者申购基金成功后，登记机构在</w:t>
      </w:r>
      <w:r>
        <w:rPr>
          <w:rFonts w:ascii="Arial Unicode MS" w:hAnsi="Arial Unicode MS" w:cs="Arial" w:hint="eastAsia"/>
          <w:szCs w:val="21"/>
        </w:rPr>
        <w:t>T+1</w:t>
      </w:r>
      <w:r>
        <w:rPr>
          <w:rFonts w:ascii="Arial Unicode MS" w:hAnsi="Arial Unicode MS" w:cs="Arial" w:hint="eastAsia"/>
          <w:szCs w:val="21"/>
        </w:rPr>
        <w:t>日为投资者登记权益并办理登记手续，投资人自</w:t>
      </w:r>
      <w:r>
        <w:rPr>
          <w:rFonts w:ascii="Arial Unicode MS" w:hAnsi="Arial Unicode MS" w:cs="Arial" w:hint="eastAsia"/>
          <w:szCs w:val="21"/>
        </w:rPr>
        <w:t>T+2</w:t>
      </w:r>
      <w:r>
        <w:rPr>
          <w:rFonts w:ascii="Arial Unicode MS" w:hAnsi="Arial Unicode MS" w:cs="Arial" w:hint="eastAsia"/>
          <w:szCs w:val="21"/>
        </w:rPr>
        <w:t>日（含该日）后有权赎回该部分基金份额。</w:t>
      </w:r>
    </w:p>
    <w:p w14:paraId="0B327EF1"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、投资人赎回基金成功后，登记机构在</w:t>
      </w:r>
      <w:r>
        <w:rPr>
          <w:rFonts w:ascii="Arial Unicode MS" w:hAnsi="Arial Unicode MS" w:cs="Arial" w:hint="eastAsia"/>
          <w:szCs w:val="21"/>
        </w:rPr>
        <w:t>T+1</w:t>
      </w:r>
      <w:r>
        <w:rPr>
          <w:rFonts w:ascii="Arial Unicode MS" w:hAnsi="Arial Unicode MS" w:cs="Arial" w:hint="eastAsia"/>
          <w:szCs w:val="21"/>
        </w:rPr>
        <w:t>日为投资者办理扣除权益的登记手续。</w:t>
      </w:r>
    </w:p>
    <w:p w14:paraId="2B3C8D5D"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4D07E9E6" w14:textId="77777777" w:rsidR="009A7A59" w:rsidRDefault="00000000">
      <w:pPr>
        <w:adjustRightInd w:val="0"/>
        <w:snapToGrid w:val="0"/>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14:paraId="43A4F079"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发生下列情况时，基金管理人可拒绝或暂停接受投资人的申购申请：</w:t>
      </w:r>
    </w:p>
    <w:p w14:paraId="29AA3C95"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、因不可抗力导致基金无法正常运作。</w:t>
      </w:r>
    </w:p>
    <w:p w14:paraId="02E2E5D1"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、发生基金合同规定的暂停基金资产估值情况时，基金管理人可暂停接受投资人的申购申请。</w:t>
      </w:r>
    </w:p>
    <w:p w14:paraId="5597338E"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、证券交易所交易时间非正常停市，导致基金管理人无法计算当日基金资产净值。</w:t>
      </w:r>
    </w:p>
    <w:p w14:paraId="24A1A402"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、基金管理人接受某笔或某些申购申请可能会影响或损害现有基金份额持有人利益时。</w:t>
      </w:r>
    </w:p>
    <w:p w14:paraId="681DADE7"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55A55434"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、基金管理人、基金托管人、基金销售机构或登记机构的异常情况导致基金销售系统、</w:t>
      </w:r>
      <w:r>
        <w:rPr>
          <w:rFonts w:ascii="Arial Unicode MS" w:hAnsi="Arial Unicode MS" w:cs="Arial" w:hint="eastAsia"/>
          <w:bCs/>
          <w:szCs w:val="21"/>
        </w:rPr>
        <w:lastRenderedPageBreak/>
        <w:t>基金登记系统或基金会计系统无法正常运行。</w:t>
      </w:r>
    </w:p>
    <w:p w14:paraId="429C2E33"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、基金管理人接受某笔或者某些申购申请有可能导致单一投资者持有基金份额的比例达到或者超过</w:t>
      </w:r>
      <w:r>
        <w:rPr>
          <w:rFonts w:ascii="Arial Unicode MS" w:hAnsi="Arial Unicode MS" w:cs="Arial" w:hint="eastAsia"/>
          <w:bCs/>
          <w:szCs w:val="21"/>
        </w:rPr>
        <w:t>50%</w:t>
      </w:r>
      <w:r>
        <w:rPr>
          <w:rFonts w:ascii="Arial Unicode MS" w:hAnsi="Arial Unicode MS" w:cs="Arial" w:hint="eastAsia"/>
          <w:bCs/>
          <w:szCs w:val="21"/>
        </w:rPr>
        <w:t>，或者变相规避</w:t>
      </w:r>
      <w:r>
        <w:rPr>
          <w:rFonts w:ascii="Arial Unicode MS" w:hAnsi="Arial Unicode MS" w:cs="Arial" w:hint="eastAsia"/>
          <w:bCs/>
          <w:szCs w:val="21"/>
        </w:rPr>
        <w:t>50%</w:t>
      </w:r>
      <w:r>
        <w:rPr>
          <w:rFonts w:ascii="Arial Unicode MS" w:hAnsi="Arial Unicode MS" w:cs="Arial" w:hint="eastAsia"/>
          <w:bCs/>
          <w:szCs w:val="21"/>
        </w:rPr>
        <w:t>集中度的情形时。</w:t>
      </w:r>
    </w:p>
    <w:p w14:paraId="7CA53629"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、当前一估值日基金资产净值</w:t>
      </w:r>
      <w:r>
        <w:rPr>
          <w:rFonts w:ascii="Arial Unicode MS" w:hAnsi="Arial Unicode MS" w:cs="Arial" w:hint="eastAsia"/>
          <w:bCs/>
          <w:szCs w:val="21"/>
        </w:rPr>
        <w:t>50%</w:t>
      </w:r>
      <w:r>
        <w:rPr>
          <w:rFonts w:ascii="Arial Unicode MS" w:hAnsi="Arial Unicode MS" w:cs="Arial" w:hint="eastAsia"/>
          <w:bCs/>
          <w:szCs w:val="21"/>
        </w:rPr>
        <w:t>以上的资产出现无可参考的活跃市场价格且采用估值技术</w:t>
      </w:r>
      <w:proofErr w:type="gramStart"/>
      <w:r>
        <w:rPr>
          <w:rFonts w:ascii="Arial Unicode MS" w:hAnsi="Arial Unicode MS" w:cs="Arial" w:hint="eastAsia"/>
          <w:bCs/>
          <w:szCs w:val="21"/>
        </w:rPr>
        <w:t>仍导致</w:t>
      </w:r>
      <w:proofErr w:type="gramEnd"/>
      <w:r>
        <w:rPr>
          <w:rFonts w:ascii="Arial Unicode MS" w:hAnsi="Arial Unicode MS" w:cs="Arial" w:hint="eastAsia"/>
          <w:bCs/>
          <w:szCs w:val="21"/>
        </w:rPr>
        <w:t>公允价值存在重大不确定性时，经与基金托管人协商确认后，基金管理人应当暂停基金估值并采取暂停接受基金申购申请的措施。</w:t>
      </w:r>
    </w:p>
    <w:p w14:paraId="691BC8B7"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、法律法规规定或中国证监会认定的其他情形。</w:t>
      </w:r>
    </w:p>
    <w:p w14:paraId="69EFFE34"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发生上述第</w:t>
      </w:r>
      <w:r>
        <w:rPr>
          <w:rFonts w:ascii="Arial Unicode MS" w:hAnsi="Arial Unicode MS" w:cs="Arial" w:hint="eastAsia"/>
          <w:bCs/>
          <w:szCs w:val="21"/>
        </w:rPr>
        <w:t>1</w:t>
      </w: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w:t>
      </w:r>
      <w:r>
        <w:rPr>
          <w:rFonts w:ascii="Arial Unicode MS" w:hAnsi="Arial Unicode MS" w:cs="Arial" w:hint="eastAsia"/>
          <w:bCs/>
          <w:szCs w:val="21"/>
        </w:rPr>
        <w:t>8</w:t>
      </w:r>
      <w:r>
        <w:rPr>
          <w:rFonts w:ascii="Arial Unicode MS" w:hAnsi="Arial Unicode MS" w:cs="Arial" w:hint="eastAsia"/>
          <w:bCs/>
          <w:szCs w:val="21"/>
        </w:rPr>
        <w:t>、</w:t>
      </w:r>
      <w:r>
        <w:rPr>
          <w:rFonts w:ascii="Arial Unicode MS" w:hAnsi="Arial Unicode MS" w:cs="Arial" w:hint="eastAsia"/>
          <w:bCs/>
          <w:szCs w:val="21"/>
        </w:rPr>
        <w:t>9</w:t>
      </w:r>
      <w:r>
        <w:rPr>
          <w:rFonts w:ascii="Arial Unicode MS" w:hAnsi="Arial Unicode MS" w:cs="Arial" w:hint="eastAsia"/>
          <w:bCs/>
          <w:szCs w:val="21"/>
        </w:rPr>
        <w:t>项暂停申购情形之一</w:t>
      </w:r>
      <w:proofErr w:type="gramStart"/>
      <w:r>
        <w:rPr>
          <w:rFonts w:ascii="Arial Unicode MS" w:hAnsi="Arial Unicode MS" w:cs="Arial" w:hint="eastAsia"/>
          <w:bCs/>
          <w:szCs w:val="21"/>
        </w:rPr>
        <w:t>且基金</w:t>
      </w:r>
      <w:proofErr w:type="gramEnd"/>
      <w:r>
        <w:rPr>
          <w:rFonts w:ascii="Arial Unicode MS" w:hAnsi="Arial Unicode MS" w:cs="Arial" w:hint="eastAsia"/>
          <w:bCs/>
          <w:szCs w:val="21"/>
        </w:rPr>
        <w:t>管理人决定暂停申购申请时，基金管理人应当根据有关规定进行公告。如果投资人的申购申请被拒绝，被拒绝的申购款项将退还给投资人。在暂停申购的情况消除时，基金管理人应及时恢复申购业务的办理。</w:t>
      </w:r>
    </w:p>
    <w:p w14:paraId="36F7F60B" w14:textId="77777777" w:rsidR="009A7A59" w:rsidRDefault="00000000">
      <w:pPr>
        <w:adjustRightInd w:val="0"/>
        <w:snapToGrid w:val="0"/>
        <w:spacing w:line="360" w:lineRule="auto"/>
        <w:ind w:firstLineChars="200" w:firstLine="422"/>
        <w:rPr>
          <w:rFonts w:ascii="Arial Unicode MS" w:hAnsi="Arial Unicode MS" w:hint="eastAsia"/>
          <w:b/>
        </w:rPr>
      </w:pPr>
      <w:bookmarkStart w:id="49" w:name="_Hlt70481650"/>
      <w:bookmarkEnd w:id="49"/>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14:paraId="61A6E613"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发生下列情形时，基金管理人可暂停接受投资人的赎回申请或延缓支付赎回款项：</w:t>
      </w:r>
    </w:p>
    <w:p w14:paraId="5AD55E30"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、因不可抗力导致基金管理人不能支付赎回款项。</w:t>
      </w:r>
    </w:p>
    <w:p w14:paraId="468B37DF"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、发生基金合同规定的暂停基金资产估值情况时，基金管理人可暂停接受投资人的赎回申请或延缓支付赎回款项。</w:t>
      </w:r>
    </w:p>
    <w:p w14:paraId="65EB3715"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、证券交易所交易时间非正常停市，导致基金管理人无法计算当日基金资产净值。</w:t>
      </w:r>
    </w:p>
    <w:p w14:paraId="0BAD0F00"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、连续两个或两个以上开放日发生巨额赎回。</w:t>
      </w:r>
    </w:p>
    <w:p w14:paraId="09253BD5"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、发生继续接受赎回申请将损害现有基金份额持有人利益的情形时，基金管理人可暂停接受投资人的赎回申请。</w:t>
      </w:r>
    </w:p>
    <w:p w14:paraId="74752322"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、当前一估值日基金资产净值</w:t>
      </w:r>
      <w:r>
        <w:rPr>
          <w:rFonts w:ascii="Arial Unicode MS" w:hAnsi="Arial Unicode MS" w:hint="eastAsia"/>
          <w:bCs/>
          <w:szCs w:val="21"/>
        </w:rPr>
        <w:t>50%</w:t>
      </w:r>
      <w:r>
        <w:rPr>
          <w:rFonts w:ascii="Arial Unicode MS" w:hAnsi="Arial Unicode MS" w:hint="eastAsia"/>
          <w:bCs/>
          <w:szCs w:val="21"/>
        </w:rPr>
        <w:t>以上的资产出现无可参考的活跃市场价格且采用估值技术</w:t>
      </w:r>
      <w:proofErr w:type="gramStart"/>
      <w:r>
        <w:rPr>
          <w:rFonts w:ascii="Arial Unicode MS" w:hAnsi="Arial Unicode MS" w:hint="eastAsia"/>
          <w:bCs/>
          <w:szCs w:val="21"/>
        </w:rPr>
        <w:t>仍导致</w:t>
      </w:r>
      <w:proofErr w:type="gramEnd"/>
      <w:r>
        <w:rPr>
          <w:rFonts w:ascii="Arial Unicode MS" w:hAnsi="Arial Unicode MS" w:hint="eastAsia"/>
          <w:bCs/>
          <w:szCs w:val="21"/>
        </w:rPr>
        <w:t>公允价值存在重大不确定性时，经与基金托管人协商确认后，基金管理人应当暂停基金估值，并采取延缓支付赎回款项或暂停接受基金赎回申请的措施。</w:t>
      </w:r>
    </w:p>
    <w:p w14:paraId="4CD1B780"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、法律法规规定或中国证监会认定的其他情形。</w:t>
      </w:r>
    </w:p>
    <w:p w14:paraId="247995EC"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发生上述情形之一</w:t>
      </w:r>
      <w:proofErr w:type="gramStart"/>
      <w:r>
        <w:rPr>
          <w:rFonts w:ascii="Arial Unicode MS" w:hAnsi="Arial Unicode MS" w:hint="eastAsia"/>
          <w:bCs/>
          <w:szCs w:val="21"/>
        </w:rPr>
        <w:t>且基金</w:t>
      </w:r>
      <w:proofErr w:type="gramEnd"/>
      <w:r>
        <w:rPr>
          <w:rFonts w:ascii="Arial Unicode MS" w:hAnsi="Arial Unicode MS" w:hint="eastAsia"/>
          <w:bCs/>
          <w:szCs w:val="21"/>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Arial Unicode MS" w:hAnsi="Arial Unicode MS" w:hint="eastAsia"/>
          <w:bCs/>
          <w:szCs w:val="21"/>
        </w:rPr>
        <w:t>4</w:t>
      </w:r>
      <w:r>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7795234" w14:textId="77777777" w:rsidR="009A7A59" w:rsidRDefault="00000000">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14:paraId="34537C11"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lastRenderedPageBreak/>
        <w:t>1</w:t>
      </w:r>
      <w:r>
        <w:rPr>
          <w:rFonts w:ascii="Arial Unicode MS" w:hAnsi="Arial Unicode MS" w:hint="eastAsia"/>
          <w:bCs/>
          <w:szCs w:val="21"/>
        </w:rPr>
        <w:t>、巨额赎回的认定</w:t>
      </w:r>
    </w:p>
    <w:p w14:paraId="01CB7697"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若本基金单个开放日内的基金份额净赎回申请</w:t>
      </w:r>
      <w:r>
        <w:rPr>
          <w:rFonts w:ascii="Arial Unicode MS" w:hAnsi="Arial Unicode MS" w:hint="eastAsia"/>
          <w:bCs/>
          <w:szCs w:val="21"/>
        </w:rPr>
        <w:t>(</w:t>
      </w:r>
      <w:r>
        <w:rPr>
          <w:rFonts w:ascii="Arial Unicode MS" w:hAnsi="Arial Unicode MS" w:hint="eastAsia"/>
          <w:bCs/>
          <w:szCs w:val="21"/>
        </w:rPr>
        <w:t>赎回申请份额总数加上基金转换中转出申请份额总数后扣除申购申请份额总数及基金转换中转入申请份额总数后的余额</w:t>
      </w:r>
      <w:r>
        <w:rPr>
          <w:rFonts w:ascii="Arial Unicode MS" w:hAnsi="Arial Unicode MS" w:hint="eastAsia"/>
          <w:bCs/>
          <w:szCs w:val="21"/>
        </w:rPr>
        <w:t>)</w:t>
      </w:r>
      <w:r>
        <w:rPr>
          <w:rFonts w:ascii="Arial Unicode MS" w:hAnsi="Arial Unicode MS" w:hint="eastAsia"/>
          <w:bCs/>
          <w:szCs w:val="21"/>
        </w:rPr>
        <w:t>超过前一开放日的基金总份额的</w:t>
      </w:r>
      <w:r>
        <w:rPr>
          <w:rFonts w:ascii="Arial Unicode MS" w:hAnsi="Arial Unicode MS" w:hint="eastAsia"/>
          <w:bCs/>
          <w:szCs w:val="21"/>
        </w:rPr>
        <w:t>10%</w:t>
      </w:r>
      <w:r>
        <w:rPr>
          <w:rFonts w:ascii="Arial Unicode MS" w:hAnsi="Arial Unicode MS" w:hint="eastAsia"/>
          <w:bCs/>
          <w:szCs w:val="21"/>
        </w:rPr>
        <w:t>，即认为是发生了巨额赎回。</w:t>
      </w:r>
    </w:p>
    <w:p w14:paraId="75912D3C"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、巨额赎回的处理方式</w:t>
      </w:r>
    </w:p>
    <w:p w14:paraId="5D814159"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当基金出现巨额赎回时，基金管理人可以根据基金当时的资产组合状况决定全额赎回或部分延期赎回。</w:t>
      </w:r>
    </w:p>
    <w:p w14:paraId="42B4C920"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）全额赎回：当基金管理人认为有能力支付投资人的全部赎回申请时，按正常赎回程序执行。</w:t>
      </w:r>
    </w:p>
    <w:p w14:paraId="2C94A9A4"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Arial Unicode MS" w:hAnsi="Arial Unicode MS" w:hint="eastAsia"/>
          <w:bCs/>
          <w:szCs w:val="21"/>
        </w:rPr>
        <w:t>10%</w:t>
      </w:r>
      <w:r>
        <w:rPr>
          <w:rFonts w:ascii="Arial Unicode MS" w:hAnsi="Arial Unicode MS" w:hint="eastAsia"/>
          <w:bCs/>
          <w:szCs w:val="21"/>
        </w:rPr>
        <w:t>的前提下，可对其余赎回申请延期办理。</w:t>
      </w:r>
    </w:p>
    <w:p w14:paraId="5E3CCA53"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当发生巨额赎回时，对于单个基金份额持有人当日赎回申请超过上一开放日基金总份额</w:t>
      </w:r>
      <w:r>
        <w:rPr>
          <w:rFonts w:ascii="Arial Unicode MS" w:hAnsi="Arial Unicode MS" w:hint="eastAsia"/>
          <w:bCs/>
          <w:szCs w:val="21"/>
        </w:rPr>
        <w:t xml:space="preserve"> 50%</w:t>
      </w:r>
      <w:r>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Pr>
          <w:rFonts w:ascii="Arial Unicode MS" w:hAnsi="Arial Unicode MS" w:hint="eastAsia"/>
          <w:bCs/>
          <w:szCs w:val="21"/>
        </w:rPr>
        <w:t xml:space="preserve"> </w:t>
      </w:r>
      <w:r>
        <w:rPr>
          <w:rFonts w:ascii="Arial Unicode MS" w:hAnsi="Arial Unicode MS" w:hint="eastAsia"/>
          <w:bCs/>
          <w:szCs w:val="21"/>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hint="eastAsia"/>
          <w:bCs/>
          <w:szCs w:val="21"/>
        </w:rPr>
        <w:t>并以下</w:t>
      </w:r>
      <w:proofErr w:type="gramEnd"/>
      <w:r>
        <w:rPr>
          <w:rFonts w:ascii="Arial Unicode MS" w:hAnsi="Arial Unicode MS" w:hint="eastAsia"/>
          <w:bCs/>
          <w:szCs w:val="21"/>
        </w:rPr>
        <w:t>一开放日的该类基金份额净值为基础计算赎回金额，以此类推，直到全部赎回为止。如投资人在提交赎回申请时未作明确选择，投资人未能赎回部分作自动延期赎回处理。</w:t>
      </w:r>
    </w:p>
    <w:p w14:paraId="5D2AB282"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）暂停赎回：连续</w:t>
      </w:r>
      <w:r>
        <w:rPr>
          <w:rFonts w:ascii="Arial Unicode MS" w:hAnsi="Arial Unicode MS" w:hint="eastAsia"/>
          <w:bCs/>
          <w:szCs w:val="21"/>
        </w:rPr>
        <w:t>2</w:t>
      </w:r>
      <w:r>
        <w:rPr>
          <w:rFonts w:ascii="Arial Unicode MS" w:hAnsi="Arial Unicode MS" w:hint="eastAsia"/>
          <w:bCs/>
          <w:szCs w:val="21"/>
        </w:rPr>
        <w:t>个开放日以上</w:t>
      </w:r>
      <w:r>
        <w:rPr>
          <w:rFonts w:ascii="Arial Unicode MS" w:hAnsi="Arial Unicode MS" w:hint="eastAsia"/>
          <w:bCs/>
          <w:szCs w:val="21"/>
        </w:rPr>
        <w:t>(</w:t>
      </w:r>
      <w:r>
        <w:rPr>
          <w:rFonts w:ascii="Arial Unicode MS" w:hAnsi="Arial Unicode MS" w:hint="eastAsia"/>
          <w:bCs/>
          <w:szCs w:val="21"/>
        </w:rPr>
        <w:t>含</w:t>
      </w:r>
      <w:r>
        <w:rPr>
          <w:rFonts w:ascii="Arial Unicode MS" w:hAnsi="Arial Unicode MS" w:hint="eastAsia"/>
          <w:bCs/>
          <w:szCs w:val="21"/>
        </w:rPr>
        <w:t>)</w:t>
      </w:r>
      <w:r>
        <w:rPr>
          <w:rFonts w:ascii="Arial Unicode MS" w:hAnsi="Arial Unicode MS" w:hint="eastAsia"/>
          <w:bCs/>
          <w:szCs w:val="21"/>
        </w:rPr>
        <w:t>发生巨额赎回，如基金管理人认为有必要，可暂停接受基金的赎回申请；已经接受的赎回申请可以延缓支付赎回款项，但不得超过</w:t>
      </w:r>
      <w:r>
        <w:rPr>
          <w:rFonts w:ascii="Arial Unicode MS" w:hAnsi="Arial Unicode MS" w:hint="eastAsia"/>
          <w:bCs/>
          <w:szCs w:val="21"/>
        </w:rPr>
        <w:t>20</w:t>
      </w:r>
      <w:r>
        <w:rPr>
          <w:rFonts w:ascii="Arial Unicode MS" w:hAnsi="Arial Unicode MS" w:hint="eastAsia"/>
          <w:bCs/>
          <w:szCs w:val="21"/>
        </w:rPr>
        <w:t>个工作日，并应当依据相关规定进行公告。</w:t>
      </w:r>
    </w:p>
    <w:p w14:paraId="4A0F15B2"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、巨额赎回的公告</w:t>
      </w:r>
    </w:p>
    <w:p w14:paraId="3FC019CB"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当发生上述巨额赎回并延期办理时，基金管理人应当通过邮寄、传真或者招募说明书规定的其他方式在</w:t>
      </w:r>
      <w:r>
        <w:rPr>
          <w:rFonts w:ascii="Arial Unicode MS" w:hAnsi="Arial Unicode MS" w:hint="eastAsia"/>
          <w:bCs/>
          <w:szCs w:val="21"/>
        </w:rPr>
        <w:t>3</w:t>
      </w:r>
      <w:r>
        <w:rPr>
          <w:rFonts w:ascii="Arial Unicode MS" w:hAnsi="Arial Unicode MS" w:hint="eastAsia"/>
          <w:bCs/>
          <w:szCs w:val="21"/>
        </w:rPr>
        <w:t>个交易日内通知基金份额持有人，说明有关处理方法，并在</w:t>
      </w:r>
      <w:r>
        <w:rPr>
          <w:rFonts w:ascii="Arial Unicode MS" w:hAnsi="Arial Unicode MS" w:hint="eastAsia"/>
          <w:bCs/>
          <w:szCs w:val="21"/>
        </w:rPr>
        <w:t>2</w:t>
      </w:r>
      <w:r>
        <w:rPr>
          <w:rFonts w:ascii="Arial Unicode MS" w:hAnsi="Arial Unicode MS" w:hint="eastAsia"/>
          <w:bCs/>
          <w:szCs w:val="21"/>
        </w:rPr>
        <w:t>日内在规定媒介上刊登公告。</w:t>
      </w:r>
    </w:p>
    <w:p w14:paraId="47AA4934" w14:textId="77777777" w:rsidR="009A7A59" w:rsidRDefault="00000000">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14:paraId="6AC71C2A"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lastRenderedPageBreak/>
        <w:t>1</w:t>
      </w:r>
      <w:r>
        <w:rPr>
          <w:rFonts w:ascii="Arial Unicode MS" w:hAnsi="Arial Unicode MS" w:hint="eastAsia"/>
          <w:bCs/>
          <w:szCs w:val="21"/>
        </w:rPr>
        <w:t>、发生上述暂停申购或赎回情况的，基金管理人应在规定期限内在规定媒介上刊登暂停公告。</w:t>
      </w:r>
    </w:p>
    <w:p w14:paraId="73907403"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、如发生暂停的时间为</w:t>
      </w:r>
      <w:r>
        <w:rPr>
          <w:rFonts w:ascii="Arial Unicode MS" w:hAnsi="Arial Unicode MS" w:hint="eastAsia"/>
          <w:bCs/>
          <w:szCs w:val="21"/>
        </w:rPr>
        <w:t>1</w:t>
      </w:r>
      <w:r>
        <w:rPr>
          <w:rFonts w:ascii="Arial Unicode MS" w:hAnsi="Arial Unicode MS" w:hint="eastAsia"/>
          <w:bCs/>
          <w:szCs w:val="21"/>
        </w:rPr>
        <w:t>日，基金管理人应于重新开放日，在规定媒介上刊登基金重新开放申购或赎回公告，并公布最近</w:t>
      </w:r>
      <w:r>
        <w:rPr>
          <w:rFonts w:ascii="Arial Unicode MS" w:hAnsi="Arial Unicode MS" w:hint="eastAsia"/>
          <w:bCs/>
          <w:szCs w:val="21"/>
        </w:rPr>
        <w:t>1</w:t>
      </w:r>
      <w:r>
        <w:rPr>
          <w:rFonts w:ascii="Arial Unicode MS" w:hAnsi="Arial Unicode MS" w:hint="eastAsia"/>
          <w:bCs/>
          <w:szCs w:val="21"/>
        </w:rPr>
        <w:t>个开放日的各类基金份额净值。</w:t>
      </w:r>
    </w:p>
    <w:p w14:paraId="07BF8191"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、如发生暂停的时间超过</w:t>
      </w:r>
      <w:r>
        <w:rPr>
          <w:rFonts w:ascii="Arial Unicode MS" w:hAnsi="Arial Unicode MS" w:hint="eastAsia"/>
          <w:bCs/>
          <w:szCs w:val="21"/>
        </w:rPr>
        <w:t>1</w:t>
      </w:r>
      <w:r>
        <w:rPr>
          <w:rFonts w:ascii="Arial Unicode MS" w:hAnsi="Arial Unicode MS" w:hint="eastAsia"/>
          <w:bCs/>
          <w:szCs w:val="21"/>
        </w:rPr>
        <w:t>日，基金管理人可以根据暂停申购或赎回的时间，依照《信息披露办法》的有关规定，最迟于重新开放日在规定媒介上刊登重新开放申购或赎回的公告，也可以根据实际情况在暂停公告中明确重新开放申购或赎回的时间，届时不再另行发布重新开放的公告。</w:t>
      </w:r>
    </w:p>
    <w:p w14:paraId="58DA4F7F" w14:textId="77777777" w:rsidR="009A7A59" w:rsidRDefault="00000000">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十三、基金转换</w:t>
      </w:r>
    </w:p>
    <w:p w14:paraId="4A28A157"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C25728" w14:textId="77777777" w:rsidR="009A7A59" w:rsidRDefault="00000000">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十四、基金份额的转让</w:t>
      </w:r>
    </w:p>
    <w:p w14:paraId="21965720"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F9925F1" w14:textId="77777777" w:rsidR="009A7A59" w:rsidRDefault="00000000">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十五、基金的</w:t>
      </w:r>
      <w:proofErr w:type="gramStart"/>
      <w:r>
        <w:rPr>
          <w:rFonts w:ascii="Arial Unicode MS" w:hAnsi="Arial Unicode MS" w:hint="eastAsia"/>
          <w:b/>
          <w:bCs/>
          <w:szCs w:val="21"/>
        </w:rPr>
        <w:t>非交易</w:t>
      </w:r>
      <w:proofErr w:type="gramEnd"/>
      <w:r>
        <w:rPr>
          <w:rFonts w:ascii="Arial Unicode MS" w:hAnsi="Arial Unicode MS" w:hint="eastAsia"/>
          <w:b/>
          <w:bCs/>
          <w:szCs w:val="21"/>
        </w:rPr>
        <w:t>过户</w:t>
      </w:r>
    </w:p>
    <w:p w14:paraId="515154AF"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过户是指基金登记机构受理继承、捐赠和司法强制执行等情形而产生的</w:t>
      </w:r>
      <w:proofErr w:type="gramStart"/>
      <w:r>
        <w:rPr>
          <w:rFonts w:ascii="Arial Unicode MS" w:hAnsi="Arial Unicode MS" w:hint="eastAsia"/>
          <w:bCs/>
          <w:szCs w:val="21"/>
        </w:rPr>
        <w:t>非交易</w:t>
      </w:r>
      <w:proofErr w:type="gramEnd"/>
      <w:r>
        <w:rPr>
          <w:rFonts w:ascii="Arial Unicode MS" w:hAnsi="Arial Unicode MS" w:hint="eastAsia"/>
          <w:bCs/>
          <w:szCs w:val="21"/>
        </w:rPr>
        <w:t>过户以及登记机构认可、符合法律法规的其它</w:t>
      </w:r>
      <w:proofErr w:type="gramStart"/>
      <w:r>
        <w:rPr>
          <w:rFonts w:ascii="Arial Unicode MS" w:hAnsi="Arial Unicode MS" w:hint="eastAsia"/>
          <w:bCs/>
          <w:szCs w:val="21"/>
        </w:rPr>
        <w:t>非交易</w:t>
      </w:r>
      <w:proofErr w:type="gramEnd"/>
      <w:r>
        <w:rPr>
          <w:rFonts w:ascii="Arial Unicode MS" w:hAnsi="Arial Unicode MS" w:hint="eastAsia"/>
          <w:bCs/>
          <w:szCs w:val="21"/>
        </w:rPr>
        <w:t>过户。无论在上述何种情况下，接受划转的主体必须是依法可以持有本</w:t>
      </w:r>
      <w:proofErr w:type="gramStart"/>
      <w:r>
        <w:rPr>
          <w:rFonts w:ascii="Arial Unicode MS" w:hAnsi="Arial Unicode MS" w:hint="eastAsia"/>
          <w:bCs/>
          <w:szCs w:val="21"/>
        </w:rPr>
        <w:t>基金基金</w:t>
      </w:r>
      <w:proofErr w:type="gramEnd"/>
      <w:r>
        <w:rPr>
          <w:rFonts w:ascii="Arial Unicode MS" w:hAnsi="Arial Unicode MS" w:hint="eastAsia"/>
          <w:bCs/>
          <w:szCs w:val="21"/>
        </w:rPr>
        <w:t>份额的投资人。</w:t>
      </w:r>
    </w:p>
    <w:p w14:paraId="382A9803"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继承是指基金份额持有人死亡，其持有的基金份额由其合法的继承人继承；</w:t>
      </w:r>
      <w:proofErr w:type="gramStart"/>
      <w:r>
        <w:rPr>
          <w:rFonts w:ascii="Arial Unicode MS" w:hAnsi="Arial Unicode MS" w:hint="eastAsia"/>
          <w:bCs/>
          <w:szCs w:val="21"/>
        </w:rPr>
        <w:t>捐赠指</w:t>
      </w:r>
      <w:proofErr w:type="gramEnd"/>
      <w:r>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Cs w:val="21"/>
        </w:rPr>
        <w:t>非交易</w:t>
      </w:r>
      <w:proofErr w:type="gramEnd"/>
      <w:r>
        <w:rPr>
          <w:rFonts w:ascii="Arial Unicode MS" w:hAnsi="Arial Unicode MS" w:hint="eastAsia"/>
          <w:bCs/>
          <w:szCs w:val="21"/>
        </w:rPr>
        <w:t>过户必须提供基金登记机构要求提供的相关资料，对于符合条件的</w:t>
      </w:r>
      <w:proofErr w:type="gramStart"/>
      <w:r>
        <w:rPr>
          <w:rFonts w:ascii="Arial Unicode MS" w:hAnsi="Arial Unicode MS" w:hint="eastAsia"/>
          <w:bCs/>
          <w:szCs w:val="21"/>
        </w:rPr>
        <w:t>非交易过户申请按</w:t>
      </w:r>
      <w:proofErr w:type="gramEnd"/>
      <w:r>
        <w:rPr>
          <w:rFonts w:ascii="Arial Unicode MS" w:hAnsi="Arial Unicode MS" w:hint="eastAsia"/>
          <w:bCs/>
          <w:szCs w:val="21"/>
        </w:rPr>
        <w:t>基金登记机构的规定办理，并按基金登记机构规定的标准收费。</w:t>
      </w:r>
    </w:p>
    <w:p w14:paraId="55168E25" w14:textId="77777777" w:rsidR="009A7A59" w:rsidRDefault="00000000">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十六、基金的转托管</w:t>
      </w:r>
    </w:p>
    <w:p w14:paraId="5D580039"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基金份额持有人可办理已持有基金份额在不同销售机构之间的转托管，基金销售机构可以按照规定的标准收取转托管费。</w:t>
      </w:r>
    </w:p>
    <w:p w14:paraId="140D824C" w14:textId="77777777" w:rsidR="009A7A59" w:rsidRDefault="00000000">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十七、定期定额投资计划</w:t>
      </w:r>
    </w:p>
    <w:p w14:paraId="654C4D30"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3B3A1164" w14:textId="77777777" w:rsidR="009A7A59" w:rsidRDefault="00000000">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lastRenderedPageBreak/>
        <w:t>十八、基金份额的冻结和解冻</w:t>
      </w:r>
    </w:p>
    <w:p w14:paraId="3DB9F2D5"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1A5B67D" w14:textId="77777777" w:rsidR="009A7A59" w:rsidRDefault="00000000">
      <w:pPr>
        <w:autoSpaceDE w:val="0"/>
        <w:autoSpaceDN w:val="0"/>
        <w:adjustRightInd w:val="0"/>
        <w:spacing w:line="360" w:lineRule="auto"/>
        <w:ind w:firstLine="420"/>
        <w:jc w:val="left"/>
        <w:rPr>
          <w:rFonts w:ascii="Arial Unicode MS" w:hAnsi="Arial Unicode MS" w:hint="eastAsia"/>
          <w:b/>
          <w:bCs/>
          <w:szCs w:val="21"/>
        </w:rPr>
      </w:pPr>
      <w:r>
        <w:rPr>
          <w:rFonts w:ascii="Arial Unicode MS" w:hAnsi="Arial Unicode MS" w:hint="eastAsia"/>
          <w:b/>
          <w:bCs/>
          <w:szCs w:val="21"/>
        </w:rPr>
        <w:t>十九、实施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期间本基金的申购与赎回</w:t>
      </w:r>
    </w:p>
    <w:p w14:paraId="6D569C78" w14:textId="77777777" w:rsidR="009A7A59" w:rsidRDefault="00000000">
      <w:pPr>
        <w:autoSpaceDE w:val="0"/>
        <w:autoSpaceDN w:val="0"/>
        <w:adjustRightInd w:val="0"/>
        <w:spacing w:line="360" w:lineRule="auto"/>
        <w:ind w:firstLine="420"/>
        <w:jc w:val="left"/>
        <w:rPr>
          <w:rFonts w:ascii="Arial Unicode MS" w:hAnsi="Arial Unicode MS" w:hint="eastAsia"/>
          <w:bCs/>
          <w:szCs w:val="21"/>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的，本基金的申购和赎回安排详见招募说明书“侧袋机制”部分的规定或相关公告。</w:t>
      </w:r>
    </w:p>
    <w:p w14:paraId="2EBD973D"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4BC8798E"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64EC141A"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4FCC0947"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618CCED8"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71E81D71"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70BE643F"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5318A9D0"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7437842D"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10D6969B"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135C6D49"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5BD94D1A"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3A6FD881"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6FD1A294"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5857002D" w14:textId="77777777" w:rsidR="009A7A59" w:rsidRDefault="009A7A59">
      <w:pPr>
        <w:autoSpaceDE w:val="0"/>
        <w:autoSpaceDN w:val="0"/>
        <w:adjustRightInd w:val="0"/>
        <w:spacing w:line="360" w:lineRule="auto"/>
        <w:ind w:firstLine="420"/>
        <w:jc w:val="left"/>
        <w:rPr>
          <w:rFonts w:ascii="Arial Unicode MS" w:hAnsi="Arial Unicode MS" w:hint="eastAsia"/>
          <w:bCs/>
          <w:szCs w:val="21"/>
        </w:rPr>
      </w:pPr>
    </w:p>
    <w:p w14:paraId="1CAE944B" w14:textId="77777777" w:rsidR="009A7A59" w:rsidRDefault="00000000">
      <w:pPr>
        <w:widowControl/>
        <w:jc w:val="left"/>
        <w:rPr>
          <w:rFonts w:ascii="Arial Unicode MS" w:hAnsi="Arial Unicode MS" w:hint="eastAsia"/>
          <w:bCs/>
          <w:szCs w:val="21"/>
        </w:rPr>
      </w:pPr>
      <w:r>
        <w:rPr>
          <w:rFonts w:ascii="Arial Unicode MS" w:hAnsi="Arial Unicode MS"/>
          <w:bCs/>
          <w:szCs w:val="21"/>
        </w:rPr>
        <w:br w:type="page"/>
      </w:r>
    </w:p>
    <w:p w14:paraId="707BC1D5" w14:textId="77777777" w:rsidR="009A7A59" w:rsidRDefault="00000000">
      <w:pPr>
        <w:pStyle w:val="11"/>
        <w:snapToGrid w:val="0"/>
        <w:spacing w:before="0" w:after="0" w:line="360" w:lineRule="auto"/>
        <w:ind w:firstLine="422"/>
        <w:rPr>
          <w:rFonts w:ascii="Arial Unicode MS" w:eastAsia="宋体" w:hAnsi="Arial Unicode MS" w:cs="Arial" w:hint="eastAsia"/>
          <w:b/>
          <w:bCs/>
          <w:sz w:val="28"/>
          <w:szCs w:val="28"/>
        </w:rPr>
      </w:pPr>
      <w:bookmarkStart w:id="50" w:name="_Toc317088543"/>
      <w:bookmarkStart w:id="51" w:name="_Toc335232697"/>
      <w:bookmarkStart w:id="52" w:name="_Toc214873598"/>
      <w:bookmarkStart w:id="53" w:name="_Toc320887648"/>
      <w:bookmarkStart w:id="54" w:name="_Toc317088146"/>
      <w:bookmarkStart w:id="55" w:name="_Toc63676444"/>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0"/>
      <w:bookmarkEnd w:id="51"/>
      <w:bookmarkEnd w:id="52"/>
      <w:bookmarkEnd w:id="53"/>
      <w:bookmarkEnd w:id="54"/>
      <w:bookmarkEnd w:id="55"/>
    </w:p>
    <w:p w14:paraId="56C7F83F" w14:textId="77777777" w:rsidR="009A7A59" w:rsidRDefault="009A7A59"/>
    <w:p w14:paraId="508B6A11" w14:textId="77777777" w:rsidR="009A7A59" w:rsidRDefault="00000000">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b/>
          <w:bCs/>
          <w:szCs w:val="21"/>
        </w:rPr>
        <w:t>一、投资目标</w:t>
      </w:r>
    </w:p>
    <w:p w14:paraId="0F70FE92"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在一定程度上控制组合净值波动率的前提下，力争长期内实现超越业绩比较基准的投资回报。</w:t>
      </w:r>
    </w:p>
    <w:p w14:paraId="7CE2EC32" w14:textId="77777777" w:rsidR="009A7A59" w:rsidRDefault="00000000">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b/>
          <w:bCs/>
          <w:szCs w:val="21"/>
        </w:rPr>
        <w:t>二、投资范围</w:t>
      </w:r>
    </w:p>
    <w:p w14:paraId="288C2D1B"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本基金的投资范围主要为具有良好流动性的金融工具，包括国债、金融债、企业债、公司债、央行票据、中期票据、短期融资</w:t>
      </w:r>
      <w:proofErr w:type="gramStart"/>
      <w:r>
        <w:rPr>
          <w:rFonts w:ascii="Arial Unicode MS" w:hAnsi="Arial Unicode MS" w:cs="Arial" w:hint="eastAsia"/>
          <w:bCs/>
          <w:szCs w:val="21"/>
        </w:rPr>
        <w:t>券</w:t>
      </w:r>
      <w:proofErr w:type="gramEnd"/>
      <w:r>
        <w:rPr>
          <w:rFonts w:ascii="Arial Unicode MS" w:hAnsi="Arial Unicode MS" w:cs="Arial" w:hint="eastAsia"/>
          <w:bCs/>
          <w:szCs w:val="21"/>
        </w:rPr>
        <w:t>、资产支持证券、次级债、可分离交易可转债</w:t>
      </w:r>
      <w:proofErr w:type="gramStart"/>
      <w:r>
        <w:rPr>
          <w:rFonts w:ascii="Arial Unicode MS" w:hAnsi="Arial Unicode MS" w:cs="Arial" w:hint="eastAsia"/>
          <w:bCs/>
          <w:szCs w:val="21"/>
        </w:rPr>
        <w:t>的纯债部分</w:t>
      </w:r>
      <w:proofErr w:type="gramEnd"/>
      <w:r>
        <w:rPr>
          <w:rFonts w:ascii="Arial Unicode MS" w:hAnsi="Arial Unicode MS" w:cs="Arial" w:hint="eastAsia"/>
          <w:bCs/>
          <w:szCs w:val="21"/>
        </w:rPr>
        <w:t>、债券回购、银行存款等法律法规或中国证监会允许基金投资的其他金融工具（但须符合中国证监会的相关规定）。</w:t>
      </w:r>
    </w:p>
    <w:p w14:paraId="24AB30DD"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本基金不投资于股票和权证，也不投资于可转换债券（可分离交易可转债的</w:t>
      </w:r>
      <w:proofErr w:type="gramStart"/>
      <w:r>
        <w:rPr>
          <w:rFonts w:ascii="Arial Unicode MS" w:hAnsi="Arial Unicode MS" w:cs="Arial" w:hint="eastAsia"/>
          <w:bCs/>
          <w:szCs w:val="21"/>
        </w:rPr>
        <w:t>纯债部分</w:t>
      </w:r>
      <w:proofErr w:type="gramEnd"/>
      <w:r>
        <w:rPr>
          <w:rFonts w:ascii="Arial Unicode MS" w:hAnsi="Arial Unicode MS" w:cs="Arial" w:hint="eastAsia"/>
          <w:bCs/>
          <w:szCs w:val="21"/>
        </w:rPr>
        <w:t>除外）、可交换债券。</w:t>
      </w:r>
    </w:p>
    <w:p w14:paraId="567E4FC5"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基金的投资组合比例为：本基金对债券的投资比例不低于基金资产的</w:t>
      </w:r>
      <w:r>
        <w:rPr>
          <w:rFonts w:ascii="Arial Unicode MS" w:hAnsi="Arial Unicode MS" w:cs="Arial" w:hint="eastAsia"/>
          <w:bCs/>
          <w:szCs w:val="21"/>
        </w:rPr>
        <w:t>80</w:t>
      </w:r>
      <w:r>
        <w:rPr>
          <w:rFonts w:ascii="Arial Unicode MS" w:hAnsi="Arial Unicode MS" w:cs="Arial" w:hint="eastAsia"/>
          <w:bCs/>
          <w:szCs w:val="21"/>
        </w:rPr>
        <w:t>％；本基金持有现金或者到期日在一年以内的政府债券投资比例不低于基金资产净值的</w:t>
      </w:r>
      <w:r>
        <w:rPr>
          <w:rFonts w:ascii="Arial Unicode MS" w:hAnsi="Arial Unicode MS" w:cs="Arial" w:hint="eastAsia"/>
          <w:bCs/>
          <w:szCs w:val="21"/>
        </w:rPr>
        <w:t>5%</w:t>
      </w:r>
      <w:r>
        <w:rPr>
          <w:rFonts w:ascii="Arial Unicode MS" w:hAnsi="Arial Unicode MS" w:cs="Arial" w:hint="eastAsia"/>
          <w:bCs/>
          <w:szCs w:val="21"/>
        </w:rPr>
        <w:t>，其中，现金不包括结算备付金、存出保证金、应收申购款。</w:t>
      </w:r>
    </w:p>
    <w:p w14:paraId="46C72F54"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如法律法规或监管机构以后允许基金投资的其他品种，基金管理人在履行适当程序后，可以将其纳入投资范围。</w:t>
      </w:r>
    </w:p>
    <w:p w14:paraId="626F7F88" w14:textId="77777777" w:rsidR="009A7A59" w:rsidRDefault="00000000">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w:t>
      </w:r>
      <w:r>
        <w:rPr>
          <w:rFonts w:ascii="Arial Unicode MS" w:hAnsi="Arial Unicode MS" w:cs="Arial"/>
          <w:b/>
          <w:bCs/>
          <w:szCs w:val="21"/>
        </w:rPr>
        <w:t>、投资策略</w:t>
      </w:r>
    </w:p>
    <w:p w14:paraId="6A7C7253"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bookmarkStart w:id="56" w:name="_Toc212891567"/>
      <w:bookmarkStart w:id="57" w:name="_Toc149105517"/>
      <w:bookmarkStart w:id="58" w:name="_Toc148867251"/>
      <w:r>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挖掘策略等。</w:t>
      </w:r>
    </w:p>
    <w:p w14:paraId="433AC5E6"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首先，本组合宏观周期研究的基础上，决定整体组合的久期、杠杆率策略。</w:t>
      </w:r>
    </w:p>
    <w:p w14:paraId="40C6EA09"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一方面，本基金将分析众多的宏观经济变量（包括</w:t>
      </w:r>
      <w:r>
        <w:rPr>
          <w:rFonts w:ascii="Arial Unicode MS" w:hAnsi="Arial Unicode MS" w:cs="Arial" w:hint="eastAsia"/>
          <w:bCs/>
          <w:szCs w:val="21"/>
        </w:rPr>
        <w:t>GDP</w:t>
      </w:r>
      <w:r>
        <w:rPr>
          <w:rFonts w:ascii="Arial Unicode MS" w:hAnsi="Arial Unicode MS" w:cs="Arial" w:hint="eastAsia"/>
          <w:bCs/>
          <w:szCs w:val="21"/>
        </w:rPr>
        <w:t>增长率、</w:t>
      </w:r>
      <w:r>
        <w:rPr>
          <w:rFonts w:ascii="Arial Unicode MS" w:hAnsi="Arial Unicode MS" w:cs="Arial" w:hint="eastAsia"/>
          <w:bCs/>
          <w:szCs w:val="21"/>
        </w:rPr>
        <w:t>CPI</w:t>
      </w:r>
      <w:r>
        <w:rPr>
          <w:rFonts w:ascii="Arial Unicode MS" w:hAnsi="Arial Unicode MS" w:cs="Arial" w:hint="eastAsia"/>
          <w:bCs/>
          <w:szCs w:val="21"/>
        </w:rPr>
        <w:t>走势、</w:t>
      </w:r>
      <w:r>
        <w:rPr>
          <w:rFonts w:ascii="Arial Unicode MS" w:hAnsi="Arial Unicode MS" w:cs="Arial" w:hint="eastAsia"/>
          <w:bCs/>
          <w:szCs w:val="21"/>
        </w:rPr>
        <w:t>M2</w:t>
      </w:r>
      <w:r>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Pr>
          <w:rFonts w:ascii="Arial Unicode MS" w:hAnsi="Arial Unicode MS" w:cs="Arial" w:hint="eastAsia"/>
          <w:bCs/>
          <w:szCs w:val="21"/>
        </w:rPr>
        <w:t>久期范围</w:t>
      </w:r>
      <w:proofErr w:type="gramEnd"/>
      <w:r>
        <w:rPr>
          <w:rFonts w:ascii="Arial Unicode MS" w:hAnsi="Arial Unicode MS" w:cs="Arial" w:hint="eastAsia"/>
          <w:bCs/>
          <w:szCs w:val="21"/>
        </w:rPr>
        <w:t>以及杠杆率水平。</w:t>
      </w:r>
    </w:p>
    <w:p w14:paraId="2A0D412C"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其次，本组合将在期限结构策略、行业轮动策略的基础上获得债券市场整体回报率，通过息差策略、</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挖掘策略获得超额收益。</w:t>
      </w:r>
    </w:p>
    <w:p w14:paraId="598A1005"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、期限结构策略。通过预测收益率曲线的形状和变化趋势，对各类型债券</w:t>
      </w:r>
      <w:proofErr w:type="gramStart"/>
      <w:r>
        <w:rPr>
          <w:rFonts w:ascii="Arial Unicode MS" w:hAnsi="Arial Unicode MS" w:cs="Arial" w:hint="eastAsia"/>
          <w:bCs/>
          <w:szCs w:val="21"/>
        </w:rPr>
        <w:t>进行久期配</w:t>
      </w:r>
      <w:r>
        <w:rPr>
          <w:rFonts w:ascii="Arial Unicode MS" w:hAnsi="Arial Unicode MS" w:cs="Arial" w:hint="eastAsia"/>
          <w:bCs/>
          <w:szCs w:val="21"/>
        </w:rPr>
        <w:lastRenderedPageBreak/>
        <w:t>置</w:t>
      </w:r>
      <w:proofErr w:type="gramEnd"/>
      <w:r>
        <w:rPr>
          <w:rFonts w:ascii="Arial Unicode MS" w:hAnsi="Arial Unicode MS" w:cs="Arial" w:hint="eastAsia"/>
          <w:bCs/>
          <w:szCs w:val="21"/>
        </w:rPr>
        <w:t>；当收益率曲线走势难以判断时，参考基准指数的样本</w:t>
      </w:r>
      <w:proofErr w:type="gramStart"/>
      <w:r>
        <w:rPr>
          <w:rFonts w:ascii="Arial Unicode MS" w:hAnsi="Arial Unicode MS" w:cs="Arial" w:hint="eastAsia"/>
          <w:bCs/>
          <w:szCs w:val="21"/>
        </w:rPr>
        <w:t>券久期构建</w:t>
      </w:r>
      <w:proofErr w:type="gramEnd"/>
      <w:r>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14:paraId="20958442"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22FF95CB"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）子弹策略是使投资组合中债券</w:t>
      </w:r>
      <w:proofErr w:type="gramStart"/>
      <w:r>
        <w:rPr>
          <w:rFonts w:ascii="Arial Unicode MS" w:hAnsi="Arial Unicode MS" w:cs="Arial" w:hint="eastAsia"/>
          <w:bCs/>
          <w:szCs w:val="21"/>
        </w:rPr>
        <w:t>久期集中</w:t>
      </w:r>
      <w:proofErr w:type="gramEnd"/>
      <w:r>
        <w:rPr>
          <w:rFonts w:ascii="Arial Unicode MS" w:hAnsi="Arial Unicode MS" w:cs="Arial" w:hint="eastAsia"/>
          <w:bCs/>
          <w:szCs w:val="21"/>
        </w:rPr>
        <w:t>于收益率曲线的一点，适用于收益率曲线较陡时；杠铃策略是使投资组合中债券的</w:t>
      </w:r>
      <w:proofErr w:type="gramStart"/>
      <w:r>
        <w:rPr>
          <w:rFonts w:ascii="Arial Unicode MS" w:hAnsi="Arial Unicode MS" w:cs="Arial" w:hint="eastAsia"/>
          <w:bCs/>
          <w:szCs w:val="21"/>
        </w:rPr>
        <w:t>久期集中</w:t>
      </w:r>
      <w:proofErr w:type="gramEnd"/>
      <w:r>
        <w:rPr>
          <w:rFonts w:ascii="Arial Unicode MS" w:hAnsi="Arial Unicode MS" w:cs="Arial" w:hint="eastAsia"/>
          <w:bCs/>
          <w:szCs w:val="21"/>
        </w:rPr>
        <w:t>在收益率曲线的两端，适用于收益率曲线两头下降较中间下降更多的蝶式变动；梯式策略是使投资组合中的</w:t>
      </w:r>
      <w:proofErr w:type="gramStart"/>
      <w:r>
        <w:rPr>
          <w:rFonts w:ascii="Arial Unicode MS" w:hAnsi="Arial Unicode MS" w:cs="Arial" w:hint="eastAsia"/>
          <w:bCs/>
          <w:szCs w:val="21"/>
        </w:rPr>
        <w:t>债券久期均匀</w:t>
      </w:r>
      <w:proofErr w:type="gramEnd"/>
      <w:r>
        <w:rPr>
          <w:rFonts w:ascii="Arial Unicode MS" w:hAnsi="Arial Unicode MS" w:cs="Arial" w:hint="eastAsia"/>
          <w:bCs/>
          <w:szCs w:val="21"/>
        </w:rPr>
        <w:t>分别于收益率曲线，适用于收益率曲线水平移动。</w:t>
      </w:r>
    </w:p>
    <w:p w14:paraId="422260F7"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3BEEC3DD"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Pr>
          <w:rFonts w:ascii="Arial Unicode MS" w:hAnsi="Arial Unicode MS" w:cs="Arial" w:hint="eastAsia"/>
          <w:bCs/>
          <w:szCs w:val="21"/>
        </w:rPr>
        <w:t>链高度</w:t>
      </w:r>
      <w:proofErr w:type="gramEnd"/>
      <w:r>
        <w:rPr>
          <w:rFonts w:ascii="Arial Unicode MS" w:hAnsi="Arial Unicode MS" w:cs="Arial" w:hint="eastAsia"/>
          <w:bCs/>
          <w:szCs w:val="21"/>
        </w:rPr>
        <w:t>相关的上中下游行业。</w:t>
      </w:r>
    </w:p>
    <w:p w14:paraId="51DCD0D9"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）行业投资：本组合将依据对下一阶段各行业景气</w:t>
      </w:r>
      <w:proofErr w:type="gramStart"/>
      <w:r>
        <w:rPr>
          <w:rFonts w:ascii="Arial Unicode MS" w:hAnsi="Arial Unicode MS" w:cs="Arial" w:hint="eastAsia"/>
          <w:bCs/>
          <w:szCs w:val="21"/>
        </w:rPr>
        <w:t>度特征的研</w:t>
      </w:r>
      <w:proofErr w:type="gramEnd"/>
      <w:r>
        <w:rPr>
          <w:rFonts w:ascii="Arial Unicode MS" w:hAnsi="Arial Unicode MS" w:cs="Arial" w:hint="eastAsia"/>
          <w:bCs/>
          <w:szCs w:val="21"/>
        </w:rPr>
        <w:t>判，确定在下一阶段在各行业的配置比例，卖出景气度降低行业的债券，提前布局景气度提升行业的债券。</w:t>
      </w:r>
    </w:p>
    <w:p w14:paraId="1F44ED53"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、息差策略。通过正回购，融资买入收益率高于回购成本的债券，从而获得杠杆放大收益。</w:t>
      </w:r>
    </w:p>
    <w:p w14:paraId="3251507C"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本组合将采取低杠杆、高流动性策略，适当运用杠杆息</w:t>
      </w:r>
      <w:proofErr w:type="gramStart"/>
      <w:r>
        <w:rPr>
          <w:rFonts w:ascii="Arial Unicode MS" w:hAnsi="Arial Unicode MS" w:cs="Arial" w:hint="eastAsia"/>
          <w:bCs/>
          <w:szCs w:val="21"/>
        </w:rPr>
        <w:t>差方式</w:t>
      </w:r>
      <w:proofErr w:type="gramEnd"/>
      <w:r>
        <w:rPr>
          <w:rFonts w:ascii="Arial Unicode MS" w:hAnsi="Arial Unicode MS" w:cs="Arial" w:hint="eastAsia"/>
          <w:bCs/>
          <w:szCs w:val="21"/>
        </w:rPr>
        <w:t>来获取主动管理回报，选取具有较好流动性的债券作为杠杆买入品种，灵活控制杠杆组合</w:t>
      </w:r>
      <w:proofErr w:type="gramStart"/>
      <w:r>
        <w:rPr>
          <w:rFonts w:ascii="Arial Unicode MS" w:hAnsi="Arial Unicode MS" w:cs="Arial" w:hint="eastAsia"/>
          <w:bCs/>
          <w:szCs w:val="21"/>
        </w:rPr>
        <w:t>仓位</w:t>
      </w:r>
      <w:proofErr w:type="gramEnd"/>
      <w:r>
        <w:rPr>
          <w:rFonts w:ascii="Arial Unicode MS" w:hAnsi="Arial Unicode MS" w:cs="Arial" w:hint="eastAsia"/>
          <w:bCs/>
          <w:szCs w:val="21"/>
        </w:rPr>
        <w:t>，降低组合波动率。</w:t>
      </w:r>
    </w:p>
    <w:p w14:paraId="74897BE3"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w:t>
      </w:r>
      <w:proofErr w:type="gramStart"/>
      <w:r>
        <w:rPr>
          <w:rFonts w:ascii="Arial Unicode MS" w:hAnsi="Arial Unicode MS" w:cs="Arial" w:hint="eastAsia"/>
          <w:bCs/>
          <w:szCs w:val="21"/>
        </w:rPr>
        <w:t>个券</w:t>
      </w:r>
      <w:proofErr w:type="gramEnd"/>
      <w:r>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Pr>
          <w:rFonts w:ascii="Arial Unicode MS" w:hAnsi="Arial Unicode MS" w:cs="Arial" w:hint="eastAsia"/>
          <w:bCs/>
          <w:szCs w:val="21"/>
        </w:rPr>
        <w:t>面改善</w:t>
      </w:r>
      <w:proofErr w:type="gramEnd"/>
      <w:r>
        <w:rPr>
          <w:rFonts w:ascii="Arial Unicode MS" w:hAnsi="Arial Unicode MS" w:cs="Arial" w:hint="eastAsia"/>
          <w:bCs/>
          <w:szCs w:val="21"/>
        </w:rPr>
        <w:t>的公司，采取高度分散策略，重点布局优势债券，争取提高组合超额收益空间。</w:t>
      </w:r>
    </w:p>
    <w:p w14:paraId="5962A14F" w14:textId="77777777" w:rsidR="009A7A59" w:rsidRDefault="00000000">
      <w:pPr>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四、投资决策流程</w:t>
      </w:r>
    </w:p>
    <w:p w14:paraId="37D338A1"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具体的投资流程为：</w:t>
      </w:r>
    </w:p>
    <w:p w14:paraId="3D3045AA"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7FED680A"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Pr>
          <w:rFonts w:ascii="Arial Unicode MS" w:hAnsi="Arial Unicode MS" w:cs="Arial" w:hint="eastAsia"/>
          <w:szCs w:val="21"/>
        </w:rPr>
        <w:t>,</w:t>
      </w:r>
      <w:r>
        <w:rPr>
          <w:rFonts w:ascii="Arial Unicode MS" w:hAnsi="Arial Unicode MS" w:cs="Arial" w:hint="eastAsia"/>
          <w:szCs w:val="21"/>
        </w:rPr>
        <w:t>并报投资决策委员会备案。</w:t>
      </w:r>
    </w:p>
    <w:p w14:paraId="51BD4D4E"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3</w:t>
      </w:r>
      <w:r>
        <w:rPr>
          <w:rFonts w:ascii="Arial Unicode MS" w:hAnsi="Arial Unicode MS" w:cs="Arial" w:hint="eastAsia"/>
          <w:szCs w:val="21"/>
        </w:rPr>
        <w:t>）基金经理负责执行投资方案。</w:t>
      </w:r>
    </w:p>
    <w:p w14:paraId="664B84F9"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7A3923EA"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）基金经理根据市场变化在权限范围及时进行投资策略调整，超过投资权限的报投资决策委员会审议。</w:t>
      </w:r>
    </w:p>
    <w:p w14:paraId="7D23B194"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投资合</w:t>
      </w:r>
      <w:proofErr w:type="gramStart"/>
      <w:r>
        <w:rPr>
          <w:rFonts w:ascii="Arial Unicode MS" w:hAnsi="Arial Unicode MS" w:cs="Arial" w:hint="eastAsia"/>
          <w:szCs w:val="21"/>
        </w:rPr>
        <w:t>规</w:t>
      </w:r>
      <w:proofErr w:type="gramEnd"/>
      <w:r>
        <w:rPr>
          <w:rFonts w:ascii="Arial Unicode MS" w:hAnsi="Arial Unicode MS" w:cs="Arial" w:hint="eastAsia"/>
          <w:szCs w:val="21"/>
        </w:rPr>
        <w:t>性控制从以下方面展开：</w:t>
      </w:r>
    </w:p>
    <w:p w14:paraId="5D60786B"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58F8923D"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）督察长：可列席公司投资决策委员会议，全程监控交易指令的执行情况，保证合</w:t>
      </w:r>
      <w:proofErr w:type="gramStart"/>
      <w:r>
        <w:rPr>
          <w:rFonts w:ascii="Arial Unicode MS" w:hAnsi="Arial Unicode MS" w:cs="Arial" w:hint="eastAsia"/>
          <w:szCs w:val="21"/>
        </w:rPr>
        <w:t>规</w:t>
      </w:r>
      <w:proofErr w:type="gramEnd"/>
      <w:r>
        <w:rPr>
          <w:rFonts w:ascii="Arial Unicode MS" w:hAnsi="Arial Unicode MS" w:cs="Arial" w:hint="eastAsia"/>
          <w:szCs w:val="21"/>
        </w:rPr>
        <w:t>性控制的实施。</w:t>
      </w:r>
    </w:p>
    <w:p w14:paraId="530F012E"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01AD2572"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）交易部负责对投资指令进行审核，对日常交易行为实时监控。</w:t>
      </w:r>
    </w:p>
    <w:p w14:paraId="6A8230D2"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1F97E127" w14:textId="77777777" w:rsidR="009A7A59" w:rsidRDefault="00000000">
      <w:pPr>
        <w:autoSpaceDE w:val="0"/>
        <w:autoSpaceDN w:val="0"/>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五</w:t>
      </w:r>
      <w:r>
        <w:rPr>
          <w:rFonts w:ascii="Arial Unicode MS" w:hAnsi="Arial Unicode MS" w:cs="Arial"/>
          <w:b/>
          <w:bCs/>
          <w:szCs w:val="21"/>
        </w:rPr>
        <w:t>、投资限制</w:t>
      </w:r>
    </w:p>
    <w:p w14:paraId="20A55F20"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、组合限制</w:t>
      </w:r>
    </w:p>
    <w:p w14:paraId="033F0CD2"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基金的投资组合应遵循以下限制：</w:t>
      </w:r>
    </w:p>
    <w:p w14:paraId="24DB7EA0"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w:t>
      </w:r>
    </w:p>
    <w:p w14:paraId="13958BA8"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szCs w:val="21"/>
        </w:rPr>
        <w:t>本基金</w:t>
      </w:r>
      <w:r>
        <w:rPr>
          <w:rFonts w:ascii="Arial Unicode MS" w:hAnsi="Arial Unicode MS" w:cs="Arial" w:hint="eastAsia"/>
          <w:szCs w:val="21"/>
        </w:rPr>
        <w:t>持有现金或者到期日在一年以内的政府债券投资比例合计不低于基金资产净值的</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bCs/>
          <w:szCs w:val="21"/>
        </w:rPr>
        <w:t>其中，现金不包括结算备付金、存出保证金、应收申购款</w:t>
      </w:r>
      <w:r>
        <w:rPr>
          <w:rFonts w:ascii="Arial Unicode MS" w:hAnsi="Arial Unicode MS" w:cs="Arial" w:hint="eastAsia"/>
          <w:szCs w:val="21"/>
        </w:rPr>
        <w:t>；</w:t>
      </w:r>
    </w:p>
    <w:p w14:paraId="6B1B7A1B"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3</w:t>
      </w:r>
      <w:r>
        <w:rPr>
          <w:rFonts w:ascii="Arial Unicode MS" w:hAnsi="Arial Unicode MS" w:cs="Arial"/>
          <w:szCs w:val="21"/>
        </w:rPr>
        <w:t>）本基金持有一家公司</w:t>
      </w:r>
      <w:r>
        <w:rPr>
          <w:rFonts w:ascii="Arial Unicode MS" w:hAnsi="Arial Unicode MS" w:cs="Arial" w:hint="eastAsia"/>
          <w:szCs w:val="21"/>
        </w:rPr>
        <w:t>发行</w:t>
      </w:r>
      <w:r>
        <w:rPr>
          <w:rFonts w:ascii="Arial Unicode MS" w:hAnsi="Arial Unicode MS" w:cs="Arial"/>
          <w:szCs w:val="21"/>
        </w:rPr>
        <w:t>的</w:t>
      </w:r>
      <w:r>
        <w:rPr>
          <w:rFonts w:ascii="Arial Unicode MS" w:hAnsi="Arial Unicode MS" w:cs="Arial" w:hint="eastAsia"/>
          <w:szCs w:val="21"/>
        </w:rPr>
        <w:t>证券</w:t>
      </w:r>
      <w:r>
        <w:rPr>
          <w:rFonts w:ascii="Arial Unicode MS" w:hAnsi="Arial Unicode MS" w:cs="Arial"/>
          <w:szCs w:val="21"/>
        </w:rPr>
        <w:t>，其市值不超过基金资产净值的</w:t>
      </w:r>
      <w:r>
        <w:rPr>
          <w:rFonts w:ascii="Arial Unicode MS" w:hAnsi="Arial Unicode MS" w:cs="Arial"/>
          <w:szCs w:val="21"/>
        </w:rPr>
        <w:t>10</w:t>
      </w:r>
      <w:r>
        <w:rPr>
          <w:rFonts w:ascii="Arial Unicode MS" w:hAnsi="Arial Unicode MS" w:cs="Arial"/>
          <w:szCs w:val="21"/>
        </w:rPr>
        <w:t>％；</w:t>
      </w:r>
    </w:p>
    <w:p w14:paraId="182841FE"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4</w:t>
      </w:r>
      <w:r>
        <w:rPr>
          <w:rFonts w:ascii="Arial Unicode MS" w:hAnsi="Arial Unicode MS" w:cs="Arial"/>
          <w:szCs w:val="21"/>
        </w:rPr>
        <w:t>）本基金管理人管理的全部基金持有一家公司发行的证券，不超过该证券的</w:t>
      </w:r>
      <w:r>
        <w:rPr>
          <w:rFonts w:ascii="Arial Unicode MS" w:hAnsi="Arial Unicode MS" w:cs="Arial"/>
          <w:szCs w:val="21"/>
        </w:rPr>
        <w:t>10</w:t>
      </w:r>
      <w:r>
        <w:rPr>
          <w:rFonts w:ascii="Arial Unicode MS" w:hAnsi="Arial Unicode MS" w:cs="Arial"/>
          <w:szCs w:val="21"/>
        </w:rPr>
        <w:t>％；</w:t>
      </w:r>
    </w:p>
    <w:p w14:paraId="5B785B34"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）本基金进入全国银行间同业市场进行债券回购的资金余额不得超过基金资产净值的</w:t>
      </w:r>
      <w:r>
        <w:rPr>
          <w:rFonts w:ascii="Arial Unicode MS" w:hAnsi="Arial Unicode MS" w:cs="Arial" w:hint="eastAsia"/>
          <w:szCs w:val="21"/>
        </w:rPr>
        <w:t>40%</w:t>
      </w:r>
      <w:r>
        <w:rPr>
          <w:rFonts w:ascii="Arial Unicode MS" w:hAnsi="Arial Unicode MS" w:cs="Arial" w:hint="eastAsia"/>
          <w:szCs w:val="21"/>
        </w:rPr>
        <w:t>；在全国银行间同业市场中的债券回购最长期限为</w:t>
      </w:r>
      <w:r>
        <w:rPr>
          <w:rFonts w:ascii="Arial Unicode MS" w:hAnsi="Arial Unicode MS" w:cs="Arial" w:hint="eastAsia"/>
          <w:szCs w:val="21"/>
        </w:rPr>
        <w:t>1</w:t>
      </w:r>
      <w:r>
        <w:rPr>
          <w:rFonts w:ascii="Arial Unicode MS" w:hAnsi="Arial Unicode MS" w:cs="Arial" w:hint="eastAsia"/>
          <w:szCs w:val="21"/>
        </w:rPr>
        <w:t>年，债券回购到期后</w:t>
      </w:r>
      <w:proofErr w:type="gramStart"/>
      <w:r>
        <w:rPr>
          <w:rFonts w:ascii="Arial Unicode MS" w:hAnsi="Arial Unicode MS" w:cs="Arial" w:hint="eastAsia"/>
          <w:szCs w:val="21"/>
        </w:rPr>
        <w:t>不</w:t>
      </w:r>
      <w:proofErr w:type="gramEnd"/>
      <w:r>
        <w:rPr>
          <w:rFonts w:ascii="Arial Unicode MS" w:hAnsi="Arial Unicode MS" w:cs="Arial" w:hint="eastAsia"/>
          <w:szCs w:val="21"/>
        </w:rPr>
        <w:t>展期；</w:t>
      </w:r>
    </w:p>
    <w:p w14:paraId="334FC0FE"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）本基金投资于同一原始权益人的各类资产支持证券的比例，不得超过基金资产净</w:t>
      </w:r>
      <w:r>
        <w:rPr>
          <w:rFonts w:ascii="Arial Unicode MS" w:hAnsi="Arial Unicode MS" w:cs="Arial" w:hint="eastAsia"/>
          <w:szCs w:val="21"/>
        </w:rPr>
        <w:lastRenderedPageBreak/>
        <w:t>值的</w:t>
      </w:r>
      <w:r>
        <w:rPr>
          <w:rFonts w:ascii="Arial Unicode MS" w:hAnsi="Arial Unicode MS" w:cs="Arial" w:hint="eastAsia"/>
          <w:szCs w:val="21"/>
        </w:rPr>
        <w:t>10</w:t>
      </w:r>
      <w:r>
        <w:rPr>
          <w:rFonts w:ascii="Arial Unicode MS" w:hAnsi="Arial Unicode MS" w:cs="Arial" w:hint="eastAsia"/>
          <w:szCs w:val="21"/>
        </w:rPr>
        <w:t>％；</w:t>
      </w:r>
    </w:p>
    <w:p w14:paraId="15ABA7B8"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）本基金持有的全部资产支持证券，其市值不得超过基金资产净值的</w:t>
      </w:r>
      <w:r>
        <w:rPr>
          <w:rFonts w:ascii="Arial Unicode MS" w:hAnsi="Arial Unicode MS" w:cs="Arial" w:hint="eastAsia"/>
          <w:szCs w:val="21"/>
        </w:rPr>
        <w:t>20</w:t>
      </w:r>
      <w:r>
        <w:rPr>
          <w:rFonts w:ascii="Arial Unicode MS" w:hAnsi="Arial Unicode MS" w:cs="Arial" w:hint="eastAsia"/>
          <w:szCs w:val="21"/>
        </w:rPr>
        <w:t>％；</w:t>
      </w:r>
    </w:p>
    <w:p w14:paraId="754DF058"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）本基金持有的同一</w:t>
      </w:r>
      <w:r>
        <w:rPr>
          <w:rFonts w:ascii="Arial Unicode MS" w:hAnsi="Arial Unicode MS" w:cs="Arial"/>
          <w:szCs w:val="21"/>
        </w:rPr>
        <w:t>(</w:t>
      </w:r>
      <w:r>
        <w:rPr>
          <w:rFonts w:ascii="Arial Unicode MS" w:hAnsi="Arial Unicode MS" w:cs="Arial" w:hint="eastAsia"/>
          <w:szCs w:val="21"/>
        </w:rPr>
        <w:t>指同一信用级别</w:t>
      </w:r>
      <w:r>
        <w:rPr>
          <w:rFonts w:ascii="Arial Unicode MS" w:hAnsi="Arial Unicode MS" w:cs="Arial"/>
          <w:szCs w:val="21"/>
        </w:rPr>
        <w:t>)</w:t>
      </w:r>
      <w:r>
        <w:rPr>
          <w:rFonts w:ascii="Arial Unicode MS" w:hAnsi="Arial Unicode MS" w:cs="Arial" w:hint="eastAsia"/>
          <w:szCs w:val="21"/>
        </w:rPr>
        <w:t>资产支持证券的比例，不得超过该资产支持证券规模的</w:t>
      </w:r>
      <w:r>
        <w:rPr>
          <w:rFonts w:ascii="Arial Unicode MS" w:hAnsi="Arial Unicode MS" w:cs="Arial"/>
          <w:szCs w:val="21"/>
        </w:rPr>
        <w:t>10</w:t>
      </w:r>
      <w:r>
        <w:rPr>
          <w:rFonts w:ascii="Arial Unicode MS" w:hAnsi="Arial Unicode MS" w:cs="Arial" w:hint="eastAsia"/>
          <w:szCs w:val="21"/>
        </w:rPr>
        <w:t>％；</w:t>
      </w:r>
    </w:p>
    <w:p w14:paraId="4A0A4A24"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9</w:t>
      </w:r>
      <w:r>
        <w:rPr>
          <w:rFonts w:ascii="Arial Unicode MS" w:hAnsi="Arial Unicode MS" w:cs="Arial" w:hint="eastAsia"/>
          <w:szCs w:val="21"/>
        </w:rPr>
        <w:t>）本基金管理人管理的全部基金投资于同一原始权益人的各类资产支持证券，不得超过其各类资产支持证券合计规模的</w:t>
      </w:r>
      <w:r>
        <w:rPr>
          <w:rFonts w:ascii="Arial Unicode MS" w:hAnsi="Arial Unicode MS" w:cs="Arial" w:hint="eastAsia"/>
          <w:szCs w:val="21"/>
        </w:rPr>
        <w:t>10</w:t>
      </w:r>
      <w:r>
        <w:rPr>
          <w:rFonts w:ascii="Arial Unicode MS" w:hAnsi="Arial Unicode MS" w:cs="Arial" w:hint="eastAsia"/>
          <w:szCs w:val="21"/>
        </w:rPr>
        <w:t>％；</w:t>
      </w:r>
    </w:p>
    <w:p w14:paraId="07CB2FC2"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）本基金应投资于信用级别评级为</w:t>
      </w:r>
      <w:r>
        <w:rPr>
          <w:rFonts w:ascii="Arial Unicode MS" w:hAnsi="Arial Unicode MS" w:cs="Arial" w:hint="eastAsia"/>
          <w:szCs w:val="21"/>
        </w:rPr>
        <w:t>BBB</w:t>
      </w:r>
      <w:r>
        <w:rPr>
          <w:rFonts w:ascii="Arial Unicode MS" w:hAnsi="Arial Unicode MS" w:cs="Arial" w:hint="eastAsia"/>
          <w:szCs w:val="21"/>
        </w:rPr>
        <w:t>以上</w:t>
      </w:r>
      <w:r>
        <w:rPr>
          <w:rFonts w:ascii="Arial Unicode MS" w:hAnsi="Arial Unicode MS" w:cs="Arial" w:hint="eastAsia"/>
          <w:szCs w:val="21"/>
        </w:rPr>
        <w:t>(</w:t>
      </w:r>
      <w:r>
        <w:rPr>
          <w:rFonts w:ascii="Arial Unicode MS" w:hAnsi="Arial Unicode MS" w:cs="Arial" w:hint="eastAsia"/>
          <w:szCs w:val="21"/>
        </w:rPr>
        <w:t>含</w:t>
      </w:r>
      <w:r>
        <w:rPr>
          <w:rFonts w:ascii="Arial Unicode MS" w:hAnsi="Arial Unicode MS" w:cs="Arial" w:hint="eastAsia"/>
          <w:szCs w:val="21"/>
        </w:rPr>
        <w:t>BBB)</w:t>
      </w:r>
      <w:r>
        <w:rPr>
          <w:rFonts w:ascii="Arial Unicode MS" w:hAnsi="Arial Unicode MS" w:cs="Arial" w:hint="eastAsia"/>
          <w:szCs w:val="21"/>
        </w:rPr>
        <w:t>的资产支持证券。基金持有资产支持证券期间，如果其信用等级下降、不再符合投资标准，应在评级报告发布之日起</w:t>
      </w:r>
      <w:r>
        <w:rPr>
          <w:rFonts w:ascii="Arial Unicode MS" w:hAnsi="Arial Unicode MS" w:cs="Arial" w:hint="eastAsia"/>
          <w:szCs w:val="21"/>
        </w:rPr>
        <w:t>3</w:t>
      </w:r>
      <w:r>
        <w:rPr>
          <w:rFonts w:ascii="Arial Unicode MS" w:hAnsi="Arial Unicode MS" w:cs="Arial" w:hint="eastAsia"/>
          <w:szCs w:val="21"/>
        </w:rPr>
        <w:t>个月内予以全部卖出；</w:t>
      </w:r>
    </w:p>
    <w:p w14:paraId="18F3CF70" w14:textId="77777777" w:rsidR="009A7A59" w:rsidRDefault="00000000">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11</w:t>
      </w:r>
      <w:r>
        <w:rPr>
          <w:rFonts w:ascii="Arial Unicode MS" w:hAnsi="Arial Unicode MS" w:cs="Arial" w:hint="eastAsia"/>
          <w:szCs w:val="21"/>
        </w:rPr>
        <w:t>）基金资产总值不得超过基金资产净值的</w:t>
      </w:r>
      <w:r>
        <w:rPr>
          <w:rFonts w:ascii="Arial Unicode MS" w:hAnsi="Arial Unicode MS" w:cs="Arial" w:hint="eastAsia"/>
          <w:szCs w:val="21"/>
        </w:rPr>
        <w:t>140%</w:t>
      </w:r>
      <w:r>
        <w:rPr>
          <w:rFonts w:ascii="Arial Unicode MS" w:hAnsi="Arial Unicode MS" w:cs="Arial" w:hint="eastAsia"/>
          <w:szCs w:val="21"/>
        </w:rPr>
        <w:t>；</w:t>
      </w:r>
    </w:p>
    <w:p w14:paraId="5C69CABC" w14:textId="77777777" w:rsidR="009A7A59" w:rsidRDefault="00000000">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szCs w:val="21"/>
        </w:rPr>
        <w:t>）</w:t>
      </w:r>
      <w:r>
        <w:rPr>
          <w:rFonts w:ascii="Arial Unicode MS" w:hAnsi="Arial Unicode MS" w:cs="Arial" w:hint="eastAsia"/>
          <w:szCs w:val="21"/>
        </w:rPr>
        <w:t>本基金主动投资于流动性受限资产的市值合计不得超过基金资产净值的</w:t>
      </w:r>
      <w:r>
        <w:rPr>
          <w:rFonts w:ascii="Arial Unicode MS" w:hAnsi="Arial Unicode MS" w:cs="Arial" w:hint="eastAsia"/>
          <w:szCs w:val="21"/>
        </w:rPr>
        <w:t>15%</w:t>
      </w:r>
      <w:r>
        <w:rPr>
          <w:rFonts w:ascii="Arial Unicode MS" w:hAnsi="Arial Unicode MS" w:cs="Arial" w:hint="eastAsia"/>
          <w:szCs w:val="21"/>
        </w:rPr>
        <w:t>；</w:t>
      </w:r>
    </w:p>
    <w:p w14:paraId="61938056" w14:textId="77777777" w:rsidR="009A7A59" w:rsidRDefault="00000000">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72AF4E9D" w14:textId="77777777" w:rsidR="009A7A59" w:rsidRDefault="00000000">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）本基金与私募类</w:t>
      </w:r>
      <w:proofErr w:type="gramStart"/>
      <w:r>
        <w:rPr>
          <w:rFonts w:ascii="Arial Unicode MS" w:hAnsi="Arial Unicode MS" w:cs="Arial" w:hint="eastAsia"/>
          <w:szCs w:val="21"/>
        </w:rPr>
        <w:t>证券资管产品</w:t>
      </w:r>
      <w:proofErr w:type="gramEnd"/>
      <w:r>
        <w:rPr>
          <w:rFonts w:ascii="Arial Unicode MS" w:hAnsi="Arial Unicode MS" w:cs="Arial" w:hint="eastAsia"/>
          <w:szCs w:val="21"/>
        </w:rPr>
        <w:t>及中国证监会认定的其他主体为交易对手开展逆回购交易的，可接受质押品的资质要求应当与基金合同约定的投资范围保持一致；</w:t>
      </w:r>
    </w:p>
    <w:p w14:paraId="4A67C20A" w14:textId="77777777" w:rsidR="009A7A59" w:rsidRDefault="00000000">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szCs w:val="21"/>
        </w:rPr>
        <w:t>）</w:t>
      </w:r>
      <w:r>
        <w:rPr>
          <w:rFonts w:ascii="Arial Unicode MS" w:hAnsi="Arial Unicode MS" w:cs="Arial" w:hint="eastAsia"/>
          <w:szCs w:val="21"/>
        </w:rPr>
        <w:t>法律法规及中国证监会规定的和《基金合同》约定的其他投资限制。</w:t>
      </w:r>
    </w:p>
    <w:p w14:paraId="098BCDC8" w14:textId="77777777" w:rsidR="009A7A59" w:rsidRDefault="00000000">
      <w:pPr>
        <w:spacing w:line="360" w:lineRule="auto"/>
        <w:ind w:firstLineChars="250" w:firstLine="525"/>
        <w:rPr>
          <w:rFonts w:ascii="Arial Unicode MS" w:hAnsi="Arial Unicode MS" w:cs="Arial" w:hint="eastAsia"/>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szCs w:val="21"/>
        </w:rPr>
        <w:t>10</w:t>
      </w:r>
      <w:r>
        <w:rPr>
          <w:rFonts w:ascii="Arial Unicode MS" w:hAnsi="Arial Unicode MS" w:cs="Arial" w:hint="eastAsia"/>
          <w:szCs w:val="21"/>
        </w:rPr>
        <w:t>个交易日内进行调整，但中国证监会规定的特殊情形除外。法律法规或监管机构另有规定的，从其规定。</w:t>
      </w:r>
    </w:p>
    <w:p w14:paraId="53622475"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基金管理人应当自基金合同生效之日起</w:t>
      </w:r>
      <w:r>
        <w:rPr>
          <w:rFonts w:ascii="Arial Unicode MS" w:hAnsi="Arial Unicode MS" w:cs="Arial" w:hint="eastAsia"/>
          <w:szCs w:val="21"/>
        </w:rPr>
        <w:t>6</w:t>
      </w:r>
      <w:r>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771D7C2F"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4132158E"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、禁止行为</w:t>
      </w:r>
    </w:p>
    <w:p w14:paraId="3971B371"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为维护基金份额持有人的合法权益，基金财产不得用于下列投资或者活动：</w:t>
      </w:r>
    </w:p>
    <w:p w14:paraId="59FDBB22"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）承销证券；</w:t>
      </w:r>
    </w:p>
    <w:p w14:paraId="7600F352"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）违反规定向他人贷款或者提供担保；</w:t>
      </w:r>
    </w:p>
    <w:p w14:paraId="1D83872E"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）从事承担无限责任的投资；</w:t>
      </w:r>
    </w:p>
    <w:p w14:paraId="59E5A2E3"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）买卖其他基金份额，但是中国证监会另有规定的除外；</w:t>
      </w:r>
    </w:p>
    <w:p w14:paraId="59A6BAA0"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）向其基金管理人、基金托管人出资；</w:t>
      </w:r>
    </w:p>
    <w:p w14:paraId="6C5275FF"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）从事内幕交易、操纵证券交易价格及其他不正当的证券交易活动；</w:t>
      </w:r>
    </w:p>
    <w:p w14:paraId="3285AABA"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）法律、行政法规和中国证监会规定禁止的其他活动。</w:t>
      </w:r>
    </w:p>
    <w:p w14:paraId="4CF37B69"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3D23CD1"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14:paraId="2373F751" w14:textId="77777777" w:rsidR="009A7A59" w:rsidRDefault="00000000">
      <w:pPr>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六</w:t>
      </w:r>
      <w:r>
        <w:rPr>
          <w:rFonts w:ascii="Arial Unicode MS" w:hAnsi="Arial Unicode MS" w:cs="Arial"/>
          <w:b/>
          <w:szCs w:val="21"/>
        </w:rPr>
        <w:t>、业绩比较基准</w:t>
      </w:r>
    </w:p>
    <w:p w14:paraId="32E3ACA7" w14:textId="77777777" w:rsidR="009A7A59" w:rsidRDefault="00000000">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本基金的业绩比较基准为：中</w:t>
      </w:r>
      <w:proofErr w:type="gramStart"/>
      <w:r>
        <w:rPr>
          <w:rFonts w:ascii="Arial Unicode MS" w:hAnsi="Arial Unicode MS" w:cs="Arial" w:hint="eastAsia"/>
          <w:bCs/>
          <w:szCs w:val="21"/>
        </w:rPr>
        <w:t>债综合</w:t>
      </w:r>
      <w:proofErr w:type="gramEnd"/>
      <w:r>
        <w:rPr>
          <w:rFonts w:ascii="Arial Unicode MS" w:hAnsi="Arial Unicode MS" w:cs="Arial" w:hint="eastAsia"/>
          <w:bCs/>
          <w:szCs w:val="21"/>
        </w:rPr>
        <w:t>全价</w:t>
      </w:r>
      <w:r>
        <w:rPr>
          <w:rFonts w:ascii="Arial Unicode MS" w:hAnsi="Arial Unicode MS" w:cs="Arial" w:hint="eastAsia"/>
          <w:bCs/>
          <w:szCs w:val="21"/>
        </w:rPr>
        <w:t>(</w:t>
      </w:r>
      <w:r>
        <w:rPr>
          <w:rFonts w:ascii="Arial Unicode MS" w:hAnsi="Arial Unicode MS" w:cs="Arial" w:hint="eastAsia"/>
          <w:bCs/>
          <w:szCs w:val="21"/>
        </w:rPr>
        <w:t>总值</w:t>
      </w:r>
      <w:r>
        <w:rPr>
          <w:rFonts w:ascii="Arial Unicode MS" w:hAnsi="Arial Unicode MS" w:cs="Arial" w:hint="eastAsia"/>
          <w:bCs/>
          <w:szCs w:val="21"/>
        </w:rPr>
        <w:t>)</w:t>
      </w:r>
      <w:r>
        <w:rPr>
          <w:rFonts w:ascii="Arial Unicode MS" w:hAnsi="Arial Unicode MS" w:cs="Arial" w:hint="eastAsia"/>
          <w:bCs/>
          <w:szCs w:val="21"/>
        </w:rPr>
        <w:t>指数收益率×</w:t>
      </w:r>
      <w:r>
        <w:rPr>
          <w:rFonts w:ascii="Arial Unicode MS" w:hAnsi="Arial Unicode MS" w:cs="Arial" w:hint="eastAsia"/>
          <w:bCs/>
          <w:szCs w:val="21"/>
        </w:rPr>
        <w:t>90%+1</w:t>
      </w:r>
      <w:r>
        <w:rPr>
          <w:rFonts w:ascii="Arial Unicode MS" w:hAnsi="Arial Unicode MS" w:cs="Arial" w:hint="eastAsia"/>
          <w:bCs/>
          <w:szCs w:val="21"/>
        </w:rPr>
        <w:t>年期定期存款利率（税后）×</w:t>
      </w:r>
      <w:r>
        <w:rPr>
          <w:rFonts w:ascii="Arial Unicode MS" w:hAnsi="Arial Unicode MS" w:cs="Arial" w:hint="eastAsia"/>
          <w:bCs/>
          <w:szCs w:val="21"/>
        </w:rPr>
        <w:t>10%</w:t>
      </w:r>
      <w:r>
        <w:rPr>
          <w:rFonts w:ascii="Arial Unicode MS" w:hAnsi="Arial Unicode MS" w:cs="Arial" w:hint="eastAsia"/>
          <w:bCs/>
          <w:szCs w:val="21"/>
        </w:rPr>
        <w:t>。</w:t>
      </w:r>
    </w:p>
    <w:p w14:paraId="63634E6B" w14:textId="77777777" w:rsidR="009A7A59" w:rsidRDefault="00000000">
      <w:pPr>
        <w:spacing w:line="360" w:lineRule="auto"/>
        <w:ind w:firstLineChars="250" w:firstLine="525"/>
        <w:rPr>
          <w:rFonts w:ascii="Arial Unicode MS" w:hAnsi="Arial Unicode MS" w:cs="Arial" w:hint="eastAsia"/>
          <w:bCs/>
          <w:szCs w:val="21"/>
        </w:rPr>
      </w:pPr>
      <w:r>
        <w:rPr>
          <w:rFonts w:ascii="Arial Unicode MS" w:hAnsi="Arial Unicode MS" w:cs="Arial" w:hint="eastAsia"/>
          <w:bCs/>
          <w:szCs w:val="21"/>
        </w:rPr>
        <w:t>本基金选择上述业绩比较基准的原因为本基金是通过债券资产的配置和个</w:t>
      </w:r>
      <w:proofErr w:type="gramStart"/>
      <w:r>
        <w:rPr>
          <w:rFonts w:ascii="Arial Unicode MS" w:hAnsi="Arial Unicode MS" w:cs="Arial" w:hint="eastAsia"/>
          <w:bCs/>
          <w:szCs w:val="21"/>
        </w:rPr>
        <w:t>券</w:t>
      </w:r>
      <w:proofErr w:type="gramEnd"/>
      <w:r>
        <w:rPr>
          <w:rFonts w:ascii="Arial Unicode MS" w:hAnsi="Arial Unicode MS" w:cs="Arial" w:hint="eastAsia"/>
          <w:bCs/>
          <w:szCs w:val="21"/>
        </w:rPr>
        <w:t>的选择来增强债券投资的收益。中</w:t>
      </w:r>
      <w:proofErr w:type="gramStart"/>
      <w:r>
        <w:rPr>
          <w:rFonts w:ascii="Arial Unicode MS" w:hAnsi="Arial Unicode MS" w:cs="Arial" w:hint="eastAsia"/>
          <w:bCs/>
          <w:szCs w:val="21"/>
        </w:rPr>
        <w:t>债综合</w:t>
      </w:r>
      <w:proofErr w:type="gramEnd"/>
      <w:r>
        <w:rPr>
          <w:rFonts w:ascii="Arial Unicode MS" w:hAnsi="Arial Unicode MS" w:cs="Arial" w:hint="eastAsia"/>
          <w:bCs/>
          <w:szCs w:val="21"/>
        </w:rPr>
        <w:t>全价</w:t>
      </w:r>
      <w:r>
        <w:rPr>
          <w:rFonts w:ascii="Arial Unicode MS" w:hAnsi="Arial Unicode MS" w:cs="Arial" w:hint="eastAsia"/>
          <w:bCs/>
          <w:szCs w:val="21"/>
        </w:rPr>
        <w:t>(</w:t>
      </w:r>
      <w:r>
        <w:rPr>
          <w:rFonts w:ascii="Arial Unicode MS" w:hAnsi="Arial Unicode MS" w:cs="Arial" w:hint="eastAsia"/>
          <w:bCs/>
          <w:szCs w:val="21"/>
        </w:rPr>
        <w:t>总值</w:t>
      </w:r>
      <w:r>
        <w:rPr>
          <w:rFonts w:ascii="Arial Unicode MS" w:hAnsi="Arial Unicode MS" w:cs="Arial" w:hint="eastAsia"/>
          <w:bCs/>
          <w:szCs w:val="21"/>
        </w:rPr>
        <w:t>)</w:t>
      </w:r>
      <w:r>
        <w:rPr>
          <w:rFonts w:ascii="Arial Unicode MS" w:hAnsi="Arial Unicode MS" w:cs="Arial" w:hint="eastAsia"/>
          <w:bCs/>
          <w:szCs w:val="21"/>
        </w:rPr>
        <w:t>指数由中央国债登记结算有限责任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Pr>
          <w:rFonts w:ascii="Arial Unicode MS" w:hAnsi="Arial Unicode MS" w:cs="Arial" w:hint="eastAsia"/>
          <w:bCs/>
          <w:szCs w:val="21"/>
        </w:rPr>
        <w:t>80%</w:t>
      </w:r>
      <w:r>
        <w:rPr>
          <w:rFonts w:ascii="Arial Unicode MS" w:hAnsi="Arial Unicode MS" w:cs="Arial" w:hint="eastAsia"/>
          <w:bCs/>
          <w:szCs w:val="21"/>
        </w:rPr>
        <w:t>，持有现金或者到期日在一年以内的政府债券不低于基金资产净值的</w:t>
      </w:r>
      <w:r>
        <w:rPr>
          <w:rFonts w:ascii="Arial Unicode MS" w:hAnsi="Arial Unicode MS" w:cs="Arial" w:hint="eastAsia"/>
          <w:bCs/>
          <w:szCs w:val="21"/>
        </w:rPr>
        <w:t>5%</w:t>
      </w:r>
      <w:r>
        <w:rPr>
          <w:rFonts w:ascii="Arial Unicode MS" w:hAnsi="Arial Unicode MS" w:cs="Arial" w:hint="eastAsia"/>
          <w:bCs/>
          <w:szCs w:val="21"/>
        </w:rPr>
        <w:t>，采用</w:t>
      </w:r>
      <w:r>
        <w:rPr>
          <w:rFonts w:ascii="Arial Unicode MS" w:hAnsi="Arial Unicode MS" w:cs="Arial" w:hint="eastAsia"/>
          <w:bCs/>
          <w:szCs w:val="21"/>
        </w:rPr>
        <w:t>90%</w:t>
      </w:r>
      <w:r>
        <w:rPr>
          <w:rFonts w:ascii="Arial Unicode MS" w:hAnsi="Arial Unicode MS" w:cs="Arial" w:hint="eastAsia"/>
          <w:bCs/>
          <w:szCs w:val="21"/>
        </w:rPr>
        <w:t>作为业绩比较基准中债券投资所代表的权重，</w:t>
      </w:r>
      <w:r>
        <w:rPr>
          <w:rFonts w:ascii="Arial Unicode MS" w:hAnsi="Arial Unicode MS" w:cs="Arial" w:hint="eastAsia"/>
          <w:bCs/>
          <w:szCs w:val="21"/>
        </w:rPr>
        <w:t>10%</w:t>
      </w:r>
      <w:r>
        <w:rPr>
          <w:rFonts w:ascii="Arial Unicode MS" w:hAnsi="Arial Unicode MS" w:cs="Arial" w:hint="eastAsia"/>
          <w:bCs/>
          <w:szCs w:val="21"/>
        </w:rPr>
        <w:t>乘以</w:t>
      </w:r>
      <w:r>
        <w:rPr>
          <w:rFonts w:ascii="Arial Unicode MS" w:hAnsi="Arial Unicode MS" w:cs="Arial" w:hint="eastAsia"/>
          <w:bCs/>
          <w:szCs w:val="21"/>
        </w:rPr>
        <w:t>1</w:t>
      </w:r>
      <w:r>
        <w:rPr>
          <w:rFonts w:ascii="Arial Unicode MS" w:hAnsi="Arial Unicode MS" w:cs="Arial" w:hint="eastAsia"/>
          <w:bCs/>
          <w:szCs w:val="21"/>
        </w:rPr>
        <w:t>年定期银行存款利率（税后）作为资产所对应的权重可以较好的反映本基金的风险收益特征。</w:t>
      </w:r>
    </w:p>
    <w:p w14:paraId="73C45135" w14:textId="77777777" w:rsidR="009A7A59" w:rsidRDefault="00000000">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Pr>
          <w:rFonts w:ascii="Arial Unicode MS" w:hAnsi="Arial Unicode MS" w:cs="Arial" w:hint="eastAsia"/>
          <w:bCs/>
          <w:szCs w:val="21"/>
        </w:rPr>
        <w:t>本业绩</w:t>
      </w:r>
      <w:proofErr w:type="gramEnd"/>
      <w:r>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p>
    <w:p w14:paraId="4D6C6580" w14:textId="77777777" w:rsidR="009A7A59" w:rsidRDefault="00000000">
      <w:pPr>
        <w:widowControl/>
        <w:adjustRightInd w:val="0"/>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lastRenderedPageBreak/>
        <w:t>七</w:t>
      </w:r>
      <w:r>
        <w:rPr>
          <w:rFonts w:ascii="Arial Unicode MS" w:hAnsi="Arial Unicode MS" w:cs="Arial"/>
          <w:b/>
          <w:szCs w:val="21"/>
        </w:rPr>
        <w:t>、风险收益特征</w:t>
      </w:r>
    </w:p>
    <w:p w14:paraId="527EB418" w14:textId="77777777" w:rsidR="009A7A59" w:rsidRDefault="00000000">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本基金为债券型基金，预期收益和预期风险高于货币市场基金，但低于混合型基金、股票型基金，属于中低预期风险</w:t>
      </w:r>
      <w:r>
        <w:rPr>
          <w:rFonts w:ascii="Arial Unicode MS" w:hAnsi="Arial Unicode MS" w:cs="Arial" w:hint="eastAsia"/>
          <w:bCs/>
          <w:szCs w:val="21"/>
        </w:rPr>
        <w:t>/</w:t>
      </w:r>
      <w:r>
        <w:rPr>
          <w:rFonts w:ascii="Arial Unicode MS" w:hAnsi="Arial Unicode MS" w:cs="Arial" w:hint="eastAsia"/>
          <w:bCs/>
          <w:szCs w:val="21"/>
        </w:rPr>
        <w:t>预期收益的产品。</w:t>
      </w:r>
    </w:p>
    <w:p w14:paraId="61CFD954" w14:textId="77777777" w:rsidR="009A7A59" w:rsidRDefault="00000000">
      <w:pPr>
        <w:spacing w:line="360" w:lineRule="auto"/>
        <w:ind w:firstLineChars="200" w:firstLine="422"/>
        <w:rPr>
          <w:rFonts w:ascii="Arial Unicode MS" w:hAnsi="Arial Unicode MS" w:cs="Arial" w:hint="eastAsia"/>
          <w:b/>
          <w:bCs/>
          <w:szCs w:val="21"/>
        </w:rPr>
      </w:pPr>
      <w:bookmarkStart w:id="59" w:name="_Toc79392634"/>
      <w:r>
        <w:rPr>
          <w:rFonts w:ascii="Arial Unicode MS" w:hAnsi="Arial Unicode MS" w:cs="Arial" w:hint="eastAsia"/>
          <w:b/>
          <w:bCs/>
          <w:szCs w:val="21"/>
        </w:rPr>
        <w:t>八、基金管理人代表基金行使相关权利的处理原则及方法</w:t>
      </w:r>
    </w:p>
    <w:p w14:paraId="7DD158D5" w14:textId="77777777" w:rsidR="009A7A59" w:rsidRDefault="00000000">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、有利于基金资产的安全与增值；</w:t>
      </w:r>
    </w:p>
    <w:p w14:paraId="6349E41B" w14:textId="77777777" w:rsidR="009A7A59" w:rsidRDefault="00000000">
      <w:pPr>
        <w:spacing w:line="360" w:lineRule="auto"/>
        <w:ind w:firstLineChars="200" w:firstLine="420"/>
        <w:rPr>
          <w:rFonts w:ascii="Arial Unicode MS" w:hAnsi="Arial Unicode MS" w:cs="Arial" w:hint="eastAsia"/>
          <w:bCs/>
          <w:szCs w:val="21"/>
        </w:rPr>
      </w:pPr>
      <w:r>
        <w:rPr>
          <w:rFonts w:ascii="Arial Unicode MS" w:hAnsi="Arial Unicode MS" w:cs="Arial"/>
          <w:bCs/>
          <w:szCs w:val="21"/>
        </w:rPr>
        <w:t>2</w:t>
      </w:r>
      <w:r>
        <w:rPr>
          <w:rFonts w:ascii="Arial Unicode MS" w:hAnsi="Arial Unicode MS" w:cs="Arial" w:hint="eastAsia"/>
          <w:bCs/>
          <w:szCs w:val="21"/>
        </w:rPr>
        <w:t>、基金管理人按照国家有关规定代表基金独立行使相关权利，保护基金份额持有人的利益；</w:t>
      </w:r>
    </w:p>
    <w:p w14:paraId="24C0BC0C" w14:textId="77777777" w:rsidR="009A7A59" w:rsidRDefault="00000000">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、不通过关联交易为自身、雇员、授权代理人或任何存在利害关系的第三人牟取任何不当利益。</w:t>
      </w:r>
    </w:p>
    <w:p w14:paraId="10FAE2D7" w14:textId="77777777" w:rsidR="009A7A59" w:rsidRDefault="00000000">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九、</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的实施和投资运作安排</w:t>
      </w:r>
    </w:p>
    <w:p w14:paraId="03DD1AB7" w14:textId="77777777" w:rsidR="009A7A59" w:rsidRDefault="00000000">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w:t>
      </w:r>
    </w:p>
    <w:p w14:paraId="54569254" w14:textId="77777777" w:rsidR="009A7A59" w:rsidRDefault="00000000">
      <w:pPr>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实施期间，本部分约定的投资组合比例、投资策略、组合限制、业绩比较基准、风险收益特征等约定仅</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w:t>
      </w:r>
    </w:p>
    <w:p w14:paraId="18389508" w14:textId="77777777" w:rsidR="009A7A59" w:rsidRDefault="00000000">
      <w:pPr>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的实施条件、实施程序、运作安排、投资安排、特定资产的处置变现和支付等对投资者权益有重大影响的事项详见招募说明书“侧袋机制”部分的规定。</w:t>
      </w:r>
    </w:p>
    <w:p w14:paraId="4DBA18B1" w14:textId="77777777" w:rsidR="009A7A59" w:rsidRDefault="00000000">
      <w:pPr>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十、基金投资组合报告</w:t>
      </w:r>
    </w:p>
    <w:p w14:paraId="77520E65" w14:textId="77777777" w:rsidR="009A7A59" w:rsidRDefault="00000000">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21FF3F91" w14:textId="77777777" w:rsidR="009A7A59" w:rsidRDefault="00000000">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本基金托管人中国建设银行股份有限公司根据本基金合同规定，已复核了本报告中的财务指标、净值表现和投资组合报告等内容，保证复核内容不存在虚假记载、误导性陈述或者重大遗漏。</w:t>
      </w:r>
    </w:p>
    <w:p w14:paraId="58364F5A" w14:textId="77777777" w:rsidR="009A7A59" w:rsidRDefault="00000000">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本投资组合报告所载数据取自本基金</w:t>
      </w:r>
      <w:r>
        <w:rPr>
          <w:rFonts w:ascii="Arial Unicode MS" w:hAnsi="Arial Unicode MS" w:cs="Arial" w:hint="eastAsia"/>
          <w:bCs/>
          <w:szCs w:val="21"/>
        </w:rPr>
        <w:t>2024</w:t>
      </w:r>
      <w:r>
        <w:rPr>
          <w:rFonts w:ascii="Arial Unicode MS" w:hAnsi="Arial Unicode MS" w:cs="Arial" w:hint="eastAsia"/>
          <w:bCs/>
          <w:szCs w:val="21"/>
        </w:rPr>
        <w:t>年第</w:t>
      </w:r>
      <w:r>
        <w:rPr>
          <w:rFonts w:ascii="Arial Unicode MS" w:hAnsi="Arial Unicode MS" w:cs="Arial" w:hint="eastAsia"/>
          <w:bCs/>
          <w:szCs w:val="21"/>
        </w:rPr>
        <w:t>4</w:t>
      </w:r>
      <w:r>
        <w:rPr>
          <w:rFonts w:ascii="Arial Unicode MS" w:hAnsi="Arial Unicode MS" w:cs="Arial" w:hint="eastAsia"/>
          <w:bCs/>
          <w:szCs w:val="21"/>
        </w:rPr>
        <w:t>季度报告，本报告中所列财务数据未经审计。</w:t>
      </w:r>
    </w:p>
    <w:p w14:paraId="368F19F2" w14:textId="77777777" w:rsidR="009A7A59" w:rsidRDefault="009A7A59">
      <w:pPr>
        <w:ind w:firstLine="420"/>
        <w:rPr>
          <w:szCs w:val="21"/>
        </w:rPr>
      </w:pPr>
    </w:p>
    <w:p w14:paraId="2AE3221F" w14:textId="77777777" w:rsidR="009A7A59" w:rsidRDefault="00000000">
      <w:pPr>
        <w:ind w:firstLineChars="200" w:firstLine="420"/>
        <w:rPr>
          <w:szCs w:val="21"/>
        </w:rPr>
      </w:pPr>
      <w:r>
        <w:rPr>
          <w:rFonts w:hint="eastAsia"/>
          <w:szCs w:val="21"/>
        </w:rPr>
        <w:t>1</w:t>
      </w:r>
      <w:r>
        <w:rPr>
          <w:rFonts w:hint="eastAsia"/>
          <w:szCs w:val="21"/>
        </w:rPr>
        <w:t>、报告期末基金资产组合情况</w:t>
      </w:r>
    </w:p>
    <w:tbl>
      <w:tblPr>
        <w:tblW w:w="8080" w:type="dxa"/>
        <w:tblInd w:w="108" w:type="dxa"/>
        <w:tblLook w:val="04A0" w:firstRow="1" w:lastRow="0" w:firstColumn="1" w:lastColumn="0" w:noHBand="0" w:noVBand="1"/>
      </w:tblPr>
      <w:tblGrid>
        <w:gridCol w:w="756"/>
        <w:gridCol w:w="2809"/>
        <w:gridCol w:w="2257"/>
        <w:gridCol w:w="2258"/>
      </w:tblGrid>
      <w:tr w:rsidR="009A7A59" w14:paraId="2277A874"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6A0C47E" w14:textId="77777777" w:rsidR="009A7A59" w:rsidRDefault="00000000">
            <w:pPr>
              <w:pStyle w:val="biaogecenter"/>
              <w:wordWrap w:val="0"/>
              <w:ind w:left="0"/>
              <w:jc w:val="both"/>
              <w:rPr>
                <w:rFonts w:hint="eastAsia"/>
                <w:sz w:val="21"/>
                <w:szCs w:val="21"/>
              </w:rPr>
            </w:pPr>
            <w:r>
              <w:rPr>
                <w:rFonts w:hint="eastAsia"/>
                <w:sz w:val="21"/>
                <w:szCs w:val="21"/>
              </w:rPr>
              <w:t>序号</w:t>
            </w:r>
          </w:p>
        </w:tc>
        <w:tc>
          <w:tcPr>
            <w:tcW w:w="2809" w:type="dxa"/>
            <w:tcBorders>
              <w:top w:val="single" w:sz="8" w:space="0" w:color="000000"/>
              <w:left w:val="single" w:sz="8" w:space="0" w:color="000000"/>
              <w:bottom w:val="single" w:sz="6" w:space="0" w:color="000000"/>
              <w:right w:val="single" w:sz="8" w:space="0" w:color="000000"/>
            </w:tcBorders>
            <w:vAlign w:val="center"/>
          </w:tcPr>
          <w:p w14:paraId="409F0FAF" w14:textId="77777777" w:rsidR="009A7A59" w:rsidRDefault="00000000">
            <w:pPr>
              <w:pStyle w:val="biaogeleft"/>
              <w:rPr>
                <w:rFonts w:hint="eastAsia"/>
                <w:sz w:val="21"/>
                <w:szCs w:val="21"/>
              </w:rPr>
            </w:pPr>
            <w:r>
              <w:rPr>
                <w:rFonts w:hint="eastAsia"/>
                <w:sz w:val="21"/>
                <w:szCs w:val="21"/>
              </w:rPr>
              <w:t>项目</w:t>
            </w:r>
          </w:p>
        </w:tc>
        <w:tc>
          <w:tcPr>
            <w:tcW w:w="2257" w:type="dxa"/>
            <w:tcBorders>
              <w:top w:val="single" w:sz="8" w:space="0" w:color="000000"/>
              <w:left w:val="single" w:sz="8" w:space="0" w:color="000000"/>
              <w:bottom w:val="single" w:sz="6" w:space="0" w:color="000000"/>
              <w:right w:val="single" w:sz="8" w:space="0" w:color="000000"/>
            </w:tcBorders>
            <w:vAlign w:val="center"/>
          </w:tcPr>
          <w:p w14:paraId="3129745B" w14:textId="77777777" w:rsidR="009A7A59" w:rsidRDefault="00000000">
            <w:pPr>
              <w:pStyle w:val="biaogeright"/>
              <w:ind w:left="420" w:hanging="420"/>
              <w:rPr>
                <w:rFonts w:hint="eastAsia"/>
                <w:sz w:val="21"/>
                <w:szCs w:val="21"/>
              </w:rPr>
            </w:pPr>
            <w:r>
              <w:rPr>
                <w:rFonts w:hint="eastAsia"/>
                <w:sz w:val="21"/>
                <w:szCs w:val="21"/>
              </w:rPr>
              <w:t>金额(元)</w:t>
            </w:r>
          </w:p>
        </w:tc>
        <w:tc>
          <w:tcPr>
            <w:tcW w:w="2258" w:type="dxa"/>
            <w:tcBorders>
              <w:top w:val="single" w:sz="8" w:space="0" w:color="000000"/>
              <w:left w:val="single" w:sz="8" w:space="0" w:color="000000"/>
              <w:bottom w:val="single" w:sz="6" w:space="0" w:color="000000"/>
              <w:right w:val="single" w:sz="8" w:space="0" w:color="000000"/>
            </w:tcBorders>
            <w:vAlign w:val="center"/>
          </w:tcPr>
          <w:p w14:paraId="1E61A159" w14:textId="77777777" w:rsidR="009A7A59" w:rsidRDefault="00000000">
            <w:pPr>
              <w:pStyle w:val="biaogeright"/>
              <w:ind w:left="420" w:hanging="420"/>
              <w:rPr>
                <w:rFonts w:hint="eastAsia"/>
                <w:sz w:val="21"/>
                <w:szCs w:val="21"/>
              </w:rPr>
            </w:pPr>
            <w:r>
              <w:rPr>
                <w:rFonts w:hint="eastAsia"/>
                <w:sz w:val="21"/>
                <w:szCs w:val="21"/>
              </w:rPr>
              <w:t>占基金总资产的比例（%）</w:t>
            </w:r>
          </w:p>
        </w:tc>
      </w:tr>
      <w:tr w:rsidR="009A7A59" w14:paraId="38111FA2"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3862ACD" w14:textId="77777777" w:rsidR="009A7A59" w:rsidRDefault="00000000">
            <w:pPr>
              <w:pStyle w:val="biaogecenter"/>
              <w:wordWrap w:val="0"/>
              <w:ind w:firstLine="420"/>
              <w:rPr>
                <w:rFonts w:hint="eastAsia"/>
                <w:sz w:val="21"/>
                <w:szCs w:val="21"/>
              </w:rPr>
            </w:pPr>
            <w:r>
              <w:rPr>
                <w:sz w:val="21"/>
                <w:szCs w:val="21"/>
              </w:rPr>
              <w:t>1</w:t>
            </w:r>
          </w:p>
        </w:tc>
        <w:tc>
          <w:tcPr>
            <w:tcW w:w="2809" w:type="dxa"/>
            <w:tcBorders>
              <w:top w:val="single" w:sz="8" w:space="0" w:color="000000"/>
              <w:left w:val="single" w:sz="8" w:space="0" w:color="000000"/>
              <w:bottom w:val="single" w:sz="6" w:space="0" w:color="000000"/>
              <w:right w:val="single" w:sz="8" w:space="0" w:color="000000"/>
            </w:tcBorders>
            <w:vAlign w:val="center"/>
          </w:tcPr>
          <w:p w14:paraId="2D24F14F" w14:textId="77777777" w:rsidR="009A7A59" w:rsidRDefault="00000000">
            <w:pPr>
              <w:pStyle w:val="biaogeleft"/>
              <w:wordWrap w:val="0"/>
              <w:rPr>
                <w:rFonts w:hint="eastAsia"/>
                <w:sz w:val="21"/>
                <w:szCs w:val="21"/>
              </w:rPr>
            </w:pPr>
            <w:r>
              <w:rPr>
                <w:sz w:val="21"/>
                <w:szCs w:val="21"/>
              </w:rPr>
              <w:t>权益投资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7D4A40AF"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4A06360"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r>
      <w:tr w:rsidR="009A7A59" w14:paraId="39972E7F"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3F767D1" w14:textId="77777777" w:rsidR="009A7A59" w:rsidRDefault="009A7A59">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455667DC" w14:textId="77777777" w:rsidR="009A7A59" w:rsidRDefault="00000000">
            <w:pPr>
              <w:pStyle w:val="biaogeleft"/>
              <w:wordWrap w:val="0"/>
              <w:rPr>
                <w:rFonts w:hint="eastAsia"/>
                <w:sz w:val="21"/>
                <w:szCs w:val="21"/>
              </w:rPr>
            </w:pPr>
            <w:r>
              <w:rPr>
                <w:sz w:val="21"/>
                <w:szCs w:val="21"/>
              </w:rPr>
              <w:t>其中：股票</w:t>
            </w:r>
          </w:p>
        </w:tc>
        <w:tc>
          <w:tcPr>
            <w:tcW w:w="2257" w:type="dxa"/>
            <w:tcBorders>
              <w:top w:val="single" w:sz="8" w:space="0" w:color="000000"/>
              <w:left w:val="single" w:sz="8" w:space="0" w:color="000000"/>
              <w:bottom w:val="single" w:sz="6" w:space="0" w:color="000000"/>
              <w:right w:val="single" w:sz="8" w:space="0" w:color="000000"/>
            </w:tcBorders>
            <w:vAlign w:val="center"/>
          </w:tcPr>
          <w:p w14:paraId="1EDB3FD6"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5C2CB135"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r>
      <w:tr w:rsidR="009A7A59" w14:paraId="2BAF0840"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7DF9BB8" w14:textId="77777777" w:rsidR="009A7A59" w:rsidRDefault="00000000">
            <w:pPr>
              <w:pStyle w:val="biaogecenter"/>
              <w:wordWrap w:val="0"/>
              <w:ind w:firstLine="420"/>
              <w:rPr>
                <w:rFonts w:hint="eastAsia"/>
                <w:sz w:val="21"/>
                <w:szCs w:val="21"/>
              </w:rPr>
            </w:pPr>
            <w:r>
              <w:rPr>
                <w:sz w:val="21"/>
                <w:szCs w:val="21"/>
              </w:rPr>
              <w:t>2</w:t>
            </w:r>
          </w:p>
        </w:tc>
        <w:tc>
          <w:tcPr>
            <w:tcW w:w="2809" w:type="dxa"/>
            <w:tcBorders>
              <w:top w:val="single" w:sz="8" w:space="0" w:color="000000"/>
              <w:left w:val="single" w:sz="8" w:space="0" w:color="000000"/>
              <w:bottom w:val="single" w:sz="6" w:space="0" w:color="000000"/>
              <w:right w:val="single" w:sz="8" w:space="0" w:color="000000"/>
            </w:tcBorders>
            <w:vAlign w:val="center"/>
          </w:tcPr>
          <w:p w14:paraId="5865DD06" w14:textId="77777777" w:rsidR="009A7A59" w:rsidRDefault="00000000">
            <w:pPr>
              <w:pStyle w:val="biaogeleft"/>
              <w:wordWrap w:val="0"/>
              <w:rPr>
                <w:rFonts w:hint="eastAsia"/>
                <w:sz w:val="21"/>
                <w:szCs w:val="21"/>
              </w:rPr>
            </w:pPr>
            <w:r>
              <w:rPr>
                <w:sz w:val="21"/>
                <w:szCs w:val="21"/>
              </w:rPr>
              <w:t>基金投资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56DD20B2"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C3C2D9E"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r>
      <w:tr w:rsidR="009A7A59" w14:paraId="2D54C0E3"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4DC50D8" w14:textId="77777777" w:rsidR="009A7A59" w:rsidRDefault="00000000">
            <w:pPr>
              <w:pStyle w:val="biaogecenter"/>
              <w:wordWrap w:val="0"/>
              <w:ind w:firstLine="420"/>
              <w:rPr>
                <w:rFonts w:hint="eastAsia"/>
                <w:sz w:val="21"/>
                <w:szCs w:val="21"/>
              </w:rPr>
            </w:pPr>
            <w:r>
              <w:rPr>
                <w:sz w:val="21"/>
                <w:szCs w:val="21"/>
              </w:rPr>
              <w:t>3</w:t>
            </w:r>
          </w:p>
        </w:tc>
        <w:tc>
          <w:tcPr>
            <w:tcW w:w="2809" w:type="dxa"/>
            <w:tcBorders>
              <w:top w:val="single" w:sz="8" w:space="0" w:color="000000"/>
              <w:left w:val="single" w:sz="8" w:space="0" w:color="000000"/>
              <w:bottom w:val="single" w:sz="6" w:space="0" w:color="000000"/>
              <w:right w:val="single" w:sz="8" w:space="0" w:color="000000"/>
            </w:tcBorders>
            <w:vAlign w:val="center"/>
          </w:tcPr>
          <w:p w14:paraId="43166741" w14:textId="77777777" w:rsidR="009A7A59" w:rsidRDefault="00000000">
            <w:pPr>
              <w:pStyle w:val="biaogeleft"/>
              <w:wordWrap w:val="0"/>
              <w:rPr>
                <w:rFonts w:hint="eastAsia"/>
                <w:sz w:val="21"/>
                <w:szCs w:val="21"/>
              </w:rPr>
            </w:pPr>
            <w:r>
              <w:rPr>
                <w:sz w:val="21"/>
                <w:szCs w:val="21"/>
              </w:rPr>
              <w:t>固定收益投资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4D83FAF5"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97,310,269.43</w:t>
            </w:r>
          </w:p>
        </w:tc>
        <w:tc>
          <w:tcPr>
            <w:tcW w:w="2258" w:type="dxa"/>
            <w:tcBorders>
              <w:top w:val="single" w:sz="8" w:space="0" w:color="000000"/>
              <w:left w:val="single" w:sz="8" w:space="0" w:color="000000"/>
              <w:bottom w:val="single" w:sz="6" w:space="0" w:color="000000"/>
              <w:right w:val="single" w:sz="8" w:space="0" w:color="000000"/>
            </w:tcBorders>
            <w:vAlign w:val="center"/>
          </w:tcPr>
          <w:p w14:paraId="5B3F7ABE"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93.84</w:t>
            </w:r>
          </w:p>
        </w:tc>
      </w:tr>
      <w:tr w:rsidR="009A7A59" w14:paraId="6E66A09C"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7789397" w14:textId="77777777" w:rsidR="009A7A59" w:rsidRDefault="009A7A59">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57C2DA80" w14:textId="77777777" w:rsidR="009A7A59" w:rsidRDefault="00000000">
            <w:pPr>
              <w:pStyle w:val="biaogeleft"/>
              <w:wordWrap w:val="0"/>
              <w:rPr>
                <w:rFonts w:hint="eastAsia"/>
                <w:sz w:val="21"/>
                <w:szCs w:val="21"/>
              </w:rPr>
            </w:pPr>
            <w:r>
              <w:rPr>
                <w:sz w:val="21"/>
                <w:szCs w:val="21"/>
              </w:rPr>
              <w:t>其中：债券</w:t>
            </w:r>
          </w:p>
        </w:tc>
        <w:tc>
          <w:tcPr>
            <w:tcW w:w="2257" w:type="dxa"/>
            <w:tcBorders>
              <w:top w:val="single" w:sz="8" w:space="0" w:color="000000"/>
              <w:left w:val="single" w:sz="8" w:space="0" w:color="000000"/>
              <w:bottom w:val="single" w:sz="6" w:space="0" w:color="000000"/>
              <w:right w:val="single" w:sz="8" w:space="0" w:color="000000"/>
            </w:tcBorders>
            <w:vAlign w:val="center"/>
          </w:tcPr>
          <w:p w14:paraId="694547C0"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97,310,269.43</w:t>
            </w:r>
          </w:p>
        </w:tc>
        <w:tc>
          <w:tcPr>
            <w:tcW w:w="2258" w:type="dxa"/>
            <w:tcBorders>
              <w:top w:val="single" w:sz="8" w:space="0" w:color="000000"/>
              <w:left w:val="single" w:sz="8" w:space="0" w:color="000000"/>
              <w:bottom w:val="single" w:sz="6" w:space="0" w:color="000000"/>
              <w:right w:val="single" w:sz="8" w:space="0" w:color="000000"/>
            </w:tcBorders>
            <w:vAlign w:val="center"/>
          </w:tcPr>
          <w:p w14:paraId="21DE7621"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93.84</w:t>
            </w:r>
          </w:p>
        </w:tc>
      </w:tr>
      <w:tr w:rsidR="009A7A59" w14:paraId="61A772DF"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22C6B98" w14:textId="77777777" w:rsidR="009A7A59" w:rsidRDefault="009A7A59">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2D2887DA" w14:textId="77777777" w:rsidR="009A7A59" w:rsidRDefault="00000000">
            <w:pPr>
              <w:pStyle w:val="biaogeleft"/>
              <w:wordWrap w:val="0"/>
              <w:rPr>
                <w:rFonts w:hint="eastAsia"/>
                <w:sz w:val="21"/>
                <w:szCs w:val="21"/>
              </w:rPr>
            </w:pPr>
            <w:r>
              <w:rPr>
                <w:sz w:val="21"/>
                <w:szCs w:val="21"/>
              </w:rPr>
              <w:t>资产支持证券</w:t>
            </w:r>
          </w:p>
        </w:tc>
        <w:tc>
          <w:tcPr>
            <w:tcW w:w="2257" w:type="dxa"/>
            <w:tcBorders>
              <w:top w:val="single" w:sz="8" w:space="0" w:color="000000"/>
              <w:left w:val="single" w:sz="8" w:space="0" w:color="000000"/>
              <w:bottom w:val="single" w:sz="6" w:space="0" w:color="000000"/>
              <w:right w:val="single" w:sz="8" w:space="0" w:color="000000"/>
            </w:tcBorders>
            <w:vAlign w:val="center"/>
          </w:tcPr>
          <w:p w14:paraId="06F083C0"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53FB1026"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r>
      <w:tr w:rsidR="009A7A59" w14:paraId="75DA67A5"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FEEB285" w14:textId="77777777" w:rsidR="009A7A59" w:rsidRDefault="00000000">
            <w:pPr>
              <w:pStyle w:val="biaogecenter"/>
              <w:wordWrap w:val="0"/>
              <w:ind w:firstLine="420"/>
              <w:rPr>
                <w:rFonts w:hint="eastAsia"/>
                <w:sz w:val="21"/>
                <w:szCs w:val="21"/>
              </w:rPr>
            </w:pPr>
            <w:r>
              <w:rPr>
                <w:sz w:val="21"/>
                <w:szCs w:val="21"/>
              </w:rPr>
              <w:t>4</w:t>
            </w:r>
          </w:p>
        </w:tc>
        <w:tc>
          <w:tcPr>
            <w:tcW w:w="2809" w:type="dxa"/>
            <w:tcBorders>
              <w:top w:val="single" w:sz="8" w:space="0" w:color="000000"/>
              <w:left w:val="single" w:sz="8" w:space="0" w:color="000000"/>
              <w:bottom w:val="single" w:sz="6" w:space="0" w:color="000000"/>
              <w:right w:val="single" w:sz="8" w:space="0" w:color="000000"/>
            </w:tcBorders>
            <w:vAlign w:val="center"/>
          </w:tcPr>
          <w:p w14:paraId="33438C88" w14:textId="77777777" w:rsidR="009A7A59" w:rsidRDefault="00000000">
            <w:pPr>
              <w:pStyle w:val="biaogeleft"/>
              <w:wordWrap w:val="0"/>
              <w:rPr>
                <w:rFonts w:hint="eastAsia"/>
                <w:sz w:val="21"/>
                <w:szCs w:val="21"/>
              </w:rPr>
            </w:pPr>
            <w:r>
              <w:rPr>
                <w:sz w:val="21"/>
                <w:szCs w:val="21"/>
              </w:rPr>
              <w:t>贵金属投资</w:t>
            </w:r>
          </w:p>
        </w:tc>
        <w:tc>
          <w:tcPr>
            <w:tcW w:w="2257" w:type="dxa"/>
            <w:tcBorders>
              <w:top w:val="single" w:sz="8" w:space="0" w:color="000000"/>
              <w:left w:val="single" w:sz="8" w:space="0" w:color="000000"/>
              <w:bottom w:val="single" w:sz="6" w:space="0" w:color="000000"/>
              <w:right w:val="single" w:sz="8" w:space="0" w:color="000000"/>
            </w:tcBorders>
            <w:vAlign w:val="center"/>
          </w:tcPr>
          <w:p w14:paraId="41730CC1"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5BD2FA9"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r>
      <w:tr w:rsidR="009A7A59" w14:paraId="70681CE9"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6C70B84" w14:textId="77777777" w:rsidR="009A7A59" w:rsidRDefault="00000000">
            <w:pPr>
              <w:pStyle w:val="biaogecenter"/>
              <w:wordWrap w:val="0"/>
              <w:ind w:firstLine="420"/>
              <w:rPr>
                <w:rFonts w:hint="eastAsia"/>
                <w:sz w:val="21"/>
                <w:szCs w:val="21"/>
              </w:rPr>
            </w:pPr>
            <w:r>
              <w:rPr>
                <w:sz w:val="21"/>
                <w:szCs w:val="21"/>
              </w:rPr>
              <w:t>5</w:t>
            </w:r>
          </w:p>
        </w:tc>
        <w:tc>
          <w:tcPr>
            <w:tcW w:w="2809" w:type="dxa"/>
            <w:tcBorders>
              <w:top w:val="single" w:sz="8" w:space="0" w:color="000000"/>
              <w:left w:val="single" w:sz="8" w:space="0" w:color="000000"/>
              <w:bottom w:val="single" w:sz="6" w:space="0" w:color="000000"/>
              <w:right w:val="single" w:sz="8" w:space="0" w:color="000000"/>
            </w:tcBorders>
            <w:vAlign w:val="center"/>
          </w:tcPr>
          <w:p w14:paraId="2D11BA6B" w14:textId="77777777" w:rsidR="009A7A59" w:rsidRDefault="00000000">
            <w:pPr>
              <w:pStyle w:val="biaogeleft"/>
              <w:wordWrap w:val="0"/>
              <w:rPr>
                <w:rFonts w:hint="eastAsia"/>
                <w:sz w:val="21"/>
                <w:szCs w:val="21"/>
              </w:rPr>
            </w:pPr>
            <w:r>
              <w:rPr>
                <w:sz w:val="21"/>
                <w:szCs w:val="21"/>
              </w:rPr>
              <w:t>金融衍生</w:t>
            </w:r>
            <w:proofErr w:type="gramStart"/>
            <w:r>
              <w:rPr>
                <w:sz w:val="21"/>
                <w:szCs w:val="21"/>
              </w:rPr>
              <w:t>品投资</w:t>
            </w:r>
            <w:proofErr w:type="gramEnd"/>
          </w:p>
        </w:tc>
        <w:tc>
          <w:tcPr>
            <w:tcW w:w="2257" w:type="dxa"/>
            <w:tcBorders>
              <w:top w:val="single" w:sz="8" w:space="0" w:color="000000"/>
              <w:left w:val="single" w:sz="8" w:space="0" w:color="000000"/>
              <w:bottom w:val="single" w:sz="6" w:space="0" w:color="000000"/>
              <w:right w:val="single" w:sz="8" w:space="0" w:color="000000"/>
            </w:tcBorders>
            <w:vAlign w:val="center"/>
          </w:tcPr>
          <w:p w14:paraId="1C297131"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7CE821DD"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r>
      <w:tr w:rsidR="009A7A59" w14:paraId="3E0829F7"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529F9C6" w14:textId="77777777" w:rsidR="009A7A59" w:rsidRDefault="00000000">
            <w:pPr>
              <w:pStyle w:val="biaogecenter"/>
              <w:wordWrap w:val="0"/>
              <w:ind w:firstLine="420"/>
              <w:rPr>
                <w:rFonts w:hint="eastAsia"/>
                <w:sz w:val="21"/>
                <w:szCs w:val="21"/>
              </w:rPr>
            </w:pPr>
            <w:r>
              <w:rPr>
                <w:sz w:val="21"/>
                <w:szCs w:val="21"/>
              </w:rPr>
              <w:t>6</w:t>
            </w:r>
          </w:p>
        </w:tc>
        <w:tc>
          <w:tcPr>
            <w:tcW w:w="2809" w:type="dxa"/>
            <w:tcBorders>
              <w:top w:val="single" w:sz="8" w:space="0" w:color="000000"/>
              <w:left w:val="single" w:sz="8" w:space="0" w:color="000000"/>
              <w:bottom w:val="single" w:sz="6" w:space="0" w:color="000000"/>
              <w:right w:val="single" w:sz="8" w:space="0" w:color="000000"/>
            </w:tcBorders>
            <w:vAlign w:val="center"/>
          </w:tcPr>
          <w:p w14:paraId="166006C3" w14:textId="77777777" w:rsidR="009A7A59" w:rsidRDefault="00000000">
            <w:pPr>
              <w:pStyle w:val="biaogeleft"/>
              <w:wordWrap w:val="0"/>
              <w:rPr>
                <w:rFonts w:hint="eastAsia"/>
                <w:sz w:val="21"/>
                <w:szCs w:val="21"/>
              </w:rPr>
            </w:pPr>
            <w:r>
              <w:rPr>
                <w:sz w:val="21"/>
                <w:szCs w:val="21"/>
              </w:rPr>
              <w:t>买入返售金融资产</w:t>
            </w:r>
          </w:p>
        </w:tc>
        <w:tc>
          <w:tcPr>
            <w:tcW w:w="2257" w:type="dxa"/>
            <w:tcBorders>
              <w:top w:val="single" w:sz="8" w:space="0" w:color="000000"/>
              <w:left w:val="single" w:sz="8" w:space="0" w:color="000000"/>
              <w:bottom w:val="single" w:sz="6" w:space="0" w:color="000000"/>
              <w:right w:val="single" w:sz="8" w:space="0" w:color="000000"/>
            </w:tcBorders>
            <w:vAlign w:val="center"/>
          </w:tcPr>
          <w:p w14:paraId="7CF0148B"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151110F"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r>
      <w:tr w:rsidR="009A7A59" w14:paraId="07F094E2"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A3EC770" w14:textId="77777777" w:rsidR="009A7A59" w:rsidRDefault="009A7A59">
            <w:pPr>
              <w:pStyle w:val="biaogecenter"/>
              <w:wordWrap w:val="0"/>
              <w:ind w:firstLine="420"/>
              <w:rPr>
                <w:rFonts w:hint="eastAsia"/>
                <w:sz w:val="21"/>
                <w:szCs w:val="21"/>
              </w:rPr>
            </w:pPr>
          </w:p>
        </w:tc>
        <w:tc>
          <w:tcPr>
            <w:tcW w:w="2809" w:type="dxa"/>
            <w:tcBorders>
              <w:top w:val="single" w:sz="8" w:space="0" w:color="000000"/>
              <w:left w:val="single" w:sz="8" w:space="0" w:color="000000"/>
              <w:bottom w:val="single" w:sz="6" w:space="0" w:color="000000"/>
              <w:right w:val="single" w:sz="8" w:space="0" w:color="000000"/>
            </w:tcBorders>
            <w:vAlign w:val="center"/>
          </w:tcPr>
          <w:p w14:paraId="3576044E" w14:textId="77777777" w:rsidR="009A7A59" w:rsidRDefault="00000000">
            <w:pPr>
              <w:pStyle w:val="biaogeleft"/>
              <w:wordWrap w:val="0"/>
              <w:rPr>
                <w:rFonts w:hint="eastAsia"/>
                <w:sz w:val="21"/>
                <w:szCs w:val="21"/>
              </w:rPr>
            </w:pPr>
            <w:r>
              <w:rPr>
                <w:sz w:val="21"/>
                <w:szCs w:val="21"/>
              </w:rPr>
              <w:t>其中：买断式回购的买入返售金融资产</w:t>
            </w:r>
          </w:p>
        </w:tc>
        <w:tc>
          <w:tcPr>
            <w:tcW w:w="2257" w:type="dxa"/>
            <w:tcBorders>
              <w:top w:val="single" w:sz="8" w:space="0" w:color="000000"/>
              <w:left w:val="single" w:sz="8" w:space="0" w:color="000000"/>
              <w:bottom w:val="single" w:sz="6" w:space="0" w:color="000000"/>
              <w:right w:val="single" w:sz="8" w:space="0" w:color="000000"/>
            </w:tcBorders>
            <w:vAlign w:val="center"/>
          </w:tcPr>
          <w:p w14:paraId="0B8FFE67"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c>
          <w:tcPr>
            <w:tcW w:w="2258" w:type="dxa"/>
            <w:tcBorders>
              <w:top w:val="single" w:sz="8" w:space="0" w:color="000000"/>
              <w:left w:val="single" w:sz="8" w:space="0" w:color="000000"/>
              <w:bottom w:val="single" w:sz="6" w:space="0" w:color="000000"/>
              <w:right w:val="single" w:sz="8" w:space="0" w:color="000000"/>
            </w:tcBorders>
            <w:vAlign w:val="center"/>
          </w:tcPr>
          <w:p w14:paraId="2E1F75A2"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w:t>
            </w:r>
          </w:p>
        </w:tc>
      </w:tr>
      <w:tr w:rsidR="009A7A59" w14:paraId="68DEF0DD"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338C4B17" w14:textId="77777777" w:rsidR="009A7A59" w:rsidRDefault="00000000">
            <w:pPr>
              <w:pStyle w:val="biaogecenter"/>
              <w:wordWrap w:val="0"/>
              <w:ind w:firstLine="420"/>
              <w:rPr>
                <w:rFonts w:hint="eastAsia"/>
                <w:sz w:val="21"/>
                <w:szCs w:val="21"/>
              </w:rPr>
            </w:pPr>
            <w:r>
              <w:rPr>
                <w:sz w:val="21"/>
                <w:szCs w:val="21"/>
              </w:rPr>
              <w:t>7</w:t>
            </w:r>
          </w:p>
        </w:tc>
        <w:tc>
          <w:tcPr>
            <w:tcW w:w="2809" w:type="dxa"/>
            <w:tcBorders>
              <w:top w:val="single" w:sz="8" w:space="0" w:color="000000"/>
              <w:left w:val="single" w:sz="8" w:space="0" w:color="000000"/>
              <w:bottom w:val="single" w:sz="6" w:space="0" w:color="000000"/>
              <w:right w:val="single" w:sz="8" w:space="0" w:color="000000"/>
            </w:tcBorders>
            <w:vAlign w:val="center"/>
          </w:tcPr>
          <w:p w14:paraId="2829728B" w14:textId="77777777" w:rsidR="009A7A59" w:rsidRDefault="00000000">
            <w:pPr>
              <w:pStyle w:val="biaogeleft"/>
              <w:wordWrap w:val="0"/>
              <w:rPr>
                <w:rFonts w:hint="eastAsia"/>
                <w:sz w:val="21"/>
                <w:szCs w:val="21"/>
              </w:rPr>
            </w:pPr>
            <w:r>
              <w:rPr>
                <w:sz w:val="21"/>
                <w:szCs w:val="21"/>
              </w:rPr>
              <w:t>银行存款和结算备付金合计</w:t>
            </w:r>
          </w:p>
        </w:tc>
        <w:tc>
          <w:tcPr>
            <w:tcW w:w="2257" w:type="dxa"/>
            <w:tcBorders>
              <w:top w:val="single" w:sz="8" w:space="0" w:color="000000"/>
              <w:left w:val="single" w:sz="8" w:space="0" w:color="000000"/>
              <w:bottom w:val="single" w:sz="6" w:space="0" w:color="000000"/>
              <w:right w:val="single" w:sz="8" w:space="0" w:color="000000"/>
            </w:tcBorders>
            <w:vAlign w:val="center"/>
          </w:tcPr>
          <w:p w14:paraId="591C1962"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1,301,632.93</w:t>
            </w:r>
          </w:p>
        </w:tc>
        <w:tc>
          <w:tcPr>
            <w:tcW w:w="2258" w:type="dxa"/>
            <w:tcBorders>
              <w:top w:val="single" w:sz="8" w:space="0" w:color="000000"/>
              <w:left w:val="single" w:sz="8" w:space="0" w:color="000000"/>
              <w:bottom w:val="single" w:sz="6" w:space="0" w:color="000000"/>
              <w:right w:val="single" w:sz="8" w:space="0" w:color="000000"/>
            </w:tcBorders>
            <w:vAlign w:val="center"/>
          </w:tcPr>
          <w:p w14:paraId="2606AB1B"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1.26</w:t>
            </w:r>
          </w:p>
        </w:tc>
      </w:tr>
      <w:tr w:rsidR="009A7A59" w14:paraId="609C2B62"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BCB481E" w14:textId="77777777" w:rsidR="009A7A59" w:rsidRDefault="00000000">
            <w:pPr>
              <w:pStyle w:val="biaogecenter"/>
              <w:wordWrap w:val="0"/>
              <w:ind w:firstLine="420"/>
              <w:rPr>
                <w:rFonts w:hint="eastAsia"/>
                <w:sz w:val="21"/>
                <w:szCs w:val="21"/>
              </w:rPr>
            </w:pPr>
            <w:r>
              <w:rPr>
                <w:sz w:val="21"/>
                <w:szCs w:val="21"/>
              </w:rPr>
              <w:t>8</w:t>
            </w:r>
          </w:p>
        </w:tc>
        <w:tc>
          <w:tcPr>
            <w:tcW w:w="2809" w:type="dxa"/>
            <w:tcBorders>
              <w:top w:val="single" w:sz="8" w:space="0" w:color="000000"/>
              <w:left w:val="single" w:sz="8" w:space="0" w:color="000000"/>
              <w:bottom w:val="single" w:sz="6" w:space="0" w:color="000000"/>
              <w:right w:val="single" w:sz="8" w:space="0" w:color="000000"/>
            </w:tcBorders>
            <w:vAlign w:val="center"/>
          </w:tcPr>
          <w:p w14:paraId="509A8E13" w14:textId="77777777" w:rsidR="009A7A59" w:rsidRDefault="00000000">
            <w:pPr>
              <w:pStyle w:val="biaogeleft"/>
              <w:wordWrap w:val="0"/>
              <w:rPr>
                <w:rFonts w:hint="eastAsia"/>
                <w:sz w:val="21"/>
                <w:szCs w:val="21"/>
              </w:rPr>
            </w:pPr>
            <w:r>
              <w:rPr>
                <w:sz w:val="21"/>
                <w:szCs w:val="21"/>
              </w:rPr>
              <w:t>其他资产</w:t>
            </w:r>
          </w:p>
        </w:tc>
        <w:tc>
          <w:tcPr>
            <w:tcW w:w="2257" w:type="dxa"/>
            <w:tcBorders>
              <w:top w:val="single" w:sz="8" w:space="0" w:color="000000"/>
              <w:left w:val="single" w:sz="8" w:space="0" w:color="000000"/>
              <w:bottom w:val="single" w:sz="6" w:space="0" w:color="000000"/>
              <w:right w:val="single" w:sz="8" w:space="0" w:color="000000"/>
            </w:tcBorders>
            <w:vAlign w:val="center"/>
          </w:tcPr>
          <w:p w14:paraId="54494D50"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5,080,998.58</w:t>
            </w:r>
          </w:p>
        </w:tc>
        <w:tc>
          <w:tcPr>
            <w:tcW w:w="2258" w:type="dxa"/>
            <w:tcBorders>
              <w:top w:val="single" w:sz="8" w:space="0" w:color="000000"/>
              <w:left w:val="single" w:sz="8" w:space="0" w:color="000000"/>
              <w:bottom w:val="single" w:sz="6" w:space="0" w:color="000000"/>
              <w:right w:val="single" w:sz="8" w:space="0" w:color="000000"/>
            </w:tcBorders>
            <w:vAlign w:val="center"/>
          </w:tcPr>
          <w:p w14:paraId="1B27CACF"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4.90</w:t>
            </w:r>
          </w:p>
        </w:tc>
      </w:tr>
      <w:tr w:rsidR="009A7A59" w14:paraId="1121FB4E"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23933AE" w14:textId="77777777" w:rsidR="009A7A59" w:rsidRDefault="00000000">
            <w:pPr>
              <w:pStyle w:val="biaogecenter"/>
              <w:wordWrap w:val="0"/>
              <w:ind w:firstLine="420"/>
              <w:rPr>
                <w:rFonts w:hint="eastAsia"/>
                <w:sz w:val="21"/>
                <w:szCs w:val="21"/>
              </w:rPr>
            </w:pPr>
            <w:r>
              <w:rPr>
                <w:sz w:val="21"/>
                <w:szCs w:val="21"/>
              </w:rPr>
              <w:t>9</w:t>
            </w:r>
          </w:p>
        </w:tc>
        <w:tc>
          <w:tcPr>
            <w:tcW w:w="2809" w:type="dxa"/>
            <w:tcBorders>
              <w:top w:val="single" w:sz="8" w:space="0" w:color="000000"/>
              <w:left w:val="single" w:sz="8" w:space="0" w:color="000000"/>
              <w:bottom w:val="single" w:sz="6" w:space="0" w:color="000000"/>
              <w:right w:val="single" w:sz="8" w:space="0" w:color="000000"/>
            </w:tcBorders>
            <w:vAlign w:val="center"/>
          </w:tcPr>
          <w:p w14:paraId="47807553" w14:textId="77777777" w:rsidR="009A7A59" w:rsidRDefault="00000000">
            <w:pPr>
              <w:pStyle w:val="biaogeleft"/>
              <w:wordWrap w:val="0"/>
              <w:rPr>
                <w:rFonts w:hint="eastAsia"/>
                <w:sz w:val="21"/>
                <w:szCs w:val="21"/>
              </w:rPr>
            </w:pPr>
            <w:r>
              <w:rPr>
                <w:sz w:val="21"/>
                <w:szCs w:val="21"/>
              </w:rPr>
              <w:t>合计</w:t>
            </w:r>
          </w:p>
        </w:tc>
        <w:tc>
          <w:tcPr>
            <w:tcW w:w="2257" w:type="dxa"/>
            <w:tcBorders>
              <w:top w:val="single" w:sz="8" w:space="0" w:color="000000"/>
              <w:left w:val="single" w:sz="8" w:space="0" w:color="000000"/>
              <w:bottom w:val="single" w:sz="6" w:space="0" w:color="000000"/>
              <w:right w:val="single" w:sz="8" w:space="0" w:color="000000"/>
            </w:tcBorders>
            <w:vAlign w:val="center"/>
          </w:tcPr>
          <w:p w14:paraId="2621C633"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103,692,900.94</w:t>
            </w:r>
          </w:p>
        </w:tc>
        <w:tc>
          <w:tcPr>
            <w:tcW w:w="2258" w:type="dxa"/>
            <w:tcBorders>
              <w:top w:val="single" w:sz="8" w:space="0" w:color="000000"/>
              <w:left w:val="single" w:sz="8" w:space="0" w:color="000000"/>
              <w:bottom w:val="single" w:sz="6" w:space="0" w:color="000000"/>
              <w:right w:val="single" w:sz="8" w:space="0" w:color="000000"/>
            </w:tcBorders>
            <w:vAlign w:val="center"/>
          </w:tcPr>
          <w:p w14:paraId="78BD4C38" w14:textId="77777777" w:rsidR="009A7A59" w:rsidRDefault="00000000">
            <w:pPr>
              <w:pStyle w:val="biaogeright"/>
              <w:wordWrap w:val="0"/>
              <w:ind w:left="420" w:hanging="420"/>
              <w:rPr>
                <w:rFonts w:hint="eastAsia"/>
                <w:sz w:val="21"/>
                <w:szCs w:val="21"/>
              </w:rPr>
            </w:pPr>
            <w:r>
              <w:rPr>
                <w:rFonts w:hAnsi="等线" w:hint="eastAsia"/>
                <w:color w:val="000000"/>
                <w:sz w:val="21"/>
                <w:szCs w:val="21"/>
              </w:rPr>
              <w:t>100.00</w:t>
            </w:r>
          </w:p>
        </w:tc>
      </w:tr>
    </w:tbl>
    <w:p w14:paraId="5FB295A8" w14:textId="77777777" w:rsidR="009A7A59" w:rsidRDefault="009A7A59">
      <w:pPr>
        <w:widowControl/>
        <w:spacing w:line="360" w:lineRule="auto"/>
        <w:jc w:val="left"/>
        <w:rPr>
          <w:rFonts w:ascii="宋体" w:hAnsi="宋体" w:cs="宋体" w:hint="eastAsia"/>
          <w:kern w:val="0"/>
          <w:szCs w:val="21"/>
        </w:rPr>
      </w:pPr>
    </w:p>
    <w:p w14:paraId="61244251" w14:textId="77777777" w:rsidR="009A7A59" w:rsidRDefault="00000000">
      <w:pPr>
        <w:pStyle w:val="neirong"/>
        <w:spacing w:line="360" w:lineRule="auto"/>
        <w:ind w:leftChars="7" w:firstLineChars="100" w:firstLine="210"/>
        <w:rPr>
          <w:rFonts w:hint="eastAsia"/>
          <w:bCs/>
          <w:szCs w:val="21"/>
        </w:rPr>
      </w:pPr>
      <w:r>
        <w:rPr>
          <w:bCs/>
          <w:sz w:val="21"/>
          <w:szCs w:val="21"/>
        </w:rPr>
        <w:t>2</w:t>
      </w:r>
      <w:r>
        <w:rPr>
          <w:rFonts w:hint="eastAsia"/>
          <w:bCs/>
          <w:sz w:val="21"/>
          <w:szCs w:val="21"/>
        </w:rPr>
        <w:t>、报告期末按行业分类的股票投资组合</w:t>
      </w:r>
    </w:p>
    <w:p w14:paraId="47111A08" w14:textId="77777777" w:rsidR="009A7A59" w:rsidRDefault="00000000">
      <w:pPr>
        <w:pStyle w:val="neirong"/>
        <w:spacing w:line="360" w:lineRule="auto"/>
        <w:ind w:leftChars="7" w:firstLineChars="100" w:firstLine="210"/>
        <w:rPr>
          <w:rFonts w:hint="eastAsia"/>
          <w:bCs/>
          <w:szCs w:val="21"/>
        </w:rPr>
      </w:pPr>
      <w:r>
        <w:rPr>
          <w:rFonts w:hint="eastAsia"/>
          <w:bCs/>
          <w:sz w:val="21"/>
          <w:szCs w:val="21"/>
        </w:rPr>
        <w:t>（1）报告期末按行业分类的境内股票投资组合</w:t>
      </w:r>
    </w:p>
    <w:p w14:paraId="7620815D" w14:textId="77777777" w:rsidR="009A7A59" w:rsidRDefault="00000000">
      <w:pPr>
        <w:pStyle w:val="neirong"/>
        <w:spacing w:line="360" w:lineRule="auto"/>
        <w:ind w:leftChars="7" w:firstLineChars="200" w:firstLine="420"/>
        <w:rPr>
          <w:rFonts w:hint="eastAsia"/>
          <w:bCs/>
          <w:szCs w:val="21"/>
        </w:rPr>
      </w:pPr>
      <w:r>
        <w:rPr>
          <w:rFonts w:hint="eastAsia"/>
          <w:bCs/>
          <w:sz w:val="21"/>
          <w:szCs w:val="21"/>
        </w:rPr>
        <w:t>本基金报告期末未持有股票。</w:t>
      </w:r>
    </w:p>
    <w:p w14:paraId="580FD288" w14:textId="77777777" w:rsidR="009A7A59" w:rsidRDefault="00000000">
      <w:pPr>
        <w:pStyle w:val="neirong"/>
        <w:spacing w:line="360" w:lineRule="auto"/>
        <w:ind w:leftChars="7" w:firstLineChars="100" w:firstLine="210"/>
        <w:rPr>
          <w:rFonts w:hint="eastAsia"/>
          <w:bCs/>
          <w:sz w:val="21"/>
          <w:szCs w:val="21"/>
        </w:rPr>
      </w:pPr>
      <w:r>
        <w:rPr>
          <w:rFonts w:hint="eastAsia"/>
          <w:bCs/>
          <w:sz w:val="21"/>
          <w:szCs w:val="21"/>
        </w:rPr>
        <w:t>（</w:t>
      </w:r>
      <w:r>
        <w:rPr>
          <w:bCs/>
          <w:sz w:val="21"/>
          <w:szCs w:val="21"/>
        </w:rPr>
        <w:t>2）报告期末按行业分类的港股通投资股票投资组合</w:t>
      </w:r>
    </w:p>
    <w:p w14:paraId="720C8E16" w14:textId="77777777" w:rsidR="009A7A59" w:rsidRDefault="00000000">
      <w:pPr>
        <w:pStyle w:val="neirong"/>
        <w:spacing w:line="360" w:lineRule="auto"/>
        <w:ind w:leftChars="7" w:firstLineChars="200" w:firstLine="420"/>
        <w:rPr>
          <w:rFonts w:hint="eastAsia"/>
          <w:bCs/>
          <w:sz w:val="21"/>
          <w:szCs w:val="21"/>
        </w:rPr>
      </w:pPr>
      <w:r>
        <w:rPr>
          <w:rFonts w:hint="eastAsia"/>
          <w:bCs/>
          <w:sz w:val="21"/>
          <w:szCs w:val="21"/>
        </w:rPr>
        <w:t>本基金报告期末未持有港股通股票。</w:t>
      </w:r>
    </w:p>
    <w:p w14:paraId="66B3C44C" w14:textId="77777777" w:rsidR="009A7A59" w:rsidRDefault="009A7A59">
      <w:pPr>
        <w:pStyle w:val="neirong"/>
        <w:spacing w:line="360" w:lineRule="auto"/>
        <w:ind w:leftChars="7" w:firstLineChars="200" w:firstLine="420"/>
        <w:rPr>
          <w:rFonts w:hint="eastAsia"/>
          <w:bCs/>
          <w:sz w:val="21"/>
          <w:szCs w:val="21"/>
        </w:rPr>
      </w:pPr>
    </w:p>
    <w:p w14:paraId="197E7D71" w14:textId="77777777" w:rsidR="009A7A59" w:rsidRDefault="00000000">
      <w:pPr>
        <w:spacing w:line="360" w:lineRule="auto"/>
        <w:ind w:firstLineChars="100" w:firstLine="210"/>
        <w:rPr>
          <w:szCs w:val="21"/>
        </w:rPr>
      </w:pPr>
      <w:r>
        <w:rPr>
          <w:rFonts w:hint="eastAsia"/>
          <w:szCs w:val="21"/>
        </w:rPr>
        <w:t>3</w:t>
      </w:r>
      <w:r>
        <w:rPr>
          <w:rFonts w:hint="eastAsia"/>
          <w:szCs w:val="21"/>
        </w:rPr>
        <w:t>、报告期末按公允价值占基金资产净值比例大小排序的前十名股票投资明细</w:t>
      </w:r>
    </w:p>
    <w:p w14:paraId="249F05C2" w14:textId="77777777" w:rsidR="009A7A59" w:rsidRDefault="009A7A59">
      <w:pPr>
        <w:spacing w:line="360" w:lineRule="auto"/>
        <w:ind w:firstLineChars="100" w:firstLine="210"/>
        <w:rPr>
          <w:vanish/>
          <w:szCs w:val="21"/>
        </w:rPr>
      </w:pPr>
    </w:p>
    <w:p w14:paraId="03ACB5AD" w14:textId="77777777" w:rsidR="009A7A59" w:rsidRDefault="00000000">
      <w:pPr>
        <w:pStyle w:val="neirong"/>
        <w:spacing w:line="360" w:lineRule="auto"/>
        <w:ind w:left="0" w:firstLineChars="200" w:firstLine="420"/>
        <w:rPr>
          <w:rFonts w:hint="eastAsia"/>
          <w:sz w:val="21"/>
          <w:szCs w:val="21"/>
        </w:rPr>
      </w:pPr>
      <w:r>
        <w:rPr>
          <w:rFonts w:hint="eastAsia"/>
          <w:sz w:val="21"/>
          <w:szCs w:val="21"/>
        </w:rPr>
        <w:t>本基金本报告期末未持有股票。</w:t>
      </w:r>
    </w:p>
    <w:p w14:paraId="13C26B4B" w14:textId="77777777" w:rsidR="009A7A59" w:rsidRDefault="009A7A59">
      <w:pPr>
        <w:spacing w:line="360" w:lineRule="auto"/>
        <w:ind w:firstLineChars="100" w:firstLine="210"/>
        <w:rPr>
          <w:szCs w:val="21"/>
        </w:rPr>
      </w:pPr>
    </w:p>
    <w:p w14:paraId="249ACDA0" w14:textId="77777777" w:rsidR="009A7A59" w:rsidRDefault="00000000">
      <w:pPr>
        <w:spacing w:line="360" w:lineRule="auto"/>
        <w:ind w:firstLineChars="100" w:firstLine="210"/>
      </w:pPr>
      <w:r>
        <w:rPr>
          <w:rFonts w:hint="eastAsia"/>
          <w:szCs w:val="21"/>
        </w:rPr>
        <w:t>4</w:t>
      </w:r>
      <w:r>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49"/>
        <w:gridCol w:w="2716"/>
        <w:gridCol w:w="2139"/>
        <w:gridCol w:w="2174"/>
      </w:tblGrid>
      <w:tr w:rsidR="009A7A59" w14:paraId="2EC8CDE5" w14:textId="7777777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61CF4180" w14:textId="77777777" w:rsidR="009A7A59" w:rsidRDefault="00000000">
            <w:pPr>
              <w:pStyle w:val="biaogecenter"/>
              <w:wordWrap w:val="0"/>
              <w:ind w:firstLine="420"/>
              <w:rPr>
                <w:rFonts w:hAnsi="Calibri"/>
                <w:color w:val="000000"/>
                <w:sz w:val="21"/>
                <w:szCs w:val="21"/>
              </w:rPr>
            </w:pPr>
            <w:r>
              <w:rPr>
                <w:rFonts w:hAnsi="Calibri" w:hint="eastAsia"/>
                <w:color w:val="000000"/>
                <w:sz w:val="21"/>
                <w:szCs w:val="21"/>
              </w:rPr>
              <w:t>序号</w:t>
            </w:r>
          </w:p>
        </w:tc>
        <w:tc>
          <w:tcPr>
            <w:tcW w:w="2716" w:type="dxa"/>
            <w:tcBorders>
              <w:top w:val="single" w:sz="8" w:space="0" w:color="000000"/>
              <w:left w:val="single" w:sz="8" w:space="0" w:color="000000"/>
              <w:bottom w:val="single" w:sz="6" w:space="0" w:color="000000"/>
              <w:right w:val="single" w:sz="8" w:space="0" w:color="000000"/>
            </w:tcBorders>
            <w:vAlign w:val="center"/>
          </w:tcPr>
          <w:p w14:paraId="6710A530" w14:textId="77777777" w:rsidR="009A7A59" w:rsidRDefault="00000000">
            <w:pPr>
              <w:pStyle w:val="biaogeleft"/>
              <w:rPr>
                <w:rFonts w:hint="eastAsia"/>
                <w:sz w:val="21"/>
                <w:szCs w:val="21"/>
              </w:rPr>
            </w:pPr>
            <w:r>
              <w:rPr>
                <w:rFonts w:hint="eastAsia"/>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tcPr>
          <w:p w14:paraId="049E0C8A" w14:textId="77777777" w:rsidR="009A7A59" w:rsidRDefault="00000000">
            <w:pPr>
              <w:pStyle w:val="biaogeright"/>
              <w:ind w:left="420" w:hanging="420"/>
              <w:rPr>
                <w:rFonts w:hAnsi="Calibri"/>
                <w:color w:val="000000"/>
                <w:sz w:val="21"/>
                <w:szCs w:val="21"/>
              </w:rPr>
            </w:pPr>
            <w:r>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tcPr>
          <w:p w14:paraId="3E53C567" w14:textId="77777777" w:rsidR="009A7A59" w:rsidRDefault="00000000">
            <w:pPr>
              <w:pStyle w:val="biaogeright"/>
              <w:ind w:left="420" w:hanging="420"/>
              <w:rPr>
                <w:rFonts w:hAnsi="Calibri"/>
                <w:color w:val="000000"/>
                <w:sz w:val="21"/>
                <w:szCs w:val="21"/>
              </w:rPr>
            </w:pPr>
            <w:r>
              <w:rPr>
                <w:rFonts w:hAnsi="Calibri" w:hint="eastAsia"/>
                <w:color w:val="000000"/>
                <w:sz w:val="21"/>
                <w:szCs w:val="21"/>
              </w:rPr>
              <w:t>占基金资产净值比例（％）</w:t>
            </w:r>
          </w:p>
        </w:tc>
      </w:tr>
      <w:tr w:rsidR="009A7A59" w14:paraId="1E895C8C" w14:textId="7777777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688F9CFC" w14:textId="77777777" w:rsidR="009A7A59" w:rsidRDefault="00000000">
            <w:pPr>
              <w:pStyle w:val="biaogecenter"/>
              <w:wordWrap w:val="0"/>
              <w:ind w:firstLine="420"/>
              <w:rPr>
                <w:rFonts w:hAnsi="Calibri"/>
                <w:color w:val="000000"/>
                <w:sz w:val="21"/>
                <w:szCs w:val="21"/>
              </w:rPr>
            </w:pPr>
            <w:r>
              <w:rPr>
                <w:rFonts w:hAnsi="Calibri"/>
                <w:color w:val="000000"/>
                <w:sz w:val="21"/>
                <w:szCs w:val="21"/>
              </w:rPr>
              <w:t>1</w:t>
            </w:r>
          </w:p>
        </w:tc>
        <w:tc>
          <w:tcPr>
            <w:tcW w:w="2716" w:type="dxa"/>
            <w:tcBorders>
              <w:top w:val="single" w:sz="8" w:space="0" w:color="000000"/>
              <w:left w:val="single" w:sz="8" w:space="0" w:color="000000"/>
              <w:bottom w:val="single" w:sz="6" w:space="0" w:color="000000"/>
              <w:right w:val="single" w:sz="8" w:space="0" w:color="000000"/>
            </w:tcBorders>
            <w:vAlign w:val="center"/>
          </w:tcPr>
          <w:p w14:paraId="688664BC" w14:textId="77777777" w:rsidR="009A7A59" w:rsidRDefault="00000000">
            <w:pPr>
              <w:pStyle w:val="biaogeleft"/>
              <w:wordWrap w:val="0"/>
              <w:rPr>
                <w:rFonts w:hint="eastAsia"/>
                <w:sz w:val="21"/>
                <w:szCs w:val="21"/>
              </w:rPr>
            </w:pPr>
            <w:r>
              <w:rPr>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tcPr>
          <w:p w14:paraId="06D35D70" w14:textId="77777777" w:rsidR="009A7A59" w:rsidRDefault="00000000">
            <w:pPr>
              <w:pStyle w:val="biaogeright"/>
              <w:wordWrap w:val="0"/>
              <w:ind w:left="420" w:hanging="420"/>
              <w:rPr>
                <w:rFonts w:hAnsi="Calibri"/>
                <w:color w:val="000000"/>
                <w:sz w:val="21"/>
                <w:szCs w:val="21"/>
              </w:rPr>
            </w:pPr>
            <w:r>
              <w:rPr>
                <w:rFonts w:hint="eastAsia"/>
                <w:sz w:val="21"/>
                <w:szCs w:val="21"/>
              </w:rPr>
              <w:t>10,246,331.51</w:t>
            </w:r>
          </w:p>
        </w:tc>
        <w:tc>
          <w:tcPr>
            <w:tcW w:w="2174" w:type="dxa"/>
            <w:tcBorders>
              <w:top w:val="single" w:sz="8" w:space="0" w:color="000000"/>
              <w:left w:val="single" w:sz="8" w:space="0" w:color="000000"/>
              <w:bottom w:val="single" w:sz="6" w:space="0" w:color="000000"/>
              <w:right w:val="single" w:sz="8" w:space="0" w:color="000000"/>
            </w:tcBorders>
          </w:tcPr>
          <w:p w14:paraId="75B43CB2" w14:textId="77777777" w:rsidR="009A7A59" w:rsidRDefault="00000000">
            <w:pPr>
              <w:pStyle w:val="biaogeright"/>
              <w:wordWrap w:val="0"/>
              <w:ind w:left="420" w:hanging="420"/>
              <w:rPr>
                <w:rFonts w:hAnsi="Calibri"/>
                <w:color w:val="000000"/>
                <w:sz w:val="21"/>
                <w:szCs w:val="21"/>
              </w:rPr>
            </w:pPr>
            <w:r>
              <w:rPr>
                <w:rFonts w:hint="eastAsia"/>
                <w:sz w:val="21"/>
                <w:szCs w:val="21"/>
              </w:rPr>
              <w:t>10.16</w:t>
            </w:r>
          </w:p>
        </w:tc>
      </w:tr>
      <w:tr w:rsidR="009A7A59" w14:paraId="3BECCF35" w14:textId="7777777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16B01F49" w14:textId="77777777" w:rsidR="009A7A59" w:rsidRDefault="00000000">
            <w:pPr>
              <w:pStyle w:val="biaogecenter"/>
              <w:wordWrap w:val="0"/>
              <w:ind w:firstLine="420"/>
              <w:rPr>
                <w:rFonts w:hAnsi="Calibri"/>
                <w:color w:val="000000"/>
                <w:sz w:val="21"/>
                <w:szCs w:val="21"/>
              </w:rPr>
            </w:pPr>
            <w:r>
              <w:rPr>
                <w:rFonts w:hAnsi="Calibri"/>
                <w:color w:val="000000"/>
                <w:sz w:val="21"/>
                <w:szCs w:val="21"/>
              </w:rPr>
              <w:t>2</w:t>
            </w:r>
          </w:p>
        </w:tc>
        <w:tc>
          <w:tcPr>
            <w:tcW w:w="2716" w:type="dxa"/>
            <w:tcBorders>
              <w:top w:val="single" w:sz="8" w:space="0" w:color="000000"/>
              <w:left w:val="single" w:sz="8" w:space="0" w:color="000000"/>
              <w:bottom w:val="single" w:sz="6" w:space="0" w:color="000000"/>
              <w:right w:val="single" w:sz="8" w:space="0" w:color="000000"/>
            </w:tcBorders>
            <w:vAlign w:val="center"/>
          </w:tcPr>
          <w:p w14:paraId="7DACDE60" w14:textId="77777777" w:rsidR="009A7A59" w:rsidRDefault="00000000">
            <w:pPr>
              <w:pStyle w:val="biaogeleft"/>
              <w:wordWrap w:val="0"/>
              <w:rPr>
                <w:rFonts w:hint="eastAsia"/>
                <w:sz w:val="21"/>
                <w:szCs w:val="21"/>
              </w:rPr>
            </w:pPr>
            <w:r>
              <w:rPr>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tcPr>
          <w:p w14:paraId="6BDC052E" w14:textId="77777777" w:rsidR="009A7A59" w:rsidRDefault="00000000">
            <w:pPr>
              <w:pStyle w:val="biaogeright"/>
              <w:wordWrap w:val="0"/>
              <w:ind w:left="420" w:hanging="420"/>
              <w:rPr>
                <w:rFonts w:hAnsi="Calibri"/>
                <w:color w:val="000000"/>
                <w:sz w:val="21"/>
                <w:szCs w:val="21"/>
              </w:rPr>
            </w:pPr>
            <w:r>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72BF9CBC" w14:textId="77777777" w:rsidR="009A7A59" w:rsidRDefault="00000000">
            <w:pPr>
              <w:pStyle w:val="biaogeright"/>
              <w:wordWrap w:val="0"/>
              <w:ind w:left="420" w:hanging="420"/>
              <w:rPr>
                <w:rFonts w:hAnsi="Calibri"/>
                <w:color w:val="000000"/>
                <w:sz w:val="21"/>
                <w:szCs w:val="21"/>
              </w:rPr>
            </w:pPr>
            <w:r>
              <w:rPr>
                <w:rFonts w:hint="eastAsia"/>
                <w:sz w:val="21"/>
                <w:szCs w:val="21"/>
              </w:rPr>
              <w:t>-</w:t>
            </w:r>
          </w:p>
        </w:tc>
      </w:tr>
      <w:tr w:rsidR="009A7A59" w14:paraId="62B6D279" w14:textId="7777777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06D60849" w14:textId="77777777" w:rsidR="009A7A59" w:rsidRDefault="00000000">
            <w:pPr>
              <w:pStyle w:val="biaogecenter"/>
              <w:wordWrap w:val="0"/>
              <w:ind w:firstLine="420"/>
              <w:rPr>
                <w:rFonts w:hAnsi="Calibri"/>
                <w:color w:val="000000"/>
                <w:sz w:val="21"/>
                <w:szCs w:val="21"/>
              </w:rPr>
            </w:pPr>
            <w:r>
              <w:rPr>
                <w:rFonts w:hAnsi="Calibri"/>
                <w:color w:val="000000"/>
                <w:sz w:val="21"/>
                <w:szCs w:val="21"/>
              </w:rPr>
              <w:t>3</w:t>
            </w:r>
          </w:p>
        </w:tc>
        <w:tc>
          <w:tcPr>
            <w:tcW w:w="2716" w:type="dxa"/>
            <w:tcBorders>
              <w:top w:val="single" w:sz="8" w:space="0" w:color="000000"/>
              <w:left w:val="single" w:sz="8" w:space="0" w:color="000000"/>
              <w:bottom w:val="single" w:sz="6" w:space="0" w:color="000000"/>
              <w:right w:val="single" w:sz="8" w:space="0" w:color="000000"/>
            </w:tcBorders>
            <w:vAlign w:val="center"/>
          </w:tcPr>
          <w:p w14:paraId="5C089ECD" w14:textId="77777777" w:rsidR="009A7A59" w:rsidRDefault="00000000">
            <w:pPr>
              <w:pStyle w:val="biaogeleft"/>
              <w:wordWrap w:val="0"/>
              <w:rPr>
                <w:rFonts w:hint="eastAsia"/>
                <w:sz w:val="21"/>
                <w:szCs w:val="21"/>
              </w:rPr>
            </w:pPr>
            <w:r>
              <w:rPr>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tcPr>
          <w:p w14:paraId="51C106D9" w14:textId="77777777" w:rsidR="009A7A59" w:rsidRDefault="00000000">
            <w:pPr>
              <w:pStyle w:val="biaogeright"/>
              <w:wordWrap w:val="0"/>
              <w:ind w:left="420" w:hanging="420"/>
              <w:rPr>
                <w:rFonts w:hAnsi="Calibri"/>
                <w:color w:val="000000"/>
                <w:sz w:val="21"/>
                <w:szCs w:val="21"/>
              </w:rPr>
            </w:pPr>
            <w:r>
              <w:rPr>
                <w:rFonts w:hint="eastAsia"/>
                <w:sz w:val="21"/>
                <w:szCs w:val="21"/>
              </w:rPr>
              <w:t>31,420,257.38</w:t>
            </w:r>
          </w:p>
        </w:tc>
        <w:tc>
          <w:tcPr>
            <w:tcW w:w="2174" w:type="dxa"/>
            <w:tcBorders>
              <w:top w:val="single" w:sz="8" w:space="0" w:color="000000"/>
              <w:left w:val="single" w:sz="8" w:space="0" w:color="000000"/>
              <w:bottom w:val="single" w:sz="6" w:space="0" w:color="000000"/>
              <w:right w:val="single" w:sz="8" w:space="0" w:color="000000"/>
            </w:tcBorders>
          </w:tcPr>
          <w:p w14:paraId="75308DA4" w14:textId="77777777" w:rsidR="009A7A59" w:rsidRDefault="00000000">
            <w:pPr>
              <w:pStyle w:val="biaogeright"/>
              <w:wordWrap w:val="0"/>
              <w:ind w:left="420" w:hanging="420"/>
              <w:rPr>
                <w:rFonts w:hAnsi="Calibri"/>
                <w:color w:val="000000"/>
                <w:sz w:val="21"/>
                <w:szCs w:val="21"/>
              </w:rPr>
            </w:pPr>
            <w:r>
              <w:rPr>
                <w:rFonts w:hint="eastAsia"/>
                <w:sz w:val="21"/>
                <w:szCs w:val="21"/>
              </w:rPr>
              <w:t>31.16</w:t>
            </w:r>
          </w:p>
        </w:tc>
      </w:tr>
      <w:tr w:rsidR="009A7A59" w14:paraId="7BE71E6B" w14:textId="7777777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1AB55C94" w14:textId="77777777" w:rsidR="009A7A59" w:rsidRDefault="009A7A59">
            <w:pPr>
              <w:pStyle w:val="biaogecenter"/>
              <w:wordWrap w:val="0"/>
              <w:ind w:firstLine="420"/>
              <w:rPr>
                <w:rFonts w:hAnsi="Calibri"/>
                <w:color w:val="000000"/>
                <w:sz w:val="21"/>
                <w:szCs w:val="21"/>
              </w:rPr>
            </w:pPr>
          </w:p>
        </w:tc>
        <w:tc>
          <w:tcPr>
            <w:tcW w:w="2716" w:type="dxa"/>
            <w:tcBorders>
              <w:top w:val="single" w:sz="8" w:space="0" w:color="000000"/>
              <w:left w:val="single" w:sz="8" w:space="0" w:color="000000"/>
              <w:bottom w:val="single" w:sz="6" w:space="0" w:color="000000"/>
              <w:right w:val="single" w:sz="8" w:space="0" w:color="000000"/>
            </w:tcBorders>
            <w:vAlign w:val="center"/>
          </w:tcPr>
          <w:p w14:paraId="3AAD4D78" w14:textId="77777777" w:rsidR="009A7A59" w:rsidRDefault="00000000">
            <w:pPr>
              <w:pStyle w:val="biaogeleft"/>
              <w:wordWrap w:val="0"/>
              <w:rPr>
                <w:rFonts w:hint="eastAsia"/>
                <w:sz w:val="21"/>
                <w:szCs w:val="21"/>
              </w:rPr>
            </w:pPr>
            <w:r>
              <w:rPr>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tcPr>
          <w:p w14:paraId="2581B4CF" w14:textId="77777777" w:rsidR="009A7A59" w:rsidRDefault="00000000">
            <w:pPr>
              <w:pStyle w:val="biaogeright"/>
              <w:wordWrap w:val="0"/>
              <w:ind w:left="420" w:hanging="420"/>
              <w:rPr>
                <w:rFonts w:hAnsi="Calibri"/>
                <w:color w:val="000000"/>
                <w:sz w:val="21"/>
                <w:szCs w:val="21"/>
              </w:rPr>
            </w:pPr>
            <w:r>
              <w:rPr>
                <w:rFonts w:hint="eastAsia"/>
                <w:sz w:val="21"/>
                <w:szCs w:val="21"/>
              </w:rPr>
              <w:t>31,420,257.38</w:t>
            </w:r>
          </w:p>
        </w:tc>
        <w:tc>
          <w:tcPr>
            <w:tcW w:w="2174" w:type="dxa"/>
            <w:tcBorders>
              <w:top w:val="single" w:sz="8" w:space="0" w:color="000000"/>
              <w:left w:val="single" w:sz="8" w:space="0" w:color="000000"/>
              <w:bottom w:val="single" w:sz="6" w:space="0" w:color="000000"/>
              <w:right w:val="single" w:sz="8" w:space="0" w:color="000000"/>
            </w:tcBorders>
          </w:tcPr>
          <w:p w14:paraId="7C023639" w14:textId="77777777" w:rsidR="009A7A59" w:rsidRDefault="00000000">
            <w:pPr>
              <w:pStyle w:val="biaogeright"/>
              <w:wordWrap w:val="0"/>
              <w:ind w:left="420" w:hanging="420"/>
              <w:rPr>
                <w:rFonts w:hAnsi="Calibri"/>
                <w:color w:val="000000"/>
                <w:sz w:val="21"/>
                <w:szCs w:val="21"/>
              </w:rPr>
            </w:pPr>
            <w:r>
              <w:rPr>
                <w:rFonts w:hint="eastAsia"/>
                <w:sz w:val="21"/>
                <w:szCs w:val="21"/>
              </w:rPr>
              <w:t>31.16</w:t>
            </w:r>
          </w:p>
        </w:tc>
      </w:tr>
      <w:tr w:rsidR="009A7A59" w14:paraId="2C0CEB46" w14:textId="7777777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6C86D67F" w14:textId="77777777" w:rsidR="009A7A59" w:rsidRDefault="00000000">
            <w:pPr>
              <w:pStyle w:val="biaogecenter"/>
              <w:wordWrap w:val="0"/>
              <w:ind w:firstLine="420"/>
              <w:rPr>
                <w:rFonts w:hAnsi="Calibri"/>
                <w:color w:val="000000"/>
                <w:sz w:val="21"/>
                <w:szCs w:val="21"/>
              </w:rPr>
            </w:pPr>
            <w:r>
              <w:rPr>
                <w:rFonts w:hAnsi="Calibri"/>
                <w:color w:val="000000"/>
                <w:sz w:val="21"/>
                <w:szCs w:val="21"/>
              </w:rPr>
              <w:t>4</w:t>
            </w:r>
          </w:p>
        </w:tc>
        <w:tc>
          <w:tcPr>
            <w:tcW w:w="2716" w:type="dxa"/>
            <w:tcBorders>
              <w:top w:val="single" w:sz="8" w:space="0" w:color="000000"/>
              <w:left w:val="single" w:sz="8" w:space="0" w:color="000000"/>
              <w:bottom w:val="single" w:sz="6" w:space="0" w:color="000000"/>
              <w:right w:val="single" w:sz="8" w:space="0" w:color="000000"/>
            </w:tcBorders>
            <w:vAlign w:val="center"/>
          </w:tcPr>
          <w:p w14:paraId="0BDFA812" w14:textId="77777777" w:rsidR="009A7A59" w:rsidRDefault="00000000">
            <w:pPr>
              <w:pStyle w:val="biaogeleft"/>
              <w:wordWrap w:val="0"/>
              <w:rPr>
                <w:rFonts w:hint="eastAsia"/>
                <w:sz w:val="21"/>
                <w:szCs w:val="21"/>
              </w:rPr>
            </w:pPr>
            <w:r>
              <w:rPr>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tcPr>
          <w:p w14:paraId="1E3F7D9A" w14:textId="77777777" w:rsidR="009A7A59" w:rsidRDefault="00000000">
            <w:pPr>
              <w:pStyle w:val="biaogeright"/>
              <w:wordWrap w:val="0"/>
              <w:ind w:left="420" w:hanging="420"/>
              <w:rPr>
                <w:rFonts w:hAnsi="Calibri"/>
                <w:color w:val="000000"/>
                <w:sz w:val="21"/>
                <w:szCs w:val="21"/>
              </w:rPr>
            </w:pPr>
            <w:r>
              <w:rPr>
                <w:rFonts w:hint="eastAsia"/>
                <w:sz w:val="21"/>
                <w:szCs w:val="21"/>
              </w:rPr>
              <w:t>4,892,978.08</w:t>
            </w:r>
          </w:p>
        </w:tc>
        <w:tc>
          <w:tcPr>
            <w:tcW w:w="2174" w:type="dxa"/>
            <w:tcBorders>
              <w:top w:val="single" w:sz="8" w:space="0" w:color="000000"/>
              <w:left w:val="single" w:sz="8" w:space="0" w:color="000000"/>
              <w:bottom w:val="single" w:sz="6" w:space="0" w:color="000000"/>
              <w:right w:val="single" w:sz="8" w:space="0" w:color="000000"/>
            </w:tcBorders>
          </w:tcPr>
          <w:p w14:paraId="04C2463B" w14:textId="77777777" w:rsidR="009A7A59" w:rsidRDefault="00000000">
            <w:pPr>
              <w:pStyle w:val="biaogeright"/>
              <w:wordWrap w:val="0"/>
              <w:ind w:left="420" w:hanging="420"/>
              <w:rPr>
                <w:rFonts w:hAnsi="Calibri"/>
                <w:color w:val="000000"/>
                <w:sz w:val="21"/>
                <w:szCs w:val="21"/>
              </w:rPr>
            </w:pPr>
            <w:r>
              <w:rPr>
                <w:rFonts w:hint="eastAsia"/>
                <w:sz w:val="21"/>
                <w:szCs w:val="21"/>
              </w:rPr>
              <w:t>4.85</w:t>
            </w:r>
          </w:p>
        </w:tc>
      </w:tr>
      <w:tr w:rsidR="009A7A59" w14:paraId="0AD3EFBE" w14:textId="7777777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06AAABDC" w14:textId="77777777" w:rsidR="009A7A59" w:rsidRDefault="00000000">
            <w:pPr>
              <w:pStyle w:val="biaogecenter"/>
              <w:wordWrap w:val="0"/>
              <w:ind w:firstLine="420"/>
              <w:rPr>
                <w:rFonts w:hAnsi="Calibri"/>
                <w:color w:val="000000"/>
                <w:sz w:val="21"/>
                <w:szCs w:val="21"/>
              </w:rPr>
            </w:pPr>
            <w:r>
              <w:rPr>
                <w:rFonts w:hAnsi="Calibri"/>
                <w:color w:val="000000"/>
                <w:sz w:val="21"/>
                <w:szCs w:val="21"/>
              </w:rPr>
              <w:t>5</w:t>
            </w:r>
          </w:p>
        </w:tc>
        <w:tc>
          <w:tcPr>
            <w:tcW w:w="2716" w:type="dxa"/>
            <w:tcBorders>
              <w:top w:val="single" w:sz="8" w:space="0" w:color="000000"/>
              <w:left w:val="single" w:sz="8" w:space="0" w:color="000000"/>
              <w:bottom w:val="single" w:sz="6" w:space="0" w:color="000000"/>
              <w:right w:val="single" w:sz="8" w:space="0" w:color="000000"/>
            </w:tcBorders>
            <w:vAlign w:val="center"/>
          </w:tcPr>
          <w:p w14:paraId="5C8FB8B7" w14:textId="77777777" w:rsidR="009A7A59" w:rsidRDefault="00000000">
            <w:pPr>
              <w:pStyle w:val="biaogeleft"/>
              <w:wordWrap w:val="0"/>
              <w:rPr>
                <w:rFonts w:hint="eastAsia"/>
                <w:sz w:val="21"/>
                <w:szCs w:val="21"/>
              </w:rPr>
            </w:pPr>
            <w:r>
              <w:rPr>
                <w:sz w:val="21"/>
                <w:szCs w:val="21"/>
              </w:rPr>
              <w:t>企业短期融资</w:t>
            </w:r>
            <w:proofErr w:type="gramStart"/>
            <w:r>
              <w:rPr>
                <w:sz w:val="21"/>
                <w:szCs w:val="21"/>
              </w:rPr>
              <w:t>券</w:t>
            </w:r>
            <w:proofErr w:type="gramEnd"/>
          </w:p>
        </w:tc>
        <w:tc>
          <w:tcPr>
            <w:tcW w:w="2139" w:type="dxa"/>
            <w:tcBorders>
              <w:top w:val="single" w:sz="8" w:space="0" w:color="000000"/>
              <w:left w:val="single" w:sz="8" w:space="0" w:color="000000"/>
              <w:bottom w:val="single" w:sz="6" w:space="0" w:color="000000"/>
              <w:right w:val="single" w:sz="8" w:space="0" w:color="000000"/>
            </w:tcBorders>
          </w:tcPr>
          <w:p w14:paraId="10AE1B40" w14:textId="77777777" w:rsidR="009A7A59" w:rsidRDefault="00000000">
            <w:pPr>
              <w:pStyle w:val="biaogeright"/>
              <w:wordWrap w:val="0"/>
              <w:ind w:left="420" w:hanging="420"/>
              <w:rPr>
                <w:rFonts w:hAnsi="Calibri"/>
                <w:color w:val="000000"/>
                <w:sz w:val="21"/>
                <w:szCs w:val="21"/>
              </w:rPr>
            </w:pPr>
            <w:r>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025826C4" w14:textId="77777777" w:rsidR="009A7A59" w:rsidRDefault="00000000">
            <w:pPr>
              <w:pStyle w:val="biaogeright"/>
              <w:wordWrap w:val="0"/>
              <w:ind w:left="420" w:hanging="420"/>
              <w:rPr>
                <w:rFonts w:hAnsi="Calibri"/>
                <w:color w:val="000000"/>
                <w:sz w:val="21"/>
                <w:szCs w:val="21"/>
              </w:rPr>
            </w:pPr>
            <w:r>
              <w:rPr>
                <w:rFonts w:hint="eastAsia"/>
                <w:sz w:val="21"/>
                <w:szCs w:val="21"/>
              </w:rPr>
              <w:t>-</w:t>
            </w:r>
          </w:p>
        </w:tc>
      </w:tr>
      <w:tr w:rsidR="009A7A59" w14:paraId="2217ECB1" w14:textId="7777777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7FA10AE3" w14:textId="77777777" w:rsidR="009A7A59" w:rsidRDefault="00000000">
            <w:pPr>
              <w:pStyle w:val="biaogecenter"/>
              <w:wordWrap w:val="0"/>
              <w:ind w:firstLine="420"/>
              <w:rPr>
                <w:rFonts w:hAnsi="Calibri"/>
                <w:color w:val="000000"/>
                <w:sz w:val="21"/>
                <w:szCs w:val="21"/>
              </w:rPr>
            </w:pPr>
            <w:r>
              <w:rPr>
                <w:rFonts w:hAnsi="Calibri"/>
                <w:color w:val="000000"/>
                <w:sz w:val="21"/>
                <w:szCs w:val="21"/>
              </w:rPr>
              <w:t>6</w:t>
            </w:r>
          </w:p>
        </w:tc>
        <w:tc>
          <w:tcPr>
            <w:tcW w:w="2716" w:type="dxa"/>
            <w:tcBorders>
              <w:top w:val="single" w:sz="8" w:space="0" w:color="000000"/>
              <w:left w:val="single" w:sz="8" w:space="0" w:color="000000"/>
              <w:bottom w:val="single" w:sz="6" w:space="0" w:color="000000"/>
              <w:right w:val="single" w:sz="8" w:space="0" w:color="000000"/>
            </w:tcBorders>
            <w:vAlign w:val="center"/>
          </w:tcPr>
          <w:p w14:paraId="602BA682" w14:textId="77777777" w:rsidR="009A7A59" w:rsidRDefault="00000000">
            <w:pPr>
              <w:pStyle w:val="biaogeleft"/>
              <w:wordWrap w:val="0"/>
              <w:rPr>
                <w:rFonts w:hint="eastAsia"/>
                <w:sz w:val="21"/>
                <w:szCs w:val="21"/>
              </w:rPr>
            </w:pPr>
            <w:r>
              <w:rPr>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tcPr>
          <w:p w14:paraId="059FA41E" w14:textId="77777777" w:rsidR="009A7A59" w:rsidRDefault="00000000">
            <w:pPr>
              <w:pStyle w:val="biaogeright"/>
              <w:wordWrap w:val="0"/>
              <w:ind w:left="420" w:hanging="420"/>
              <w:rPr>
                <w:rFonts w:hAnsi="Calibri"/>
                <w:color w:val="000000"/>
                <w:sz w:val="21"/>
                <w:szCs w:val="21"/>
              </w:rPr>
            </w:pPr>
            <w:r>
              <w:rPr>
                <w:rFonts w:hint="eastAsia"/>
                <w:sz w:val="21"/>
                <w:szCs w:val="21"/>
              </w:rPr>
              <w:t>50,750,702.46</w:t>
            </w:r>
          </w:p>
        </w:tc>
        <w:tc>
          <w:tcPr>
            <w:tcW w:w="2174" w:type="dxa"/>
            <w:tcBorders>
              <w:top w:val="single" w:sz="8" w:space="0" w:color="000000"/>
              <w:left w:val="single" w:sz="8" w:space="0" w:color="000000"/>
              <w:bottom w:val="single" w:sz="6" w:space="0" w:color="000000"/>
              <w:right w:val="single" w:sz="8" w:space="0" w:color="000000"/>
            </w:tcBorders>
          </w:tcPr>
          <w:p w14:paraId="5867D309" w14:textId="77777777" w:rsidR="009A7A59" w:rsidRDefault="00000000">
            <w:pPr>
              <w:pStyle w:val="biaogeright"/>
              <w:wordWrap w:val="0"/>
              <w:ind w:left="420" w:hanging="420"/>
              <w:rPr>
                <w:rFonts w:hAnsi="Calibri"/>
                <w:color w:val="000000"/>
                <w:sz w:val="21"/>
                <w:szCs w:val="21"/>
              </w:rPr>
            </w:pPr>
            <w:r>
              <w:rPr>
                <w:rFonts w:hint="eastAsia"/>
                <w:sz w:val="21"/>
                <w:szCs w:val="21"/>
              </w:rPr>
              <w:t>50.33</w:t>
            </w:r>
          </w:p>
        </w:tc>
      </w:tr>
      <w:tr w:rsidR="009A7A59" w14:paraId="6FB641B9" w14:textId="7777777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0AE015C6" w14:textId="77777777" w:rsidR="009A7A59" w:rsidRDefault="00000000">
            <w:pPr>
              <w:pStyle w:val="biaogecenter"/>
              <w:wordWrap w:val="0"/>
              <w:ind w:firstLine="420"/>
              <w:rPr>
                <w:rFonts w:hAnsi="Calibri"/>
                <w:color w:val="000000"/>
                <w:sz w:val="21"/>
                <w:szCs w:val="21"/>
              </w:rPr>
            </w:pPr>
            <w:r>
              <w:rPr>
                <w:rFonts w:hAnsi="Calibri"/>
                <w:color w:val="000000"/>
                <w:sz w:val="21"/>
                <w:szCs w:val="21"/>
              </w:rPr>
              <w:t>7</w:t>
            </w:r>
          </w:p>
        </w:tc>
        <w:tc>
          <w:tcPr>
            <w:tcW w:w="2716" w:type="dxa"/>
            <w:tcBorders>
              <w:top w:val="single" w:sz="8" w:space="0" w:color="000000"/>
              <w:left w:val="single" w:sz="8" w:space="0" w:color="000000"/>
              <w:bottom w:val="single" w:sz="6" w:space="0" w:color="000000"/>
              <w:right w:val="single" w:sz="8" w:space="0" w:color="000000"/>
            </w:tcBorders>
            <w:vAlign w:val="center"/>
          </w:tcPr>
          <w:p w14:paraId="51B00DBE" w14:textId="77777777" w:rsidR="009A7A59" w:rsidRDefault="00000000">
            <w:pPr>
              <w:pStyle w:val="biaogeleft"/>
              <w:wordWrap w:val="0"/>
              <w:rPr>
                <w:rFonts w:hint="eastAsia"/>
                <w:sz w:val="21"/>
                <w:szCs w:val="21"/>
              </w:rPr>
            </w:pPr>
            <w:r>
              <w:rPr>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tcPr>
          <w:p w14:paraId="6A0C106E" w14:textId="77777777" w:rsidR="009A7A59" w:rsidRDefault="00000000">
            <w:pPr>
              <w:pStyle w:val="biaogeright"/>
              <w:wordWrap w:val="0"/>
              <w:ind w:left="420" w:hanging="420"/>
              <w:rPr>
                <w:rFonts w:hAnsi="Calibri"/>
                <w:color w:val="000000"/>
                <w:sz w:val="21"/>
                <w:szCs w:val="21"/>
              </w:rPr>
            </w:pPr>
            <w:r>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6BDF4711" w14:textId="77777777" w:rsidR="009A7A59" w:rsidRDefault="00000000">
            <w:pPr>
              <w:pStyle w:val="biaogeright"/>
              <w:wordWrap w:val="0"/>
              <w:ind w:left="420" w:hanging="420"/>
              <w:rPr>
                <w:rFonts w:hAnsi="Calibri"/>
                <w:color w:val="000000"/>
                <w:sz w:val="21"/>
                <w:szCs w:val="21"/>
              </w:rPr>
            </w:pPr>
            <w:r>
              <w:rPr>
                <w:rFonts w:hint="eastAsia"/>
                <w:sz w:val="21"/>
                <w:szCs w:val="21"/>
              </w:rPr>
              <w:t>-</w:t>
            </w:r>
          </w:p>
        </w:tc>
      </w:tr>
      <w:tr w:rsidR="009A7A59" w14:paraId="0B608CCA" w14:textId="7777777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3E043B70" w14:textId="77777777" w:rsidR="009A7A59" w:rsidRDefault="00000000">
            <w:pPr>
              <w:pStyle w:val="biaogecenter"/>
              <w:wordWrap w:val="0"/>
              <w:ind w:firstLine="420"/>
              <w:rPr>
                <w:rFonts w:hAnsi="Calibri"/>
                <w:color w:val="000000"/>
                <w:sz w:val="21"/>
                <w:szCs w:val="21"/>
              </w:rPr>
            </w:pPr>
            <w:r>
              <w:rPr>
                <w:rFonts w:hAnsi="Calibri"/>
                <w:color w:val="000000"/>
                <w:sz w:val="21"/>
                <w:szCs w:val="21"/>
              </w:rPr>
              <w:t>8</w:t>
            </w:r>
          </w:p>
        </w:tc>
        <w:tc>
          <w:tcPr>
            <w:tcW w:w="2716" w:type="dxa"/>
            <w:tcBorders>
              <w:top w:val="single" w:sz="8" w:space="0" w:color="000000"/>
              <w:left w:val="single" w:sz="8" w:space="0" w:color="000000"/>
              <w:bottom w:val="single" w:sz="6" w:space="0" w:color="000000"/>
              <w:right w:val="single" w:sz="8" w:space="0" w:color="000000"/>
            </w:tcBorders>
            <w:vAlign w:val="center"/>
          </w:tcPr>
          <w:p w14:paraId="4368FA73" w14:textId="77777777" w:rsidR="009A7A59" w:rsidRDefault="00000000">
            <w:pPr>
              <w:pStyle w:val="biaogeleft"/>
              <w:wordWrap w:val="0"/>
              <w:rPr>
                <w:rFonts w:hint="eastAsia"/>
                <w:sz w:val="21"/>
                <w:szCs w:val="21"/>
              </w:rPr>
            </w:pPr>
            <w:r>
              <w:rPr>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tcPr>
          <w:p w14:paraId="2D5CE18C" w14:textId="77777777" w:rsidR="009A7A59" w:rsidRDefault="00000000">
            <w:pPr>
              <w:pStyle w:val="biaogeright"/>
              <w:wordWrap w:val="0"/>
              <w:ind w:left="420" w:hanging="420"/>
              <w:rPr>
                <w:rFonts w:hAnsi="Calibri"/>
                <w:color w:val="000000"/>
                <w:sz w:val="21"/>
                <w:szCs w:val="21"/>
              </w:rPr>
            </w:pPr>
            <w:r>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5F45948B" w14:textId="77777777" w:rsidR="009A7A59" w:rsidRDefault="00000000">
            <w:pPr>
              <w:pStyle w:val="biaogeright"/>
              <w:wordWrap w:val="0"/>
              <w:ind w:left="420" w:hanging="420"/>
              <w:rPr>
                <w:rFonts w:hAnsi="Calibri"/>
                <w:color w:val="000000"/>
                <w:sz w:val="21"/>
                <w:szCs w:val="21"/>
              </w:rPr>
            </w:pPr>
            <w:r>
              <w:rPr>
                <w:rFonts w:hint="eastAsia"/>
                <w:sz w:val="21"/>
                <w:szCs w:val="21"/>
              </w:rPr>
              <w:t>-</w:t>
            </w:r>
          </w:p>
        </w:tc>
      </w:tr>
      <w:tr w:rsidR="009A7A59" w14:paraId="1B133899" w14:textId="7777777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1205D144" w14:textId="77777777" w:rsidR="009A7A59" w:rsidRDefault="00000000">
            <w:pPr>
              <w:pStyle w:val="biaogecenter"/>
              <w:wordWrap w:val="0"/>
              <w:ind w:firstLine="420"/>
              <w:rPr>
                <w:rFonts w:hAnsi="Calibri"/>
                <w:color w:val="000000"/>
                <w:sz w:val="21"/>
                <w:szCs w:val="21"/>
              </w:rPr>
            </w:pPr>
            <w:r>
              <w:rPr>
                <w:rFonts w:hAnsi="Calibri"/>
                <w:color w:val="000000"/>
                <w:sz w:val="21"/>
                <w:szCs w:val="21"/>
              </w:rPr>
              <w:t>9</w:t>
            </w:r>
          </w:p>
        </w:tc>
        <w:tc>
          <w:tcPr>
            <w:tcW w:w="2716" w:type="dxa"/>
            <w:tcBorders>
              <w:top w:val="single" w:sz="8" w:space="0" w:color="000000"/>
              <w:left w:val="single" w:sz="8" w:space="0" w:color="000000"/>
              <w:bottom w:val="single" w:sz="6" w:space="0" w:color="000000"/>
              <w:right w:val="single" w:sz="8" w:space="0" w:color="000000"/>
            </w:tcBorders>
            <w:vAlign w:val="center"/>
          </w:tcPr>
          <w:p w14:paraId="0439D3CE" w14:textId="77777777" w:rsidR="009A7A59" w:rsidRDefault="00000000">
            <w:pPr>
              <w:pStyle w:val="biaogeleft"/>
              <w:wordWrap w:val="0"/>
              <w:rPr>
                <w:rFonts w:hint="eastAsia"/>
                <w:sz w:val="21"/>
                <w:szCs w:val="21"/>
              </w:rPr>
            </w:pPr>
            <w:r>
              <w:rPr>
                <w:sz w:val="21"/>
                <w:szCs w:val="21"/>
              </w:rPr>
              <w:t>其他</w:t>
            </w:r>
          </w:p>
        </w:tc>
        <w:tc>
          <w:tcPr>
            <w:tcW w:w="2139" w:type="dxa"/>
            <w:tcBorders>
              <w:top w:val="single" w:sz="8" w:space="0" w:color="000000"/>
              <w:left w:val="single" w:sz="8" w:space="0" w:color="000000"/>
              <w:bottom w:val="single" w:sz="6" w:space="0" w:color="000000"/>
              <w:right w:val="single" w:sz="8" w:space="0" w:color="000000"/>
            </w:tcBorders>
          </w:tcPr>
          <w:p w14:paraId="397F3EDB" w14:textId="77777777" w:rsidR="009A7A59" w:rsidRDefault="00000000">
            <w:pPr>
              <w:pStyle w:val="biaogeright"/>
              <w:wordWrap w:val="0"/>
              <w:ind w:left="420" w:hanging="420"/>
              <w:rPr>
                <w:rFonts w:hAnsi="Calibri"/>
                <w:color w:val="000000"/>
                <w:sz w:val="21"/>
                <w:szCs w:val="21"/>
              </w:rPr>
            </w:pPr>
            <w:r>
              <w:rPr>
                <w:rFonts w:hint="eastAsia"/>
                <w:sz w:val="21"/>
                <w:szCs w:val="21"/>
              </w:rPr>
              <w:t>-</w:t>
            </w:r>
          </w:p>
        </w:tc>
        <w:tc>
          <w:tcPr>
            <w:tcW w:w="2174" w:type="dxa"/>
            <w:tcBorders>
              <w:top w:val="single" w:sz="8" w:space="0" w:color="000000"/>
              <w:left w:val="single" w:sz="8" w:space="0" w:color="000000"/>
              <w:bottom w:val="single" w:sz="6" w:space="0" w:color="000000"/>
              <w:right w:val="single" w:sz="8" w:space="0" w:color="000000"/>
            </w:tcBorders>
          </w:tcPr>
          <w:p w14:paraId="619B3A2A" w14:textId="77777777" w:rsidR="009A7A59" w:rsidRDefault="00000000">
            <w:pPr>
              <w:pStyle w:val="biaogeright"/>
              <w:wordWrap w:val="0"/>
              <w:ind w:left="420" w:hanging="420"/>
              <w:rPr>
                <w:rFonts w:hAnsi="Calibri"/>
                <w:color w:val="000000"/>
                <w:sz w:val="21"/>
                <w:szCs w:val="21"/>
              </w:rPr>
            </w:pPr>
            <w:r>
              <w:rPr>
                <w:rFonts w:hint="eastAsia"/>
                <w:sz w:val="21"/>
                <w:szCs w:val="21"/>
              </w:rPr>
              <w:t>-</w:t>
            </w:r>
          </w:p>
        </w:tc>
      </w:tr>
      <w:tr w:rsidR="009A7A59" w14:paraId="7E978D46" w14:textId="77777777">
        <w:trPr>
          <w:trHeight w:val="346"/>
        </w:trPr>
        <w:tc>
          <w:tcPr>
            <w:tcW w:w="1149" w:type="dxa"/>
            <w:tcBorders>
              <w:top w:val="single" w:sz="8" w:space="0" w:color="000000"/>
              <w:left w:val="single" w:sz="8" w:space="0" w:color="000000"/>
              <w:bottom w:val="single" w:sz="6" w:space="0" w:color="000000"/>
              <w:right w:val="single" w:sz="8" w:space="0" w:color="000000"/>
            </w:tcBorders>
            <w:vAlign w:val="center"/>
          </w:tcPr>
          <w:p w14:paraId="4B6F092B" w14:textId="77777777" w:rsidR="009A7A59" w:rsidRDefault="00000000">
            <w:pPr>
              <w:pStyle w:val="biaogecenter"/>
              <w:wordWrap w:val="0"/>
              <w:ind w:firstLine="420"/>
              <w:rPr>
                <w:rFonts w:hAnsi="Calibri"/>
                <w:color w:val="000000"/>
                <w:sz w:val="21"/>
                <w:szCs w:val="21"/>
              </w:rPr>
            </w:pPr>
            <w:r>
              <w:rPr>
                <w:rFonts w:hAnsi="Calibri"/>
                <w:color w:val="000000"/>
                <w:sz w:val="21"/>
                <w:szCs w:val="21"/>
              </w:rPr>
              <w:t>10</w:t>
            </w:r>
          </w:p>
        </w:tc>
        <w:tc>
          <w:tcPr>
            <w:tcW w:w="2716" w:type="dxa"/>
            <w:tcBorders>
              <w:top w:val="single" w:sz="8" w:space="0" w:color="000000"/>
              <w:left w:val="single" w:sz="8" w:space="0" w:color="000000"/>
              <w:bottom w:val="single" w:sz="6" w:space="0" w:color="000000"/>
              <w:right w:val="single" w:sz="8" w:space="0" w:color="000000"/>
            </w:tcBorders>
            <w:vAlign w:val="center"/>
          </w:tcPr>
          <w:p w14:paraId="7DBF8A50" w14:textId="77777777" w:rsidR="009A7A59" w:rsidRDefault="00000000">
            <w:pPr>
              <w:pStyle w:val="biaogeleft"/>
              <w:wordWrap w:val="0"/>
              <w:rPr>
                <w:rFonts w:hint="eastAsia"/>
                <w:sz w:val="21"/>
                <w:szCs w:val="21"/>
              </w:rPr>
            </w:pPr>
            <w:r>
              <w:rPr>
                <w:sz w:val="21"/>
                <w:szCs w:val="21"/>
              </w:rPr>
              <w:t>合计</w:t>
            </w:r>
          </w:p>
        </w:tc>
        <w:tc>
          <w:tcPr>
            <w:tcW w:w="2139" w:type="dxa"/>
            <w:tcBorders>
              <w:top w:val="single" w:sz="8" w:space="0" w:color="000000"/>
              <w:left w:val="single" w:sz="8" w:space="0" w:color="000000"/>
              <w:bottom w:val="single" w:sz="6" w:space="0" w:color="000000"/>
              <w:right w:val="single" w:sz="8" w:space="0" w:color="000000"/>
            </w:tcBorders>
          </w:tcPr>
          <w:p w14:paraId="382A1B25" w14:textId="77777777" w:rsidR="009A7A59" w:rsidRDefault="00000000">
            <w:pPr>
              <w:pStyle w:val="biaogeright"/>
              <w:wordWrap w:val="0"/>
              <w:ind w:left="420" w:hanging="420"/>
              <w:rPr>
                <w:rFonts w:hAnsi="Calibri"/>
                <w:color w:val="000000"/>
                <w:sz w:val="21"/>
                <w:szCs w:val="21"/>
              </w:rPr>
            </w:pPr>
            <w:r>
              <w:rPr>
                <w:rFonts w:hint="eastAsia"/>
                <w:sz w:val="21"/>
                <w:szCs w:val="21"/>
              </w:rPr>
              <w:t>97,310,269.43</w:t>
            </w:r>
          </w:p>
        </w:tc>
        <w:tc>
          <w:tcPr>
            <w:tcW w:w="2174" w:type="dxa"/>
            <w:tcBorders>
              <w:top w:val="single" w:sz="8" w:space="0" w:color="000000"/>
              <w:left w:val="single" w:sz="8" w:space="0" w:color="000000"/>
              <w:bottom w:val="single" w:sz="6" w:space="0" w:color="000000"/>
              <w:right w:val="single" w:sz="8" w:space="0" w:color="000000"/>
            </w:tcBorders>
          </w:tcPr>
          <w:p w14:paraId="42602C7D" w14:textId="77777777" w:rsidR="009A7A59" w:rsidRDefault="00000000">
            <w:pPr>
              <w:pStyle w:val="biaogeright"/>
              <w:wordWrap w:val="0"/>
              <w:ind w:left="420" w:hanging="420"/>
              <w:rPr>
                <w:rFonts w:hAnsi="Calibri"/>
                <w:color w:val="000000"/>
                <w:sz w:val="21"/>
                <w:szCs w:val="21"/>
              </w:rPr>
            </w:pPr>
            <w:r>
              <w:rPr>
                <w:rFonts w:hint="eastAsia"/>
                <w:sz w:val="21"/>
                <w:szCs w:val="21"/>
              </w:rPr>
              <w:t>96.51</w:t>
            </w:r>
          </w:p>
        </w:tc>
      </w:tr>
    </w:tbl>
    <w:p w14:paraId="1713BCC7" w14:textId="77777777" w:rsidR="009A7A59" w:rsidRDefault="009A7A59">
      <w:pPr>
        <w:widowControl/>
        <w:spacing w:line="360" w:lineRule="auto"/>
        <w:jc w:val="left"/>
        <w:rPr>
          <w:rFonts w:ascii="宋体" w:hAnsi="宋体" w:cs="宋体" w:hint="eastAsia"/>
          <w:kern w:val="0"/>
          <w:szCs w:val="21"/>
        </w:rPr>
      </w:pPr>
    </w:p>
    <w:p w14:paraId="6B3DEBFE" w14:textId="77777777" w:rsidR="009A7A59" w:rsidRDefault="00000000">
      <w:pPr>
        <w:spacing w:line="360" w:lineRule="auto"/>
        <w:ind w:firstLineChars="200" w:firstLine="420"/>
        <w:rPr>
          <w:rFonts w:ascii="宋体" w:hAnsi="宋体" w:hint="eastAsia"/>
          <w:kern w:val="0"/>
        </w:rPr>
      </w:pPr>
      <w:r>
        <w:rPr>
          <w:rFonts w:hint="eastAsia"/>
          <w:szCs w:val="21"/>
        </w:rPr>
        <w:t>5</w:t>
      </w:r>
      <w:r>
        <w:rPr>
          <w:rFonts w:hint="eastAsia"/>
          <w:szCs w:val="21"/>
        </w:rPr>
        <w:t>、报告期末按公允价值占基金资产净值比例大小排序的前五名债券投资明细</w:t>
      </w:r>
    </w:p>
    <w:tbl>
      <w:tblPr>
        <w:tblW w:w="9073" w:type="dxa"/>
        <w:tblInd w:w="-34" w:type="dxa"/>
        <w:tblLook w:val="04A0" w:firstRow="1" w:lastRow="0" w:firstColumn="1" w:lastColumn="0" w:noHBand="0" w:noVBand="1"/>
      </w:tblPr>
      <w:tblGrid>
        <w:gridCol w:w="709"/>
        <w:gridCol w:w="1377"/>
        <w:gridCol w:w="2252"/>
        <w:gridCol w:w="1144"/>
        <w:gridCol w:w="1905"/>
        <w:gridCol w:w="1686"/>
      </w:tblGrid>
      <w:tr w:rsidR="009A7A59" w14:paraId="48AC98A7"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419356F9"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lastRenderedPageBreak/>
              <w:t>序号</w:t>
            </w:r>
          </w:p>
        </w:tc>
        <w:tc>
          <w:tcPr>
            <w:tcW w:w="1377" w:type="dxa"/>
            <w:tcBorders>
              <w:top w:val="single" w:sz="8" w:space="0" w:color="000000"/>
              <w:left w:val="single" w:sz="8" w:space="0" w:color="000000"/>
              <w:bottom w:val="single" w:sz="6" w:space="0" w:color="000000"/>
              <w:right w:val="single" w:sz="8" w:space="0" w:color="000000"/>
            </w:tcBorders>
            <w:vAlign w:val="center"/>
          </w:tcPr>
          <w:p w14:paraId="4C7C7748"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债券代码</w:t>
            </w:r>
          </w:p>
        </w:tc>
        <w:tc>
          <w:tcPr>
            <w:tcW w:w="2252" w:type="dxa"/>
            <w:tcBorders>
              <w:top w:val="single" w:sz="8" w:space="0" w:color="000000"/>
              <w:left w:val="single" w:sz="8" w:space="0" w:color="000000"/>
              <w:bottom w:val="single" w:sz="6" w:space="0" w:color="000000"/>
              <w:right w:val="single" w:sz="8" w:space="0" w:color="000000"/>
            </w:tcBorders>
            <w:vAlign w:val="center"/>
          </w:tcPr>
          <w:p w14:paraId="5DF8E36A"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债券名称</w:t>
            </w:r>
          </w:p>
        </w:tc>
        <w:tc>
          <w:tcPr>
            <w:tcW w:w="1144" w:type="dxa"/>
            <w:tcBorders>
              <w:top w:val="single" w:sz="8" w:space="0" w:color="000000"/>
              <w:left w:val="single" w:sz="8" w:space="0" w:color="000000"/>
              <w:bottom w:val="single" w:sz="6" w:space="0" w:color="000000"/>
              <w:right w:val="single" w:sz="8" w:space="0" w:color="000000"/>
            </w:tcBorders>
            <w:vAlign w:val="center"/>
          </w:tcPr>
          <w:p w14:paraId="303946AE"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数量（张）</w:t>
            </w:r>
          </w:p>
        </w:tc>
        <w:tc>
          <w:tcPr>
            <w:tcW w:w="1905" w:type="dxa"/>
            <w:tcBorders>
              <w:top w:val="single" w:sz="8" w:space="0" w:color="000000"/>
              <w:left w:val="single" w:sz="8" w:space="0" w:color="000000"/>
              <w:bottom w:val="single" w:sz="6" w:space="0" w:color="000000"/>
              <w:right w:val="single" w:sz="8" w:space="0" w:color="000000"/>
            </w:tcBorders>
            <w:vAlign w:val="center"/>
          </w:tcPr>
          <w:p w14:paraId="20594DA4"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公允价值</w:t>
            </w:r>
            <w:r>
              <w:rPr>
                <w:rFonts w:hAnsi="Calibri" w:hint="eastAsia"/>
                <w:color w:val="000000"/>
                <w:szCs w:val="21"/>
              </w:rPr>
              <w:t>(</w:t>
            </w:r>
            <w:r>
              <w:rPr>
                <w:rFonts w:hAnsi="Calibri" w:hint="eastAsia"/>
                <w:color w:val="000000"/>
                <w:szCs w:val="21"/>
              </w:rPr>
              <w:t>元</w:t>
            </w:r>
            <w:r>
              <w:rPr>
                <w:rFonts w:hAnsi="Calibri" w:hint="eastAsia"/>
                <w:color w:val="000000"/>
                <w:szCs w:val="21"/>
              </w:rPr>
              <w:t>)</w:t>
            </w:r>
          </w:p>
        </w:tc>
        <w:tc>
          <w:tcPr>
            <w:tcW w:w="1686" w:type="dxa"/>
            <w:tcBorders>
              <w:top w:val="single" w:sz="8" w:space="0" w:color="000000"/>
              <w:left w:val="single" w:sz="8" w:space="0" w:color="000000"/>
              <w:bottom w:val="single" w:sz="6" w:space="0" w:color="000000"/>
              <w:right w:val="single" w:sz="8" w:space="0" w:color="000000"/>
            </w:tcBorders>
            <w:vAlign w:val="center"/>
          </w:tcPr>
          <w:p w14:paraId="1D044A8C"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占基金资产净值比例（％）</w:t>
            </w:r>
          </w:p>
        </w:tc>
      </w:tr>
      <w:tr w:rsidR="009A7A59" w14:paraId="7F014304"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0691690" w14:textId="77777777" w:rsidR="009A7A59" w:rsidRDefault="00000000">
            <w:pPr>
              <w:widowControl/>
              <w:autoSpaceDE w:val="0"/>
              <w:autoSpaceDN w:val="0"/>
              <w:adjustRightInd w:val="0"/>
              <w:spacing w:before="29" w:line="288" w:lineRule="auto"/>
              <w:ind w:left="15"/>
              <w:jc w:val="center"/>
              <w:rPr>
                <w:rFonts w:hAnsi="Calibri"/>
                <w:color w:val="000000"/>
                <w:szCs w:val="21"/>
              </w:rPr>
            </w:pPr>
            <w:r>
              <w:rPr>
                <w:rFonts w:hAnsi="Calibri"/>
                <w:color w:val="000000"/>
                <w:szCs w:val="21"/>
              </w:rPr>
              <w:t>1</w:t>
            </w:r>
          </w:p>
        </w:tc>
        <w:tc>
          <w:tcPr>
            <w:tcW w:w="1377" w:type="dxa"/>
            <w:tcBorders>
              <w:top w:val="single" w:sz="8" w:space="0" w:color="000000"/>
              <w:left w:val="single" w:sz="8" w:space="0" w:color="000000"/>
              <w:bottom w:val="single" w:sz="6" w:space="0" w:color="000000"/>
              <w:right w:val="single" w:sz="8" w:space="0" w:color="000000"/>
            </w:tcBorders>
          </w:tcPr>
          <w:p w14:paraId="7A934842" w14:textId="77777777" w:rsidR="009A7A59" w:rsidRDefault="00000000">
            <w:pPr>
              <w:widowControl/>
              <w:wordWrap w:val="0"/>
              <w:autoSpaceDE w:val="0"/>
              <w:autoSpaceDN w:val="0"/>
              <w:adjustRightInd w:val="0"/>
              <w:spacing w:before="29" w:line="288" w:lineRule="auto"/>
              <w:ind w:left="15"/>
              <w:jc w:val="left"/>
              <w:rPr>
                <w:rFonts w:hAnsi="Calibri"/>
                <w:color w:val="000000"/>
                <w:szCs w:val="21"/>
              </w:rPr>
            </w:pPr>
            <w:r>
              <w:rPr>
                <w:rFonts w:hint="eastAsia"/>
              </w:rPr>
              <w:t>230215</w:t>
            </w:r>
          </w:p>
        </w:tc>
        <w:tc>
          <w:tcPr>
            <w:tcW w:w="2252" w:type="dxa"/>
            <w:tcBorders>
              <w:top w:val="single" w:sz="8" w:space="0" w:color="000000"/>
              <w:left w:val="single" w:sz="8" w:space="0" w:color="000000"/>
              <w:bottom w:val="single" w:sz="6" w:space="0" w:color="000000"/>
              <w:right w:val="single" w:sz="8" w:space="0" w:color="000000"/>
            </w:tcBorders>
          </w:tcPr>
          <w:p w14:paraId="7F4803C9" w14:textId="77777777" w:rsidR="009A7A59" w:rsidRDefault="00000000">
            <w:pPr>
              <w:widowControl/>
              <w:wordWrap w:val="0"/>
              <w:autoSpaceDE w:val="0"/>
              <w:autoSpaceDN w:val="0"/>
              <w:adjustRightInd w:val="0"/>
              <w:spacing w:before="29" w:line="288" w:lineRule="auto"/>
              <w:ind w:left="15"/>
              <w:jc w:val="left"/>
              <w:rPr>
                <w:rFonts w:hAnsi="Calibri"/>
                <w:color w:val="000000"/>
                <w:szCs w:val="21"/>
              </w:rPr>
            </w:pPr>
            <w:r>
              <w:rPr>
                <w:rFonts w:hint="eastAsia"/>
              </w:rPr>
              <w:t>23</w:t>
            </w:r>
            <w:r>
              <w:rPr>
                <w:rFonts w:hint="eastAsia"/>
              </w:rPr>
              <w:t>国开</w:t>
            </w:r>
            <w:r>
              <w:rPr>
                <w:rFonts w:hint="eastAsia"/>
              </w:rPr>
              <w:t>15</w:t>
            </w:r>
          </w:p>
        </w:tc>
        <w:tc>
          <w:tcPr>
            <w:tcW w:w="1144" w:type="dxa"/>
            <w:tcBorders>
              <w:top w:val="single" w:sz="8" w:space="0" w:color="000000"/>
              <w:left w:val="single" w:sz="8" w:space="0" w:color="000000"/>
              <w:bottom w:val="single" w:sz="6" w:space="0" w:color="000000"/>
              <w:right w:val="single" w:sz="8" w:space="0" w:color="000000"/>
            </w:tcBorders>
          </w:tcPr>
          <w:p w14:paraId="08C620F2"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33EA9F2F"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10,817,542.47</w:t>
            </w:r>
          </w:p>
        </w:tc>
        <w:tc>
          <w:tcPr>
            <w:tcW w:w="1686" w:type="dxa"/>
            <w:tcBorders>
              <w:top w:val="single" w:sz="8" w:space="0" w:color="000000"/>
              <w:left w:val="single" w:sz="8" w:space="0" w:color="000000"/>
              <w:bottom w:val="single" w:sz="6" w:space="0" w:color="000000"/>
              <w:right w:val="single" w:sz="8" w:space="0" w:color="000000"/>
            </w:tcBorders>
          </w:tcPr>
          <w:p w14:paraId="4AE99B8D"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10.73</w:t>
            </w:r>
          </w:p>
        </w:tc>
      </w:tr>
      <w:tr w:rsidR="009A7A59" w14:paraId="39C58951"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E74E5A3"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Ansi="Calibri"/>
                <w:color w:val="000000"/>
                <w:szCs w:val="21"/>
              </w:rPr>
              <w:t>2</w:t>
            </w:r>
          </w:p>
        </w:tc>
        <w:tc>
          <w:tcPr>
            <w:tcW w:w="1377" w:type="dxa"/>
            <w:tcBorders>
              <w:top w:val="single" w:sz="8" w:space="0" w:color="000000"/>
              <w:left w:val="single" w:sz="8" w:space="0" w:color="000000"/>
              <w:bottom w:val="single" w:sz="6" w:space="0" w:color="000000"/>
              <w:right w:val="single" w:sz="8" w:space="0" w:color="000000"/>
            </w:tcBorders>
          </w:tcPr>
          <w:p w14:paraId="159AA1B8" w14:textId="77777777" w:rsidR="009A7A59" w:rsidRDefault="00000000">
            <w:pPr>
              <w:widowControl/>
              <w:wordWrap w:val="0"/>
              <w:autoSpaceDE w:val="0"/>
              <w:autoSpaceDN w:val="0"/>
              <w:adjustRightInd w:val="0"/>
              <w:spacing w:before="29" w:line="288" w:lineRule="auto"/>
              <w:ind w:left="15"/>
              <w:jc w:val="left"/>
              <w:rPr>
                <w:rFonts w:hAnsi="Calibri"/>
                <w:color w:val="000000"/>
                <w:szCs w:val="21"/>
              </w:rPr>
            </w:pPr>
            <w:r>
              <w:rPr>
                <w:rFonts w:hint="eastAsia"/>
              </w:rPr>
              <w:t>200203</w:t>
            </w:r>
          </w:p>
        </w:tc>
        <w:tc>
          <w:tcPr>
            <w:tcW w:w="2252" w:type="dxa"/>
            <w:tcBorders>
              <w:top w:val="single" w:sz="8" w:space="0" w:color="000000"/>
              <w:left w:val="single" w:sz="8" w:space="0" w:color="000000"/>
              <w:bottom w:val="single" w:sz="6" w:space="0" w:color="000000"/>
              <w:right w:val="single" w:sz="8" w:space="0" w:color="000000"/>
            </w:tcBorders>
          </w:tcPr>
          <w:p w14:paraId="683ABAED" w14:textId="77777777" w:rsidR="009A7A59" w:rsidRDefault="00000000">
            <w:pPr>
              <w:widowControl/>
              <w:wordWrap w:val="0"/>
              <w:autoSpaceDE w:val="0"/>
              <w:autoSpaceDN w:val="0"/>
              <w:adjustRightInd w:val="0"/>
              <w:spacing w:before="29" w:line="288" w:lineRule="auto"/>
              <w:ind w:left="15"/>
              <w:jc w:val="left"/>
              <w:rPr>
                <w:rFonts w:hAnsi="Calibri"/>
                <w:color w:val="000000"/>
                <w:szCs w:val="21"/>
              </w:rPr>
            </w:pPr>
            <w:r>
              <w:rPr>
                <w:rFonts w:hint="eastAsia"/>
              </w:rPr>
              <w:t>20</w:t>
            </w:r>
            <w:r>
              <w:rPr>
                <w:rFonts w:hint="eastAsia"/>
              </w:rPr>
              <w:t>国开</w:t>
            </w:r>
            <w:r>
              <w:rPr>
                <w:rFonts w:hint="eastAsia"/>
              </w:rPr>
              <w:t>03</w:t>
            </w:r>
          </w:p>
        </w:tc>
        <w:tc>
          <w:tcPr>
            <w:tcW w:w="1144" w:type="dxa"/>
            <w:tcBorders>
              <w:top w:val="single" w:sz="8" w:space="0" w:color="000000"/>
              <w:left w:val="single" w:sz="8" w:space="0" w:color="000000"/>
              <w:bottom w:val="single" w:sz="6" w:space="0" w:color="000000"/>
              <w:right w:val="single" w:sz="8" w:space="0" w:color="000000"/>
            </w:tcBorders>
          </w:tcPr>
          <w:p w14:paraId="302200F2"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238B1E81"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10,322,057.38</w:t>
            </w:r>
          </w:p>
        </w:tc>
        <w:tc>
          <w:tcPr>
            <w:tcW w:w="1686" w:type="dxa"/>
            <w:tcBorders>
              <w:top w:val="single" w:sz="8" w:space="0" w:color="000000"/>
              <w:left w:val="single" w:sz="8" w:space="0" w:color="000000"/>
              <w:bottom w:val="single" w:sz="6" w:space="0" w:color="000000"/>
              <w:right w:val="single" w:sz="8" w:space="0" w:color="000000"/>
            </w:tcBorders>
          </w:tcPr>
          <w:p w14:paraId="2B1E057E"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10.24</w:t>
            </w:r>
          </w:p>
        </w:tc>
      </w:tr>
      <w:tr w:rsidR="009A7A59" w14:paraId="089DDA90"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A31BA65"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Ansi="Calibri"/>
                <w:color w:val="000000"/>
                <w:szCs w:val="21"/>
              </w:rPr>
              <w:t>3</w:t>
            </w:r>
          </w:p>
        </w:tc>
        <w:tc>
          <w:tcPr>
            <w:tcW w:w="1377" w:type="dxa"/>
            <w:tcBorders>
              <w:top w:val="single" w:sz="8" w:space="0" w:color="000000"/>
              <w:left w:val="single" w:sz="8" w:space="0" w:color="000000"/>
              <w:bottom w:val="single" w:sz="6" w:space="0" w:color="000000"/>
              <w:right w:val="single" w:sz="8" w:space="0" w:color="000000"/>
            </w:tcBorders>
          </w:tcPr>
          <w:p w14:paraId="10C8A9F5" w14:textId="77777777" w:rsidR="009A7A59" w:rsidRDefault="00000000">
            <w:pPr>
              <w:widowControl/>
              <w:wordWrap w:val="0"/>
              <w:autoSpaceDE w:val="0"/>
              <w:autoSpaceDN w:val="0"/>
              <w:adjustRightInd w:val="0"/>
              <w:spacing w:before="29" w:line="288" w:lineRule="auto"/>
              <w:ind w:left="15"/>
              <w:jc w:val="left"/>
              <w:rPr>
                <w:rFonts w:hAnsi="Calibri"/>
                <w:color w:val="000000"/>
                <w:szCs w:val="21"/>
              </w:rPr>
            </w:pPr>
            <w:r>
              <w:rPr>
                <w:rFonts w:hint="eastAsia"/>
              </w:rPr>
              <w:t>09240202</w:t>
            </w:r>
          </w:p>
        </w:tc>
        <w:tc>
          <w:tcPr>
            <w:tcW w:w="2252" w:type="dxa"/>
            <w:tcBorders>
              <w:top w:val="single" w:sz="8" w:space="0" w:color="000000"/>
              <w:left w:val="single" w:sz="8" w:space="0" w:color="000000"/>
              <w:bottom w:val="single" w:sz="6" w:space="0" w:color="000000"/>
              <w:right w:val="single" w:sz="8" w:space="0" w:color="000000"/>
            </w:tcBorders>
          </w:tcPr>
          <w:p w14:paraId="7D2CD9BE" w14:textId="77777777" w:rsidR="009A7A59" w:rsidRDefault="00000000">
            <w:pPr>
              <w:widowControl/>
              <w:wordWrap w:val="0"/>
              <w:autoSpaceDE w:val="0"/>
              <w:autoSpaceDN w:val="0"/>
              <w:adjustRightInd w:val="0"/>
              <w:spacing w:before="29" w:line="288" w:lineRule="auto"/>
              <w:ind w:left="15"/>
              <w:jc w:val="left"/>
              <w:rPr>
                <w:rFonts w:hAnsi="Calibri"/>
                <w:color w:val="000000"/>
                <w:szCs w:val="21"/>
              </w:rPr>
            </w:pPr>
            <w:r>
              <w:rPr>
                <w:rFonts w:hint="eastAsia"/>
              </w:rPr>
              <w:t>24</w:t>
            </w:r>
            <w:r>
              <w:rPr>
                <w:rFonts w:hint="eastAsia"/>
              </w:rPr>
              <w:t>国</w:t>
            </w:r>
            <w:proofErr w:type="gramStart"/>
            <w:r>
              <w:rPr>
                <w:rFonts w:hint="eastAsia"/>
              </w:rPr>
              <w:t>开清发</w:t>
            </w:r>
            <w:proofErr w:type="gramEnd"/>
            <w:r>
              <w:rPr>
                <w:rFonts w:hint="eastAsia"/>
              </w:rPr>
              <w:t>02</w:t>
            </w:r>
          </w:p>
        </w:tc>
        <w:tc>
          <w:tcPr>
            <w:tcW w:w="1144" w:type="dxa"/>
            <w:tcBorders>
              <w:top w:val="single" w:sz="8" w:space="0" w:color="000000"/>
              <w:left w:val="single" w:sz="8" w:space="0" w:color="000000"/>
              <w:bottom w:val="single" w:sz="6" w:space="0" w:color="000000"/>
              <w:right w:val="single" w:sz="8" w:space="0" w:color="000000"/>
            </w:tcBorders>
          </w:tcPr>
          <w:p w14:paraId="3CAA41A3"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6AA4EE8B"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10,280,657.53</w:t>
            </w:r>
          </w:p>
        </w:tc>
        <w:tc>
          <w:tcPr>
            <w:tcW w:w="1686" w:type="dxa"/>
            <w:tcBorders>
              <w:top w:val="single" w:sz="8" w:space="0" w:color="000000"/>
              <w:left w:val="single" w:sz="8" w:space="0" w:color="000000"/>
              <w:bottom w:val="single" w:sz="6" w:space="0" w:color="000000"/>
              <w:right w:val="single" w:sz="8" w:space="0" w:color="000000"/>
            </w:tcBorders>
          </w:tcPr>
          <w:p w14:paraId="54602CA7"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10.20</w:t>
            </w:r>
          </w:p>
        </w:tc>
      </w:tr>
      <w:tr w:rsidR="009A7A59" w14:paraId="216D3259"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AD67C43"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Ansi="Calibri"/>
                <w:color w:val="000000"/>
                <w:szCs w:val="21"/>
              </w:rPr>
              <w:t>4</w:t>
            </w:r>
          </w:p>
        </w:tc>
        <w:tc>
          <w:tcPr>
            <w:tcW w:w="1377" w:type="dxa"/>
            <w:tcBorders>
              <w:top w:val="single" w:sz="8" w:space="0" w:color="000000"/>
              <w:left w:val="single" w:sz="8" w:space="0" w:color="000000"/>
              <w:bottom w:val="single" w:sz="6" w:space="0" w:color="000000"/>
              <w:right w:val="single" w:sz="8" w:space="0" w:color="000000"/>
            </w:tcBorders>
          </w:tcPr>
          <w:p w14:paraId="0169E7CB" w14:textId="77777777" w:rsidR="009A7A59" w:rsidRDefault="00000000">
            <w:pPr>
              <w:widowControl/>
              <w:wordWrap w:val="0"/>
              <w:autoSpaceDE w:val="0"/>
              <w:autoSpaceDN w:val="0"/>
              <w:adjustRightInd w:val="0"/>
              <w:spacing w:before="29" w:line="288" w:lineRule="auto"/>
              <w:ind w:left="15"/>
              <w:jc w:val="left"/>
              <w:rPr>
                <w:rFonts w:hAnsi="Calibri"/>
                <w:color w:val="000000"/>
                <w:szCs w:val="21"/>
              </w:rPr>
            </w:pPr>
            <w:r>
              <w:rPr>
                <w:rFonts w:hint="eastAsia"/>
              </w:rPr>
              <w:t>240018</w:t>
            </w:r>
          </w:p>
        </w:tc>
        <w:tc>
          <w:tcPr>
            <w:tcW w:w="2252" w:type="dxa"/>
            <w:tcBorders>
              <w:top w:val="single" w:sz="8" w:space="0" w:color="000000"/>
              <w:left w:val="single" w:sz="8" w:space="0" w:color="000000"/>
              <w:bottom w:val="single" w:sz="6" w:space="0" w:color="000000"/>
              <w:right w:val="single" w:sz="8" w:space="0" w:color="000000"/>
            </w:tcBorders>
          </w:tcPr>
          <w:p w14:paraId="56EDF4DE" w14:textId="77777777" w:rsidR="009A7A59" w:rsidRDefault="00000000">
            <w:pPr>
              <w:widowControl/>
              <w:wordWrap w:val="0"/>
              <w:autoSpaceDE w:val="0"/>
              <w:autoSpaceDN w:val="0"/>
              <w:adjustRightInd w:val="0"/>
              <w:spacing w:before="29" w:line="288" w:lineRule="auto"/>
              <w:ind w:left="15"/>
              <w:jc w:val="left"/>
              <w:rPr>
                <w:rFonts w:hAnsi="Calibri"/>
                <w:color w:val="000000"/>
                <w:szCs w:val="21"/>
              </w:rPr>
            </w:pPr>
            <w:r>
              <w:rPr>
                <w:rFonts w:hint="eastAsia"/>
              </w:rPr>
              <w:t>24</w:t>
            </w:r>
            <w:r>
              <w:rPr>
                <w:rFonts w:hint="eastAsia"/>
              </w:rPr>
              <w:t>附息国债</w:t>
            </w:r>
            <w:r>
              <w:rPr>
                <w:rFonts w:hint="eastAsia"/>
              </w:rPr>
              <w:t>18</w:t>
            </w:r>
          </w:p>
        </w:tc>
        <w:tc>
          <w:tcPr>
            <w:tcW w:w="1144" w:type="dxa"/>
            <w:tcBorders>
              <w:top w:val="single" w:sz="8" w:space="0" w:color="000000"/>
              <w:left w:val="single" w:sz="8" w:space="0" w:color="000000"/>
              <w:bottom w:val="single" w:sz="6" w:space="0" w:color="000000"/>
              <w:right w:val="single" w:sz="8" w:space="0" w:color="000000"/>
            </w:tcBorders>
          </w:tcPr>
          <w:p w14:paraId="01D7C33E"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100,000</w:t>
            </w:r>
          </w:p>
        </w:tc>
        <w:tc>
          <w:tcPr>
            <w:tcW w:w="1905" w:type="dxa"/>
            <w:tcBorders>
              <w:top w:val="single" w:sz="8" w:space="0" w:color="000000"/>
              <w:left w:val="single" w:sz="8" w:space="0" w:color="000000"/>
              <w:bottom w:val="single" w:sz="6" w:space="0" w:color="000000"/>
              <w:right w:val="single" w:sz="8" w:space="0" w:color="000000"/>
            </w:tcBorders>
          </w:tcPr>
          <w:p w14:paraId="4D69D141"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10,246,331.51</w:t>
            </w:r>
          </w:p>
        </w:tc>
        <w:tc>
          <w:tcPr>
            <w:tcW w:w="1686" w:type="dxa"/>
            <w:tcBorders>
              <w:top w:val="single" w:sz="8" w:space="0" w:color="000000"/>
              <w:left w:val="single" w:sz="8" w:space="0" w:color="000000"/>
              <w:bottom w:val="single" w:sz="6" w:space="0" w:color="000000"/>
              <w:right w:val="single" w:sz="8" w:space="0" w:color="000000"/>
            </w:tcBorders>
          </w:tcPr>
          <w:p w14:paraId="6F8D7923"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10.16</w:t>
            </w:r>
          </w:p>
        </w:tc>
      </w:tr>
      <w:tr w:rsidR="009A7A59" w14:paraId="41D9449F"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753132E8"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Ansi="Calibri"/>
                <w:color w:val="000000"/>
                <w:szCs w:val="21"/>
              </w:rPr>
              <w:t>5</w:t>
            </w:r>
          </w:p>
        </w:tc>
        <w:tc>
          <w:tcPr>
            <w:tcW w:w="1377" w:type="dxa"/>
            <w:tcBorders>
              <w:top w:val="single" w:sz="8" w:space="0" w:color="000000"/>
              <w:left w:val="single" w:sz="8" w:space="0" w:color="000000"/>
              <w:bottom w:val="single" w:sz="6" w:space="0" w:color="000000"/>
              <w:right w:val="single" w:sz="8" w:space="0" w:color="000000"/>
            </w:tcBorders>
          </w:tcPr>
          <w:p w14:paraId="7B7ADF6B" w14:textId="77777777" w:rsidR="009A7A59" w:rsidRDefault="00000000">
            <w:pPr>
              <w:widowControl/>
              <w:wordWrap w:val="0"/>
              <w:autoSpaceDE w:val="0"/>
              <w:autoSpaceDN w:val="0"/>
              <w:adjustRightInd w:val="0"/>
              <w:spacing w:before="29" w:line="288" w:lineRule="auto"/>
              <w:ind w:left="15"/>
              <w:jc w:val="left"/>
              <w:rPr>
                <w:rFonts w:hAnsi="Calibri"/>
                <w:color w:val="000000"/>
                <w:szCs w:val="21"/>
              </w:rPr>
            </w:pPr>
            <w:r>
              <w:rPr>
                <w:rFonts w:hint="eastAsia"/>
              </w:rPr>
              <w:t>102481622</w:t>
            </w:r>
          </w:p>
        </w:tc>
        <w:tc>
          <w:tcPr>
            <w:tcW w:w="2252" w:type="dxa"/>
            <w:tcBorders>
              <w:top w:val="single" w:sz="8" w:space="0" w:color="000000"/>
              <w:left w:val="single" w:sz="8" w:space="0" w:color="000000"/>
              <w:bottom w:val="single" w:sz="6" w:space="0" w:color="000000"/>
              <w:right w:val="single" w:sz="8" w:space="0" w:color="000000"/>
            </w:tcBorders>
          </w:tcPr>
          <w:p w14:paraId="33DA16DD" w14:textId="77777777" w:rsidR="009A7A59" w:rsidRDefault="00000000">
            <w:pPr>
              <w:widowControl/>
              <w:wordWrap w:val="0"/>
              <w:autoSpaceDE w:val="0"/>
              <w:autoSpaceDN w:val="0"/>
              <w:adjustRightInd w:val="0"/>
              <w:spacing w:before="29" w:line="288" w:lineRule="auto"/>
              <w:ind w:left="15"/>
              <w:jc w:val="left"/>
              <w:rPr>
                <w:rFonts w:hAnsi="Calibri"/>
                <w:color w:val="000000"/>
                <w:szCs w:val="21"/>
              </w:rPr>
            </w:pPr>
            <w:r>
              <w:rPr>
                <w:rFonts w:hint="eastAsia"/>
              </w:rPr>
              <w:t>24</w:t>
            </w:r>
            <w:r>
              <w:rPr>
                <w:rFonts w:hint="eastAsia"/>
              </w:rPr>
              <w:t>株国投</w:t>
            </w:r>
            <w:r>
              <w:rPr>
                <w:rFonts w:hint="eastAsia"/>
              </w:rPr>
              <w:t>MTN004(</w:t>
            </w:r>
            <w:proofErr w:type="gramStart"/>
            <w:r>
              <w:rPr>
                <w:rFonts w:hint="eastAsia"/>
              </w:rPr>
              <w:t>科创票据</w:t>
            </w:r>
            <w:proofErr w:type="gramEnd"/>
            <w:r>
              <w:rPr>
                <w:rFonts w:hint="eastAsia"/>
              </w:rPr>
              <w:t>)</w:t>
            </w:r>
          </w:p>
        </w:tc>
        <w:tc>
          <w:tcPr>
            <w:tcW w:w="1144" w:type="dxa"/>
            <w:tcBorders>
              <w:top w:val="single" w:sz="8" w:space="0" w:color="000000"/>
              <w:left w:val="single" w:sz="8" w:space="0" w:color="000000"/>
              <w:bottom w:val="single" w:sz="6" w:space="0" w:color="000000"/>
              <w:right w:val="single" w:sz="8" w:space="0" w:color="000000"/>
            </w:tcBorders>
          </w:tcPr>
          <w:p w14:paraId="50ABF407"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50,000</w:t>
            </w:r>
          </w:p>
        </w:tc>
        <w:tc>
          <w:tcPr>
            <w:tcW w:w="1905" w:type="dxa"/>
            <w:tcBorders>
              <w:top w:val="single" w:sz="8" w:space="0" w:color="000000"/>
              <w:left w:val="single" w:sz="8" w:space="0" w:color="000000"/>
              <w:bottom w:val="single" w:sz="6" w:space="0" w:color="000000"/>
              <w:right w:val="single" w:sz="8" w:space="0" w:color="000000"/>
            </w:tcBorders>
          </w:tcPr>
          <w:p w14:paraId="6FBD7EEA"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5,268,569.04</w:t>
            </w:r>
          </w:p>
        </w:tc>
        <w:tc>
          <w:tcPr>
            <w:tcW w:w="1686" w:type="dxa"/>
            <w:tcBorders>
              <w:top w:val="single" w:sz="8" w:space="0" w:color="000000"/>
              <w:left w:val="single" w:sz="8" w:space="0" w:color="000000"/>
              <w:bottom w:val="single" w:sz="6" w:space="0" w:color="000000"/>
              <w:right w:val="single" w:sz="8" w:space="0" w:color="000000"/>
            </w:tcBorders>
          </w:tcPr>
          <w:p w14:paraId="53BAD70F" w14:textId="77777777" w:rsidR="009A7A59" w:rsidRDefault="00000000">
            <w:pPr>
              <w:widowControl/>
              <w:wordWrap w:val="0"/>
              <w:autoSpaceDE w:val="0"/>
              <w:autoSpaceDN w:val="0"/>
              <w:adjustRightInd w:val="0"/>
              <w:spacing w:before="29" w:line="288" w:lineRule="auto"/>
              <w:ind w:left="15"/>
              <w:jc w:val="center"/>
              <w:rPr>
                <w:rFonts w:hAnsi="Calibri"/>
                <w:color w:val="000000"/>
                <w:szCs w:val="21"/>
              </w:rPr>
            </w:pPr>
            <w:r>
              <w:rPr>
                <w:rFonts w:hint="eastAsia"/>
              </w:rPr>
              <w:t>5.23</w:t>
            </w:r>
          </w:p>
        </w:tc>
      </w:tr>
    </w:tbl>
    <w:p w14:paraId="472A705D" w14:textId="77777777" w:rsidR="009A7A59" w:rsidRDefault="009A7A59">
      <w:pPr>
        <w:widowControl/>
        <w:spacing w:line="360" w:lineRule="auto"/>
        <w:jc w:val="left"/>
        <w:rPr>
          <w:rFonts w:ascii="宋体" w:hAnsi="宋体" w:cs="宋体" w:hint="eastAsia"/>
          <w:kern w:val="0"/>
          <w:szCs w:val="21"/>
        </w:rPr>
      </w:pPr>
    </w:p>
    <w:p w14:paraId="42256924" w14:textId="77777777" w:rsidR="009A7A59" w:rsidRDefault="00000000">
      <w:pPr>
        <w:spacing w:line="360" w:lineRule="auto"/>
        <w:ind w:firstLineChars="200" w:firstLine="420"/>
        <w:rPr>
          <w:szCs w:val="21"/>
        </w:rPr>
      </w:pPr>
      <w:r>
        <w:rPr>
          <w:rFonts w:hint="eastAsia"/>
          <w:szCs w:val="21"/>
        </w:rPr>
        <w:t>6</w:t>
      </w:r>
      <w:r>
        <w:rPr>
          <w:rFonts w:hint="eastAsia"/>
          <w:szCs w:val="21"/>
        </w:rPr>
        <w:t>、报告期末按公允价值占基金资产净值比例大小排序的前十名资产支持证券投资明细</w:t>
      </w:r>
    </w:p>
    <w:p w14:paraId="3D2A772F" w14:textId="77777777" w:rsidR="009A7A59" w:rsidRDefault="00000000">
      <w:pPr>
        <w:spacing w:line="360" w:lineRule="auto"/>
        <w:ind w:firstLineChars="300" w:firstLine="630"/>
        <w:rPr>
          <w:szCs w:val="21"/>
        </w:rPr>
      </w:pPr>
      <w:r>
        <w:rPr>
          <w:rFonts w:hint="eastAsia"/>
          <w:szCs w:val="21"/>
        </w:rPr>
        <w:t>本基金本报告期末未持有资产支持证券。</w:t>
      </w:r>
    </w:p>
    <w:p w14:paraId="09E92B8E" w14:textId="77777777" w:rsidR="009A7A59" w:rsidRDefault="00000000">
      <w:pPr>
        <w:spacing w:line="360" w:lineRule="auto"/>
        <w:ind w:firstLineChars="200" w:firstLine="420"/>
        <w:rPr>
          <w:rFonts w:ascii="宋体" w:hAnsi="宋体" w:cs="宋体" w:hint="eastAsia"/>
          <w:kern w:val="0"/>
          <w:szCs w:val="21"/>
        </w:rPr>
      </w:pPr>
      <w:r>
        <w:rPr>
          <w:rFonts w:hint="eastAsia"/>
          <w:szCs w:val="21"/>
        </w:rPr>
        <w:t>7</w:t>
      </w:r>
      <w:r>
        <w:rPr>
          <w:rFonts w:hint="eastAsia"/>
          <w:szCs w:val="21"/>
        </w:rPr>
        <w:t>、报告期末按公允价值占基金资产净值比例大小排序的前五名贵金属投资明细</w:t>
      </w:r>
    </w:p>
    <w:p w14:paraId="5138AF1E" w14:textId="77777777" w:rsidR="009A7A59" w:rsidRDefault="00000000">
      <w:pPr>
        <w:pStyle w:val="neirong"/>
        <w:spacing w:line="360" w:lineRule="auto"/>
        <w:ind w:leftChars="7" w:firstLineChars="300" w:firstLine="630"/>
        <w:rPr>
          <w:rFonts w:hint="eastAsia"/>
        </w:rPr>
      </w:pPr>
      <w:r>
        <w:rPr>
          <w:rFonts w:hint="eastAsia"/>
          <w:sz w:val="21"/>
          <w:szCs w:val="21"/>
        </w:rPr>
        <w:t>本基金本报告期末未持有贵金属。</w:t>
      </w:r>
    </w:p>
    <w:p w14:paraId="06A2E526" w14:textId="77777777" w:rsidR="009A7A59" w:rsidRDefault="00000000">
      <w:pPr>
        <w:spacing w:line="360" w:lineRule="auto"/>
        <w:ind w:firstLineChars="200" w:firstLine="420"/>
        <w:rPr>
          <w:szCs w:val="21"/>
        </w:rPr>
      </w:pPr>
      <w:r>
        <w:rPr>
          <w:rFonts w:hint="eastAsia"/>
          <w:szCs w:val="21"/>
        </w:rPr>
        <w:t>8</w:t>
      </w:r>
      <w:r>
        <w:rPr>
          <w:rFonts w:hint="eastAsia"/>
          <w:szCs w:val="21"/>
        </w:rPr>
        <w:t>、报告期末按公允价值占基金资产净值比例大小排序的前五名权证投资明细</w:t>
      </w:r>
    </w:p>
    <w:p w14:paraId="323D8EB7" w14:textId="77777777" w:rsidR="009A7A59" w:rsidRDefault="009A7A59">
      <w:pPr>
        <w:spacing w:line="360" w:lineRule="auto"/>
        <w:ind w:firstLineChars="200" w:firstLine="420"/>
        <w:rPr>
          <w:vanish/>
          <w:szCs w:val="21"/>
        </w:rPr>
      </w:pPr>
    </w:p>
    <w:p w14:paraId="7E98C6E3" w14:textId="77777777" w:rsidR="009A7A59" w:rsidRDefault="00000000">
      <w:pPr>
        <w:pStyle w:val="neirong"/>
        <w:spacing w:line="360" w:lineRule="auto"/>
        <w:ind w:leftChars="7" w:firstLineChars="300" w:firstLine="630"/>
        <w:rPr>
          <w:rFonts w:hint="eastAsia"/>
        </w:rPr>
      </w:pPr>
      <w:r>
        <w:rPr>
          <w:rFonts w:hint="eastAsia"/>
          <w:sz w:val="21"/>
          <w:szCs w:val="21"/>
        </w:rPr>
        <w:t>本基金本报告期末未持有权证。</w:t>
      </w:r>
    </w:p>
    <w:p w14:paraId="4612EC73" w14:textId="77777777" w:rsidR="009A7A59" w:rsidRDefault="00000000">
      <w:pPr>
        <w:spacing w:line="360" w:lineRule="auto"/>
        <w:ind w:firstLineChars="200" w:firstLine="420"/>
      </w:pPr>
      <w:r>
        <w:rPr>
          <w:rFonts w:hint="eastAsia"/>
          <w:szCs w:val="21"/>
        </w:rPr>
        <w:t>9</w:t>
      </w:r>
      <w:r>
        <w:rPr>
          <w:rFonts w:hint="eastAsia"/>
          <w:szCs w:val="21"/>
        </w:rPr>
        <w:t>、</w:t>
      </w:r>
      <w:r>
        <w:rPr>
          <w:szCs w:val="21"/>
        </w:rPr>
        <w:t xml:space="preserve"> </w:t>
      </w:r>
      <w:r>
        <w:rPr>
          <w:rFonts w:hint="eastAsia"/>
          <w:szCs w:val="21"/>
        </w:rPr>
        <w:t>报告期末本基金投资的股指期货交易情况说明</w:t>
      </w:r>
    </w:p>
    <w:p w14:paraId="5F05C687" w14:textId="77777777" w:rsidR="009A7A59" w:rsidRDefault="00000000">
      <w:pPr>
        <w:pStyle w:val="neirong"/>
        <w:spacing w:line="360" w:lineRule="auto"/>
        <w:ind w:leftChars="7" w:firstLineChars="200" w:firstLine="420"/>
        <w:rPr>
          <w:rFonts w:hint="eastAsia"/>
          <w:sz w:val="21"/>
          <w:szCs w:val="21"/>
        </w:rPr>
      </w:pPr>
      <w:r>
        <w:rPr>
          <w:rFonts w:hint="eastAsia"/>
          <w:sz w:val="21"/>
          <w:szCs w:val="21"/>
        </w:rPr>
        <w:t>(1) 报告期末本基金投资的股指期货持仓和损益明细</w:t>
      </w:r>
    </w:p>
    <w:p w14:paraId="7B9DFF35" w14:textId="77777777" w:rsidR="009A7A59" w:rsidRDefault="00000000">
      <w:pPr>
        <w:pStyle w:val="neirong"/>
        <w:spacing w:line="360" w:lineRule="auto"/>
        <w:ind w:firstLineChars="300" w:firstLine="630"/>
        <w:rPr>
          <w:rFonts w:hint="eastAsia"/>
          <w:sz w:val="21"/>
          <w:szCs w:val="21"/>
        </w:rPr>
      </w:pPr>
      <w:r>
        <w:rPr>
          <w:rFonts w:hint="eastAsia"/>
          <w:sz w:val="21"/>
          <w:szCs w:val="21"/>
        </w:rPr>
        <w:t>本基金本报告期末未投资股指期货。</w:t>
      </w:r>
    </w:p>
    <w:p w14:paraId="7754901B" w14:textId="77777777" w:rsidR="009A7A59" w:rsidRDefault="00000000">
      <w:pPr>
        <w:pStyle w:val="neirong"/>
        <w:spacing w:line="360" w:lineRule="auto"/>
        <w:ind w:leftChars="7" w:firstLineChars="150" w:firstLine="315"/>
        <w:rPr>
          <w:rFonts w:hint="eastAsia"/>
          <w:sz w:val="21"/>
          <w:szCs w:val="21"/>
        </w:rPr>
      </w:pPr>
      <w:r>
        <w:rPr>
          <w:rFonts w:hint="eastAsia"/>
          <w:sz w:val="21"/>
          <w:szCs w:val="21"/>
        </w:rPr>
        <w:t xml:space="preserve"> (2)</w:t>
      </w:r>
      <w:r>
        <w:rPr>
          <w:sz w:val="21"/>
          <w:szCs w:val="21"/>
        </w:rPr>
        <w:t xml:space="preserve"> </w:t>
      </w:r>
      <w:r>
        <w:rPr>
          <w:rFonts w:hint="eastAsia"/>
          <w:sz w:val="21"/>
          <w:szCs w:val="21"/>
        </w:rPr>
        <w:t>本基金投资股指期货的投资政策</w:t>
      </w:r>
    </w:p>
    <w:p w14:paraId="022965C1" w14:textId="77777777" w:rsidR="009A7A59" w:rsidRDefault="00000000">
      <w:pPr>
        <w:pStyle w:val="neirong"/>
        <w:spacing w:line="360" w:lineRule="auto"/>
        <w:ind w:leftChars="7" w:firstLineChars="350" w:firstLine="735"/>
        <w:rPr>
          <w:rFonts w:hint="eastAsia"/>
          <w:sz w:val="21"/>
          <w:szCs w:val="21"/>
        </w:rPr>
      </w:pPr>
      <w:r>
        <w:rPr>
          <w:rFonts w:hint="eastAsia"/>
          <w:sz w:val="21"/>
          <w:szCs w:val="21"/>
        </w:rPr>
        <w:t>本基金本报告期末未投资股指期货。</w:t>
      </w:r>
    </w:p>
    <w:p w14:paraId="09316007" w14:textId="77777777" w:rsidR="009A7A59" w:rsidRDefault="00000000">
      <w:pPr>
        <w:spacing w:line="360" w:lineRule="auto"/>
        <w:ind w:firstLineChars="200" w:firstLine="420"/>
        <w:rPr>
          <w:rFonts w:ascii="宋体" w:hAnsi="宋体" w:cs="宋体" w:hint="eastAsia"/>
          <w:kern w:val="0"/>
          <w:szCs w:val="21"/>
        </w:rPr>
      </w:pPr>
      <w:r>
        <w:rPr>
          <w:rFonts w:hint="eastAsia"/>
          <w:szCs w:val="21"/>
        </w:rPr>
        <w:t>10</w:t>
      </w:r>
      <w:r>
        <w:rPr>
          <w:rFonts w:hint="eastAsia"/>
          <w:szCs w:val="21"/>
        </w:rPr>
        <w:t>、报告期末本基金投资的国债期货交易情况说明</w:t>
      </w:r>
    </w:p>
    <w:p w14:paraId="463DA7E3" w14:textId="77777777" w:rsidR="009A7A59" w:rsidRDefault="00000000">
      <w:pPr>
        <w:pStyle w:val="neirong"/>
        <w:spacing w:line="360" w:lineRule="auto"/>
        <w:ind w:firstLineChars="200" w:firstLine="420"/>
        <w:rPr>
          <w:rFonts w:hint="eastAsia"/>
          <w:sz w:val="21"/>
          <w:szCs w:val="21"/>
        </w:rPr>
      </w:pPr>
      <w:r>
        <w:rPr>
          <w:rFonts w:hint="eastAsia"/>
          <w:sz w:val="21"/>
          <w:szCs w:val="21"/>
        </w:rPr>
        <w:t>(1)本期国债期货投资政策</w:t>
      </w:r>
    </w:p>
    <w:p w14:paraId="465E9AE7" w14:textId="77777777" w:rsidR="009A7A59" w:rsidRDefault="00000000">
      <w:pPr>
        <w:pStyle w:val="neirong"/>
        <w:spacing w:line="360" w:lineRule="auto"/>
        <w:ind w:firstLineChars="200" w:firstLine="420"/>
        <w:rPr>
          <w:rFonts w:hint="eastAsia"/>
          <w:sz w:val="21"/>
          <w:szCs w:val="21"/>
        </w:rPr>
      </w:pPr>
      <w:r>
        <w:rPr>
          <w:rFonts w:hint="eastAsia"/>
          <w:sz w:val="21"/>
          <w:szCs w:val="21"/>
        </w:rPr>
        <w:t>本基金本报告期末未投资国债期货。</w:t>
      </w:r>
    </w:p>
    <w:p w14:paraId="36696C9B" w14:textId="77777777" w:rsidR="009A7A59" w:rsidRDefault="00000000">
      <w:pPr>
        <w:pStyle w:val="neirong"/>
        <w:spacing w:line="360" w:lineRule="auto"/>
        <w:ind w:firstLineChars="200" w:firstLine="420"/>
        <w:rPr>
          <w:rFonts w:hint="eastAsia"/>
          <w:sz w:val="21"/>
          <w:szCs w:val="21"/>
        </w:rPr>
      </w:pPr>
      <w:r>
        <w:rPr>
          <w:rFonts w:hint="eastAsia"/>
          <w:sz w:val="21"/>
          <w:szCs w:val="21"/>
        </w:rPr>
        <w:t>(2)报告期末本基金投资的国债期货持仓和损益明细</w:t>
      </w:r>
    </w:p>
    <w:p w14:paraId="0578443D" w14:textId="77777777" w:rsidR="009A7A59" w:rsidRDefault="00000000">
      <w:pPr>
        <w:pStyle w:val="neirong"/>
        <w:spacing w:line="360" w:lineRule="auto"/>
        <w:ind w:firstLineChars="200" w:firstLine="420"/>
        <w:rPr>
          <w:rFonts w:hint="eastAsia"/>
          <w:sz w:val="21"/>
          <w:szCs w:val="21"/>
        </w:rPr>
      </w:pPr>
      <w:r>
        <w:rPr>
          <w:rFonts w:hint="eastAsia"/>
          <w:sz w:val="21"/>
          <w:szCs w:val="21"/>
        </w:rPr>
        <w:t>本基金本报告期末未投资国债期货。</w:t>
      </w:r>
    </w:p>
    <w:p w14:paraId="71DE8809" w14:textId="77777777" w:rsidR="009A7A59" w:rsidRDefault="00000000">
      <w:pPr>
        <w:pStyle w:val="neirong"/>
        <w:spacing w:line="360" w:lineRule="auto"/>
        <w:ind w:firstLineChars="200" w:firstLine="420"/>
        <w:rPr>
          <w:rFonts w:hint="eastAsia"/>
          <w:sz w:val="21"/>
          <w:szCs w:val="21"/>
        </w:rPr>
      </w:pPr>
      <w:r>
        <w:rPr>
          <w:rFonts w:hint="eastAsia"/>
          <w:sz w:val="21"/>
          <w:szCs w:val="21"/>
        </w:rPr>
        <w:t>(3) 本期国债期货投资评价</w:t>
      </w:r>
    </w:p>
    <w:p w14:paraId="0115C419" w14:textId="77777777" w:rsidR="009A7A59" w:rsidRDefault="00000000">
      <w:pPr>
        <w:pStyle w:val="zhangjiep2"/>
        <w:spacing w:line="360" w:lineRule="auto"/>
        <w:ind w:firstLineChars="200" w:firstLine="420"/>
        <w:rPr>
          <w:rFonts w:hint="eastAsia"/>
          <w:sz w:val="21"/>
          <w:szCs w:val="21"/>
        </w:rPr>
      </w:pPr>
      <w:r>
        <w:rPr>
          <w:rFonts w:hint="eastAsia"/>
          <w:sz w:val="21"/>
          <w:szCs w:val="21"/>
        </w:rPr>
        <w:t>本基金本报告期末未投资国债期货。</w:t>
      </w:r>
    </w:p>
    <w:p w14:paraId="3B10AC41" w14:textId="77777777" w:rsidR="009A7A59" w:rsidRDefault="0000000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kern w:val="2"/>
          <w:sz w:val="21"/>
          <w:szCs w:val="21"/>
        </w:rPr>
        <w:t>1</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、投资组合报告附注</w:t>
      </w:r>
    </w:p>
    <w:p w14:paraId="2578A2E0" w14:textId="77777777" w:rsidR="009A7A59" w:rsidRDefault="00000000">
      <w:pPr>
        <w:pStyle w:val="zhangjiep2"/>
        <w:spacing w:line="360" w:lineRule="auto"/>
        <w:ind w:firstLineChars="200" w:firstLine="420"/>
        <w:rPr>
          <w:rFonts w:hint="eastAsia"/>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w:t>
      </w:r>
      <w:r>
        <w:rPr>
          <w:rFonts w:hint="eastAsia"/>
          <w:sz w:val="21"/>
          <w:szCs w:val="21"/>
        </w:rPr>
        <w:t>本基金投资的前十名证券的发行主体本期没有出现被监管部门立案调查，或在报告编制日前一年内受到公开谴责、处罚的情形。</w:t>
      </w:r>
    </w:p>
    <w:p w14:paraId="77DCD003" w14:textId="77777777" w:rsidR="009A7A59" w:rsidRDefault="0000000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2</w:t>
      </w:r>
      <w:r>
        <w:rPr>
          <w:rFonts w:ascii="Times New Roman" w:hAnsi="Times New Roman" w:cs="Times New Roman" w:hint="eastAsia"/>
          <w:kern w:val="2"/>
          <w:sz w:val="21"/>
          <w:szCs w:val="21"/>
        </w:rPr>
        <w:t>）本基金本报告期末未持有股票。</w:t>
      </w:r>
    </w:p>
    <w:p w14:paraId="6D250BC2" w14:textId="77777777" w:rsidR="009A7A59" w:rsidRDefault="0000000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3</w:t>
      </w:r>
      <w:r>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9A7A59" w14:paraId="1204A6AB"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140F74E" w14:textId="77777777" w:rsidR="009A7A59" w:rsidRDefault="00000000">
            <w:pPr>
              <w:pStyle w:val="biaogecenter"/>
              <w:wordWrap w:val="0"/>
              <w:ind w:firstLine="420"/>
              <w:rPr>
                <w:rFonts w:hAnsi="Calibri"/>
                <w:color w:val="000000"/>
                <w:sz w:val="21"/>
                <w:szCs w:val="21"/>
              </w:rPr>
            </w:pPr>
            <w:r>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tcPr>
          <w:p w14:paraId="745C3F7A" w14:textId="77777777" w:rsidR="009A7A59" w:rsidRDefault="00000000">
            <w:pPr>
              <w:pStyle w:val="biaogeleft"/>
              <w:rPr>
                <w:rFonts w:hint="eastAsia"/>
                <w:sz w:val="21"/>
                <w:szCs w:val="21"/>
              </w:rPr>
            </w:pPr>
            <w:r>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tcPr>
          <w:p w14:paraId="11FC2ADA" w14:textId="77777777" w:rsidR="009A7A59" w:rsidRDefault="00000000">
            <w:pPr>
              <w:pStyle w:val="biaogeright"/>
              <w:ind w:left="420" w:hanging="420"/>
              <w:rPr>
                <w:rFonts w:hint="eastAsia"/>
                <w:sz w:val="21"/>
                <w:szCs w:val="21"/>
              </w:rPr>
            </w:pPr>
            <w:r>
              <w:rPr>
                <w:rFonts w:hint="eastAsia"/>
                <w:sz w:val="21"/>
                <w:szCs w:val="21"/>
              </w:rPr>
              <w:t>金额(元)</w:t>
            </w:r>
          </w:p>
        </w:tc>
      </w:tr>
      <w:tr w:rsidR="009A7A59" w14:paraId="5083FCA3"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577AADCF" w14:textId="77777777" w:rsidR="009A7A59" w:rsidRDefault="00000000">
            <w:pPr>
              <w:pStyle w:val="biaogecenter"/>
              <w:wordWrap w:val="0"/>
              <w:ind w:firstLine="420"/>
              <w:rPr>
                <w:rFonts w:hAnsi="Calibri"/>
                <w:color w:val="000000"/>
                <w:sz w:val="21"/>
                <w:szCs w:val="21"/>
              </w:rPr>
            </w:pPr>
            <w:r>
              <w:rPr>
                <w:rFonts w:hAnsi="Calibri" w:hint="eastAsia"/>
                <w:color w:val="000000"/>
                <w:sz w:val="21"/>
                <w:szCs w:val="21"/>
              </w:rPr>
              <w:lastRenderedPageBreak/>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186AC72D" w14:textId="77777777" w:rsidR="009A7A59" w:rsidRDefault="00000000">
            <w:pPr>
              <w:pStyle w:val="biaogeleft"/>
              <w:wordWrap w:val="0"/>
              <w:rPr>
                <w:rFonts w:hint="eastAsia"/>
                <w:sz w:val="21"/>
                <w:szCs w:val="21"/>
              </w:rPr>
            </w:pPr>
            <w:r>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tcPr>
          <w:p w14:paraId="5367CF2E" w14:textId="77777777" w:rsidR="009A7A59" w:rsidRDefault="00000000">
            <w:pPr>
              <w:pStyle w:val="biaogeright"/>
              <w:wordWrap w:val="0"/>
              <w:ind w:left="420" w:hanging="420"/>
              <w:rPr>
                <w:rFonts w:hint="eastAsia"/>
                <w:sz w:val="21"/>
                <w:szCs w:val="21"/>
              </w:rPr>
            </w:pPr>
            <w:r>
              <w:rPr>
                <w:rFonts w:hint="eastAsia"/>
                <w:sz w:val="21"/>
                <w:szCs w:val="21"/>
              </w:rPr>
              <w:t>1,713.41</w:t>
            </w:r>
          </w:p>
        </w:tc>
      </w:tr>
      <w:tr w:rsidR="009A7A59" w14:paraId="775BA04A"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27FECC0" w14:textId="77777777" w:rsidR="009A7A59" w:rsidRDefault="00000000">
            <w:pPr>
              <w:pStyle w:val="biaogecenter"/>
              <w:wordWrap w:val="0"/>
              <w:ind w:firstLine="420"/>
              <w:rPr>
                <w:rFonts w:hAnsi="Calibri"/>
                <w:color w:val="000000"/>
                <w:sz w:val="21"/>
                <w:szCs w:val="21"/>
              </w:rPr>
            </w:pPr>
            <w:r>
              <w:rPr>
                <w:rFonts w:hAnsi="Calibri" w:hint="eastAsia"/>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30AA8566" w14:textId="77777777" w:rsidR="009A7A59" w:rsidRDefault="00000000">
            <w:pPr>
              <w:pStyle w:val="biaogeleft"/>
              <w:wordWrap w:val="0"/>
              <w:rPr>
                <w:rFonts w:hint="eastAsia"/>
                <w:sz w:val="21"/>
                <w:szCs w:val="21"/>
              </w:rPr>
            </w:pPr>
            <w:r>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tcPr>
          <w:p w14:paraId="18CC7971" w14:textId="77777777" w:rsidR="009A7A59" w:rsidRDefault="00000000">
            <w:pPr>
              <w:pStyle w:val="biaogeright"/>
              <w:wordWrap w:val="0"/>
              <w:ind w:left="420" w:hanging="420"/>
              <w:rPr>
                <w:rFonts w:hint="eastAsia"/>
                <w:sz w:val="21"/>
                <w:szCs w:val="21"/>
              </w:rPr>
            </w:pPr>
            <w:r>
              <w:rPr>
                <w:rFonts w:hint="eastAsia"/>
                <w:sz w:val="21"/>
                <w:szCs w:val="21"/>
              </w:rPr>
              <w:t>-</w:t>
            </w:r>
          </w:p>
        </w:tc>
      </w:tr>
      <w:tr w:rsidR="009A7A59" w14:paraId="3E3B2CFA"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1213896" w14:textId="77777777" w:rsidR="009A7A59" w:rsidRDefault="00000000">
            <w:pPr>
              <w:pStyle w:val="biaogecenter"/>
              <w:wordWrap w:val="0"/>
              <w:ind w:firstLine="420"/>
              <w:rPr>
                <w:rFonts w:hAnsi="Calibri"/>
                <w:color w:val="000000"/>
                <w:sz w:val="21"/>
                <w:szCs w:val="21"/>
              </w:rPr>
            </w:pPr>
            <w:r>
              <w:rPr>
                <w:rFonts w:hAnsi="Calibri" w:hint="eastAsia"/>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42849627" w14:textId="77777777" w:rsidR="009A7A59" w:rsidRDefault="00000000">
            <w:pPr>
              <w:pStyle w:val="biaogeleft"/>
              <w:wordWrap w:val="0"/>
              <w:rPr>
                <w:rFonts w:hint="eastAsia"/>
                <w:sz w:val="21"/>
                <w:szCs w:val="21"/>
              </w:rPr>
            </w:pPr>
            <w:r>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tcPr>
          <w:p w14:paraId="738130D4" w14:textId="77777777" w:rsidR="009A7A59" w:rsidRDefault="00000000">
            <w:pPr>
              <w:pStyle w:val="biaogeright"/>
              <w:wordWrap w:val="0"/>
              <w:ind w:left="420" w:hanging="420"/>
              <w:rPr>
                <w:rFonts w:hint="eastAsia"/>
                <w:sz w:val="21"/>
                <w:szCs w:val="21"/>
              </w:rPr>
            </w:pPr>
            <w:r>
              <w:rPr>
                <w:rFonts w:hint="eastAsia"/>
                <w:sz w:val="21"/>
                <w:szCs w:val="21"/>
              </w:rPr>
              <w:t>-</w:t>
            </w:r>
          </w:p>
        </w:tc>
      </w:tr>
      <w:tr w:rsidR="009A7A59" w14:paraId="6E440F07"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F394550" w14:textId="77777777" w:rsidR="009A7A59" w:rsidRDefault="00000000">
            <w:pPr>
              <w:pStyle w:val="biaogecenter"/>
              <w:wordWrap w:val="0"/>
              <w:ind w:firstLine="420"/>
              <w:rPr>
                <w:rFonts w:hAnsi="Calibri"/>
                <w:color w:val="000000"/>
                <w:sz w:val="21"/>
                <w:szCs w:val="21"/>
              </w:rPr>
            </w:pPr>
            <w:r>
              <w:rPr>
                <w:rFonts w:hAnsi="Calibri" w:hint="eastAsia"/>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53250DBD" w14:textId="77777777" w:rsidR="009A7A59" w:rsidRDefault="00000000">
            <w:pPr>
              <w:pStyle w:val="biaogeleft"/>
              <w:wordWrap w:val="0"/>
              <w:rPr>
                <w:rFonts w:hint="eastAsia"/>
                <w:sz w:val="21"/>
                <w:szCs w:val="21"/>
              </w:rPr>
            </w:pPr>
            <w:r>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tcPr>
          <w:p w14:paraId="4F8CF948" w14:textId="77777777" w:rsidR="009A7A59" w:rsidRDefault="00000000">
            <w:pPr>
              <w:pStyle w:val="biaogeright"/>
              <w:wordWrap w:val="0"/>
              <w:ind w:left="420" w:hanging="420"/>
              <w:rPr>
                <w:rFonts w:hint="eastAsia"/>
                <w:sz w:val="21"/>
                <w:szCs w:val="21"/>
              </w:rPr>
            </w:pPr>
            <w:r>
              <w:rPr>
                <w:rFonts w:hint="eastAsia"/>
                <w:sz w:val="21"/>
                <w:szCs w:val="21"/>
              </w:rPr>
              <w:t>-</w:t>
            </w:r>
          </w:p>
        </w:tc>
      </w:tr>
      <w:tr w:rsidR="009A7A59" w14:paraId="1011D5B3"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4017182" w14:textId="77777777" w:rsidR="009A7A59" w:rsidRDefault="00000000">
            <w:pPr>
              <w:pStyle w:val="biaogecenter"/>
              <w:wordWrap w:val="0"/>
              <w:ind w:firstLine="420"/>
              <w:rPr>
                <w:rFonts w:hAnsi="Calibri"/>
                <w:color w:val="000000"/>
                <w:sz w:val="21"/>
                <w:szCs w:val="21"/>
              </w:rPr>
            </w:pPr>
            <w:r>
              <w:rPr>
                <w:rFonts w:hAnsi="Calibri" w:hint="eastAsia"/>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066C6CB6" w14:textId="77777777" w:rsidR="009A7A59" w:rsidRDefault="00000000">
            <w:pPr>
              <w:pStyle w:val="biaogeleft"/>
              <w:wordWrap w:val="0"/>
              <w:rPr>
                <w:rFonts w:hint="eastAsia"/>
                <w:sz w:val="21"/>
                <w:szCs w:val="21"/>
              </w:rPr>
            </w:pPr>
            <w:r>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tcPr>
          <w:p w14:paraId="0893257D" w14:textId="77777777" w:rsidR="009A7A59" w:rsidRDefault="00000000">
            <w:pPr>
              <w:pStyle w:val="biaogeright"/>
              <w:wordWrap w:val="0"/>
              <w:ind w:left="420" w:hanging="420"/>
              <w:rPr>
                <w:rFonts w:hint="eastAsia"/>
                <w:sz w:val="21"/>
                <w:szCs w:val="21"/>
              </w:rPr>
            </w:pPr>
            <w:r>
              <w:rPr>
                <w:rFonts w:hint="eastAsia"/>
                <w:sz w:val="21"/>
                <w:szCs w:val="21"/>
              </w:rPr>
              <w:t>5,079,285.17</w:t>
            </w:r>
          </w:p>
        </w:tc>
      </w:tr>
      <w:tr w:rsidR="009A7A59" w14:paraId="206E01D7"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73FEABA" w14:textId="77777777" w:rsidR="009A7A59" w:rsidRDefault="00000000">
            <w:pPr>
              <w:pStyle w:val="biaogecenter"/>
              <w:wordWrap w:val="0"/>
              <w:ind w:firstLine="420"/>
              <w:rPr>
                <w:rFonts w:hAnsi="Calibri"/>
                <w:color w:val="000000"/>
                <w:sz w:val="21"/>
                <w:szCs w:val="21"/>
              </w:rPr>
            </w:pPr>
            <w:r>
              <w:rPr>
                <w:rFonts w:hAnsi="Calibri" w:hint="eastAsia"/>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0A1CABFA" w14:textId="77777777" w:rsidR="009A7A59" w:rsidRDefault="00000000">
            <w:pPr>
              <w:pStyle w:val="biaogeleft"/>
              <w:wordWrap w:val="0"/>
              <w:rPr>
                <w:rFonts w:hint="eastAsia"/>
                <w:sz w:val="21"/>
                <w:szCs w:val="21"/>
              </w:rPr>
            </w:pPr>
            <w:r>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tcPr>
          <w:p w14:paraId="08FE5776" w14:textId="77777777" w:rsidR="009A7A59" w:rsidRDefault="00000000">
            <w:pPr>
              <w:pStyle w:val="biaogeright"/>
              <w:wordWrap w:val="0"/>
              <w:ind w:left="420" w:hanging="420"/>
              <w:rPr>
                <w:rFonts w:hint="eastAsia"/>
                <w:sz w:val="21"/>
                <w:szCs w:val="21"/>
              </w:rPr>
            </w:pPr>
            <w:r>
              <w:rPr>
                <w:rFonts w:hint="eastAsia"/>
                <w:sz w:val="21"/>
                <w:szCs w:val="21"/>
              </w:rPr>
              <w:t>-</w:t>
            </w:r>
          </w:p>
        </w:tc>
      </w:tr>
      <w:tr w:rsidR="009A7A59" w14:paraId="7FC105AE"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374962E2" w14:textId="77777777" w:rsidR="009A7A59" w:rsidRDefault="00000000">
            <w:pPr>
              <w:pStyle w:val="biaogecenter"/>
              <w:wordWrap w:val="0"/>
              <w:ind w:firstLine="420"/>
              <w:rPr>
                <w:rFonts w:hAnsi="Calibri"/>
                <w:color w:val="000000"/>
                <w:sz w:val="21"/>
                <w:szCs w:val="21"/>
              </w:rPr>
            </w:pPr>
            <w:r>
              <w:rPr>
                <w:rFonts w:hAnsi="Calibri" w:hint="eastAsia"/>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15634069" w14:textId="77777777" w:rsidR="009A7A59" w:rsidRDefault="00000000">
            <w:pPr>
              <w:pStyle w:val="biaogeleft"/>
              <w:wordWrap w:val="0"/>
              <w:rPr>
                <w:rFonts w:hint="eastAsia"/>
                <w:sz w:val="21"/>
                <w:szCs w:val="21"/>
              </w:rPr>
            </w:pPr>
            <w:r>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tcPr>
          <w:p w14:paraId="1BAABA7D" w14:textId="77777777" w:rsidR="009A7A59" w:rsidRDefault="00000000">
            <w:pPr>
              <w:pStyle w:val="biaogeright"/>
              <w:wordWrap w:val="0"/>
              <w:ind w:left="420" w:hanging="420"/>
              <w:rPr>
                <w:rFonts w:hint="eastAsia"/>
                <w:sz w:val="21"/>
                <w:szCs w:val="21"/>
              </w:rPr>
            </w:pPr>
            <w:r>
              <w:rPr>
                <w:rFonts w:hint="eastAsia"/>
                <w:sz w:val="21"/>
                <w:szCs w:val="21"/>
              </w:rPr>
              <w:t>-</w:t>
            </w:r>
          </w:p>
        </w:tc>
      </w:tr>
      <w:tr w:rsidR="009A7A59" w14:paraId="6EE4086B"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2B03CDDD" w14:textId="77777777" w:rsidR="009A7A59" w:rsidRDefault="00000000">
            <w:pPr>
              <w:pStyle w:val="biaogecenter"/>
              <w:wordWrap w:val="0"/>
              <w:ind w:firstLine="420"/>
              <w:rPr>
                <w:rFonts w:hAnsi="Calibri"/>
                <w:color w:val="000000"/>
                <w:sz w:val="21"/>
                <w:szCs w:val="21"/>
              </w:rPr>
            </w:pPr>
            <w:r>
              <w:rPr>
                <w:rFonts w:hAnsi="Calibri" w:hint="eastAsia"/>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4BFD4F42" w14:textId="77777777" w:rsidR="009A7A59" w:rsidRDefault="00000000">
            <w:pPr>
              <w:pStyle w:val="biaogeleft"/>
              <w:wordWrap w:val="0"/>
              <w:rPr>
                <w:rFonts w:hint="eastAsia"/>
                <w:sz w:val="21"/>
                <w:szCs w:val="21"/>
              </w:rPr>
            </w:pPr>
            <w:r>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tcPr>
          <w:p w14:paraId="4FD664C0" w14:textId="77777777" w:rsidR="009A7A59" w:rsidRDefault="00000000">
            <w:pPr>
              <w:pStyle w:val="biaogeright"/>
              <w:wordWrap w:val="0"/>
              <w:ind w:left="420" w:hanging="420"/>
              <w:rPr>
                <w:rFonts w:hint="eastAsia"/>
                <w:sz w:val="21"/>
                <w:szCs w:val="21"/>
              </w:rPr>
            </w:pPr>
            <w:r>
              <w:rPr>
                <w:rFonts w:hint="eastAsia"/>
                <w:sz w:val="21"/>
                <w:szCs w:val="21"/>
              </w:rPr>
              <w:t>5,080,998.58</w:t>
            </w:r>
          </w:p>
        </w:tc>
      </w:tr>
    </w:tbl>
    <w:p w14:paraId="3D23D593" w14:textId="77777777" w:rsidR="009A7A59" w:rsidRDefault="009A7A59">
      <w:pPr>
        <w:widowControl/>
        <w:spacing w:line="360" w:lineRule="auto"/>
        <w:jc w:val="left"/>
        <w:rPr>
          <w:rFonts w:ascii="宋体" w:hAnsi="宋体" w:cs="宋体" w:hint="eastAsia"/>
          <w:kern w:val="0"/>
          <w:szCs w:val="21"/>
        </w:rPr>
      </w:pPr>
    </w:p>
    <w:p w14:paraId="22C5470A" w14:textId="77777777" w:rsidR="009A7A59" w:rsidRDefault="00000000">
      <w:pPr>
        <w:pStyle w:val="zhangjiep2"/>
        <w:spacing w:line="360" w:lineRule="auto"/>
        <w:ind w:firstLineChars="200" w:firstLine="420"/>
        <w:rPr>
          <w:rFonts w:hint="eastAsia"/>
          <w:vanish/>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）报告期末持有的处于转股期的可转换债券明细</w:t>
      </w:r>
    </w:p>
    <w:p w14:paraId="05430DEC" w14:textId="77777777" w:rsidR="009A7A59" w:rsidRDefault="00000000">
      <w:pPr>
        <w:pStyle w:val="zhangjiep2"/>
        <w:spacing w:line="360" w:lineRule="auto"/>
        <w:ind w:firstLineChars="300" w:firstLine="630"/>
        <w:rPr>
          <w:rFonts w:ascii="Times New Roman" w:hAnsi="Times New Roman" w:cs="Times New Roman"/>
          <w:kern w:val="2"/>
          <w:sz w:val="21"/>
          <w:szCs w:val="21"/>
        </w:rPr>
      </w:pPr>
      <w:r>
        <w:rPr>
          <w:rFonts w:ascii="Times New Roman" w:hAnsi="Times New Roman" w:cs="Times New Roman" w:hint="eastAsia"/>
          <w:kern w:val="2"/>
          <w:sz w:val="21"/>
          <w:szCs w:val="21"/>
        </w:rPr>
        <w:t>本基金本报告期末未持有处于转股期的可转换债券。</w:t>
      </w:r>
    </w:p>
    <w:p w14:paraId="7879CE8E" w14:textId="77777777" w:rsidR="009A7A59" w:rsidRDefault="00000000">
      <w:pPr>
        <w:pStyle w:val="zhangjiep2"/>
        <w:spacing w:line="360" w:lineRule="auto"/>
        <w:ind w:firstLineChars="200" w:firstLine="420"/>
        <w:rPr>
          <w:rFonts w:hint="eastAsia"/>
          <w:sz w:val="21"/>
          <w:szCs w:val="21"/>
        </w:rPr>
      </w:pPr>
      <w:r>
        <w:rPr>
          <w:rFonts w:hint="eastAsia"/>
          <w:sz w:val="21"/>
          <w:szCs w:val="21"/>
        </w:rPr>
        <w:t>（</w:t>
      </w:r>
      <w:r>
        <w:rPr>
          <w:sz w:val="21"/>
          <w:szCs w:val="21"/>
        </w:rPr>
        <w:t>5）</w:t>
      </w:r>
      <w:r>
        <w:rPr>
          <w:rFonts w:hint="eastAsia"/>
          <w:sz w:val="21"/>
          <w:szCs w:val="21"/>
        </w:rPr>
        <w:t>报告</w:t>
      </w:r>
      <w:proofErr w:type="gramStart"/>
      <w:r>
        <w:rPr>
          <w:rFonts w:hint="eastAsia"/>
          <w:sz w:val="21"/>
          <w:szCs w:val="21"/>
        </w:rPr>
        <w:t>期末前</w:t>
      </w:r>
      <w:proofErr w:type="gramEnd"/>
      <w:r>
        <w:rPr>
          <w:rFonts w:hint="eastAsia"/>
          <w:sz w:val="21"/>
          <w:szCs w:val="21"/>
        </w:rPr>
        <w:t>十名股票中存在流通受限情况的说明</w:t>
      </w:r>
    </w:p>
    <w:p w14:paraId="73F603C9" w14:textId="77777777" w:rsidR="009A7A59" w:rsidRDefault="009A7A59">
      <w:pPr>
        <w:pStyle w:val="zhangjiep2"/>
        <w:spacing w:line="360" w:lineRule="auto"/>
        <w:ind w:firstLineChars="200" w:firstLine="420"/>
        <w:rPr>
          <w:rFonts w:hint="eastAsia"/>
          <w:vanish/>
          <w:sz w:val="21"/>
          <w:szCs w:val="21"/>
        </w:rPr>
      </w:pPr>
    </w:p>
    <w:p w14:paraId="3FFC2CEE" w14:textId="77777777" w:rsidR="009A7A59" w:rsidRDefault="00000000">
      <w:pPr>
        <w:pStyle w:val="zhangjiep2"/>
        <w:spacing w:line="360" w:lineRule="auto"/>
        <w:ind w:firstLineChars="300" w:firstLine="630"/>
        <w:rPr>
          <w:rFonts w:hint="eastAsia"/>
          <w:sz w:val="21"/>
          <w:szCs w:val="21"/>
        </w:rPr>
      </w:pPr>
      <w:r>
        <w:rPr>
          <w:rFonts w:hint="eastAsia"/>
          <w:sz w:val="21"/>
          <w:szCs w:val="21"/>
        </w:rPr>
        <w:t>本基金报告期末未持有股票。</w:t>
      </w:r>
    </w:p>
    <w:p w14:paraId="48548A7D" w14:textId="77777777" w:rsidR="009A7A59" w:rsidRDefault="0000000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Pr>
          <w:rFonts w:ascii="Times New Roman" w:hAnsi="Times New Roman" w:cs="Times New Roman" w:hint="eastAsia"/>
          <w:kern w:val="2"/>
          <w:sz w:val="21"/>
          <w:szCs w:val="21"/>
        </w:rPr>
        <w:t>）投资组合报告附注的其他文字描述部分</w:t>
      </w:r>
    </w:p>
    <w:p w14:paraId="6E51CA0E" w14:textId="77777777" w:rsidR="009A7A59" w:rsidRDefault="00000000">
      <w:pPr>
        <w:spacing w:line="360" w:lineRule="auto"/>
        <w:ind w:firstLineChars="300" w:firstLine="630"/>
        <w:rPr>
          <w:szCs w:val="21"/>
        </w:rPr>
      </w:pPr>
      <w:r>
        <w:rPr>
          <w:rFonts w:hint="eastAsia"/>
          <w:szCs w:val="21"/>
        </w:rPr>
        <w:t>由于四舍五入原因，分项之和与合计可能存在尾差。</w:t>
      </w:r>
    </w:p>
    <w:p w14:paraId="52C16376" w14:textId="77777777" w:rsidR="009A7A59" w:rsidRDefault="00000000">
      <w:pPr>
        <w:spacing w:line="360" w:lineRule="auto"/>
        <w:rPr>
          <w:rFonts w:ascii="Arial Unicode MS" w:hAnsi="Arial Unicode MS" w:cs="Arial" w:hint="eastAsia"/>
          <w:b/>
          <w:bCs/>
          <w:szCs w:val="21"/>
        </w:rPr>
      </w:pPr>
      <w:r>
        <w:rPr>
          <w:rFonts w:ascii="Arial Unicode MS" w:hAnsi="Arial Unicode MS" w:cs="Arial" w:hint="eastAsia"/>
          <w:b/>
          <w:bCs/>
          <w:szCs w:val="21"/>
        </w:rPr>
        <w:t>十一、基金净值表现</w:t>
      </w:r>
    </w:p>
    <w:p w14:paraId="601180C1" w14:textId="77777777" w:rsidR="009A7A59" w:rsidRDefault="00000000">
      <w:pPr>
        <w:pStyle w:val="zhangjiep2"/>
        <w:spacing w:line="360" w:lineRule="auto"/>
        <w:ind w:firstLineChars="200" w:firstLine="420"/>
        <w:rPr>
          <w:rFonts w:hint="eastAsia"/>
          <w:bCs/>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BE9C0C6" w14:textId="77777777" w:rsidR="009A7A59" w:rsidRDefault="00000000">
      <w:pPr>
        <w:pStyle w:val="zhangjiep2"/>
        <w:spacing w:line="360" w:lineRule="auto"/>
        <w:ind w:firstLineChars="200" w:firstLine="420"/>
        <w:rPr>
          <w:rFonts w:hint="eastAsia"/>
          <w:sz w:val="21"/>
          <w:szCs w:val="21"/>
        </w:rPr>
      </w:pPr>
      <w:r>
        <w:rPr>
          <w:rFonts w:hint="eastAsia"/>
          <w:sz w:val="21"/>
          <w:szCs w:val="21"/>
        </w:rPr>
        <w:t>富荣富</w:t>
      </w:r>
      <w:proofErr w:type="gramStart"/>
      <w:r>
        <w:rPr>
          <w:rFonts w:hint="eastAsia"/>
          <w:sz w:val="21"/>
          <w:szCs w:val="21"/>
        </w:rPr>
        <w:t>兴纯债</w:t>
      </w:r>
      <w:proofErr w:type="gramEnd"/>
      <w:r>
        <w:rPr>
          <w:rFonts w:hint="eastAsia"/>
          <w:sz w:val="21"/>
          <w:szCs w:val="21"/>
        </w:rPr>
        <w:t>A净值表现</w:t>
      </w:r>
    </w:p>
    <w:tbl>
      <w:tblPr>
        <w:tblW w:w="8364" w:type="dxa"/>
        <w:tblInd w:w="108" w:type="dxa"/>
        <w:tblLayout w:type="fixed"/>
        <w:tblLook w:val="04A0" w:firstRow="1" w:lastRow="0" w:firstColumn="1" w:lastColumn="0" w:noHBand="0" w:noVBand="1"/>
      </w:tblPr>
      <w:tblGrid>
        <w:gridCol w:w="2232"/>
        <w:gridCol w:w="1082"/>
        <w:gridCol w:w="865"/>
        <w:gridCol w:w="985"/>
        <w:gridCol w:w="1264"/>
        <w:gridCol w:w="877"/>
        <w:gridCol w:w="943"/>
        <w:gridCol w:w="116"/>
      </w:tblGrid>
      <w:tr w:rsidR="009A7A59" w14:paraId="42CE5E6D" w14:textId="77777777">
        <w:trPr>
          <w:gridAfter w:val="1"/>
          <w:wAfter w:w="118" w:type="dxa"/>
          <w:trHeight w:val="1995"/>
        </w:trPr>
        <w:tc>
          <w:tcPr>
            <w:tcW w:w="2268" w:type="dxa"/>
            <w:tcBorders>
              <w:top w:val="single" w:sz="8" w:space="0" w:color="000000"/>
              <w:left w:val="single" w:sz="8" w:space="0" w:color="000000"/>
              <w:bottom w:val="single" w:sz="8" w:space="0" w:color="000000"/>
              <w:right w:val="single" w:sz="8" w:space="0" w:color="000000"/>
            </w:tcBorders>
            <w:vAlign w:val="center"/>
          </w:tcPr>
          <w:p w14:paraId="1A85529E" w14:textId="77777777" w:rsidR="009A7A59" w:rsidRDefault="00000000">
            <w:pPr>
              <w:pStyle w:val="biaogecenter"/>
              <w:spacing w:line="360" w:lineRule="auto"/>
              <w:ind w:firstLine="420"/>
              <w:rPr>
                <w:rFonts w:hint="eastAsia"/>
                <w:sz w:val="21"/>
                <w:szCs w:val="21"/>
              </w:rPr>
            </w:pPr>
            <w:r>
              <w:rPr>
                <w:rFonts w:hAnsi="Calibri" w:hint="eastAsia"/>
                <w:color w:val="000000"/>
                <w:sz w:val="21"/>
                <w:szCs w:val="21"/>
              </w:rPr>
              <w:t>阶段</w:t>
            </w:r>
          </w:p>
        </w:tc>
        <w:tc>
          <w:tcPr>
            <w:tcW w:w="1097" w:type="dxa"/>
            <w:tcBorders>
              <w:top w:val="single" w:sz="8" w:space="0" w:color="000000"/>
              <w:left w:val="single" w:sz="8" w:space="0" w:color="000000"/>
              <w:bottom w:val="single" w:sz="8" w:space="0" w:color="000000"/>
              <w:right w:val="single" w:sz="8" w:space="0" w:color="000000"/>
            </w:tcBorders>
            <w:vAlign w:val="center"/>
          </w:tcPr>
          <w:p w14:paraId="07BF3D76" w14:textId="77777777" w:rsidR="009A7A59" w:rsidRDefault="00000000">
            <w:pPr>
              <w:pStyle w:val="biaogecenter"/>
              <w:spacing w:line="360" w:lineRule="auto"/>
              <w:jc w:val="both"/>
              <w:rPr>
                <w:rFonts w:hint="eastAsia"/>
                <w:sz w:val="21"/>
                <w:szCs w:val="21"/>
              </w:rPr>
            </w:pPr>
            <w:r>
              <w:rPr>
                <w:rFonts w:hAnsi="Calibri" w:hint="eastAsia"/>
                <w:color w:val="000000"/>
                <w:sz w:val="21"/>
                <w:szCs w:val="21"/>
              </w:rPr>
              <w:t>份额净值增长率①</w:t>
            </w:r>
          </w:p>
        </w:tc>
        <w:tc>
          <w:tcPr>
            <w:tcW w:w="876" w:type="dxa"/>
            <w:tcBorders>
              <w:top w:val="single" w:sz="8" w:space="0" w:color="000000"/>
              <w:left w:val="single" w:sz="8" w:space="0" w:color="000000"/>
              <w:bottom w:val="single" w:sz="8" w:space="0" w:color="000000"/>
              <w:right w:val="single" w:sz="8" w:space="0" w:color="000000"/>
            </w:tcBorders>
            <w:vAlign w:val="center"/>
          </w:tcPr>
          <w:p w14:paraId="4EA584F9" w14:textId="77777777" w:rsidR="009A7A59" w:rsidRDefault="00000000">
            <w:pPr>
              <w:pStyle w:val="biaogecenter"/>
              <w:spacing w:line="360" w:lineRule="auto"/>
              <w:jc w:val="both"/>
              <w:rPr>
                <w:rFonts w:hint="eastAsia"/>
                <w:sz w:val="21"/>
                <w:szCs w:val="21"/>
              </w:rPr>
            </w:pPr>
            <w:r>
              <w:rPr>
                <w:rFonts w:hAnsi="Calibri" w:hint="eastAsia"/>
                <w:color w:val="000000"/>
                <w:sz w:val="21"/>
                <w:szCs w:val="21"/>
              </w:rPr>
              <w:t>份额净值增长率标准差②</w:t>
            </w:r>
          </w:p>
        </w:tc>
        <w:tc>
          <w:tcPr>
            <w:tcW w:w="998" w:type="dxa"/>
            <w:tcBorders>
              <w:top w:val="single" w:sz="8" w:space="0" w:color="000000"/>
              <w:left w:val="single" w:sz="8" w:space="0" w:color="000000"/>
              <w:bottom w:val="single" w:sz="8" w:space="0" w:color="000000"/>
              <w:right w:val="single" w:sz="8" w:space="0" w:color="000000"/>
            </w:tcBorders>
            <w:vAlign w:val="center"/>
          </w:tcPr>
          <w:p w14:paraId="3EEB2BA2" w14:textId="77777777" w:rsidR="009A7A59" w:rsidRDefault="00000000">
            <w:pPr>
              <w:pStyle w:val="biaogecenter"/>
              <w:spacing w:line="360" w:lineRule="auto"/>
              <w:jc w:val="both"/>
              <w:rPr>
                <w:rFonts w:hint="eastAsia"/>
                <w:sz w:val="21"/>
                <w:szCs w:val="21"/>
              </w:rPr>
            </w:pPr>
            <w:r>
              <w:rPr>
                <w:rFonts w:hAnsi="Calibri" w:hint="eastAsia"/>
                <w:color w:val="000000"/>
                <w:sz w:val="21"/>
                <w:szCs w:val="21"/>
              </w:rPr>
              <w:t>业绩比较基准收益率③</w:t>
            </w:r>
          </w:p>
        </w:tc>
        <w:tc>
          <w:tcPr>
            <w:tcW w:w="1282" w:type="dxa"/>
            <w:tcBorders>
              <w:top w:val="single" w:sz="8" w:space="0" w:color="000000"/>
              <w:left w:val="single" w:sz="8" w:space="0" w:color="000000"/>
              <w:bottom w:val="single" w:sz="8" w:space="0" w:color="000000"/>
              <w:right w:val="single" w:sz="8" w:space="0" w:color="000000"/>
            </w:tcBorders>
            <w:vAlign w:val="center"/>
          </w:tcPr>
          <w:p w14:paraId="5EF5C442" w14:textId="77777777" w:rsidR="009A7A59" w:rsidRDefault="00000000">
            <w:pPr>
              <w:pStyle w:val="biaogecenter"/>
              <w:spacing w:line="360" w:lineRule="auto"/>
              <w:jc w:val="both"/>
              <w:rPr>
                <w:rFonts w:hint="eastAsia"/>
                <w:sz w:val="21"/>
                <w:szCs w:val="21"/>
              </w:rPr>
            </w:pPr>
            <w:r>
              <w:rPr>
                <w:rFonts w:hAnsi="Calibri" w:hint="eastAsia"/>
                <w:color w:val="000000"/>
                <w:sz w:val="21"/>
                <w:szCs w:val="21"/>
              </w:rPr>
              <w:t>业绩比较基准收益率标准差④</w:t>
            </w:r>
          </w:p>
        </w:tc>
        <w:tc>
          <w:tcPr>
            <w:tcW w:w="888" w:type="dxa"/>
            <w:tcBorders>
              <w:top w:val="single" w:sz="8" w:space="0" w:color="000000"/>
              <w:left w:val="single" w:sz="8" w:space="0" w:color="000000"/>
              <w:bottom w:val="single" w:sz="8" w:space="0" w:color="000000"/>
              <w:right w:val="single" w:sz="8" w:space="0" w:color="000000"/>
            </w:tcBorders>
            <w:vAlign w:val="center"/>
          </w:tcPr>
          <w:p w14:paraId="15771316" w14:textId="77777777" w:rsidR="009A7A59" w:rsidRDefault="00000000">
            <w:pPr>
              <w:pStyle w:val="biaogecenter"/>
              <w:spacing w:line="360" w:lineRule="auto"/>
              <w:jc w:val="both"/>
              <w:rPr>
                <w:rFonts w:hint="eastAsia"/>
                <w:sz w:val="21"/>
                <w:szCs w:val="21"/>
              </w:rPr>
            </w:pPr>
            <w:r>
              <w:rPr>
                <w:rFonts w:hAnsi="Calibri" w:hint="eastAsia"/>
                <w:color w:val="000000"/>
                <w:sz w:val="21"/>
                <w:szCs w:val="21"/>
              </w:rPr>
              <w:t>①-③</w:t>
            </w:r>
          </w:p>
        </w:tc>
        <w:tc>
          <w:tcPr>
            <w:tcW w:w="955" w:type="dxa"/>
            <w:tcBorders>
              <w:top w:val="single" w:sz="8" w:space="0" w:color="000000"/>
              <w:left w:val="single" w:sz="8" w:space="0" w:color="000000"/>
              <w:bottom w:val="single" w:sz="8" w:space="0" w:color="000000"/>
              <w:right w:val="single" w:sz="8" w:space="0" w:color="000000"/>
            </w:tcBorders>
            <w:vAlign w:val="center"/>
          </w:tcPr>
          <w:p w14:paraId="1423F72E" w14:textId="77777777" w:rsidR="009A7A59" w:rsidRDefault="00000000">
            <w:pPr>
              <w:pStyle w:val="biaogecenter"/>
              <w:spacing w:line="360" w:lineRule="auto"/>
              <w:jc w:val="both"/>
              <w:rPr>
                <w:rFonts w:hint="eastAsia"/>
                <w:sz w:val="21"/>
                <w:szCs w:val="21"/>
              </w:rPr>
            </w:pPr>
            <w:r>
              <w:rPr>
                <w:rFonts w:hAnsi="Calibri" w:hint="eastAsia"/>
                <w:color w:val="000000"/>
                <w:sz w:val="21"/>
                <w:szCs w:val="21"/>
              </w:rPr>
              <w:t>②-④</w:t>
            </w:r>
          </w:p>
        </w:tc>
      </w:tr>
      <w:tr w:rsidR="009A7A59" w14:paraId="7CFE8190" w14:textId="77777777">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020956B7" w14:textId="77777777" w:rsidR="009A7A59" w:rsidRDefault="00000000">
            <w:pPr>
              <w:pStyle w:val="biaogeleft"/>
              <w:spacing w:line="360" w:lineRule="auto"/>
              <w:rPr>
                <w:rFonts w:hint="eastAsia"/>
                <w:sz w:val="21"/>
                <w:szCs w:val="21"/>
              </w:rPr>
            </w:pPr>
            <w:r>
              <w:rPr>
                <w:color w:val="000000"/>
                <w:sz w:val="21"/>
                <w:szCs w:val="21"/>
              </w:rPr>
              <w:t>2017.3.9~2017.</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vAlign w:val="center"/>
          </w:tcPr>
          <w:p w14:paraId="3B505929" w14:textId="77777777" w:rsidR="009A7A59" w:rsidRDefault="00000000">
            <w:pPr>
              <w:pStyle w:val="biaogeright"/>
              <w:spacing w:line="360" w:lineRule="auto"/>
              <w:ind w:left="420" w:hanging="420"/>
              <w:rPr>
                <w:rFonts w:hint="eastAsia"/>
                <w:sz w:val="21"/>
                <w:szCs w:val="21"/>
              </w:rPr>
            </w:pPr>
            <w:r>
              <w:rPr>
                <w:rFonts w:hAnsi="Calibri"/>
                <w:color w:val="000000"/>
                <w:sz w:val="21"/>
                <w:szCs w:val="21"/>
              </w:rPr>
              <w:t>1.30%</w:t>
            </w:r>
          </w:p>
        </w:tc>
        <w:tc>
          <w:tcPr>
            <w:tcW w:w="876" w:type="dxa"/>
            <w:tcBorders>
              <w:top w:val="single" w:sz="8" w:space="0" w:color="000000"/>
              <w:left w:val="single" w:sz="8" w:space="0" w:color="000000"/>
              <w:bottom w:val="single" w:sz="8" w:space="0" w:color="000000"/>
              <w:right w:val="single" w:sz="8" w:space="0" w:color="000000"/>
            </w:tcBorders>
            <w:vAlign w:val="center"/>
          </w:tcPr>
          <w:p w14:paraId="147959F5" w14:textId="77777777" w:rsidR="009A7A59" w:rsidRDefault="00000000">
            <w:pPr>
              <w:pStyle w:val="biaogeright"/>
              <w:spacing w:line="360" w:lineRule="auto"/>
              <w:ind w:left="420" w:hanging="420"/>
              <w:rPr>
                <w:rFonts w:hint="eastAsia"/>
                <w:sz w:val="21"/>
                <w:szCs w:val="21"/>
              </w:rPr>
            </w:pPr>
            <w:r>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vAlign w:val="center"/>
          </w:tcPr>
          <w:p w14:paraId="0E7CD13E" w14:textId="77777777" w:rsidR="009A7A59" w:rsidRDefault="00000000">
            <w:pPr>
              <w:pStyle w:val="biaogeright"/>
              <w:spacing w:line="360" w:lineRule="auto"/>
              <w:ind w:left="420" w:hanging="420"/>
              <w:rPr>
                <w:rFonts w:hint="eastAsia"/>
                <w:sz w:val="21"/>
                <w:szCs w:val="21"/>
              </w:rPr>
            </w:pPr>
            <w:r>
              <w:rPr>
                <w:rFonts w:hAnsi="Calibri"/>
                <w:color w:val="000000"/>
                <w:sz w:val="21"/>
                <w:szCs w:val="21"/>
              </w:rPr>
              <w:t>0.86%</w:t>
            </w:r>
          </w:p>
        </w:tc>
        <w:tc>
          <w:tcPr>
            <w:tcW w:w="1282" w:type="dxa"/>
            <w:tcBorders>
              <w:top w:val="single" w:sz="8" w:space="0" w:color="000000"/>
              <w:left w:val="single" w:sz="8" w:space="0" w:color="000000"/>
              <w:bottom w:val="single" w:sz="8" w:space="0" w:color="000000"/>
              <w:right w:val="single" w:sz="8" w:space="0" w:color="000000"/>
            </w:tcBorders>
            <w:vAlign w:val="center"/>
          </w:tcPr>
          <w:p w14:paraId="6573E4B4" w14:textId="77777777" w:rsidR="009A7A59" w:rsidRDefault="00000000">
            <w:pPr>
              <w:pStyle w:val="biaogeright"/>
              <w:spacing w:line="360" w:lineRule="auto"/>
              <w:ind w:left="420" w:hanging="420"/>
              <w:rPr>
                <w:rFonts w:hint="eastAsia"/>
                <w:sz w:val="21"/>
                <w:szCs w:val="21"/>
              </w:rPr>
            </w:pPr>
            <w:r>
              <w:rPr>
                <w:rFonts w:hAnsi="Calibri"/>
                <w:color w:val="000000"/>
                <w:sz w:val="21"/>
                <w:szCs w:val="21"/>
              </w:rPr>
              <w:t>0.05%</w:t>
            </w:r>
          </w:p>
        </w:tc>
        <w:tc>
          <w:tcPr>
            <w:tcW w:w="888" w:type="dxa"/>
            <w:tcBorders>
              <w:top w:val="single" w:sz="8" w:space="0" w:color="000000"/>
              <w:left w:val="single" w:sz="8" w:space="0" w:color="000000"/>
              <w:bottom w:val="single" w:sz="8" w:space="0" w:color="000000"/>
              <w:right w:val="single" w:sz="8" w:space="0" w:color="000000"/>
            </w:tcBorders>
            <w:vAlign w:val="center"/>
          </w:tcPr>
          <w:p w14:paraId="2A19BB89" w14:textId="77777777" w:rsidR="009A7A59" w:rsidRDefault="00000000">
            <w:pPr>
              <w:pStyle w:val="biaogeright"/>
              <w:spacing w:line="360" w:lineRule="auto"/>
              <w:ind w:left="420" w:hanging="420"/>
              <w:rPr>
                <w:rFonts w:hint="eastAsia"/>
                <w:sz w:val="21"/>
                <w:szCs w:val="21"/>
              </w:rPr>
            </w:pPr>
            <w:r>
              <w:rPr>
                <w:rFonts w:hAnsi="Calibri"/>
                <w:color w:val="000000"/>
                <w:sz w:val="21"/>
                <w:szCs w:val="21"/>
              </w:rPr>
              <w:t>0.44%</w:t>
            </w:r>
          </w:p>
        </w:tc>
        <w:tc>
          <w:tcPr>
            <w:tcW w:w="955" w:type="dxa"/>
            <w:tcBorders>
              <w:top w:val="single" w:sz="8" w:space="0" w:color="000000"/>
              <w:left w:val="single" w:sz="8" w:space="0" w:color="000000"/>
              <w:bottom w:val="single" w:sz="8" w:space="0" w:color="000000"/>
              <w:right w:val="single" w:sz="8" w:space="0" w:color="000000"/>
            </w:tcBorders>
            <w:vAlign w:val="center"/>
          </w:tcPr>
          <w:p w14:paraId="383C510F" w14:textId="77777777" w:rsidR="009A7A59" w:rsidRDefault="00000000">
            <w:pPr>
              <w:pStyle w:val="biaogeright"/>
              <w:spacing w:line="360" w:lineRule="auto"/>
              <w:ind w:left="420" w:hanging="420"/>
              <w:rPr>
                <w:rFonts w:hint="eastAsia"/>
                <w:sz w:val="21"/>
                <w:szCs w:val="21"/>
              </w:rPr>
            </w:pPr>
            <w:r>
              <w:rPr>
                <w:rFonts w:hAnsi="Calibri"/>
                <w:color w:val="000000"/>
                <w:sz w:val="21"/>
                <w:szCs w:val="21"/>
              </w:rPr>
              <w:t>0.01%</w:t>
            </w:r>
          </w:p>
        </w:tc>
      </w:tr>
      <w:tr w:rsidR="009A7A59" w14:paraId="70AA2C0E" w14:textId="77777777">
        <w:trPr>
          <w:gridAfter w:val="1"/>
          <w:wAfter w:w="118" w:type="dxa"/>
          <w:trHeight w:val="402"/>
        </w:trPr>
        <w:tc>
          <w:tcPr>
            <w:tcW w:w="2268" w:type="dxa"/>
            <w:tcBorders>
              <w:top w:val="single" w:sz="8" w:space="0" w:color="000000"/>
              <w:left w:val="single" w:sz="8" w:space="0" w:color="000000"/>
              <w:bottom w:val="single" w:sz="8" w:space="0" w:color="000000"/>
              <w:right w:val="single" w:sz="8" w:space="0" w:color="000000"/>
            </w:tcBorders>
            <w:vAlign w:val="center"/>
          </w:tcPr>
          <w:p w14:paraId="4ABD7EB4" w14:textId="77777777" w:rsidR="009A7A59" w:rsidRDefault="00000000">
            <w:pPr>
              <w:pStyle w:val="biaogeleft"/>
              <w:spacing w:line="360" w:lineRule="auto"/>
              <w:rPr>
                <w:rFonts w:hint="eastAsia"/>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tcPr>
          <w:p w14:paraId="62B28FF0"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8.10%</w:t>
            </w:r>
          </w:p>
        </w:tc>
        <w:tc>
          <w:tcPr>
            <w:tcW w:w="876" w:type="dxa"/>
            <w:tcBorders>
              <w:top w:val="single" w:sz="8" w:space="0" w:color="000000"/>
              <w:left w:val="single" w:sz="8" w:space="0" w:color="000000"/>
              <w:bottom w:val="single" w:sz="8" w:space="0" w:color="000000"/>
              <w:right w:val="single" w:sz="8" w:space="0" w:color="000000"/>
            </w:tcBorders>
          </w:tcPr>
          <w:p w14:paraId="7748CE24"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tcPr>
          <w:p w14:paraId="3F1920C2"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7.53%</w:t>
            </w:r>
          </w:p>
        </w:tc>
        <w:tc>
          <w:tcPr>
            <w:tcW w:w="1282" w:type="dxa"/>
            <w:tcBorders>
              <w:top w:val="single" w:sz="8" w:space="0" w:color="000000"/>
              <w:left w:val="single" w:sz="8" w:space="0" w:color="000000"/>
              <w:bottom w:val="single" w:sz="8" w:space="0" w:color="000000"/>
              <w:right w:val="single" w:sz="8" w:space="0" w:color="000000"/>
            </w:tcBorders>
          </w:tcPr>
          <w:p w14:paraId="420A78AF"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0.06%</w:t>
            </w:r>
          </w:p>
        </w:tc>
        <w:tc>
          <w:tcPr>
            <w:tcW w:w="888" w:type="dxa"/>
            <w:tcBorders>
              <w:top w:val="single" w:sz="8" w:space="0" w:color="000000"/>
              <w:left w:val="single" w:sz="8" w:space="0" w:color="000000"/>
              <w:bottom w:val="single" w:sz="8" w:space="0" w:color="000000"/>
              <w:right w:val="single" w:sz="8" w:space="0" w:color="000000"/>
            </w:tcBorders>
          </w:tcPr>
          <w:p w14:paraId="26C4B2FC"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0.57%</w:t>
            </w:r>
          </w:p>
        </w:tc>
        <w:tc>
          <w:tcPr>
            <w:tcW w:w="955" w:type="dxa"/>
            <w:tcBorders>
              <w:top w:val="single" w:sz="8" w:space="0" w:color="000000"/>
              <w:left w:val="single" w:sz="8" w:space="0" w:color="000000"/>
              <w:bottom w:val="single" w:sz="8" w:space="0" w:color="000000"/>
              <w:right w:val="single" w:sz="8" w:space="0" w:color="000000"/>
            </w:tcBorders>
          </w:tcPr>
          <w:p w14:paraId="6313261E"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0.00%</w:t>
            </w:r>
          </w:p>
        </w:tc>
      </w:tr>
      <w:tr w:rsidR="009A7A59" w14:paraId="714A1516" w14:textId="77777777">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4B690926" w14:textId="77777777" w:rsidR="009A7A59" w:rsidRDefault="00000000">
            <w:pPr>
              <w:pStyle w:val="biaogeleft"/>
              <w:spacing w:line="360" w:lineRule="auto"/>
              <w:rPr>
                <w:rFonts w:hAnsi="Calibri"/>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tcPr>
          <w:p w14:paraId="1790DE95" w14:textId="77777777" w:rsidR="009A7A59" w:rsidRDefault="00000000">
            <w:pPr>
              <w:pStyle w:val="biaogeright"/>
              <w:spacing w:line="360" w:lineRule="auto"/>
              <w:ind w:left="420" w:hanging="420"/>
              <w:rPr>
                <w:rFonts w:hAnsi="Calibri"/>
                <w:color w:val="000000"/>
                <w:sz w:val="21"/>
                <w:szCs w:val="21"/>
              </w:rPr>
            </w:pPr>
            <w:r>
              <w:rPr>
                <w:rFonts w:hAnsi="Calibri" w:hint="eastAsia"/>
                <w:color w:val="000000"/>
                <w:sz w:val="21"/>
                <w:szCs w:val="21"/>
              </w:rPr>
              <w:t>6.36%</w:t>
            </w:r>
          </w:p>
        </w:tc>
        <w:tc>
          <w:tcPr>
            <w:tcW w:w="876" w:type="dxa"/>
            <w:tcBorders>
              <w:top w:val="single" w:sz="8" w:space="0" w:color="000000"/>
              <w:left w:val="single" w:sz="8" w:space="0" w:color="000000"/>
              <w:bottom w:val="single" w:sz="8" w:space="0" w:color="000000"/>
              <w:right w:val="single" w:sz="8" w:space="0" w:color="000000"/>
            </w:tcBorders>
          </w:tcPr>
          <w:p w14:paraId="2BB7C38F" w14:textId="77777777" w:rsidR="009A7A59" w:rsidRDefault="00000000">
            <w:pPr>
              <w:pStyle w:val="biaogeright"/>
              <w:spacing w:line="360" w:lineRule="auto"/>
              <w:ind w:left="420" w:hanging="420"/>
              <w:rPr>
                <w:rFonts w:hAnsi="Calibri"/>
                <w:color w:val="000000"/>
                <w:sz w:val="21"/>
                <w:szCs w:val="21"/>
              </w:rPr>
            </w:pPr>
            <w:r>
              <w:rPr>
                <w:rFonts w:hAnsi="Calibri" w:hint="eastAsia"/>
                <w:color w:val="000000"/>
                <w:sz w:val="21"/>
                <w:szCs w:val="21"/>
              </w:rPr>
              <w:t>0.05%</w:t>
            </w:r>
          </w:p>
        </w:tc>
        <w:tc>
          <w:tcPr>
            <w:tcW w:w="998" w:type="dxa"/>
            <w:tcBorders>
              <w:top w:val="single" w:sz="8" w:space="0" w:color="000000"/>
              <w:left w:val="single" w:sz="8" w:space="0" w:color="000000"/>
              <w:bottom w:val="single" w:sz="8" w:space="0" w:color="000000"/>
              <w:right w:val="single" w:sz="8" w:space="0" w:color="000000"/>
            </w:tcBorders>
          </w:tcPr>
          <w:p w14:paraId="43D61F17" w14:textId="77777777" w:rsidR="009A7A59" w:rsidRDefault="00000000">
            <w:pPr>
              <w:pStyle w:val="biaogeright"/>
              <w:spacing w:line="360" w:lineRule="auto"/>
              <w:ind w:left="420" w:hanging="420"/>
              <w:rPr>
                <w:rFonts w:hAnsi="Calibri"/>
                <w:color w:val="000000"/>
                <w:sz w:val="21"/>
                <w:szCs w:val="21"/>
              </w:rPr>
            </w:pPr>
            <w:r>
              <w:rPr>
                <w:rFonts w:hAnsi="Calibri" w:hint="eastAsia"/>
                <w:color w:val="000000"/>
                <w:sz w:val="21"/>
                <w:szCs w:val="21"/>
              </w:rPr>
              <w:t>4.28%</w:t>
            </w:r>
          </w:p>
        </w:tc>
        <w:tc>
          <w:tcPr>
            <w:tcW w:w="1282" w:type="dxa"/>
            <w:tcBorders>
              <w:top w:val="single" w:sz="8" w:space="0" w:color="000000"/>
              <w:left w:val="single" w:sz="8" w:space="0" w:color="000000"/>
              <w:bottom w:val="single" w:sz="8" w:space="0" w:color="000000"/>
              <w:right w:val="single" w:sz="8" w:space="0" w:color="000000"/>
            </w:tcBorders>
          </w:tcPr>
          <w:p w14:paraId="08737C8B" w14:textId="77777777" w:rsidR="009A7A59" w:rsidRDefault="00000000">
            <w:pPr>
              <w:pStyle w:val="biaogeright"/>
              <w:spacing w:line="360" w:lineRule="auto"/>
              <w:ind w:left="420" w:hanging="420"/>
              <w:rPr>
                <w:rFonts w:hAnsi="Calibri"/>
                <w:color w:val="000000"/>
                <w:sz w:val="21"/>
                <w:szCs w:val="21"/>
              </w:rPr>
            </w:pPr>
            <w:r>
              <w:rPr>
                <w:rFonts w:hAnsi="Calibri" w:hint="eastAsia"/>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tcPr>
          <w:p w14:paraId="517D830A" w14:textId="77777777" w:rsidR="009A7A59" w:rsidRDefault="00000000">
            <w:pPr>
              <w:pStyle w:val="biaogeright"/>
              <w:spacing w:line="360" w:lineRule="auto"/>
              <w:ind w:left="420" w:hanging="420"/>
              <w:rPr>
                <w:rFonts w:hAnsi="Calibri"/>
                <w:color w:val="000000"/>
                <w:sz w:val="21"/>
                <w:szCs w:val="21"/>
              </w:rPr>
            </w:pPr>
            <w:r>
              <w:rPr>
                <w:rFonts w:hAnsi="Calibri" w:hint="eastAsia"/>
                <w:color w:val="000000"/>
                <w:sz w:val="21"/>
                <w:szCs w:val="21"/>
              </w:rPr>
              <w:t>2.08%</w:t>
            </w:r>
          </w:p>
        </w:tc>
        <w:tc>
          <w:tcPr>
            <w:tcW w:w="955" w:type="dxa"/>
            <w:tcBorders>
              <w:top w:val="single" w:sz="8" w:space="0" w:color="000000"/>
              <w:left w:val="single" w:sz="8" w:space="0" w:color="000000"/>
              <w:bottom w:val="single" w:sz="8" w:space="0" w:color="000000"/>
              <w:right w:val="single" w:sz="8" w:space="0" w:color="000000"/>
            </w:tcBorders>
          </w:tcPr>
          <w:p w14:paraId="5718E65B" w14:textId="77777777" w:rsidR="009A7A59" w:rsidRDefault="00000000">
            <w:pPr>
              <w:pStyle w:val="biaogeright"/>
              <w:spacing w:line="360" w:lineRule="auto"/>
              <w:ind w:left="420" w:hanging="420"/>
              <w:rPr>
                <w:rFonts w:hAnsi="Calibri"/>
                <w:color w:val="000000"/>
                <w:sz w:val="21"/>
                <w:szCs w:val="21"/>
              </w:rPr>
            </w:pPr>
            <w:r>
              <w:rPr>
                <w:rFonts w:hAnsi="Calibri" w:hint="eastAsia"/>
                <w:color w:val="000000"/>
                <w:sz w:val="21"/>
                <w:szCs w:val="21"/>
              </w:rPr>
              <w:t>0.01%</w:t>
            </w:r>
          </w:p>
        </w:tc>
      </w:tr>
      <w:tr w:rsidR="009A7A59" w14:paraId="324743E3" w14:textId="77777777">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4217D9A3" w14:textId="77777777" w:rsidR="009A7A59" w:rsidRDefault="00000000">
            <w:pPr>
              <w:pStyle w:val="biaogeleft"/>
              <w:spacing w:line="360" w:lineRule="auto"/>
              <w:rPr>
                <w:rFonts w:hint="eastAsia"/>
                <w:color w:val="000000"/>
                <w:sz w:val="21"/>
                <w:szCs w:val="21"/>
              </w:rPr>
            </w:pP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vAlign w:val="center"/>
          </w:tcPr>
          <w:p w14:paraId="28052ABE"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4.17%</w:t>
            </w:r>
          </w:p>
        </w:tc>
        <w:tc>
          <w:tcPr>
            <w:tcW w:w="876" w:type="dxa"/>
            <w:tcBorders>
              <w:top w:val="single" w:sz="8" w:space="0" w:color="000000"/>
              <w:left w:val="single" w:sz="8" w:space="0" w:color="000000"/>
              <w:bottom w:val="single" w:sz="8" w:space="0" w:color="000000"/>
              <w:right w:val="single" w:sz="8" w:space="0" w:color="000000"/>
            </w:tcBorders>
            <w:vAlign w:val="center"/>
          </w:tcPr>
          <w:p w14:paraId="69457D68"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0.07%</w:t>
            </w:r>
          </w:p>
        </w:tc>
        <w:tc>
          <w:tcPr>
            <w:tcW w:w="998" w:type="dxa"/>
            <w:tcBorders>
              <w:top w:val="single" w:sz="8" w:space="0" w:color="000000"/>
              <w:left w:val="single" w:sz="8" w:space="0" w:color="000000"/>
              <w:bottom w:val="single" w:sz="8" w:space="0" w:color="000000"/>
              <w:right w:val="single" w:sz="8" w:space="0" w:color="000000"/>
            </w:tcBorders>
            <w:vAlign w:val="center"/>
          </w:tcPr>
          <w:p w14:paraId="29E8FC70"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2.83%</w:t>
            </w:r>
          </w:p>
        </w:tc>
        <w:tc>
          <w:tcPr>
            <w:tcW w:w="1282" w:type="dxa"/>
            <w:tcBorders>
              <w:top w:val="single" w:sz="8" w:space="0" w:color="000000"/>
              <w:left w:val="single" w:sz="8" w:space="0" w:color="000000"/>
              <w:bottom w:val="single" w:sz="8" w:space="0" w:color="000000"/>
              <w:right w:val="single" w:sz="8" w:space="0" w:color="000000"/>
            </w:tcBorders>
            <w:vAlign w:val="center"/>
          </w:tcPr>
          <w:p w14:paraId="6A291F9D"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0.09%</w:t>
            </w:r>
          </w:p>
        </w:tc>
        <w:tc>
          <w:tcPr>
            <w:tcW w:w="888" w:type="dxa"/>
            <w:tcBorders>
              <w:top w:val="single" w:sz="8" w:space="0" w:color="000000"/>
              <w:left w:val="single" w:sz="8" w:space="0" w:color="000000"/>
              <w:bottom w:val="single" w:sz="8" w:space="0" w:color="000000"/>
              <w:right w:val="single" w:sz="8" w:space="0" w:color="000000"/>
            </w:tcBorders>
            <w:vAlign w:val="center"/>
          </w:tcPr>
          <w:p w14:paraId="46AEBC73"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1.34%</w:t>
            </w:r>
          </w:p>
        </w:tc>
        <w:tc>
          <w:tcPr>
            <w:tcW w:w="955" w:type="dxa"/>
            <w:tcBorders>
              <w:top w:val="single" w:sz="8" w:space="0" w:color="000000"/>
              <w:left w:val="single" w:sz="8" w:space="0" w:color="000000"/>
              <w:bottom w:val="single" w:sz="8" w:space="0" w:color="000000"/>
              <w:right w:val="single" w:sz="8" w:space="0" w:color="000000"/>
            </w:tcBorders>
            <w:vAlign w:val="center"/>
          </w:tcPr>
          <w:p w14:paraId="38806FA1"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-0.02%</w:t>
            </w:r>
          </w:p>
        </w:tc>
      </w:tr>
      <w:tr w:rsidR="009A7A59" w14:paraId="03897CC2" w14:textId="77777777">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7304317B" w14:textId="77777777" w:rsidR="009A7A59" w:rsidRDefault="00000000">
            <w:pPr>
              <w:pStyle w:val="biaogeleft"/>
              <w:spacing w:line="360" w:lineRule="auto"/>
              <w:rPr>
                <w:rFonts w:hint="eastAsia"/>
                <w:color w:val="000000"/>
                <w:sz w:val="21"/>
                <w:szCs w:val="21"/>
              </w:rPr>
            </w:pPr>
            <w:r>
              <w:rPr>
                <w:color w:val="000000"/>
                <w:sz w:val="21"/>
                <w:szCs w:val="21"/>
              </w:rPr>
              <w:t>2021.1.1~2021.12.31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02EB299C"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5.61%</w:t>
            </w:r>
          </w:p>
        </w:tc>
        <w:tc>
          <w:tcPr>
            <w:tcW w:w="876" w:type="dxa"/>
            <w:tcBorders>
              <w:top w:val="single" w:sz="8" w:space="0" w:color="000000"/>
              <w:left w:val="single" w:sz="8" w:space="0" w:color="000000"/>
              <w:bottom w:val="single" w:sz="8" w:space="0" w:color="000000"/>
              <w:right w:val="single" w:sz="8" w:space="0" w:color="000000"/>
            </w:tcBorders>
            <w:vAlign w:val="center"/>
          </w:tcPr>
          <w:p w14:paraId="12A7E4C5"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vAlign w:val="center"/>
          </w:tcPr>
          <w:p w14:paraId="4E001BA8"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4.73%</w:t>
            </w:r>
          </w:p>
        </w:tc>
        <w:tc>
          <w:tcPr>
            <w:tcW w:w="1282" w:type="dxa"/>
            <w:tcBorders>
              <w:top w:val="single" w:sz="8" w:space="0" w:color="000000"/>
              <w:left w:val="single" w:sz="8" w:space="0" w:color="000000"/>
              <w:bottom w:val="single" w:sz="8" w:space="0" w:color="000000"/>
              <w:right w:val="single" w:sz="8" w:space="0" w:color="000000"/>
            </w:tcBorders>
            <w:vAlign w:val="center"/>
          </w:tcPr>
          <w:p w14:paraId="7531CE73"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vAlign w:val="center"/>
          </w:tcPr>
          <w:p w14:paraId="12CA0A7D"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0.88%</w:t>
            </w:r>
          </w:p>
        </w:tc>
        <w:tc>
          <w:tcPr>
            <w:tcW w:w="955" w:type="dxa"/>
            <w:tcBorders>
              <w:top w:val="single" w:sz="8" w:space="0" w:color="000000"/>
              <w:left w:val="single" w:sz="8" w:space="0" w:color="000000"/>
              <w:bottom w:val="single" w:sz="8" w:space="0" w:color="000000"/>
              <w:right w:val="single" w:sz="8" w:space="0" w:color="000000"/>
            </w:tcBorders>
            <w:vAlign w:val="center"/>
          </w:tcPr>
          <w:p w14:paraId="6C0128DC"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0.02%</w:t>
            </w:r>
          </w:p>
        </w:tc>
      </w:tr>
      <w:tr w:rsidR="009A7A59" w14:paraId="1796A644" w14:textId="77777777">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44932772" w14:textId="77777777" w:rsidR="009A7A59" w:rsidRDefault="00000000">
            <w:pPr>
              <w:pStyle w:val="biaogeleft"/>
              <w:spacing w:line="360" w:lineRule="auto"/>
              <w:rPr>
                <w:rFonts w:hint="eastAsia"/>
                <w:color w:val="000000"/>
                <w:sz w:val="21"/>
                <w:szCs w:val="21"/>
              </w:rPr>
            </w:pPr>
            <w:r>
              <w:rPr>
                <w:rFonts w:hAnsi="Calibri" w:hint="eastAsia"/>
                <w:color w:val="000000"/>
                <w:sz w:val="21"/>
                <w:szCs w:val="21"/>
              </w:rPr>
              <w:t>2022.1.1</w:t>
            </w:r>
            <w:r>
              <w:rPr>
                <w:color w:val="000000"/>
                <w:sz w:val="21"/>
                <w:szCs w:val="21"/>
              </w:rPr>
              <w:t>~</w:t>
            </w:r>
            <w:r>
              <w:rPr>
                <w:rFonts w:hint="eastAsia"/>
                <w:color w:val="000000"/>
                <w:sz w:val="21"/>
                <w:szCs w:val="21"/>
              </w:rPr>
              <w:t>2022.12.31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5C5D1143"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-0.90%</w:t>
            </w:r>
          </w:p>
        </w:tc>
        <w:tc>
          <w:tcPr>
            <w:tcW w:w="876" w:type="dxa"/>
            <w:tcBorders>
              <w:top w:val="single" w:sz="8" w:space="0" w:color="000000"/>
              <w:left w:val="single" w:sz="8" w:space="0" w:color="000000"/>
              <w:bottom w:val="single" w:sz="8" w:space="0" w:color="000000"/>
              <w:right w:val="single" w:sz="8" w:space="0" w:color="000000"/>
            </w:tcBorders>
            <w:vAlign w:val="center"/>
          </w:tcPr>
          <w:p w14:paraId="796C10CD"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0.15%</w:t>
            </w:r>
          </w:p>
        </w:tc>
        <w:tc>
          <w:tcPr>
            <w:tcW w:w="998" w:type="dxa"/>
            <w:tcBorders>
              <w:top w:val="single" w:sz="8" w:space="0" w:color="000000"/>
              <w:left w:val="single" w:sz="8" w:space="0" w:color="000000"/>
              <w:bottom w:val="single" w:sz="8" w:space="0" w:color="000000"/>
              <w:right w:val="single" w:sz="8" w:space="0" w:color="000000"/>
            </w:tcBorders>
            <w:vAlign w:val="center"/>
          </w:tcPr>
          <w:p w14:paraId="41CD8408"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3.12%</w:t>
            </w:r>
          </w:p>
        </w:tc>
        <w:tc>
          <w:tcPr>
            <w:tcW w:w="1282" w:type="dxa"/>
            <w:tcBorders>
              <w:top w:val="single" w:sz="8" w:space="0" w:color="000000"/>
              <w:left w:val="single" w:sz="8" w:space="0" w:color="000000"/>
              <w:bottom w:val="single" w:sz="8" w:space="0" w:color="000000"/>
              <w:right w:val="single" w:sz="8" w:space="0" w:color="000000"/>
            </w:tcBorders>
            <w:vAlign w:val="center"/>
          </w:tcPr>
          <w:p w14:paraId="044EEE9E"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0.05%</w:t>
            </w:r>
          </w:p>
        </w:tc>
        <w:tc>
          <w:tcPr>
            <w:tcW w:w="888" w:type="dxa"/>
            <w:tcBorders>
              <w:top w:val="single" w:sz="8" w:space="0" w:color="000000"/>
              <w:left w:val="single" w:sz="8" w:space="0" w:color="000000"/>
              <w:bottom w:val="single" w:sz="8" w:space="0" w:color="000000"/>
              <w:right w:val="single" w:sz="8" w:space="0" w:color="000000"/>
            </w:tcBorders>
            <w:vAlign w:val="center"/>
          </w:tcPr>
          <w:p w14:paraId="6324D05B"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-4.02%</w:t>
            </w:r>
          </w:p>
        </w:tc>
        <w:tc>
          <w:tcPr>
            <w:tcW w:w="955" w:type="dxa"/>
            <w:tcBorders>
              <w:top w:val="single" w:sz="8" w:space="0" w:color="000000"/>
              <w:left w:val="single" w:sz="8" w:space="0" w:color="000000"/>
              <w:bottom w:val="single" w:sz="8" w:space="0" w:color="000000"/>
              <w:right w:val="single" w:sz="8" w:space="0" w:color="000000"/>
            </w:tcBorders>
            <w:vAlign w:val="center"/>
          </w:tcPr>
          <w:p w14:paraId="165A0C4D"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0.10%</w:t>
            </w:r>
          </w:p>
        </w:tc>
      </w:tr>
      <w:tr w:rsidR="009A7A59" w14:paraId="2F2D5E84" w14:textId="77777777">
        <w:trPr>
          <w:gridAfter w:val="1"/>
          <w:wAfter w:w="118" w:type="dxa"/>
          <w:trHeight w:val="413"/>
        </w:trPr>
        <w:tc>
          <w:tcPr>
            <w:tcW w:w="2268" w:type="dxa"/>
            <w:tcBorders>
              <w:top w:val="single" w:sz="8" w:space="0" w:color="000000"/>
              <w:left w:val="single" w:sz="8" w:space="0" w:color="000000"/>
              <w:bottom w:val="single" w:sz="8" w:space="0" w:color="000000"/>
              <w:right w:val="single" w:sz="8" w:space="0" w:color="000000"/>
            </w:tcBorders>
            <w:vAlign w:val="center"/>
          </w:tcPr>
          <w:p w14:paraId="088680CF" w14:textId="77777777" w:rsidR="009A7A59" w:rsidRDefault="00000000">
            <w:pPr>
              <w:pStyle w:val="biaogeleft"/>
              <w:spacing w:line="360" w:lineRule="auto"/>
              <w:rPr>
                <w:rFonts w:hAnsi="Calibri"/>
                <w:color w:val="000000"/>
                <w:sz w:val="21"/>
                <w:szCs w:val="21"/>
              </w:rPr>
            </w:pPr>
            <w:r>
              <w:rPr>
                <w:rFonts w:hAnsi="Calibri" w:hint="eastAsia"/>
                <w:color w:val="000000"/>
                <w:sz w:val="21"/>
                <w:szCs w:val="21"/>
              </w:rPr>
              <w:t>2023.1.1</w:t>
            </w:r>
            <w:r>
              <w:rPr>
                <w:color w:val="000000"/>
                <w:sz w:val="21"/>
                <w:szCs w:val="21"/>
              </w:rPr>
              <w:t>~</w:t>
            </w:r>
            <w:r>
              <w:rPr>
                <w:rFonts w:hint="eastAsia"/>
                <w:color w:val="000000"/>
                <w:sz w:val="21"/>
                <w:szCs w:val="21"/>
              </w:rPr>
              <w:t>2023.12.31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2B083767"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3.39%</w:t>
            </w:r>
          </w:p>
        </w:tc>
        <w:tc>
          <w:tcPr>
            <w:tcW w:w="876" w:type="dxa"/>
            <w:tcBorders>
              <w:top w:val="single" w:sz="8" w:space="0" w:color="000000"/>
              <w:left w:val="single" w:sz="8" w:space="0" w:color="000000"/>
              <w:bottom w:val="single" w:sz="8" w:space="0" w:color="000000"/>
              <w:right w:val="single" w:sz="8" w:space="0" w:color="000000"/>
            </w:tcBorders>
            <w:vAlign w:val="center"/>
          </w:tcPr>
          <w:p w14:paraId="754238B7"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0.03%</w:t>
            </w:r>
          </w:p>
        </w:tc>
        <w:tc>
          <w:tcPr>
            <w:tcW w:w="998" w:type="dxa"/>
            <w:tcBorders>
              <w:top w:val="single" w:sz="8" w:space="0" w:color="000000"/>
              <w:left w:val="single" w:sz="8" w:space="0" w:color="000000"/>
              <w:bottom w:val="single" w:sz="8" w:space="0" w:color="000000"/>
              <w:right w:val="single" w:sz="8" w:space="0" w:color="000000"/>
            </w:tcBorders>
            <w:vAlign w:val="center"/>
          </w:tcPr>
          <w:p w14:paraId="0886BD91"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4.45%</w:t>
            </w:r>
          </w:p>
        </w:tc>
        <w:tc>
          <w:tcPr>
            <w:tcW w:w="1282" w:type="dxa"/>
            <w:tcBorders>
              <w:top w:val="single" w:sz="8" w:space="0" w:color="000000"/>
              <w:left w:val="single" w:sz="8" w:space="0" w:color="000000"/>
              <w:bottom w:val="single" w:sz="8" w:space="0" w:color="000000"/>
              <w:right w:val="single" w:sz="8" w:space="0" w:color="000000"/>
            </w:tcBorders>
            <w:vAlign w:val="center"/>
          </w:tcPr>
          <w:p w14:paraId="34232B88"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vAlign w:val="center"/>
          </w:tcPr>
          <w:p w14:paraId="4449E1AA"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-1.06%</w:t>
            </w:r>
          </w:p>
        </w:tc>
        <w:tc>
          <w:tcPr>
            <w:tcW w:w="955" w:type="dxa"/>
            <w:tcBorders>
              <w:top w:val="single" w:sz="8" w:space="0" w:color="000000"/>
              <w:left w:val="single" w:sz="8" w:space="0" w:color="000000"/>
              <w:bottom w:val="single" w:sz="8" w:space="0" w:color="000000"/>
              <w:right w:val="single" w:sz="8" w:space="0" w:color="000000"/>
            </w:tcBorders>
            <w:vAlign w:val="center"/>
          </w:tcPr>
          <w:p w14:paraId="616307C1" w14:textId="77777777" w:rsidR="009A7A59" w:rsidRDefault="00000000">
            <w:pPr>
              <w:pStyle w:val="biaogeright"/>
              <w:spacing w:line="360" w:lineRule="auto"/>
              <w:ind w:left="420" w:hanging="420"/>
              <w:rPr>
                <w:rFonts w:hAnsi="Calibri"/>
                <w:color w:val="000000"/>
                <w:sz w:val="21"/>
                <w:szCs w:val="21"/>
              </w:rPr>
            </w:pPr>
            <w:r>
              <w:rPr>
                <w:rFonts w:hAnsi="Calibri"/>
                <w:color w:val="000000"/>
                <w:sz w:val="21"/>
                <w:szCs w:val="21"/>
              </w:rPr>
              <w:t>-0.01%</w:t>
            </w:r>
          </w:p>
        </w:tc>
      </w:tr>
      <w:tr w:rsidR="009A7A59" w14:paraId="446BC5DB" w14:textId="77777777">
        <w:trPr>
          <w:trHeight w:val="413"/>
        </w:trPr>
        <w:tc>
          <w:tcPr>
            <w:tcW w:w="2268" w:type="dxa"/>
            <w:tcBorders>
              <w:top w:val="single" w:sz="8" w:space="0" w:color="000000"/>
              <w:left w:val="single" w:sz="8" w:space="0" w:color="000000"/>
              <w:bottom w:val="single" w:sz="8" w:space="0" w:color="000000"/>
              <w:right w:val="single" w:sz="8" w:space="0" w:color="000000"/>
            </w:tcBorders>
          </w:tcPr>
          <w:p w14:paraId="07C6277B" w14:textId="77777777" w:rsidR="009A7A59" w:rsidRDefault="00000000">
            <w:pPr>
              <w:pStyle w:val="biaogeleft"/>
              <w:spacing w:line="360" w:lineRule="auto"/>
              <w:rPr>
                <w:rFonts w:hAnsi="Calibri"/>
                <w:color w:val="000000"/>
                <w:sz w:val="21"/>
                <w:szCs w:val="21"/>
              </w:rPr>
            </w:pPr>
            <w:r>
              <w:rPr>
                <w:rFonts w:hint="eastAsia"/>
                <w:sz w:val="21"/>
                <w:szCs w:val="21"/>
              </w:rPr>
              <w:t>2024.1.1~2024.12.31</w:t>
            </w:r>
          </w:p>
        </w:tc>
        <w:tc>
          <w:tcPr>
            <w:tcW w:w="1097" w:type="dxa"/>
            <w:tcBorders>
              <w:top w:val="single" w:sz="8" w:space="0" w:color="000000"/>
              <w:left w:val="single" w:sz="8" w:space="0" w:color="000000"/>
              <w:bottom w:val="single" w:sz="8" w:space="0" w:color="000000"/>
              <w:right w:val="single" w:sz="8" w:space="0" w:color="000000"/>
            </w:tcBorders>
          </w:tcPr>
          <w:p w14:paraId="57E55EEB" w14:textId="77777777" w:rsidR="009A7A59" w:rsidRDefault="00000000">
            <w:pPr>
              <w:pStyle w:val="biaogeright"/>
              <w:spacing w:line="360" w:lineRule="auto"/>
              <w:ind w:left="420" w:hanging="420"/>
              <w:rPr>
                <w:rFonts w:hAnsi="Calibri"/>
                <w:color w:val="000000"/>
                <w:sz w:val="21"/>
                <w:szCs w:val="21"/>
              </w:rPr>
            </w:pPr>
            <w:r>
              <w:rPr>
                <w:rFonts w:hint="eastAsia"/>
                <w:sz w:val="21"/>
                <w:szCs w:val="21"/>
              </w:rPr>
              <w:t>3.94%</w:t>
            </w:r>
          </w:p>
        </w:tc>
        <w:tc>
          <w:tcPr>
            <w:tcW w:w="876" w:type="dxa"/>
            <w:tcBorders>
              <w:top w:val="single" w:sz="8" w:space="0" w:color="000000"/>
              <w:left w:val="single" w:sz="8" w:space="0" w:color="000000"/>
              <w:bottom w:val="single" w:sz="8" w:space="0" w:color="000000"/>
              <w:right w:val="single" w:sz="8" w:space="0" w:color="000000"/>
            </w:tcBorders>
          </w:tcPr>
          <w:p w14:paraId="157730EB" w14:textId="77777777" w:rsidR="009A7A59" w:rsidRDefault="00000000">
            <w:pPr>
              <w:pStyle w:val="biaogeright"/>
              <w:spacing w:line="360" w:lineRule="auto"/>
              <w:ind w:left="420" w:hanging="420"/>
              <w:rPr>
                <w:rFonts w:hAnsi="Calibri"/>
                <w:color w:val="000000"/>
                <w:sz w:val="21"/>
                <w:szCs w:val="21"/>
              </w:rPr>
            </w:pPr>
            <w:r>
              <w:rPr>
                <w:rFonts w:hint="eastAsia"/>
                <w:sz w:val="21"/>
                <w:szCs w:val="21"/>
              </w:rPr>
              <w:t>0.09%</w:t>
            </w:r>
          </w:p>
        </w:tc>
        <w:tc>
          <w:tcPr>
            <w:tcW w:w="998" w:type="dxa"/>
            <w:tcBorders>
              <w:top w:val="single" w:sz="8" w:space="0" w:color="000000"/>
              <w:left w:val="single" w:sz="8" w:space="0" w:color="000000"/>
              <w:bottom w:val="single" w:sz="8" w:space="0" w:color="000000"/>
              <w:right w:val="single" w:sz="8" w:space="0" w:color="000000"/>
            </w:tcBorders>
          </w:tcPr>
          <w:p w14:paraId="189C6F28" w14:textId="77777777" w:rsidR="009A7A59" w:rsidRDefault="00000000">
            <w:pPr>
              <w:pStyle w:val="biaogeright"/>
              <w:spacing w:line="360" w:lineRule="auto"/>
              <w:ind w:left="420" w:hanging="420"/>
              <w:rPr>
                <w:rFonts w:hAnsi="Calibri"/>
                <w:color w:val="000000"/>
                <w:sz w:val="21"/>
                <w:szCs w:val="21"/>
              </w:rPr>
            </w:pPr>
            <w:r>
              <w:rPr>
                <w:rFonts w:hint="eastAsia"/>
                <w:sz w:val="21"/>
                <w:szCs w:val="21"/>
              </w:rPr>
              <w:t>6.99%</w:t>
            </w:r>
          </w:p>
        </w:tc>
        <w:tc>
          <w:tcPr>
            <w:tcW w:w="1282" w:type="dxa"/>
            <w:tcBorders>
              <w:top w:val="single" w:sz="8" w:space="0" w:color="000000"/>
              <w:left w:val="single" w:sz="8" w:space="0" w:color="000000"/>
              <w:bottom w:val="single" w:sz="8" w:space="0" w:color="000000"/>
              <w:right w:val="single" w:sz="8" w:space="0" w:color="000000"/>
            </w:tcBorders>
          </w:tcPr>
          <w:p w14:paraId="44610575" w14:textId="77777777" w:rsidR="009A7A59" w:rsidRDefault="00000000">
            <w:pPr>
              <w:pStyle w:val="biaogeright"/>
              <w:spacing w:line="360" w:lineRule="auto"/>
              <w:ind w:left="420" w:hanging="420"/>
              <w:rPr>
                <w:rFonts w:hAnsi="Calibri"/>
                <w:color w:val="000000"/>
                <w:sz w:val="21"/>
                <w:szCs w:val="21"/>
              </w:rPr>
            </w:pPr>
            <w:r>
              <w:rPr>
                <w:rFonts w:hint="eastAsia"/>
                <w:sz w:val="21"/>
                <w:szCs w:val="21"/>
              </w:rPr>
              <w:t>0.08%</w:t>
            </w:r>
          </w:p>
        </w:tc>
        <w:tc>
          <w:tcPr>
            <w:tcW w:w="888" w:type="dxa"/>
            <w:tcBorders>
              <w:top w:val="single" w:sz="8" w:space="0" w:color="000000"/>
              <w:left w:val="single" w:sz="8" w:space="0" w:color="000000"/>
              <w:bottom w:val="single" w:sz="8" w:space="0" w:color="000000"/>
              <w:right w:val="single" w:sz="8" w:space="0" w:color="000000"/>
            </w:tcBorders>
          </w:tcPr>
          <w:p w14:paraId="591B2E9F" w14:textId="77777777" w:rsidR="009A7A59" w:rsidRDefault="00000000">
            <w:pPr>
              <w:pStyle w:val="biaogeright"/>
              <w:spacing w:line="360" w:lineRule="auto"/>
              <w:ind w:left="420" w:hanging="420"/>
              <w:rPr>
                <w:rFonts w:hAnsi="Calibri"/>
                <w:color w:val="000000"/>
                <w:sz w:val="21"/>
                <w:szCs w:val="21"/>
              </w:rPr>
            </w:pPr>
            <w:r>
              <w:rPr>
                <w:rFonts w:hint="eastAsia"/>
                <w:sz w:val="21"/>
                <w:szCs w:val="21"/>
              </w:rPr>
              <w:t>-3.05%</w:t>
            </w:r>
          </w:p>
        </w:tc>
        <w:tc>
          <w:tcPr>
            <w:tcW w:w="955" w:type="dxa"/>
            <w:gridSpan w:val="2"/>
            <w:tcBorders>
              <w:top w:val="single" w:sz="8" w:space="0" w:color="000000"/>
              <w:left w:val="single" w:sz="8" w:space="0" w:color="000000"/>
              <w:bottom w:val="single" w:sz="8" w:space="0" w:color="000000"/>
              <w:right w:val="single" w:sz="8" w:space="0" w:color="000000"/>
            </w:tcBorders>
          </w:tcPr>
          <w:p w14:paraId="02D870CB" w14:textId="77777777" w:rsidR="009A7A59" w:rsidRDefault="00000000">
            <w:pPr>
              <w:pStyle w:val="biaogeright"/>
              <w:spacing w:line="360" w:lineRule="auto"/>
              <w:ind w:left="420" w:hanging="420"/>
              <w:rPr>
                <w:rFonts w:hAnsi="Calibri"/>
                <w:color w:val="000000"/>
                <w:sz w:val="21"/>
                <w:szCs w:val="21"/>
              </w:rPr>
            </w:pPr>
            <w:r>
              <w:rPr>
                <w:rFonts w:hint="eastAsia"/>
                <w:sz w:val="21"/>
                <w:szCs w:val="21"/>
              </w:rPr>
              <w:t>0.01%</w:t>
            </w:r>
          </w:p>
        </w:tc>
      </w:tr>
      <w:tr w:rsidR="009A7A59" w14:paraId="6B2B24DC" w14:textId="77777777">
        <w:trPr>
          <w:gridAfter w:val="1"/>
          <w:wAfter w:w="118" w:type="dxa"/>
          <w:trHeight w:val="413"/>
        </w:trPr>
        <w:tc>
          <w:tcPr>
            <w:tcW w:w="2262" w:type="dxa"/>
            <w:tcBorders>
              <w:top w:val="single" w:sz="8" w:space="0" w:color="000000"/>
              <w:left w:val="single" w:sz="8" w:space="0" w:color="000000"/>
              <w:bottom w:val="single" w:sz="8" w:space="0" w:color="000000"/>
              <w:right w:val="single" w:sz="8" w:space="0" w:color="000000"/>
            </w:tcBorders>
            <w:vAlign w:val="center"/>
          </w:tcPr>
          <w:p w14:paraId="4C83C344" w14:textId="77777777" w:rsidR="009A7A59" w:rsidRDefault="00000000">
            <w:pPr>
              <w:pStyle w:val="biaogeleft"/>
              <w:spacing w:line="360" w:lineRule="auto"/>
              <w:rPr>
                <w:rFonts w:hint="eastAsia"/>
                <w:color w:val="000000"/>
                <w:sz w:val="21"/>
                <w:szCs w:val="21"/>
              </w:rPr>
            </w:pPr>
            <w:r>
              <w:rPr>
                <w:rFonts w:hAnsi="Calibri" w:hint="eastAsia"/>
                <w:color w:val="000000"/>
                <w:sz w:val="21"/>
                <w:szCs w:val="21"/>
              </w:rPr>
              <w:lastRenderedPageBreak/>
              <w:t>自基金合同生效起至今</w:t>
            </w:r>
          </w:p>
        </w:tc>
        <w:tc>
          <w:tcPr>
            <w:tcW w:w="1097" w:type="dxa"/>
            <w:tcBorders>
              <w:top w:val="single" w:sz="8" w:space="0" w:color="000000"/>
              <w:left w:val="single" w:sz="8" w:space="0" w:color="000000"/>
              <w:bottom w:val="single" w:sz="8" w:space="0" w:color="000000"/>
              <w:right w:val="single" w:sz="8" w:space="0" w:color="000000"/>
            </w:tcBorders>
          </w:tcPr>
          <w:p w14:paraId="75E6E8A8" w14:textId="77777777" w:rsidR="009A7A59" w:rsidRDefault="00000000">
            <w:pPr>
              <w:pStyle w:val="biaogeright"/>
              <w:spacing w:line="360" w:lineRule="auto"/>
              <w:ind w:left="420" w:hanging="420"/>
              <w:rPr>
                <w:rFonts w:hAnsi="Calibri"/>
                <w:color w:val="000000"/>
                <w:sz w:val="21"/>
                <w:szCs w:val="21"/>
              </w:rPr>
            </w:pPr>
            <w:r>
              <w:rPr>
                <w:rFonts w:hint="eastAsia"/>
                <w:sz w:val="21"/>
                <w:szCs w:val="21"/>
              </w:rPr>
              <w:t>36.46%</w:t>
            </w:r>
          </w:p>
        </w:tc>
        <w:tc>
          <w:tcPr>
            <w:tcW w:w="876" w:type="dxa"/>
            <w:tcBorders>
              <w:top w:val="single" w:sz="8" w:space="0" w:color="000000"/>
              <w:left w:val="single" w:sz="8" w:space="0" w:color="000000"/>
              <w:bottom w:val="single" w:sz="8" w:space="0" w:color="000000"/>
              <w:right w:val="single" w:sz="8" w:space="0" w:color="000000"/>
            </w:tcBorders>
          </w:tcPr>
          <w:p w14:paraId="367876E2" w14:textId="77777777" w:rsidR="009A7A59" w:rsidRDefault="00000000">
            <w:pPr>
              <w:pStyle w:val="biaogeright"/>
              <w:spacing w:line="360" w:lineRule="auto"/>
              <w:ind w:left="420" w:hanging="420"/>
              <w:rPr>
                <w:rFonts w:hAnsi="Calibri"/>
                <w:color w:val="000000"/>
                <w:sz w:val="21"/>
                <w:szCs w:val="21"/>
              </w:rPr>
            </w:pPr>
            <w:r>
              <w:rPr>
                <w:rFonts w:hint="eastAsia"/>
                <w:sz w:val="21"/>
                <w:szCs w:val="21"/>
              </w:rPr>
              <w:t>0.08%</w:t>
            </w:r>
          </w:p>
        </w:tc>
        <w:tc>
          <w:tcPr>
            <w:tcW w:w="998" w:type="dxa"/>
            <w:tcBorders>
              <w:top w:val="single" w:sz="8" w:space="0" w:color="000000"/>
              <w:left w:val="single" w:sz="8" w:space="0" w:color="000000"/>
              <w:bottom w:val="single" w:sz="8" w:space="0" w:color="000000"/>
              <w:right w:val="single" w:sz="8" w:space="0" w:color="000000"/>
            </w:tcBorders>
          </w:tcPr>
          <w:p w14:paraId="46758DB3" w14:textId="77777777" w:rsidR="009A7A59" w:rsidRDefault="00000000">
            <w:pPr>
              <w:pStyle w:val="biaogeright"/>
              <w:spacing w:line="360" w:lineRule="auto"/>
              <w:ind w:left="420" w:hanging="420"/>
              <w:rPr>
                <w:rFonts w:hAnsi="Calibri"/>
                <w:color w:val="000000"/>
                <w:sz w:val="21"/>
                <w:szCs w:val="21"/>
              </w:rPr>
            </w:pPr>
            <w:r>
              <w:rPr>
                <w:rFonts w:hint="eastAsia"/>
                <w:sz w:val="21"/>
                <w:szCs w:val="21"/>
              </w:rPr>
              <w:t>40.36%</w:t>
            </w:r>
          </w:p>
        </w:tc>
        <w:tc>
          <w:tcPr>
            <w:tcW w:w="1282" w:type="dxa"/>
            <w:tcBorders>
              <w:top w:val="single" w:sz="8" w:space="0" w:color="000000"/>
              <w:left w:val="single" w:sz="8" w:space="0" w:color="000000"/>
              <w:bottom w:val="single" w:sz="8" w:space="0" w:color="000000"/>
              <w:right w:val="single" w:sz="8" w:space="0" w:color="000000"/>
            </w:tcBorders>
          </w:tcPr>
          <w:p w14:paraId="26C9DE73" w14:textId="77777777" w:rsidR="009A7A59" w:rsidRDefault="00000000">
            <w:pPr>
              <w:pStyle w:val="biaogeright"/>
              <w:spacing w:line="360" w:lineRule="auto"/>
              <w:ind w:left="420" w:hanging="420"/>
              <w:rPr>
                <w:rFonts w:hAnsi="Calibri"/>
                <w:color w:val="000000"/>
                <w:sz w:val="21"/>
                <w:szCs w:val="21"/>
              </w:rPr>
            </w:pPr>
            <w:r>
              <w:rPr>
                <w:rFonts w:hint="eastAsia"/>
                <w:sz w:val="21"/>
                <w:szCs w:val="21"/>
              </w:rPr>
              <w:t>0.06%</w:t>
            </w:r>
          </w:p>
        </w:tc>
        <w:tc>
          <w:tcPr>
            <w:tcW w:w="888" w:type="dxa"/>
            <w:tcBorders>
              <w:top w:val="single" w:sz="8" w:space="0" w:color="000000"/>
              <w:left w:val="single" w:sz="8" w:space="0" w:color="000000"/>
              <w:bottom w:val="single" w:sz="8" w:space="0" w:color="000000"/>
              <w:right w:val="single" w:sz="8" w:space="0" w:color="000000"/>
            </w:tcBorders>
          </w:tcPr>
          <w:p w14:paraId="2967B420" w14:textId="77777777" w:rsidR="009A7A59" w:rsidRDefault="00000000">
            <w:pPr>
              <w:pStyle w:val="biaogeright"/>
              <w:spacing w:line="360" w:lineRule="auto"/>
              <w:ind w:left="420" w:hanging="420"/>
              <w:rPr>
                <w:rFonts w:hAnsi="Calibri"/>
                <w:color w:val="000000"/>
                <w:sz w:val="21"/>
                <w:szCs w:val="21"/>
              </w:rPr>
            </w:pPr>
            <w:r>
              <w:rPr>
                <w:rFonts w:hint="eastAsia"/>
                <w:sz w:val="21"/>
                <w:szCs w:val="21"/>
              </w:rPr>
              <w:t>-3.90%</w:t>
            </w:r>
          </w:p>
        </w:tc>
        <w:tc>
          <w:tcPr>
            <w:tcW w:w="955" w:type="dxa"/>
            <w:tcBorders>
              <w:top w:val="single" w:sz="8" w:space="0" w:color="000000"/>
              <w:left w:val="single" w:sz="8" w:space="0" w:color="000000"/>
              <w:bottom w:val="single" w:sz="8" w:space="0" w:color="000000"/>
              <w:right w:val="single" w:sz="8" w:space="0" w:color="000000"/>
            </w:tcBorders>
          </w:tcPr>
          <w:p w14:paraId="0A75FB02" w14:textId="77777777" w:rsidR="009A7A59" w:rsidRDefault="00000000">
            <w:pPr>
              <w:pStyle w:val="biaogeright"/>
              <w:spacing w:line="360" w:lineRule="auto"/>
              <w:ind w:left="420" w:hanging="420"/>
              <w:rPr>
                <w:rFonts w:hAnsi="Calibri"/>
                <w:color w:val="000000"/>
                <w:sz w:val="21"/>
                <w:szCs w:val="21"/>
              </w:rPr>
            </w:pPr>
            <w:r>
              <w:rPr>
                <w:rFonts w:hint="eastAsia"/>
                <w:sz w:val="21"/>
                <w:szCs w:val="21"/>
              </w:rPr>
              <w:t>0.02%</w:t>
            </w:r>
          </w:p>
        </w:tc>
      </w:tr>
    </w:tbl>
    <w:p w14:paraId="5E23DA7D" w14:textId="77777777" w:rsidR="009A7A59" w:rsidRDefault="00000000">
      <w:pPr>
        <w:pStyle w:val="biaogeleft"/>
        <w:ind w:firstLine="400"/>
        <w:rPr>
          <w:rFonts w:hint="eastAsia"/>
          <w:bCs/>
          <w:sz w:val="21"/>
          <w:szCs w:val="21"/>
        </w:rPr>
      </w:pPr>
      <w:r>
        <w:rPr>
          <w:rFonts w:hint="eastAsia"/>
          <w:bCs/>
          <w:sz w:val="21"/>
          <w:szCs w:val="21"/>
        </w:rPr>
        <w:t>富荣富</w:t>
      </w:r>
      <w:proofErr w:type="gramStart"/>
      <w:r>
        <w:rPr>
          <w:rFonts w:hint="eastAsia"/>
          <w:bCs/>
          <w:sz w:val="21"/>
          <w:szCs w:val="21"/>
        </w:rPr>
        <w:t>兴纯债</w:t>
      </w:r>
      <w:proofErr w:type="gramEnd"/>
      <w:r>
        <w:rPr>
          <w:rFonts w:hint="eastAsia"/>
          <w:bCs/>
          <w:sz w:val="21"/>
          <w:szCs w:val="21"/>
        </w:rPr>
        <w:t>C净值表现</w:t>
      </w:r>
    </w:p>
    <w:tbl>
      <w:tblPr>
        <w:tblW w:w="8364" w:type="dxa"/>
        <w:tblInd w:w="108" w:type="dxa"/>
        <w:tblLayout w:type="fixed"/>
        <w:tblLook w:val="04A0" w:firstRow="1" w:lastRow="0" w:firstColumn="1" w:lastColumn="0" w:noHBand="0" w:noVBand="1"/>
      </w:tblPr>
      <w:tblGrid>
        <w:gridCol w:w="2434"/>
        <w:gridCol w:w="931"/>
        <w:gridCol w:w="1053"/>
        <w:gridCol w:w="993"/>
        <w:gridCol w:w="1134"/>
        <w:gridCol w:w="864"/>
        <w:gridCol w:w="955"/>
      </w:tblGrid>
      <w:tr w:rsidR="009A7A59" w14:paraId="02CA236F" w14:textId="77777777">
        <w:trPr>
          <w:trHeight w:val="1995"/>
        </w:trPr>
        <w:tc>
          <w:tcPr>
            <w:tcW w:w="2434" w:type="dxa"/>
            <w:tcBorders>
              <w:top w:val="single" w:sz="8" w:space="0" w:color="000000"/>
              <w:left w:val="single" w:sz="8" w:space="0" w:color="000000"/>
              <w:bottom w:val="single" w:sz="8" w:space="0" w:color="000000"/>
              <w:right w:val="single" w:sz="8" w:space="0" w:color="000000"/>
            </w:tcBorders>
            <w:vAlign w:val="center"/>
          </w:tcPr>
          <w:p w14:paraId="2DB149A0" w14:textId="77777777" w:rsidR="009A7A59" w:rsidRDefault="00000000">
            <w:pPr>
              <w:pStyle w:val="biaogecenter"/>
              <w:spacing w:line="360" w:lineRule="auto"/>
              <w:ind w:firstLine="420"/>
              <w:rPr>
                <w:rFonts w:hint="eastAsia"/>
                <w:sz w:val="21"/>
                <w:szCs w:val="21"/>
              </w:rPr>
            </w:pPr>
            <w:r>
              <w:rPr>
                <w:rFonts w:hAnsi="Calibri" w:hint="eastAsia"/>
                <w:color w:val="000000"/>
                <w:sz w:val="21"/>
                <w:szCs w:val="21"/>
              </w:rPr>
              <w:t>阶段</w:t>
            </w:r>
          </w:p>
        </w:tc>
        <w:tc>
          <w:tcPr>
            <w:tcW w:w="931" w:type="dxa"/>
            <w:tcBorders>
              <w:top w:val="single" w:sz="8" w:space="0" w:color="000000"/>
              <w:left w:val="single" w:sz="8" w:space="0" w:color="000000"/>
              <w:bottom w:val="single" w:sz="8" w:space="0" w:color="000000"/>
              <w:right w:val="single" w:sz="8" w:space="0" w:color="000000"/>
            </w:tcBorders>
            <w:vAlign w:val="center"/>
          </w:tcPr>
          <w:p w14:paraId="05624676" w14:textId="77777777" w:rsidR="009A7A59" w:rsidRDefault="00000000">
            <w:pPr>
              <w:pStyle w:val="biaogecenter"/>
              <w:spacing w:line="360" w:lineRule="auto"/>
              <w:jc w:val="both"/>
              <w:rPr>
                <w:rFonts w:hint="eastAsia"/>
                <w:sz w:val="21"/>
                <w:szCs w:val="21"/>
              </w:rPr>
            </w:pPr>
            <w:r>
              <w:rPr>
                <w:rFonts w:hAnsi="Calibri" w:hint="eastAsia"/>
                <w:color w:val="000000"/>
                <w:sz w:val="21"/>
                <w:szCs w:val="21"/>
              </w:rPr>
              <w:t>份额净值增长率①</w:t>
            </w:r>
          </w:p>
        </w:tc>
        <w:tc>
          <w:tcPr>
            <w:tcW w:w="1053" w:type="dxa"/>
            <w:tcBorders>
              <w:top w:val="single" w:sz="8" w:space="0" w:color="000000"/>
              <w:left w:val="single" w:sz="8" w:space="0" w:color="000000"/>
              <w:bottom w:val="single" w:sz="8" w:space="0" w:color="000000"/>
              <w:right w:val="single" w:sz="8" w:space="0" w:color="000000"/>
            </w:tcBorders>
            <w:vAlign w:val="center"/>
          </w:tcPr>
          <w:p w14:paraId="2635CD59" w14:textId="77777777" w:rsidR="009A7A59" w:rsidRDefault="00000000">
            <w:pPr>
              <w:pStyle w:val="biaogecenter"/>
              <w:spacing w:line="360" w:lineRule="auto"/>
              <w:jc w:val="both"/>
              <w:rPr>
                <w:rFonts w:hint="eastAsia"/>
                <w:sz w:val="21"/>
                <w:szCs w:val="21"/>
              </w:rPr>
            </w:pPr>
            <w:r>
              <w:rPr>
                <w:rFonts w:hAnsi="Calibri" w:hint="eastAsia"/>
                <w:color w:val="000000"/>
                <w:sz w:val="21"/>
                <w:szCs w:val="21"/>
              </w:rPr>
              <w:t>份额净值增长率标准差②</w:t>
            </w:r>
          </w:p>
        </w:tc>
        <w:tc>
          <w:tcPr>
            <w:tcW w:w="993" w:type="dxa"/>
            <w:tcBorders>
              <w:top w:val="single" w:sz="8" w:space="0" w:color="000000"/>
              <w:left w:val="single" w:sz="8" w:space="0" w:color="000000"/>
              <w:bottom w:val="single" w:sz="8" w:space="0" w:color="000000"/>
              <w:right w:val="single" w:sz="8" w:space="0" w:color="000000"/>
            </w:tcBorders>
            <w:vAlign w:val="center"/>
          </w:tcPr>
          <w:p w14:paraId="791396CF" w14:textId="77777777" w:rsidR="009A7A59" w:rsidRDefault="00000000">
            <w:pPr>
              <w:pStyle w:val="biaogecenter"/>
              <w:spacing w:line="360" w:lineRule="auto"/>
              <w:jc w:val="both"/>
              <w:rPr>
                <w:rFonts w:hint="eastAsia"/>
                <w:sz w:val="21"/>
                <w:szCs w:val="21"/>
              </w:rPr>
            </w:pPr>
            <w:r>
              <w:rPr>
                <w:rFonts w:hAnsi="Calibri" w:hint="eastAsia"/>
                <w:color w:val="000000"/>
                <w:sz w:val="21"/>
                <w:szCs w:val="21"/>
              </w:rPr>
              <w:t>业绩比较基准收益率③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7F8D8E56" w14:textId="77777777" w:rsidR="009A7A59" w:rsidRDefault="00000000">
            <w:pPr>
              <w:pStyle w:val="biaogecenter"/>
              <w:spacing w:line="360" w:lineRule="auto"/>
              <w:jc w:val="both"/>
              <w:rPr>
                <w:rFonts w:hint="eastAsia"/>
                <w:sz w:val="21"/>
                <w:szCs w:val="21"/>
              </w:rPr>
            </w:pPr>
            <w:r>
              <w:rPr>
                <w:rFonts w:hAnsi="Calibri" w:hint="eastAsia"/>
                <w:color w:val="000000"/>
                <w:sz w:val="21"/>
                <w:szCs w:val="21"/>
              </w:rPr>
              <w:t>业绩比较基准收益率标准差④</w:t>
            </w:r>
          </w:p>
        </w:tc>
        <w:tc>
          <w:tcPr>
            <w:tcW w:w="864" w:type="dxa"/>
            <w:tcBorders>
              <w:top w:val="single" w:sz="8" w:space="0" w:color="000000"/>
              <w:left w:val="single" w:sz="8" w:space="0" w:color="000000"/>
              <w:bottom w:val="single" w:sz="8" w:space="0" w:color="000000"/>
              <w:right w:val="single" w:sz="8" w:space="0" w:color="000000"/>
            </w:tcBorders>
            <w:vAlign w:val="center"/>
          </w:tcPr>
          <w:p w14:paraId="749A8548" w14:textId="77777777" w:rsidR="009A7A59" w:rsidRDefault="00000000">
            <w:pPr>
              <w:pStyle w:val="biaogecenter"/>
              <w:spacing w:line="360" w:lineRule="auto"/>
              <w:jc w:val="both"/>
              <w:rPr>
                <w:rFonts w:hint="eastAsia"/>
                <w:sz w:val="21"/>
                <w:szCs w:val="21"/>
              </w:rPr>
            </w:pPr>
            <w:r>
              <w:rPr>
                <w:rFonts w:hAnsi="Calibri" w:hint="eastAsia"/>
                <w:color w:val="000000"/>
                <w:sz w:val="21"/>
                <w:szCs w:val="21"/>
              </w:rPr>
              <w:t>①-③</w:t>
            </w:r>
          </w:p>
        </w:tc>
        <w:tc>
          <w:tcPr>
            <w:tcW w:w="955" w:type="dxa"/>
            <w:tcBorders>
              <w:top w:val="single" w:sz="8" w:space="0" w:color="000000"/>
              <w:left w:val="single" w:sz="8" w:space="0" w:color="000000"/>
              <w:bottom w:val="single" w:sz="8" w:space="0" w:color="000000"/>
              <w:right w:val="single" w:sz="8" w:space="0" w:color="000000"/>
            </w:tcBorders>
            <w:vAlign w:val="center"/>
          </w:tcPr>
          <w:p w14:paraId="66F807BA" w14:textId="77777777" w:rsidR="009A7A59" w:rsidRDefault="00000000">
            <w:pPr>
              <w:pStyle w:val="biaogecenter"/>
              <w:spacing w:line="360" w:lineRule="auto"/>
              <w:jc w:val="both"/>
              <w:rPr>
                <w:rFonts w:hint="eastAsia"/>
                <w:sz w:val="21"/>
                <w:szCs w:val="21"/>
              </w:rPr>
            </w:pPr>
            <w:r>
              <w:rPr>
                <w:rFonts w:hAnsi="Calibri" w:hint="eastAsia"/>
                <w:color w:val="000000"/>
                <w:sz w:val="21"/>
                <w:szCs w:val="21"/>
              </w:rPr>
              <w:t>②-④</w:t>
            </w:r>
          </w:p>
        </w:tc>
      </w:tr>
      <w:tr w:rsidR="009A7A59" w14:paraId="0500D27B" w14:textId="77777777">
        <w:trPr>
          <w:trHeight w:val="402"/>
        </w:trPr>
        <w:tc>
          <w:tcPr>
            <w:tcW w:w="2434" w:type="dxa"/>
            <w:tcBorders>
              <w:top w:val="single" w:sz="8" w:space="0" w:color="000000"/>
              <w:left w:val="single" w:sz="8" w:space="0" w:color="000000"/>
              <w:bottom w:val="single" w:sz="8" w:space="0" w:color="000000"/>
              <w:right w:val="single" w:sz="8" w:space="0" w:color="000000"/>
            </w:tcBorders>
            <w:vAlign w:val="center"/>
          </w:tcPr>
          <w:p w14:paraId="346B74A0" w14:textId="77777777" w:rsidR="009A7A59" w:rsidRDefault="00000000">
            <w:pPr>
              <w:pStyle w:val="biaogeleft"/>
              <w:spacing w:line="360" w:lineRule="auto"/>
              <w:rPr>
                <w:rFonts w:hint="eastAsia"/>
                <w:color w:val="000000"/>
                <w:sz w:val="21"/>
                <w:szCs w:val="21"/>
              </w:rPr>
            </w:pPr>
            <w:r>
              <w:rPr>
                <w:rFonts w:hAnsi="Calibri" w:hint="eastAsia"/>
                <w:color w:val="000000"/>
                <w:sz w:val="21"/>
                <w:szCs w:val="21"/>
              </w:rPr>
              <w:t>2024.7.25</w:t>
            </w:r>
            <w:r>
              <w:rPr>
                <w:color w:val="000000"/>
                <w:sz w:val="21"/>
                <w:szCs w:val="21"/>
              </w:rPr>
              <w:t>~</w:t>
            </w:r>
            <w:r>
              <w:rPr>
                <w:rFonts w:hint="eastAsia"/>
                <w:color w:val="000000"/>
                <w:sz w:val="21"/>
                <w:szCs w:val="21"/>
              </w:rPr>
              <w:t>2024.12.31</w:t>
            </w:r>
          </w:p>
        </w:tc>
        <w:tc>
          <w:tcPr>
            <w:tcW w:w="931" w:type="dxa"/>
            <w:tcBorders>
              <w:top w:val="single" w:sz="8" w:space="0" w:color="000000"/>
              <w:left w:val="single" w:sz="8" w:space="0" w:color="000000"/>
              <w:bottom w:val="single" w:sz="8" w:space="0" w:color="000000"/>
              <w:right w:val="single" w:sz="8" w:space="0" w:color="000000"/>
            </w:tcBorders>
          </w:tcPr>
          <w:p w14:paraId="1965F92A" w14:textId="77777777" w:rsidR="009A7A59" w:rsidRDefault="00000000">
            <w:pPr>
              <w:pStyle w:val="biaogeright"/>
              <w:spacing w:line="360" w:lineRule="auto"/>
              <w:ind w:left="420" w:hanging="420"/>
              <w:rPr>
                <w:rFonts w:hAnsi="Calibri"/>
                <w:color w:val="000000"/>
                <w:sz w:val="21"/>
                <w:szCs w:val="21"/>
              </w:rPr>
            </w:pPr>
            <w:r>
              <w:rPr>
                <w:rFonts w:hAnsi="Calibri" w:hint="eastAsia"/>
                <w:color w:val="000000"/>
                <w:sz w:val="21"/>
                <w:szCs w:val="21"/>
              </w:rPr>
              <w:t>0.79%</w:t>
            </w:r>
          </w:p>
        </w:tc>
        <w:tc>
          <w:tcPr>
            <w:tcW w:w="1053" w:type="dxa"/>
            <w:tcBorders>
              <w:top w:val="single" w:sz="8" w:space="0" w:color="000000"/>
              <w:left w:val="single" w:sz="8" w:space="0" w:color="000000"/>
              <w:bottom w:val="single" w:sz="8" w:space="0" w:color="000000"/>
              <w:right w:val="single" w:sz="8" w:space="0" w:color="000000"/>
            </w:tcBorders>
          </w:tcPr>
          <w:p w14:paraId="78148E54" w14:textId="77777777" w:rsidR="009A7A59" w:rsidRDefault="00000000">
            <w:pPr>
              <w:pStyle w:val="biaogeright"/>
              <w:spacing w:line="360" w:lineRule="auto"/>
              <w:ind w:left="420" w:hanging="420"/>
              <w:rPr>
                <w:rFonts w:hAnsi="Calibri"/>
                <w:color w:val="000000"/>
                <w:sz w:val="21"/>
                <w:szCs w:val="21"/>
              </w:rPr>
            </w:pPr>
            <w:r>
              <w:rPr>
                <w:rFonts w:hAnsi="Calibri" w:hint="eastAsia"/>
                <w:color w:val="000000"/>
                <w:sz w:val="21"/>
                <w:szCs w:val="21"/>
              </w:rPr>
              <w:t>0.13%</w:t>
            </w:r>
          </w:p>
        </w:tc>
        <w:tc>
          <w:tcPr>
            <w:tcW w:w="993" w:type="dxa"/>
            <w:tcBorders>
              <w:top w:val="single" w:sz="8" w:space="0" w:color="000000"/>
              <w:left w:val="single" w:sz="8" w:space="0" w:color="000000"/>
              <w:bottom w:val="single" w:sz="8" w:space="0" w:color="000000"/>
              <w:right w:val="single" w:sz="8" w:space="0" w:color="000000"/>
            </w:tcBorders>
          </w:tcPr>
          <w:p w14:paraId="47A5370F" w14:textId="77777777" w:rsidR="009A7A59" w:rsidRDefault="00000000">
            <w:pPr>
              <w:pStyle w:val="biaogeright"/>
              <w:spacing w:line="360" w:lineRule="auto"/>
              <w:ind w:left="420" w:hanging="420"/>
              <w:rPr>
                <w:rFonts w:hAnsi="Calibri"/>
                <w:color w:val="000000"/>
                <w:sz w:val="21"/>
                <w:szCs w:val="21"/>
              </w:rPr>
            </w:pPr>
            <w:r>
              <w:rPr>
                <w:rFonts w:hAnsi="Calibri" w:hint="eastAsia"/>
                <w:color w:val="000000"/>
                <w:sz w:val="21"/>
                <w:szCs w:val="21"/>
              </w:rPr>
              <w:t>3.07%</w:t>
            </w:r>
          </w:p>
        </w:tc>
        <w:tc>
          <w:tcPr>
            <w:tcW w:w="1134" w:type="dxa"/>
            <w:tcBorders>
              <w:top w:val="single" w:sz="8" w:space="0" w:color="000000"/>
              <w:left w:val="single" w:sz="8" w:space="0" w:color="000000"/>
              <w:bottom w:val="single" w:sz="8" w:space="0" w:color="000000"/>
              <w:right w:val="single" w:sz="8" w:space="0" w:color="000000"/>
            </w:tcBorders>
          </w:tcPr>
          <w:p w14:paraId="283E0EBF" w14:textId="77777777" w:rsidR="009A7A59" w:rsidRDefault="00000000">
            <w:pPr>
              <w:pStyle w:val="biaogeright"/>
              <w:spacing w:line="360" w:lineRule="auto"/>
              <w:ind w:left="420" w:hanging="420"/>
              <w:rPr>
                <w:rFonts w:hAnsi="Calibri"/>
                <w:color w:val="000000"/>
                <w:sz w:val="21"/>
                <w:szCs w:val="21"/>
              </w:rPr>
            </w:pPr>
            <w:r>
              <w:rPr>
                <w:rFonts w:hAnsi="Calibri" w:hint="eastAsia"/>
                <w:color w:val="000000"/>
                <w:sz w:val="21"/>
                <w:szCs w:val="21"/>
              </w:rPr>
              <w:t>0.09%</w:t>
            </w:r>
          </w:p>
        </w:tc>
        <w:tc>
          <w:tcPr>
            <w:tcW w:w="864" w:type="dxa"/>
            <w:tcBorders>
              <w:top w:val="single" w:sz="8" w:space="0" w:color="000000"/>
              <w:left w:val="single" w:sz="8" w:space="0" w:color="000000"/>
              <w:bottom w:val="single" w:sz="8" w:space="0" w:color="000000"/>
              <w:right w:val="single" w:sz="8" w:space="0" w:color="000000"/>
            </w:tcBorders>
          </w:tcPr>
          <w:p w14:paraId="6FC8761F" w14:textId="77777777" w:rsidR="009A7A59" w:rsidRDefault="00000000">
            <w:pPr>
              <w:pStyle w:val="biaogeright"/>
              <w:spacing w:line="360" w:lineRule="auto"/>
              <w:ind w:left="420" w:hanging="420"/>
              <w:rPr>
                <w:rFonts w:hAnsi="Calibri"/>
                <w:color w:val="000000"/>
                <w:sz w:val="21"/>
                <w:szCs w:val="21"/>
              </w:rPr>
            </w:pPr>
            <w:r>
              <w:rPr>
                <w:rFonts w:hAnsi="Calibri" w:hint="eastAsia"/>
                <w:color w:val="000000"/>
                <w:sz w:val="21"/>
                <w:szCs w:val="21"/>
              </w:rPr>
              <w:t>-2.28%</w:t>
            </w:r>
          </w:p>
        </w:tc>
        <w:tc>
          <w:tcPr>
            <w:tcW w:w="955" w:type="dxa"/>
            <w:tcBorders>
              <w:top w:val="single" w:sz="8" w:space="0" w:color="000000"/>
              <w:left w:val="single" w:sz="8" w:space="0" w:color="000000"/>
              <w:bottom w:val="single" w:sz="8" w:space="0" w:color="000000"/>
              <w:right w:val="single" w:sz="8" w:space="0" w:color="000000"/>
            </w:tcBorders>
          </w:tcPr>
          <w:p w14:paraId="78688110" w14:textId="77777777" w:rsidR="009A7A59" w:rsidRDefault="00000000">
            <w:pPr>
              <w:pStyle w:val="biaogeright"/>
              <w:spacing w:line="360" w:lineRule="auto"/>
              <w:ind w:left="420" w:hanging="420"/>
              <w:rPr>
                <w:rFonts w:hAnsi="Calibri"/>
                <w:color w:val="000000"/>
                <w:sz w:val="21"/>
                <w:szCs w:val="21"/>
              </w:rPr>
            </w:pPr>
            <w:r>
              <w:rPr>
                <w:rFonts w:hAnsi="Calibri" w:hint="eastAsia"/>
                <w:color w:val="000000"/>
                <w:sz w:val="21"/>
                <w:szCs w:val="21"/>
              </w:rPr>
              <w:t>0.04%</w:t>
            </w:r>
          </w:p>
        </w:tc>
      </w:tr>
    </w:tbl>
    <w:p w14:paraId="0F712ED8" w14:textId="77777777" w:rsidR="009A7A59" w:rsidRDefault="00000000">
      <w:pPr>
        <w:pStyle w:val="biaogeleft"/>
        <w:ind w:firstLine="400"/>
        <w:rPr>
          <w:rFonts w:hint="eastAsia"/>
          <w:bCs/>
          <w:sz w:val="21"/>
          <w:szCs w:val="21"/>
        </w:rPr>
      </w:pPr>
      <w:r>
        <w:rPr>
          <w:rFonts w:hint="eastAsia"/>
          <w:bCs/>
          <w:sz w:val="21"/>
          <w:szCs w:val="21"/>
        </w:rPr>
        <w:t>注：①本基金的业绩比较基准为：中</w:t>
      </w:r>
      <w:proofErr w:type="gramStart"/>
      <w:r>
        <w:rPr>
          <w:rFonts w:hint="eastAsia"/>
          <w:bCs/>
          <w:sz w:val="21"/>
          <w:szCs w:val="21"/>
        </w:rPr>
        <w:t>债综合</w:t>
      </w:r>
      <w:proofErr w:type="gramEnd"/>
      <w:r>
        <w:rPr>
          <w:rFonts w:hint="eastAsia"/>
          <w:bCs/>
          <w:sz w:val="21"/>
          <w:szCs w:val="21"/>
        </w:rPr>
        <w:t>指数（总财富）收益率×90%+1年期定期存款利率（税后）×10%。（自2025年4月18日起，本基金的业绩比较基准变更为：中</w:t>
      </w:r>
      <w:proofErr w:type="gramStart"/>
      <w:r>
        <w:rPr>
          <w:rFonts w:hint="eastAsia"/>
          <w:bCs/>
          <w:sz w:val="21"/>
          <w:szCs w:val="21"/>
        </w:rPr>
        <w:t>债综合</w:t>
      </w:r>
      <w:proofErr w:type="gramEnd"/>
      <w:r>
        <w:rPr>
          <w:rFonts w:hint="eastAsia"/>
          <w:bCs/>
          <w:sz w:val="21"/>
          <w:szCs w:val="21"/>
        </w:rPr>
        <w:t>全价(总值)指数收益率*90%+1年期定期存款利率（税后）*10%）</w:t>
      </w:r>
    </w:p>
    <w:p w14:paraId="643BA91F" w14:textId="77777777" w:rsidR="009A7A59" w:rsidRDefault="00000000">
      <w:pPr>
        <w:pStyle w:val="biaogeleft"/>
        <w:ind w:firstLine="400"/>
        <w:rPr>
          <w:rFonts w:hint="eastAsia"/>
          <w:bCs/>
          <w:sz w:val="21"/>
          <w:szCs w:val="21"/>
        </w:rPr>
      </w:pPr>
      <w:r>
        <w:rPr>
          <w:rFonts w:hint="eastAsia"/>
          <w:bCs/>
          <w:sz w:val="21"/>
          <w:szCs w:val="21"/>
        </w:rPr>
        <w:t>②富荣富</w:t>
      </w:r>
      <w:proofErr w:type="gramStart"/>
      <w:r>
        <w:rPr>
          <w:rFonts w:hint="eastAsia"/>
          <w:bCs/>
          <w:sz w:val="21"/>
          <w:szCs w:val="21"/>
        </w:rPr>
        <w:t>兴纯债</w:t>
      </w:r>
      <w:proofErr w:type="gramEnd"/>
      <w:r>
        <w:rPr>
          <w:rFonts w:hint="eastAsia"/>
          <w:bCs/>
          <w:sz w:val="21"/>
          <w:szCs w:val="21"/>
        </w:rPr>
        <w:t>债券型证券投资基金自2024年7月25日起增加C类基金份额。</w:t>
      </w:r>
    </w:p>
    <w:p w14:paraId="266CEBCB" w14:textId="77777777" w:rsidR="009A7A59" w:rsidRDefault="00000000">
      <w:pPr>
        <w:pStyle w:val="zhangjiep2"/>
        <w:ind w:left="0"/>
        <w:rPr>
          <w:rFonts w:hint="eastAsia"/>
          <w:sz w:val="21"/>
          <w:szCs w:val="21"/>
        </w:rPr>
      </w:pPr>
      <w:r>
        <w:rPr>
          <w:rFonts w:hint="eastAsia"/>
          <w:bCs/>
          <w:sz w:val="21"/>
          <w:szCs w:val="21"/>
        </w:rPr>
        <w:t xml:space="preserve">    2、自基金合同生效以来基金份额累计净值增长率变动及其与同期业绩比较基准收益率变动的比较</w:t>
      </w:r>
    </w:p>
    <w:p w14:paraId="636B5165" w14:textId="77777777" w:rsidR="009A7A59" w:rsidRDefault="00000000">
      <w:pPr>
        <w:pStyle w:val="biaogeleft"/>
        <w:rPr>
          <w:rFonts w:hint="eastAsia"/>
        </w:rPr>
      </w:pPr>
      <w:r>
        <w:rPr>
          <w:rFonts w:hAnsi="等线"/>
          <w:noProof/>
          <w:color w:val="000000"/>
        </w:rPr>
        <w:drawing>
          <wp:inline distT="0" distB="0" distL="0" distR="0" wp14:anchorId="6ACAD553" wp14:editId="0266B170">
            <wp:extent cx="5274310" cy="34264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p>
    <w:p w14:paraId="50E3F268" w14:textId="77777777" w:rsidR="009A7A59" w:rsidRDefault="00000000">
      <w:pPr>
        <w:pStyle w:val="biaogeleft"/>
        <w:ind w:left="420" w:hangingChars="200" w:hanging="420"/>
        <w:rPr>
          <w:rFonts w:hint="eastAsia"/>
        </w:rPr>
      </w:pPr>
      <w:r>
        <w:rPr>
          <w:rFonts w:hAnsi="等线" w:hint="eastAsia"/>
          <w:noProof/>
          <w:color w:val="000000"/>
          <w:sz w:val="21"/>
          <w:szCs w:val="21"/>
        </w:rPr>
        <w:lastRenderedPageBreak/>
        <w:drawing>
          <wp:inline distT="0" distB="0" distL="0" distR="0" wp14:anchorId="38B1D8E6" wp14:editId="19DAC6C7">
            <wp:extent cx="5274310" cy="342646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r>
        <w:rPr>
          <w:rFonts w:hint="eastAsia"/>
          <w:sz w:val="21"/>
          <w:szCs w:val="18"/>
        </w:rPr>
        <w:t>注：本基金建仓期为6个月，建仓期结束时各项资产配置比例符合合同约定。</w:t>
      </w:r>
    </w:p>
    <w:p w14:paraId="6ACB347C" w14:textId="77777777" w:rsidR="009A7A59" w:rsidRDefault="00000000">
      <w:pPr>
        <w:pStyle w:val="biaogeleft"/>
        <w:rPr>
          <w:rFonts w:ascii="Arial Unicode MS" w:hAnsi="Arial Unicode MS" w:cs="Arial" w:hint="eastAsia"/>
          <w:b/>
          <w:bCs/>
        </w:rPr>
      </w:pPr>
      <w:r>
        <w:rPr>
          <w:rFonts w:ascii="Arial Unicode MS" w:hAnsi="Arial Unicode MS" w:cs="Arial"/>
          <w:b/>
          <w:bCs/>
        </w:rPr>
        <w:br w:type="page"/>
      </w:r>
    </w:p>
    <w:p w14:paraId="10A96F10" w14:textId="77777777" w:rsidR="009A7A59" w:rsidRDefault="00000000">
      <w:pPr>
        <w:pStyle w:val="11"/>
        <w:snapToGrid w:val="0"/>
        <w:spacing w:before="0" w:after="0" w:line="360" w:lineRule="auto"/>
        <w:ind w:firstLineChars="950" w:firstLine="2670"/>
        <w:jc w:val="left"/>
        <w:rPr>
          <w:rFonts w:ascii="Arial Unicode MS" w:eastAsia="宋体" w:hAnsi="Arial Unicode MS" w:cs="Arial" w:hint="eastAsia"/>
          <w:b/>
          <w:bCs/>
          <w:sz w:val="28"/>
          <w:szCs w:val="28"/>
        </w:rPr>
      </w:pPr>
      <w:bookmarkStart w:id="60" w:name="_Toc63676445"/>
      <w:bookmarkStart w:id="61" w:name="_Toc317088147"/>
      <w:bookmarkStart w:id="62" w:name="_Toc320887649"/>
      <w:bookmarkStart w:id="63" w:name="_Toc317088544"/>
      <w:bookmarkStart w:id="64" w:name="_Toc335232698"/>
      <w:bookmarkStart w:id="65" w:name="_Toc214873599"/>
      <w:bookmarkEnd w:id="59"/>
      <w:r>
        <w:rPr>
          <w:rFonts w:ascii="Arial Unicode MS" w:eastAsia="宋体" w:hAnsi="Arial Unicode MS" w:cs="Arial"/>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基金的财产</w:t>
      </w:r>
      <w:bookmarkEnd w:id="60"/>
      <w:bookmarkEnd w:id="61"/>
      <w:bookmarkEnd w:id="62"/>
      <w:bookmarkEnd w:id="63"/>
      <w:bookmarkEnd w:id="64"/>
      <w:bookmarkEnd w:id="65"/>
    </w:p>
    <w:p w14:paraId="4F166F96" w14:textId="77777777" w:rsidR="009A7A59" w:rsidRDefault="009A7A59">
      <w:pPr>
        <w:ind w:firstLine="2280"/>
      </w:pPr>
    </w:p>
    <w:p w14:paraId="2AC39EDE" w14:textId="77777777" w:rsidR="009A7A59" w:rsidRDefault="00000000">
      <w:pPr>
        <w:spacing w:line="360" w:lineRule="auto"/>
        <w:ind w:firstLineChars="200" w:firstLine="422"/>
        <w:rPr>
          <w:rFonts w:ascii="Arial Unicode MS" w:hAnsi="Arial Unicode MS" w:cs="Arial" w:hint="eastAsia"/>
          <w:b/>
          <w:szCs w:val="21"/>
        </w:rPr>
      </w:pPr>
      <w:r>
        <w:rPr>
          <w:rFonts w:ascii="Arial Unicode MS" w:hAnsi="Arial Unicode MS" w:cs="Arial"/>
          <w:b/>
          <w:szCs w:val="21"/>
        </w:rPr>
        <w:t>一、基金资产总值</w:t>
      </w:r>
    </w:p>
    <w:p w14:paraId="2DB2682A"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bCs/>
          <w:szCs w:val="21"/>
        </w:rPr>
        <w:t>基金资产总值是指购买的各类证券及票据价值、银行存款本息和基金应收的申购基金款以及其他投资所形成的价值总和。</w:t>
      </w:r>
    </w:p>
    <w:p w14:paraId="3052F1F8" w14:textId="77777777" w:rsidR="009A7A59" w:rsidRDefault="00000000">
      <w:pPr>
        <w:spacing w:line="360" w:lineRule="auto"/>
        <w:ind w:firstLineChars="200" w:firstLine="422"/>
        <w:rPr>
          <w:rFonts w:ascii="Arial Unicode MS" w:hAnsi="Arial Unicode MS" w:cs="Arial" w:hint="eastAsia"/>
          <w:b/>
          <w:szCs w:val="21"/>
        </w:rPr>
      </w:pPr>
      <w:r>
        <w:rPr>
          <w:rFonts w:ascii="Arial Unicode MS" w:hAnsi="Arial Unicode MS" w:cs="Arial"/>
          <w:b/>
          <w:szCs w:val="21"/>
        </w:rPr>
        <w:t>二、基金资产净值</w:t>
      </w:r>
    </w:p>
    <w:p w14:paraId="79198158" w14:textId="77777777" w:rsidR="009A7A59" w:rsidRDefault="00000000">
      <w:pPr>
        <w:spacing w:line="360" w:lineRule="auto"/>
        <w:ind w:firstLineChars="200" w:firstLine="420"/>
        <w:rPr>
          <w:rFonts w:ascii="Arial Unicode MS" w:hAnsi="Arial Unicode MS" w:cs="Arial" w:hint="eastAsia"/>
          <w:szCs w:val="21"/>
        </w:rPr>
      </w:pPr>
      <w:r>
        <w:rPr>
          <w:rFonts w:ascii="Arial Unicode MS" w:hAnsi="Arial Unicode MS" w:cs="Arial"/>
          <w:szCs w:val="21"/>
        </w:rPr>
        <w:t>基金资产净值是指基金资产总值减去基金负债后的价值。</w:t>
      </w:r>
    </w:p>
    <w:p w14:paraId="62840D65" w14:textId="77777777" w:rsidR="009A7A59" w:rsidRDefault="00000000">
      <w:pPr>
        <w:spacing w:line="360" w:lineRule="auto"/>
        <w:ind w:firstLineChars="200" w:firstLine="422"/>
        <w:rPr>
          <w:rFonts w:ascii="Arial Unicode MS" w:hAnsi="Arial Unicode MS" w:cs="Arial" w:hint="eastAsia"/>
          <w:b/>
          <w:szCs w:val="21"/>
        </w:rPr>
      </w:pPr>
      <w:r>
        <w:rPr>
          <w:rFonts w:ascii="Arial Unicode MS" w:hAnsi="Arial Unicode MS" w:cs="Arial"/>
          <w:b/>
          <w:szCs w:val="21"/>
        </w:rPr>
        <w:t>三、基金财产的账户</w:t>
      </w:r>
    </w:p>
    <w:p w14:paraId="7F02C26A" w14:textId="77777777" w:rsidR="009A7A59" w:rsidRDefault="00000000">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7E95DD6" w14:textId="77777777" w:rsidR="009A7A59" w:rsidRDefault="00000000">
      <w:pPr>
        <w:spacing w:line="360" w:lineRule="auto"/>
        <w:ind w:firstLineChars="200" w:firstLine="422"/>
        <w:rPr>
          <w:rFonts w:ascii="Arial Unicode MS" w:hAnsi="Arial Unicode MS" w:cs="Arial" w:hint="eastAsia"/>
          <w:b/>
          <w:szCs w:val="21"/>
        </w:rPr>
      </w:pPr>
      <w:r>
        <w:rPr>
          <w:rFonts w:ascii="Arial Unicode MS" w:hAnsi="Arial Unicode MS" w:cs="Arial"/>
          <w:b/>
          <w:szCs w:val="21"/>
        </w:rPr>
        <w:t>四、基金财产的保管和处分</w:t>
      </w:r>
    </w:p>
    <w:p w14:paraId="3EC1A200" w14:textId="77777777" w:rsidR="009A7A59" w:rsidRDefault="00000000">
      <w:pPr>
        <w:spacing w:line="360" w:lineRule="auto"/>
        <w:ind w:firstLineChars="200" w:firstLine="420"/>
        <w:rPr>
          <w:rFonts w:ascii="Arial Unicode MS" w:hAnsi="Arial Unicode MS" w:cs="Arial" w:hint="eastAsia"/>
          <w:bCs/>
          <w:szCs w:val="21"/>
        </w:rPr>
      </w:pPr>
      <w:bookmarkStart w:id="66" w:name="_Hlt88900062"/>
      <w:bookmarkStart w:id="67" w:name="_Hlt88841837"/>
      <w:bookmarkEnd w:id="66"/>
      <w:bookmarkEnd w:id="67"/>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Cs w:val="21"/>
        </w:rPr>
        <w:t>律法规</w:t>
      </w:r>
      <w:proofErr w:type="gramEnd"/>
      <w:r>
        <w:rPr>
          <w:rFonts w:ascii="Arial Unicode MS" w:hAnsi="Arial Unicode MS" w:cs="Arial" w:hint="eastAsia"/>
          <w:bCs/>
          <w:szCs w:val="21"/>
        </w:rPr>
        <w:t>和《基金合同》的规定处分外，基金财产不得被处分。</w:t>
      </w:r>
    </w:p>
    <w:p w14:paraId="2570A9E0" w14:textId="77777777" w:rsidR="009A7A59" w:rsidRDefault="00000000">
      <w:pPr>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；基金管理人管理运作不同基金的基金财产所产生的债权债务不得相互</w:t>
      </w:r>
      <w:proofErr w:type="gramStart"/>
      <w:r>
        <w:rPr>
          <w:rFonts w:ascii="Arial Unicode MS" w:hAnsi="Arial Unicode MS" w:cs="Arial" w:hint="eastAsia"/>
          <w:bCs/>
          <w:szCs w:val="21"/>
        </w:rPr>
        <w:t>抵销</w:t>
      </w:r>
      <w:proofErr w:type="gramEnd"/>
      <w:r>
        <w:rPr>
          <w:rFonts w:ascii="Arial Unicode MS" w:hAnsi="Arial Unicode MS" w:cs="Arial" w:hint="eastAsia"/>
          <w:bCs/>
          <w:szCs w:val="21"/>
        </w:rPr>
        <w:t>。非因基金财产本身承担的债务，不得对基金财产强制执行。</w:t>
      </w:r>
    </w:p>
    <w:p w14:paraId="6E31C1FA" w14:textId="77777777" w:rsidR="009A7A59" w:rsidRDefault="009A7A59">
      <w:pPr>
        <w:spacing w:line="360" w:lineRule="auto"/>
        <w:ind w:firstLineChars="200" w:firstLine="420"/>
        <w:rPr>
          <w:rFonts w:ascii="Arial Unicode MS" w:hAnsi="Arial Unicode MS" w:cs="Arial" w:hint="eastAsia"/>
          <w:szCs w:val="21"/>
        </w:rPr>
        <w:sectPr w:rsidR="009A7A59">
          <w:pgSz w:w="11906" w:h="16838"/>
          <w:pgMar w:top="1440" w:right="1800" w:bottom="1440" w:left="1800" w:header="851" w:footer="992" w:gutter="0"/>
          <w:cols w:space="720"/>
          <w:titlePg/>
          <w:docGrid w:linePitch="312"/>
        </w:sectPr>
      </w:pPr>
    </w:p>
    <w:p w14:paraId="05EB783A" w14:textId="77777777" w:rsidR="009A7A59" w:rsidRDefault="00000000">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68" w:name="_Toc335232699"/>
      <w:bookmarkStart w:id="69" w:name="_Toc320887650"/>
      <w:bookmarkStart w:id="70" w:name="_Toc63676446"/>
      <w:bookmarkStart w:id="71" w:name="_Toc317088545"/>
      <w:bookmarkStart w:id="72" w:name="_Toc317088148"/>
      <w:bookmarkStart w:id="73" w:name="_Toc21487360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35700BD5" w14:textId="77777777" w:rsidR="009A7A59" w:rsidRDefault="009A7A59">
      <w:pPr>
        <w:ind w:firstLine="315"/>
      </w:pPr>
    </w:p>
    <w:p w14:paraId="2682BE27" w14:textId="77777777" w:rsidR="009A7A59" w:rsidRDefault="00000000">
      <w:pPr>
        <w:spacing w:line="360" w:lineRule="auto"/>
        <w:ind w:firstLineChars="200" w:firstLine="422"/>
        <w:rPr>
          <w:rFonts w:ascii="Arial Unicode MS" w:hAnsi="Arial Unicode MS" w:hint="eastAsia"/>
          <w:b/>
          <w:bCs/>
          <w:szCs w:val="21"/>
        </w:rPr>
      </w:pPr>
      <w:bookmarkStart w:id="74" w:name="_Toc530223193"/>
      <w:bookmarkStart w:id="75" w:name="_Toc214873601"/>
      <w:r>
        <w:rPr>
          <w:rFonts w:ascii="Arial Unicode MS" w:hAnsi="Arial Unicode MS"/>
          <w:b/>
          <w:bCs/>
          <w:szCs w:val="21"/>
        </w:rPr>
        <w:t>一、估值日</w:t>
      </w:r>
    </w:p>
    <w:p w14:paraId="00C5947F"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本基金的估值日为本基金相关的证券交易场所的交易日以及国家法律法规规定需要对外披露基金净值的</w:t>
      </w:r>
      <w:proofErr w:type="gramStart"/>
      <w:r>
        <w:rPr>
          <w:rFonts w:ascii="Arial Unicode MS" w:hAnsi="Arial Unicode MS" w:hint="eastAsia"/>
          <w:bCs/>
          <w:szCs w:val="21"/>
        </w:rPr>
        <w:t>非交易</w:t>
      </w:r>
      <w:proofErr w:type="gramEnd"/>
      <w:r>
        <w:rPr>
          <w:rFonts w:ascii="Arial Unicode MS" w:hAnsi="Arial Unicode MS" w:hint="eastAsia"/>
          <w:bCs/>
          <w:szCs w:val="21"/>
        </w:rPr>
        <w:t>日。</w:t>
      </w:r>
    </w:p>
    <w:p w14:paraId="36DE73B3"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b/>
          <w:bCs/>
          <w:szCs w:val="21"/>
        </w:rPr>
        <w:t>二、估值对象</w:t>
      </w:r>
    </w:p>
    <w:p w14:paraId="0F097046"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基金所拥有的债券和银行存款本息、应收款项、其它投资等资产及负债。</w:t>
      </w:r>
    </w:p>
    <w:p w14:paraId="7824EEFD" w14:textId="77777777" w:rsidR="009A7A59" w:rsidRDefault="00000000">
      <w:pPr>
        <w:numPr>
          <w:ilvl w:val="0"/>
          <w:numId w:val="5"/>
        </w:numPr>
        <w:spacing w:line="360" w:lineRule="auto"/>
        <w:ind w:firstLineChars="200" w:firstLine="422"/>
        <w:rPr>
          <w:rFonts w:ascii="Arial Unicode MS" w:hAnsi="Arial Unicode MS" w:hint="eastAsia"/>
          <w:b/>
          <w:szCs w:val="21"/>
        </w:rPr>
      </w:pPr>
      <w:r>
        <w:rPr>
          <w:rFonts w:ascii="Arial Unicode MS" w:hAnsi="Arial Unicode MS" w:hint="eastAsia"/>
          <w:b/>
          <w:szCs w:val="21"/>
        </w:rPr>
        <w:t>估值原则</w:t>
      </w:r>
    </w:p>
    <w:p w14:paraId="3BF15DA4" w14:textId="77777777" w:rsidR="009A7A59" w:rsidRDefault="00000000">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基金管理人在确定相关金融资产和金融负债的公允价值时，应符合《企业会计准则》、监管部门有关规定。</w:t>
      </w:r>
    </w:p>
    <w:p w14:paraId="35A22EA0" w14:textId="77777777" w:rsidR="009A7A59" w:rsidRDefault="00000000">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29E385FF" w14:textId="77777777" w:rsidR="009A7A59" w:rsidRDefault="00000000">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8984142" w14:textId="77777777" w:rsidR="009A7A59" w:rsidRDefault="00000000">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40C4E9B" w14:textId="77777777" w:rsidR="009A7A59" w:rsidRDefault="00000000">
      <w:pPr>
        <w:numPr>
          <w:ilvl w:val="255"/>
          <w:numId w:val="0"/>
        </w:numPr>
        <w:spacing w:line="360" w:lineRule="auto"/>
        <w:ind w:firstLine="420"/>
        <w:rPr>
          <w:rFonts w:ascii="Arial Unicode MS" w:hAnsi="Arial Unicode MS" w:hint="eastAsia"/>
          <w:bCs/>
          <w:szCs w:val="21"/>
        </w:rPr>
      </w:pPr>
      <w:r>
        <w:rPr>
          <w:rFonts w:ascii="Arial Unicode MS" w:hAnsi="Arial Unicode MS"/>
          <w:bCs/>
          <w:szCs w:val="21"/>
        </w:rPr>
        <w:t>（三）如经济环境发生重大变化或证券发行人发生影响证券价格的重大事件，使潜在估值调整对前一估值日的基金资产净值的影响在</w:t>
      </w:r>
      <w:r>
        <w:rPr>
          <w:rFonts w:ascii="Arial Unicode MS" w:hAnsi="Arial Unicode MS"/>
          <w:bCs/>
          <w:szCs w:val="21"/>
        </w:rPr>
        <w:t>0.25%</w:t>
      </w:r>
      <w:r>
        <w:rPr>
          <w:rFonts w:ascii="Arial Unicode MS" w:hAnsi="Arial Unicode MS"/>
          <w:bCs/>
          <w:szCs w:val="21"/>
        </w:rPr>
        <w:t>以上的，应对估值进行调整并确定公允价值。</w:t>
      </w:r>
    </w:p>
    <w:p w14:paraId="07304AAE"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w:t>
      </w:r>
      <w:r>
        <w:rPr>
          <w:rFonts w:ascii="Arial Unicode MS" w:hAnsi="Arial Unicode MS"/>
          <w:b/>
          <w:bCs/>
          <w:szCs w:val="21"/>
        </w:rPr>
        <w:t>、估值方法</w:t>
      </w:r>
    </w:p>
    <w:p w14:paraId="62ADBBCB"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14:paraId="1C7D2280"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）交易所上市交易或挂牌转让的不含</w:t>
      </w:r>
      <w:proofErr w:type="gramStart"/>
      <w:r>
        <w:rPr>
          <w:rFonts w:ascii="Arial Unicode MS" w:hAnsi="Arial Unicode MS" w:hint="eastAsia"/>
          <w:bCs/>
          <w:szCs w:val="21"/>
        </w:rPr>
        <w:t>权固定</w:t>
      </w:r>
      <w:proofErr w:type="gramEnd"/>
      <w:r>
        <w:rPr>
          <w:rFonts w:ascii="Arial Unicode MS" w:hAnsi="Arial Unicode MS" w:hint="eastAsia"/>
          <w:bCs/>
          <w:szCs w:val="21"/>
        </w:rPr>
        <w:t>收益品种，选取估值日第三方估值基准服务机构提供的相应品种当日的估值全价进行估值；</w:t>
      </w:r>
    </w:p>
    <w:p w14:paraId="07A159A7"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）交易所上市交易或挂牌转让的含</w:t>
      </w:r>
      <w:proofErr w:type="gramStart"/>
      <w:r>
        <w:rPr>
          <w:rFonts w:ascii="Arial Unicode MS" w:hAnsi="Arial Unicode MS" w:hint="eastAsia"/>
          <w:bCs/>
          <w:szCs w:val="21"/>
        </w:rPr>
        <w:t>权固定</w:t>
      </w:r>
      <w:proofErr w:type="gramEnd"/>
      <w:r>
        <w:rPr>
          <w:rFonts w:ascii="Arial Unicode MS" w:hAnsi="Arial Unicode MS" w:hint="eastAsia"/>
          <w:bCs/>
          <w:szCs w:val="21"/>
        </w:rPr>
        <w:t>收益品种，选取估值日第三方估值基准服务机构提供的相应品种当日的唯一估值全价或推荐估值全价进行估值；</w:t>
      </w:r>
    </w:p>
    <w:p w14:paraId="53F90FC8"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含投资者回售权的固定收益品种，行使回售权的，在回售登记日至实际收款日期间选取</w:t>
      </w:r>
      <w:r>
        <w:rPr>
          <w:rFonts w:ascii="Arial Unicode MS" w:hAnsi="Arial Unicode MS" w:hint="eastAsia"/>
          <w:bCs/>
          <w:szCs w:val="21"/>
        </w:rPr>
        <w:lastRenderedPageBreak/>
        <w:t>第三方估值基准服务机构提供的相应品种的唯一估值全价或推荐估值全价，同时应充分考虑发行人的信用风险变化对公允价值的影响。回售登记期截止日（含当日）后未行使回售权的按照长待偿期所对应的价格进行估值；</w:t>
      </w:r>
    </w:p>
    <w:p w14:paraId="14DF3F04"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交易所市场上市交易的公开发行的可转换债券等有活跃市场的含转股权的债券，实行全价交易的债券选取估值日收盘价作为估值全价；实行净价交易的债券选取估值日收盘价并加计每百元税前应计利息作为估值全价；</w:t>
      </w:r>
    </w:p>
    <w:p w14:paraId="704EFBCA"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）交易所上市不存在活跃市场的有价证券，采用估值技术确定公允价值。</w:t>
      </w:r>
    </w:p>
    <w:p w14:paraId="17305D7B"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、首次公开发行未上市的债券，采用估值技术确定公允价值；</w:t>
      </w:r>
    </w:p>
    <w:p w14:paraId="28A13939"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对全国银行间市场上不含权的固定收益品种，按照第三方估值基准服务机构提供的相应品种当日的估值全价估值。对银行间市场上含权的固定收益品种，按照第三方估值基准服务机构提供的相应品种当日的唯一估值全价或推荐估值全价估值。对于含投资人回售权的固定收益品种，回售登记期截止日（含当日）后未行使回售权的按照长待偿期所对应的价格进行估值。对银行间市场未上市，且第三方估值基准服务机构未提供估值价格的债券，采用估值技术确定公允价值。</w:t>
      </w:r>
    </w:p>
    <w:p w14:paraId="64F2F452"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、同一债券同时在两个或两个以上市场交易的，按债券所处的市场分别估值。</w:t>
      </w:r>
    </w:p>
    <w:p w14:paraId="5793CF58"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、当发生大额申购或赎回情形时，基金管理人可以采用摆动定价机制，以确保基金估值的公平性。</w:t>
      </w:r>
    </w:p>
    <w:p w14:paraId="5C864FD7"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27B1C206"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、相关法律法规以及监管部门有强制规定的，从其规定。如有新增事项，按国家最新规定估值。</w:t>
      </w:r>
    </w:p>
    <w:p w14:paraId="696D2EA1"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CA2B726"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958EC6C"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b/>
          <w:bCs/>
          <w:szCs w:val="21"/>
        </w:rPr>
        <w:t>四、估值程序</w:t>
      </w:r>
    </w:p>
    <w:p w14:paraId="5372A6E0"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、各类基金份额的基金份额净值是按照每个工作日闭市后，各类基金资产净值除以当日该类基金份额的余额数量计算，均精确到</w:t>
      </w:r>
      <w:r>
        <w:rPr>
          <w:rFonts w:ascii="Arial Unicode MS" w:hAnsi="Arial Unicode MS" w:hint="eastAsia"/>
          <w:bCs/>
          <w:szCs w:val="21"/>
        </w:rPr>
        <w:t>0.00</w:t>
      </w:r>
      <w:r>
        <w:rPr>
          <w:rFonts w:ascii="Arial Unicode MS" w:hAnsi="Arial Unicode MS"/>
          <w:bCs/>
          <w:szCs w:val="21"/>
        </w:rPr>
        <w:t>0</w:t>
      </w:r>
      <w:r>
        <w:rPr>
          <w:rFonts w:ascii="Arial Unicode MS" w:hAnsi="Arial Unicode MS" w:hint="eastAsia"/>
          <w:bCs/>
          <w:szCs w:val="21"/>
        </w:rPr>
        <w:t>1</w:t>
      </w:r>
      <w:r>
        <w:rPr>
          <w:rFonts w:ascii="Arial Unicode MS" w:hAnsi="Arial Unicode MS" w:hint="eastAsia"/>
          <w:bCs/>
          <w:szCs w:val="21"/>
        </w:rPr>
        <w:t>元，小数点后第</w:t>
      </w:r>
      <w:r>
        <w:rPr>
          <w:rFonts w:ascii="Arial Unicode MS" w:hAnsi="Arial Unicode MS"/>
          <w:bCs/>
          <w:szCs w:val="21"/>
        </w:rPr>
        <w:t>5</w:t>
      </w:r>
      <w:r>
        <w:rPr>
          <w:rFonts w:ascii="Arial Unicode MS" w:hAnsi="Arial Unicode MS" w:hint="eastAsia"/>
          <w:bCs/>
          <w:szCs w:val="21"/>
        </w:rPr>
        <w:t>位四舍五入。基金管</w:t>
      </w:r>
      <w:r>
        <w:rPr>
          <w:rFonts w:ascii="Arial Unicode MS" w:hAnsi="Arial Unicode MS" w:hint="eastAsia"/>
          <w:bCs/>
          <w:szCs w:val="21"/>
        </w:rPr>
        <w:lastRenderedPageBreak/>
        <w:t>理人可以设立大额赎回情形下的净值精度应急调整机制。国家另有规定的，从其规定。</w:t>
      </w:r>
    </w:p>
    <w:p w14:paraId="7078CFB1"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基金管理人</w:t>
      </w:r>
      <w:proofErr w:type="gramStart"/>
      <w:r>
        <w:rPr>
          <w:rFonts w:ascii="Arial Unicode MS" w:hAnsi="Arial Unicode MS" w:hint="eastAsia"/>
          <w:bCs/>
          <w:szCs w:val="21"/>
        </w:rPr>
        <w:t>应每个</w:t>
      </w:r>
      <w:proofErr w:type="gramEnd"/>
      <w:r>
        <w:rPr>
          <w:rFonts w:ascii="Arial Unicode MS" w:hAnsi="Arial Unicode MS" w:hint="eastAsia"/>
          <w:bCs/>
          <w:szCs w:val="21"/>
        </w:rPr>
        <w:t>工作日计算基金资产净值及各类基金份额的基金份额净值，并按规定进行公告。</w:t>
      </w:r>
    </w:p>
    <w:p w14:paraId="65C49DDA"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w:t>
      </w:r>
      <w:proofErr w:type="gramStart"/>
      <w:r>
        <w:rPr>
          <w:rFonts w:ascii="Arial Unicode MS" w:hAnsi="Arial Unicode MS" w:hint="eastAsia"/>
          <w:bCs/>
          <w:szCs w:val="21"/>
        </w:rPr>
        <w:t>应每个</w:t>
      </w:r>
      <w:proofErr w:type="gramEnd"/>
      <w:r>
        <w:rPr>
          <w:rFonts w:ascii="Arial Unicode MS" w:hAnsi="Arial Unicode MS" w:hint="eastAsia"/>
          <w:bCs/>
          <w:szCs w:val="21"/>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42E8AB68"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b/>
          <w:bCs/>
          <w:szCs w:val="21"/>
        </w:rPr>
        <w:t>五、估值错误的处理</w:t>
      </w:r>
    </w:p>
    <w:p w14:paraId="73048E3E"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基金管理人和基金托管人将采取必要、适当、合理的措施确保基金资产估值的准确性、及时性。当任一类基金份额净值小数点后</w:t>
      </w:r>
      <w:r>
        <w:rPr>
          <w:rFonts w:ascii="Arial Unicode MS" w:hAnsi="Arial Unicode MS"/>
          <w:bCs/>
          <w:szCs w:val="21"/>
        </w:rPr>
        <w:t>4</w:t>
      </w:r>
      <w:r>
        <w:rPr>
          <w:rFonts w:ascii="Arial Unicode MS" w:hAnsi="Arial Unicode MS" w:hint="eastAsia"/>
          <w:bCs/>
          <w:szCs w:val="21"/>
        </w:rPr>
        <w:t>位以内</w:t>
      </w:r>
      <w:r>
        <w:rPr>
          <w:rFonts w:ascii="Arial Unicode MS" w:hAnsi="Arial Unicode MS" w:hint="eastAsia"/>
          <w:bCs/>
          <w:szCs w:val="21"/>
        </w:rPr>
        <w:t>(</w:t>
      </w:r>
      <w:r>
        <w:rPr>
          <w:rFonts w:ascii="Arial Unicode MS" w:hAnsi="Arial Unicode MS" w:hint="eastAsia"/>
          <w:bCs/>
          <w:szCs w:val="21"/>
        </w:rPr>
        <w:t>含第</w:t>
      </w:r>
      <w:r>
        <w:rPr>
          <w:rFonts w:ascii="Arial Unicode MS" w:hAnsi="Arial Unicode MS"/>
          <w:bCs/>
          <w:szCs w:val="21"/>
        </w:rPr>
        <w:t>4</w:t>
      </w:r>
      <w:r>
        <w:rPr>
          <w:rFonts w:ascii="Arial Unicode MS" w:hAnsi="Arial Unicode MS" w:hint="eastAsia"/>
          <w:bCs/>
          <w:szCs w:val="21"/>
        </w:rPr>
        <w:t>位</w:t>
      </w:r>
      <w:r>
        <w:rPr>
          <w:rFonts w:ascii="Arial Unicode MS" w:hAnsi="Arial Unicode MS" w:hint="eastAsia"/>
          <w:bCs/>
          <w:szCs w:val="21"/>
        </w:rPr>
        <w:t>)</w:t>
      </w:r>
      <w:r>
        <w:rPr>
          <w:rFonts w:ascii="Arial Unicode MS" w:hAnsi="Arial Unicode MS" w:hint="eastAsia"/>
          <w:bCs/>
          <w:szCs w:val="21"/>
        </w:rPr>
        <w:t>发生估值错误时，视为该类基金份额净值错误。</w:t>
      </w:r>
    </w:p>
    <w:p w14:paraId="10D1DC15"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基金合同的当事人应按照以下约定处理：</w:t>
      </w:r>
    </w:p>
    <w:p w14:paraId="5DF4D955"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、估值错误类型</w:t>
      </w:r>
    </w:p>
    <w:p w14:paraId="15428B91"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的直接损失按下述“估值错误处理原则”给予赔偿，承担赔偿责任。</w:t>
      </w:r>
    </w:p>
    <w:p w14:paraId="34F0EC8E"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因不可抗力原因出现差错的当事人不对其他当事人承担赔偿责任。</w:t>
      </w:r>
    </w:p>
    <w:p w14:paraId="19AFC3E1"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、估值错误处理原则</w:t>
      </w:r>
    </w:p>
    <w:p w14:paraId="06FA3C60"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8EAD3BD"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73C9E195"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hint="eastAsia"/>
          <w:bCs/>
          <w:szCs w:val="21"/>
        </w:rPr>
        <w:t>不</w:t>
      </w:r>
      <w:proofErr w:type="gramEnd"/>
      <w:r>
        <w:rPr>
          <w:rFonts w:ascii="Arial Unicode MS" w:hAnsi="Arial Unicode MS" w:hint="eastAsia"/>
          <w:bCs/>
          <w:szCs w:val="21"/>
        </w:rPr>
        <w:t>返还或不全部返还不当得利</w:t>
      </w:r>
      <w:r>
        <w:rPr>
          <w:rFonts w:ascii="Arial Unicode MS" w:hAnsi="Arial Unicode MS" w:hint="eastAsia"/>
          <w:bCs/>
          <w:szCs w:val="21"/>
        </w:rPr>
        <w:lastRenderedPageBreak/>
        <w:t>造成其他当事人的利益损失</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2E00EDC"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）估值错误调整采用尽量恢复至假设未发生估值错误的正确情形的方式。</w:t>
      </w:r>
    </w:p>
    <w:p w14:paraId="08A6DFF9"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、估值错误处理程序</w:t>
      </w:r>
    </w:p>
    <w:p w14:paraId="04EB02F7"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估值错误被发现后，有关的当事人应当及时进行处理，处理的程序如下：</w:t>
      </w:r>
    </w:p>
    <w:p w14:paraId="46DD775A"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）查明估值错误发生的原因，列明所有的当事人，并根据估值错误发生的原因确定估值错误的责任方；</w:t>
      </w:r>
    </w:p>
    <w:p w14:paraId="39388552"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）根据估值错误处理原则或当事人协商的方法对因估值错误造成的损失进行评估；</w:t>
      </w:r>
    </w:p>
    <w:p w14:paraId="485F7B85"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）根据估值错误处理原则或当事人协商的方法由估值错误的责任方进行更正和赔偿损失；</w:t>
      </w:r>
    </w:p>
    <w:p w14:paraId="12128A44"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6C4F0A39"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、基金份额净值估值错误处理的方法如下：</w:t>
      </w:r>
    </w:p>
    <w:p w14:paraId="2F481D67"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）基金份额净值计算出现错误时，基金管理人应当立即予以纠正，通报基金托管人，并采取合理的措施防止损失进一步扩大。</w:t>
      </w:r>
    </w:p>
    <w:p w14:paraId="7C9CB315"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）错误偏差达到该类基金份额净值的</w:t>
      </w:r>
      <w:r>
        <w:rPr>
          <w:rFonts w:ascii="Arial Unicode MS" w:hAnsi="Arial Unicode MS" w:hint="eastAsia"/>
          <w:bCs/>
          <w:szCs w:val="21"/>
        </w:rPr>
        <w:t>0.25%</w:t>
      </w:r>
      <w:r>
        <w:rPr>
          <w:rFonts w:ascii="Arial Unicode MS" w:hAnsi="Arial Unicode MS" w:hint="eastAsia"/>
          <w:bCs/>
          <w:szCs w:val="21"/>
        </w:rPr>
        <w:t>时，基金管理人应当通报基金托管人并报中国证监会备案；错误偏差达到该类基金份额净值的</w:t>
      </w:r>
      <w:r>
        <w:rPr>
          <w:rFonts w:ascii="Arial Unicode MS" w:hAnsi="Arial Unicode MS" w:hint="eastAsia"/>
          <w:bCs/>
          <w:szCs w:val="21"/>
        </w:rPr>
        <w:t>0.5%</w:t>
      </w:r>
      <w:r>
        <w:rPr>
          <w:rFonts w:ascii="Arial Unicode MS" w:hAnsi="Arial Unicode MS" w:hint="eastAsia"/>
          <w:bCs/>
          <w:szCs w:val="21"/>
        </w:rPr>
        <w:t>时，基金管理人应当公告，并报中国证监会备案。</w:t>
      </w:r>
    </w:p>
    <w:p w14:paraId="228F3573"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）前述内容如法律法规或监管机关另有规定的，从其规定处理。</w:t>
      </w:r>
    </w:p>
    <w:p w14:paraId="6B024A53"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b/>
          <w:bCs/>
          <w:szCs w:val="21"/>
        </w:rPr>
        <w:t>六、暂停估值的情形</w:t>
      </w:r>
    </w:p>
    <w:p w14:paraId="51EA5247"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、基金投资所涉及的证券交易市场遇法定节假日或因其他原因暂停营业时；</w:t>
      </w:r>
    </w:p>
    <w:p w14:paraId="25635F03"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、因不可抗力致使基金管理人、基金托管人无法准确评估基金资产价值时；</w:t>
      </w:r>
    </w:p>
    <w:p w14:paraId="7040BB2C"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、当特定资产占前一估值日基金资产净值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以上的，经与基金托管人协商一致的，基金管理人应当暂停基金估值；</w:t>
      </w:r>
    </w:p>
    <w:p w14:paraId="7E5972F4"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、中国证监会和基金合同认定的其它情形。</w:t>
      </w:r>
    </w:p>
    <w:p w14:paraId="489BF11A"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b/>
          <w:bCs/>
          <w:szCs w:val="21"/>
        </w:rPr>
        <w:t>七、基金净值的确认</w:t>
      </w:r>
    </w:p>
    <w:p w14:paraId="217D5308"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用于基金信息披露的基金资产净值和各类基金份额的基金份额净值由基金管理人负责</w:t>
      </w:r>
      <w:r>
        <w:rPr>
          <w:rFonts w:ascii="Arial Unicode MS" w:hAnsi="Arial Unicode MS" w:hint="eastAsia"/>
          <w:bCs/>
          <w:szCs w:val="21"/>
        </w:rPr>
        <w:lastRenderedPageBreak/>
        <w:t>计算，基金托管人负责进行复核。基金管理人应于每个开放日交易结束后计算当日的基金资产净值和各类基金份额的基金份额净值并发送给基金托管人。基金托管人对净值计算结果复核确认后发送给基金管理人，由基金管理人对基金净值按约定予以公布。</w:t>
      </w:r>
    </w:p>
    <w:p w14:paraId="5FE7128D"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八</w:t>
      </w:r>
      <w:r>
        <w:rPr>
          <w:rFonts w:ascii="Arial Unicode MS" w:hAnsi="Arial Unicode MS"/>
          <w:b/>
          <w:bCs/>
          <w:szCs w:val="21"/>
        </w:rPr>
        <w:t>、</w:t>
      </w:r>
      <w:r>
        <w:rPr>
          <w:rFonts w:ascii="Arial Unicode MS" w:hAnsi="Arial Unicode MS" w:hint="eastAsia"/>
          <w:b/>
          <w:bCs/>
          <w:szCs w:val="21"/>
        </w:rPr>
        <w:t>特殊情况的处理方法</w:t>
      </w:r>
    </w:p>
    <w:p w14:paraId="3EBF915A"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、基金管理人或基金托管人按估值方法的第</w:t>
      </w:r>
      <w:r>
        <w:rPr>
          <w:rFonts w:ascii="Arial Unicode MS" w:hAnsi="Arial Unicode MS" w:hint="eastAsia"/>
          <w:bCs/>
          <w:szCs w:val="21"/>
        </w:rPr>
        <w:t>6</w:t>
      </w:r>
      <w:r>
        <w:rPr>
          <w:rFonts w:ascii="Arial Unicode MS" w:hAnsi="Arial Unicode MS" w:hint="eastAsia"/>
          <w:bCs/>
          <w:szCs w:val="21"/>
        </w:rPr>
        <w:t>项进行估值时，所造成的误差不作为基金资产估值错误处理。</w:t>
      </w:r>
    </w:p>
    <w:p w14:paraId="5637F346"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17088546"/>
      <w:bookmarkStart w:id="77" w:name="_Toc317088149"/>
      <w:bookmarkStart w:id="78" w:name="_Toc335232700"/>
      <w:bookmarkStart w:id="79" w:name="_Toc320887651"/>
    </w:p>
    <w:p w14:paraId="3B7CAC81"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九、实施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期间的基金资产估值</w:t>
      </w:r>
    </w:p>
    <w:p w14:paraId="38F2B62B" w14:textId="77777777" w:rsidR="009A7A59" w:rsidRDefault="00000000">
      <w:pPr>
        <w:spacing w:line="360" w:lineRule="auto"/>
        <w:ind w:firstLine="420"/>
        <w:rPr>
          <w:rFonts w:ascii="Arial Unicode MS" w:hAnsi="Arial Unicode MS" w:hint="eastAsia"/>
        </w:rPr>
      </w:pPr>
      <w:r>
        <w:rPr>
          <w:rFonts w:ascii="Arial Unicode MS" w:hAnsi="Arial Unicode MS" w:hint="eastAsia"/>
          <w:bCs/>
          <w:szCs w:val="21"/>
        </w:rPr>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的，应根据本部分的约定</w:t>
      </w:r>
      <w:proofErr w:type="gramStart"/>
      <w:r>
        <w:rPr>
          <w:rFonts w:ascii="Arial Unicode MS" w:hAnsi="Arial Unicode MS" w:hint="eastAsia"/>
          <w:bCs/>
          <w:szCs w:val="21"/>
        </w:rPr>
        <w:t>对主袋账户</w:t>
      </w:r>
      <w:proofErr w:type="gramEnd"/>
      <w:r>
        <w:rPr>
          <w:rFonts w:ascii="Arial Unicode MS" w:hAnsi="Arial Unicode MS" w:hint="eastAsia"/>
          <w:bCs/>
          <w:szCs w:val="21"/>
        </w:rPr>
        <w:t>资产进行估值并</w:t>
      </w:r>
      <w:proofErr w:type="gramStart"/>
      <w:r>
        <w:rPr>
          <w:rFonts w:ascii="Arial Unicode MS" w:hAnsi="Arial Unicode MS" w:hint="eastAsia"/>
          <w:bCs/>
          <w:szCs w:val="21"/>
        </w:rPr>
        <w:t>披露主袋账户</w:t>
      </w:r>
      <w:proofErr w:type="gramEnd"/>
      <w:r>
        <w:rPr>
          <w:rFonts w:ascii="Arial Unicode MS" w:hAnsi="Arial Unicode MS" w:hint="eastAsia"/>
          <w:bCs/>
          <w:szCs w:val="21"/>
        </w:rPr>
        <w:t>的基金净值信息，暂停</w:t>
      </w:r>
      <w:proofErr w:type="gramStart"/>
      <w:r>
        <w:rPr>
          <w:rFonts w:ascii="Arial Unicode MS" w:hAnsi="Arial Unicode MS" w:hint="eastAsia"/>
          <w:bCs/>
          <w:szCs w:val="21"/>
        </w:rPr>
        <w:t>披露侧袋账户</w:t>
      </w:r>
      <w:proofErr w:type="gramEnd"/>
      <w:r>
        <w:rPr>
          <w:rFonts w:ascii="Arial Unicode MS" w:hAnsi="Arial Unicode MS" w:hint="eastAsia"/>
          <w:bCs/>
          <w:szCs w:val="21"/>
        </w:rPr>
        <w:t>的基金份额净值。</w:t>
      </w:r>
    </w:p>
    <w:p w14:paraId="52435946" w14:textId="77777777" w:rsidR="009A7A59" w:rsidRDefault="009A7A59">
      <w:pPr>
        <w:spacing w:line="360" w:lineRule="auto"/>
        <w:rPr>
          <w:rFonts w:ascii="Arial Unicode MS" w:hAnsi="Arial Unicode MS" w:hint="eastAsia"/>
        </w:rPr>
      </w:pPr>
    </w:p>
    <w:p w14:paraId="7CC4C178" w14:textId="77777777" w:rsidR="009A7A59" w:rsidRDefault="009A7A59">
      <w:pPr>
        <w:spacing w:line="360" w:lineRule="auto"/>
        <w:rPr>
          <w:rFonts w:ascii="Arial Unicode MS" w:hAnsi="Arial Unicode MS" w:hint="eastAsia"/>
        </w:rPr>
      </w:pPr>
    </w:p>
    <w:p w14:paraId="233F2024" w14:textId="77777777" w:rsidR="009A7A59" w:rsidRDefault="009A7A59">
      <w:pPr>
        <w:spacing w:line="360" w:lineRule="auto"/>
        <w:rPr>
          <w:rFonts w:ascii="Arial Unicode MS" w:hAnsi="Arial Unicode MS" w:hint="eastAsia"/>
        </w:rPr>
      </w:pPr>
    </w:p>
    <w:p w14:paraId="47C0CF2F" w14:textId="77777777" w:rsidR="009A7A59" w:rsidRDefault="009A7A59">
      <w:pPr>
        <w:spacing w:line="360" w:lineRule="auto"/>
        <w:rPr>
          <w:rFonts w:ascii="Arial Unicode MS" w:hAnsi="Arial Unicode MS" w:hint="eastAsia"/>
        </w:rPr>
      </w:pPr>
    </w:p>
    <w:p w14:paraId="4AD90A33" w14:textId="77777777" w:rsidR="009A7A59" w:rsidRDefault="009A7A59">
      <w:pPr>
        <w:spacing w:line="360" w:lineRule="auto"/>
        <w:rPr>
          <w:rFonts w:ascii="Arial Unicode MS" w:hAnsi="Arial Unicode MS" w:hint="eastAsia"/>
        </w:rPr>
      </w:pPr>
    </w:p>
    <w:p w14:paraId="0369355A" w14:textId="77777777" w:rsidR="009A7A59" w:rsidRDefault="00000000">
      <w:pPr>
        <w:widowControl/>
        <w:jc w:val="left"/>
        <w:rPr>
          <w:rFonts w:ascii="Arial Unicode MS" w:hAnsi="Arial Unicode MS" w:hint="eastAsia"/>
        </w:rPr>
      </w:pPr>
      <w:r>
        <w:rPr>
          <w:rFonts w:ascii="Arial Unicode MS" w:hAnsi="Arial Unicode MS"/>
        </w:rPr>
        <w:br w:type="page"/>
      </w:r>
    </w:p>
    <w:p w14:paraId="7630639B" w14:textId="77777777" w:rsidR="009A7A59" w:rsidRDefault="00000000">
      <w:pPr>
        <w:pStyle w:val="11"/>
        <w:snapToGrid w:val="0"/>
        <w:spacing w:before="0" w:after="0" w:line="360" w:lineRule="auto"/>
        <w:rPr>
          <w:rFonts w:ascii="Arial Unicode MS" w:eastAsia="宋体" w:hAnsi="Arial Unicode MS" w:cs="Arial" w:hint="eastAsia"/>
          <w:b/>
          <w:bCs/>
          <w:sz w:val="28"/>
          <w:szCs w:val="28"/>
        </w:rPr>
      </w:pPr>
      <w:bookmarkStart w:id="80" w:name="_Toc6367644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74"/>
      <w:r>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396A2E11" w14:textId="77777777" w:rsidR="009A7A59" w:rsidRDefault="009A7A59"/>
    <w:p w14:paraId="39760649"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b/>
          <w:bCs/>
          <w:szCs w:val="21"/>
        </w:rPr>
        <w:t>一、基金利润的构成</w:t>
      </w:r>
    </w:p>
    <w:p w14:paraId="7FDBFCA0"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35778BB9"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二、基金可供分配利润</w:t>
      </w:r>
    </w:p>
    <w:p w14:paraId="46380CF3"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基金可供分配利润指截至收益分配基准日基金未分配利润与未分配利润中已实现收益的孰低数。</w:t>
      </w:r>
    </w:p>
    <w:p w14:paraId="6F55B0D3"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三</w:t>
      </w:r>
      <w:r>
        <w:rPr>
          <w:rFonts w:ascii="Arial Unicode MS" w:hAnsi="Arial Unicode MS"/>
          <w:b/>
          <w:bCs/>
          <w:szCs w:val="21"/>
        </w:rPr>
        <w:t>、基金收益分配原则</w:t>
      </w:r>
    </w:p>
    <w:p w14:paraId="456D73BB"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、在符合有关基金分红条件的前提下，基金管理人可以根据实际情况进行收益分配；</w:t>
      </w:r>
    </w:p>
    <w:p w14:paraId="12FDA820" w14:textId="77777777" w:rsidR="009A7A59" w:rsidRDefault="00000000">
      <w:pPr>
        <w:adjustRightInd w:val="0"/>
        <w:snapToGrid w:val="0"/>
        <w:spacing w:line="360" w:lineRule="auto"/>
        <w:ind w:firstLineChars="200" w:firstLine="420"/>
        <w:rPr>
          <w:rFonts w:ascii="Arial Unicode MS" w:hAnsi="Arial Unicode MS" w:hint="eastAsia"/>
          <w:bCs/>
          <w:kern w:val="0"/>
          <w:szCs w:val="21"/>
        </w:rPr>
      </w:pPr>
      <w:r>
        <w:rPr>
          <w:rFonts w:ascii="Arial Unicode MS" w:hAnsi="Arial Unicode MS" w:hint="eastAsia"/>
          <w:bCs/>
          <w:szCs w:val="21"/>
        </w:rPr>
        <w:t>2</w:t>
      </w:r>
      <w:r>
        <w:rPr>
          <w:rFonts w:ascii="Arial Unicode MS" w:hAnsi="Arial Unicode MS" w:hint="eastAsia"/>
          <w:bCs/>
          <w:szCs w:val="21"/>
        </w:rPr>
        <w:t>、</w:t>
      </w:r>
      <w:r>
        <w:rPr>
          <w:rFonts w:ascii="Arial Unicode MS" w:hAnsi="Arial Unicode MS" w:hint="eastAsia"/>
          <w:bCs/>
          <w:kern w:val="0"/>
          <w:szCs w:val="21"/>
        </w:rPr>
        <w:t>本基金收益分配方式分两种：现金分红与红利再投资，投资者可选择现金红利或将现金红利自动转为该类基金份额进行再投资；若投资者不选择，本基金默认的收益分配方式是现金分红；</w:t>
      </w:r>
    </w:p>
    <w:p w14:paraId="28278947"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hint="eastAsia"/>
          <w:bCs/>
          <w:szCs w:val="21"/>
        </w:rPr>
        <w:t>、基金收益分配后各类基金份额净值不能低于面值，即基金收益分配基准日的各类基金份额净值减去每单位该类基金份额收益分配金额后不能低于面值；</w:t>
      </w:r>
    </w:p>
    <w:p w14:paraId="0FCA1E5F"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4</w:t>
      </w:r>
      <w:r>
        <w:rPr>
          <w:rFonts w:ascii="Arial Unicode MS" w:hAnsi="Arial Unicode MS" w:hint="eastAsia"/>
          <w:bCs/>
          <w:szCs w:val="21"/>
        </w:rPr>
        <w:t>、</w:t>
      </w:r>
      <w:r>
        <w:rPr>
          <w:rFonts w:ascii="Arial Unicode MS" w:hAnsi="Arial Unicode MS" w:hint="eastAsia"/>
          <w:bCs/>
          <w:szCs w:val="21"/>
        </w:rPr>
        <w:t>A</w:t>
      </w:r>
      <w:r>
        <w:rPr>
          <w:rFonts w:ascii="Arial Unicode MS" w:hAnsi="Arial Unicode MS" w:hint="eastAsia"/>
          <w:bCs/>
          <w:szCs w:val="21"/>
        </w:rPr>
        <w:t>类基金份额和</w:t>
      </w:r>
      <w:r>
        <w:rPr>
          <w:rFonts w:ascii="Arial Unicode MS" w:hAnsi="Arial Unicode MS" w:hint="eastAsia"/>
          <w:bCs/>
          <w:szCs w:val="21"/>
        </w:rPr>
        <w:t>C</w:t>
      </w:r>
      <w:r>
        <w:rPr>
          <w:rFonts w:ascii="Arial Unicode MS" w:hAnsi="Arial Unicode MS" w:hint="eastAsia"/>
          <w:bCs/>
          <w:szCs w:val="21"/>
        </w:rPr>
        <w:t>类基金份额之间由于</w:t>
      </w:r>
      <w:r>
        <w:rPr>
          <w:rFonts w:ascii="Arial Unicode MS" w:hAnsi="Arial Unicode MS" w:hint="eastAsia"/>
          <w:bCs/>
          <w:szCs w:val="21"/>
        </w:rPr>
        <w:t>A</w:t>
      </w:r>
      <w:r>
        <w:rPr>
          <w:rFonts w:ascii="Arial Unicode MS" w:hAnsi="Arial Unicode MS" w:hint="eastAsia"/>
          <w:bCs/>
          <w:szCs w:val="21"/>
        </w:rPr>
        <w:t>类基金份额不收取而</w:t>
      </w:r>
      <w:r>
        <w:rPr>
          <w:rFonts w:ascii="Arial Unicode MS" w:hAnsi="Arial Unicode MS" w:hint="eastAsia"/>
          <w:bCs/>
          <w:szCs w:val="21"/>
        </w:rPr>
        <w:t>C</w:t>
      </w:r>
      <w:r>
        <w:rPr>
          <w:rFonts w:ascii="Arial Unicode MS" w:hAnsi="Arial Unicode MS" w:hint="eastAsia"/>
          <w:bCs/>
          <w:szCs w:val="21"/>
        </w:rPr>
        <w:t>类基金份额收取销售服务费，将导致在可供分配利润上有所不同；同一类别的每一基金份额享有同等分配权；</w:t>
      </w:r>
    </w:p>
    <w:p w14:paraId="57FBD11E"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5</w:t>
      </w:r>
      <w:r>
        <w:rPr>
          <w:rFonts w:ascii="Arial Unicode MS" w:hAnsi="Arial Unicode MS" w:hint="eastAsia"/>
          <w:bCs/>
          <w:szCs w:val="21"/>
        </w:rPr>
        <w:t>、法律法规或监管机关另有规定的，从其规定。</w:t>
      </w:r>
    </w:p>
    <w:p w14:paraId="729244FC"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706D769F"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w:t>
      </w:r>
      <w:r>
        <w:rPr>
          <w:rFonts w:ascii="Arial Unicode MS" w:hAnsi="Arial Unicode MS"/>
          <w:b/>
          <w:bCs/>
          <w:szCs w:val="21"/>
        </w:rPr>
        <w:t>、收益分配方案</w:t>
      </w:r>
    </w:p>
    <w:p w14:paraId="326CB45D"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0F501E58"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五、收益分配方案的确定、公告与实施</w:t>
      </w:r>
    </w:p>
    <w:p w14:paraId="0FA8BF2F"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本基金收益分配方案由基金管理人拟定，并由基金托管人复核，依据相关规定在规定媒介公告。</w:t>
      </w:r>
    </w:p>
    <w:p w14:paraId="57BB1DCD"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六、基金收益分配中发生的费用</w:t>
      </w:r>
    </w:p>
    <w:p w14:paraId="4073365C"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同一类别的基金份额。红利再投资的计算方法，依照《业务规则》执行。</w:t>
      </w:r>
    </w:p>
    <w:p w14:paraId="1EF94F0D" w14:textId="77777777" w:rsidR="009A7A59" w:rsidRDefault="00000000">
      <w:pPr>
        <w:spacing w:line="360" w:lineRule="auto"/>
        <w:ind w:firstLineChars="200" w:firstLine="422"/>
        <w:rPr>
          <w:rFonts w:ascii="Arial Unicode MS" w:hAnsi="Arial Unicode MS" w:hint="eastAsia"/>
          <w:b/>
          <w:bCs/>
          <w:szCs w:val="21"/>
        </w:rPr>
      </w:pPr>
      <w:bookmarkStart w:id="81" w:name="_Toc317088547"/>
      <w:bookmarkStart w:id="82" w:name="_Toc335232701"/>
      <w:bookmarkStart w:id="83" w:name="_Toc21073401"/>
      <w:bookmarkStart w:id="84" w:name="_Toc147463128"/>
      <w:bookmarkStart w:id="85" w:name="_Toc320887652"/>
      <w:bookmarkStart w:id="86" w:name="_Toc214873602"/>
      <w:bookmarkStart w:id="87" w:name="_Toc12357181"/>
      <w:bookmarkStart w:id="88" w:name="_Toc317088150"/>
      <w:r>
        <w:rPr>
          <w:rFonts w:ascii="Arial Unicode MS" w:hAnsi="Arial Unicode MS" w:hint="eastAsia"/>
          <w:b/>
          <w:bCs/>
          <w:szCs w:val="21"/>
        </w:rPr>
        <w:t>七、实施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期间的收益分配</w:t>
      </w:r>
      <w:r>
        <w:rPr>
          <w:rFonts w:ascii="Arial Unicode MS" w:hAnsi="Arial Unicode MS"/>
          <w:b/>
          <w:bCs/>
          <w:szCs w:val="21"/>
        </w:rPr>
        <w:t xml:space="preserve"> </w:t>
      </w:r>
    </w:p>
    <w:p w14:paraId="5D5A6137" w14:textId="77777777" w:rsidR="009A7A59" w:rsidRDefault="00000000">
      <w:pPr>
        <w:spacing w:line="360" w:lineRule="auto"/>
        <w:ind w:right="420" w:firstLineChars="200" w:firstLine="420"/>
        <w:rPr>
          <w:rFonts w:ascii="Arial Unicode MS" w:hAnsi="Arial Unicode MS" w:hint="eastAsia"/>
          <w:bCs/>
          <w:szCs w:val="21"/>
        </w:rPr>
      </w:pPr>
      <w:r>
        <w:rPr>
          <w:rFonts w:ascii="Arial Unicode MS" w:hAnsi="Arial Unicode MS" w:hint="eastAsia"/>
          <w:bCs/>
          <w:szCs w:val="21"/>
        </w:rPr>
        <w:lastRenderedPageBreak/>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w:t>
      </w:r>
      <w:proofErr w:type="gramStart"/>
      <w:r>
        <w:rPr>
          <w:rFonts w:ascii="Arial Unicode MS" w:hAnsi="Arial Unicode MS" w:hint="eastAsia"/>
          <w:bCs/>
          <w:szCs w:val="21"/>
        </w:rPr>
        <w:t>侧袋账户</w:t>
      </w:r>
      <w:proofErr w:type="gramEnd"/>
      <w:r>
        <w:rPr>
          <w:rFonts w:ascii="Arial Unicode MS" w:hAnsi="Arial Unicode MS" w:hint="eastAsia"/>
          <w:bCs/>
          <w:szCs w:val="21"/>
        </w:rPr>
        <w:t>不进行收益分配，详见招募说明书的规定。</w:t>
      </w:r>
    </w:p>
    <w:p w14:paraId="6F505D5C" w14:textId="77777777" w:rsidR="009A7A59" w:rsidRDefault="009A7A59">
      <w:pPr>
        <w:snapToGrid w:val="0"/>
        <w:spacing w:line="360" w:lineRule="auto"/>
        <w:ind w:firstLineChars="200" w:firstLine="420"/>
        <w:rPr>
          <w:rFonts w:ascii="Arial Unicode MS" w:hAnsi="Arial Unicode MS" w:hint="eastAsia"/>
          <w:bCs/>
          <w:szCs w:val="21"/>
        </w:rPr>
        <w:sectPr w:rsidR="009A7A59">
          <w:pgSz w:w="11906" w:h="16838"/>
          <w:pgMar w:top="1440" w:right="1800" w:bottom="1440" w:left="1800" w:header="851" w:footer="992" w:gutter="0"/>
          <w:cols w:space="720"/>
          <w:titlePg/>
          <w:docGrid w:linePitch="312"/>
        </w:sectPr>
      </w:pPr>
    </w:p>
    <w:p w14:paraId="791A7F37" w14:textId="77777777" w:rsidR="009A7A59" w:rsidRDefault="00000000">
      <w:pPr>
        <w:pStyle w:val="11"/>
        <w:snapToGrid w:val="0"/>
        <w:spacing w:before="0" w:after="0" w:line="360" w:lineRule="auto"/>
        <w:rPr>
          <w:rFonts w:ascii="Arial Unicode MS" w:eastAsia="宋体" w:hAnsi="Arial Unicode MS" w:cs="Arial" w:hint="eastAsia"/>
          <w:b/>
          <w:bCs/>
          <w:sz w:val="28"/>
          <w:szCs w:val="28"/>
        </w:rPr>
      </w:pPr>
      <w:bookmarkStart w:id="89" w:name="_Toc6367644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088F574C" w14:textId="77777777" w:rsidR="009A7A59" w:rsidRDefault="009A7A59"/>
    <w:p w14:paraId="7E14AAE3"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b/>
          <w:bCs/>
          <w:szCs w:val="21"/>
        </w:rPr>
        <w:t>一、基金费用的种类</w:t>
      </w:r>
    </w:p>
    <w:p w14:paraId="79ECD413"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D90E8CC"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731A55DB"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w:t>
      </w:r>
      <w:r>
        <w:rPr>
          <w:rFonts w:ascii="Arial Unicode MS" w:hAnsi="Arial Unicode MS" w:hint="eastAsia"/>
          <w:bCs/>
          <w:szCs w:val="21"/>
        </w:rPr>
        <w:t>C</w:t>
      </w:r>
      <w:r>
        <w:rPr>
          <w:rFonts w:ascii="Arial Unicode MS" w:hAnsi="Arial Unicode MS" w:hint="eastAsia"/>
          <w:bCs/>
          <w:szCs w:val="21"/>
        </w:rPr>
        <w:t>类基金份额的销售服务费；</w:t>
      </w:r>
    </w:p>
    <w:p w14:paraId="0B3F9262"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、《基金合同》生效后与基金相关的信息披露费用；</w:t>
      </w:r>
    </w:p>
    <w:p w14:paraId="20DF7CE4"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、《基金合同》生效后与基金相关的会计师费、律师费、诉讼费和仲裁费；</w:t>
      </w:r>
    </w:p>
    <w:p w14:paraId="38C6EEA7"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、基金份额持有人大会费用；</w:t>
      </w:r>
    </w:p>
    <w:p w14:paraId="42BE3C82"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、基金的证券交易费用；</w:t>
      </w:r>
    </w:p>
    <w:p w14:paraId="172417C7"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8</w:t>
      </w:r>
      <w:r>
        <w:rPr>
          <w:rFonts w:ascii="Arial Unicode MS" w:hAnsi="Arial Unicode MS" w:hint="eastAsia"/>
          <w:bCs/>
          <w:szCs w:val="21"/>
        </w:rPr>
        <w:t>、基金的银行汇划费用；</w:t>
      </w:r>
    </w:p>
    <w:p w14:paraId="5EB0EAE2"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9</w:t>
      </w:r>
      <w:r>
        <w:rPr>
          <w:rFonts w:ascii="Arial Unicode MS" w:hAnsi="Arial Unicode MS" w:hint="eastAsia"/>
          <w:bCs/>
          <w:szCs w:val="21"/>
        </w:rPr>
        <w:t>、基金的开户费用、账户维护费用；</w:t>
      </w:r>
    </w:p>
    <w:p w14:paraId="442FC5C8"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10</w:t>
      </w:r>
      <w:r>
        <w:rPr>
          <w:rFonts w:ascii="Arial Unicode MS" w:hAnsi="Arial Unicode MS" w:hint="eastAsia"/>
          <w:bCs/>
          <w:szCs w:val="21"/>
        </w:rPr>
        <w:t>、按照国家有关规定和《基金合同》约定，可以在基金财产中列支的其他费用。</w:t>
      </w:r>
    </w:p>
    <w:p w14:paraId="77C34FC9"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b/>
          <w:bCs/>
          <w:szCs w:val="21"/>
        </w:rPr>
        <w:t>二、基金费用计提方法、计提标准和支付方式</w:t>
      </w:r>
    </w:p>
    <w:p w14:paraId="1AD8D2D3"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B1CA56C"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本基金的管理费按前一日基金资产净值的</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年费率计提。管理费的计算方法如下：</w:t>
      </w:r>
    </w:p>
    <w:p w14:paraId="6502DF9F"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÷当年天数</w:t>
      </w:r>
    </w:p>
    <w:p w14:paraId="3A49CA3A"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为每日应计提的基金管理费</w:t>
      </w:r>
    </w:p>
    <w:p w14:paraId="3BDFE963"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18095E66"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基金管理费每日计算，逐日累计至每月月末，按月支付，由基金托管人根据与基金管理人核对一致的财务数据，自动在月初</w:t>
      </w:r>
      <w:r>
        <w:rPr>
          <w:rFonts w:ascii="Arial Unicode MS" w:hAnsi="Arial Unicode MS" w:hint="eastAsia"/>
          <w:bCs/>
          <w:szCs w:val="21"/>
        </w:rPr>
        <w:t>5</w:t>
      </w:r>
      <w:proofErr w:type="gramStart"/>
      <w:r>
        <w:rPr>
          <w:rFonts w:ascii="Arial Unicode MS" w:hAnsi="Arial Unicode MS" w:hint="eastAsia"/>
          <w:bCs/>
          <w:szCs w:val="21"/>
        </w:rPr>
        <w:t>个</w:t>
      </w:r>
      <w:proofErr w:type="gramEnd"/>
      <w:r>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3A7723F4"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07AB2AA0"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本基金的托管费按前一日基金资产净值的</w:t>
      </w:r>
      <w:r>
        <w:rPr>
          <w:rFonts w:ascii="Arial Unicode MS" w:hAnsi="Arial Unicode MS" w:hint="eastAsia"/>
          <w:bCs/>
          <w:szCs w:val="21"/>
        </w:rPr>
        <w:t>0.10%</w:t>
      </w:r>
      <w:r>
        <w:rPr>
          <w:rFonts w:ascii="Arial Unicode MS" w:hAnsi="Arial Unicode MS" w:hint="eastAsia"/>
          <w:bCs/>
          <w:szCs w:val="21"/>
        </w:rPr>
        <w:t>的年费率计提。托管费的计算方法如下：</w:t>
      </w:r>
    </w:p>
    <w:p w14:paraId="4C8EED94"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0.10%</w:t>
      </w:r>
      <w:r>
        <w:rPr>
          <w:rFonts w:ascii="Arial Unicode MS" w:hAnsi="Arial Unicode MS" w:hint="eastAsia"/>
          <w:bCs/>
          <w:szCs w:val="21"/>
        </w:rPr>
        <w:t>÷当年天数</w:t>
      </w:r>
    </w:p>
    <w:p w14:paraId="223D1C1C"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lastRenderedPageBreak/>
        <w:t>H</w:t>
      </w:r>
      <w:r>
        <w:rPr>
          <w:rFonts w:ascii="Arial Unicode MS" w:hAnsi="Arial Unicode MS" w:hint="eastAsia"/>
          <w:bCs/>
          <w:szCs w:val="21"/>
        </w:rPr>
        <w:t>为每日应计提的基金托管费</w:t>
      </w:r>
    </w:p>
    <w:p w14:paraId="1D6C33BE"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5B09C422"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基金托管费每日计算，逐日累计至每月月末，按月支付，由基金托管人根据与基金管理人核对一致的财务数据，自动在月初</w:t>
      </w:r>
      <w:r>
        <w:rPr>
          <w:rFonts w:ascii="Arial Unicode MS" w:hAnsi="Arial Unicode MS" w:hint="eastAsia"/>
          <w:bCs/>
          <w:szCs w:val="21"/>
        </w:rPr>
        <w:t>5</w:t>
      </w:r>
      <w:proofErr w:type="gramStart"/>
      <w:r>
        <w:rPr>
          <w:rFonts w:ascii="Arial Unicode MS" w:hAnsi="Arial Unicode MS" w:hint="eastAsia"/>
          <w:bCs/>
          <w:szCs w:val="21"/>
        </w:rPr>
        <w:t>个</w:t>
      </w:r>
      <w:proofErr w:type="gramEnd"/>
      <w:r>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7E7A70FE"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w:t>
      </w:r>
      <w:r>
        <w:rPr>
          <w:rFonts w:ascii="Arial Unicode MS" w:hAnsi="Arial Unicode MS" w:hint="eastAsia"/>
          <w:bCs/>
          <w:szCs w:val="21"/>
        </w:rPr>
        <w:t>C</w:t>
      </w:r>
      <w:r>
        <w:rPr>
          <w:rFonts w:ascii="Arial Unicode MS" w:hAnsi="Arial Unicode MS" w:hint="eastAsia"/>
          <w:bCs/>
          <w:szCs w:val="21"/>
        </w:rPr>
        <w:t>类基金份额的销售服务费</w:t>
      </w:r>
    </w:p>
    <w:p w14:paraId="3A4DB397"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w:t>
      </w:r>
      <w:r>
        <w:rPr>
          <w:rFonts w:ascii="Arial Unicode MS" w:hAnsi="Arial Unicode MS" w:hint="eastAsia"/>
          <w:bCs/>
          <w:szCs w:val="21"/>
        </w:rPr>
        <w:t>A</w:t>
      </w:r>
      <w:r>
        <w:rPr>
          <w:rFonts w:ascii="Arial Unicode MS" w:hAnsi="Arial Unicode MS" w:hint="eastAsia"/>
          <w:bCs/>
          <w:szCs w:val="21"/>
        </w:rPr>
        <w:t>类基金份额不收取销售服务费，</w:t>
      </w:r>
      <w:r>
        <w:rPr>
          <w:rFonts w:ascii="Arial Unicode MS" w:hAnsi="Arial Unicode MS" w:hint="eastAsia"/>
          <w:bCs/>
          <w:szCs w:val="21"/>
        </w:rPr>
        <w:t>C</w:t>
      </w:r>
      <w:r>
        <w:rPr>
          <w:rFonts w:ascii="Arial Unicode MS" w:hAnsi="Arial Unicode MS" w:hint="eastAsia"/>
          <w:bCs/>
          <w:szCs w:val="21"/>
        </w:rPr>
        <w:t>类基金份额的销售服务费年费率为</w:t>
      </w:r>
      <w:r>
        <w:rPr>
          <w:rFonts w:ascii="Arial Unicode MS" w:hAnsi="Arial Unicode MS" w:hint="eastAsia"/>
          <w:bCs/>
          <w:szCs w:val="21"/>
        </w:rPr>
        <w:t>0.20%</w:t>
      </w:r>
      <w:r>
        <w:rPr>
          <w:rFonts w:ascii="Arial Unicode MS" w:hAnsi="Arial Unicode MS" w:hint="eastAsia"/>
          <w:bCs/>
          <w:szCs w:val="21"/>
        </w:rPr>
        <w:t>。</w:t>
      </w:r>
    </w:p>
    <w:p w14:paraId="51EF704F"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本基金销售服务费将专门用于本基金的销售与基金份额持有人服务，销售服务费计提的计算公式如下：</w:t>
      </w:r>
      <w:r>
        <w:rPr>
          <w:rFonts w:ascii="Arial Unicode MS" w:hAnsi="Arial Unicode MS" w:hint="eastAsia"/>
          <w:bCs/>
          <w:szCs w:val="21"/>
        </w:rPr>
        <w:t xml:space="preserve"> </w:t>
      </w:r>
    </w:p>
    <w:p w14:paraId="69B47956"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H=E</w:t>
      </w:r>
      <w:r>
        <w:rPr>
          <w:rFonts w:ascii="Arial Unicode MS" w:hAnsi="Arial Unicode MS" w:hint="eastAsia"/>
          <w:bCs/>
          <w:szCs w:val="21"/>
        </w:rPr>
        <w:t>×</w:t>
      </w:r>
      <w:r>
        <w:rPr>
          <w:rFonts w:ascii="Arial Unicode MS" w:hAnsi="Arial Unicode MS" w:hint="eastAsia"/>
          <w:bCs/>
          <w:szCs w:val="21"/>
        </w:rPr>
        <w:t>0.20%</w:t>
      </w:r>
      <w:r>
        <w:rPr>
          <w:rFonts w:ascii="Arial Unicode MS" w:hAnsi="Arial Unicode MS" w:hint="eastAsia"/>
          <w:bCs/>
          <w:szCs w:val="21"/>
        </w:rPr>
        <w:t>÷当年天数</w:t>
      </w:r>
    </w:p>
    <w:p w14:paraId="4B9FD4FF"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H</w:t>
      </w:r>
      <w:r>
        <w:rPr>
          <w:rFonts w:ascii="Arial Unicode MS" w:hAnsi="Arial Unicode MS" w:hint="eastAsia"/>
          <w:bCs/>
          <w:szCs w:val="21"/>
        </w:rPr>
        <w:t>为</w:t>
      </w:r>
      <w:r>
        <w:rPr>
          <w:rFonts w:ascii="Arial Unicode MS" w:hAnsi="Arial Unicode MS" w:hint="eastAsia"/>
          <w:bCs/>
          <w:szCs w:val="21"/>
        </w:rPr>
        <w:t>C</w:t>
      </w:r>
      <w:r>
        <w:rPr>
          <w:rFonts w:ascii="Arial Unicode MS" w:hAnsi="Arial Unicode MS" w:hint="eastAsia"/>
          <w:bCs/>
          <w:szCs w:val="21"/>
        </w:rPr>
        <w:t>类基金份额每日应计提的销售服务费</w:t>
      </w:r>
    </w:p>
    <w:p w14:paraId="4DBB2509"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E</w:t>
      </w:r>
      <w:r>
        <w:rPr>
          <w:rFonts w:ascii="Arial Unicode MS" w:hAnsi="Arial Unicode MS" w:hint="eastAsia"/>
          <w:bCs/>
          <w:szCs w:val="21"/>
        </w:rPr>
        <w:t>为</w:t>
      </w:r>
      <w:r>
        <w:rPr>
          <w:rFonts w:ascii="Arial Unicode MS" w:hAnsi="Arial Unicode MS" w:hint="eastAsia"/>
          <w:bCs/>
          <w:szCs w:val="21"/>
        </w:rPr>
        <w:t>C</w:t>
      </w:r>
      <w:r>
        <w:rPr>
          <w:rFonts w:ascii="Arial Unicode MS" w:hAnsi="Arial Unicode MS" w:hint="eastAsia"/>
          <w:bCs/>
          <w:szCs w:val="21"/>
        </w:rPr>
        <w:t>类基金份额前一日基金资产净值</w:t>
      </w:r>
    </w:p>
    <w:p w14:paraId="2A9DA19B"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基金销售服务费每日计算，逐日累计至每月月末，按月支付，由基金托管人根据与基金管理人核对一致的财务数据，自动在月初</w:t>
      </w:r>
      <w:r>
        <w:rPr>
          <w:rFonts w:ascii="Arial Unicode MS" w:hAnsi="Arial Unicode MS" w:hint="eastAsia"/>
          <w:bCs/>
          <w:szCs w:val="21"/>
        </w:rPr>
        <w:t>5</w:t>
      </w:r>
      <w:proofErr w:type="gramStart"/>
      <w:r>
        <w:rPr>
          <w:rFonts w:ascii="Arial Unicode MS" w:hAnsi="Arial Unicode MS" w:hint="eastAsia"/>
          <w:bCs/>
          <w:szCs w:val="21"/>
        </w:rPr>
        <w:t>个</w:t>
      </w:r>
      <w:proofErr w:type="gramEnd"/>
      <w:r>
        <w:rPr>
          <w:rFonts w:ascii="Arial Unicode MS" w:hAnsi="Arial Unicode MS" w:hint="eastAsia"/>
          <w:bCs/>
          <w:szCs w:val="21"/>
        </w:rPr>
        <w:t>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78F21FEA"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自</w:t>
      </w:r>
      <w:r>
        <w:rPr>
          <w:rFonts w:ascii="Arial Unicode MS" w:hAnsi="Arial Unicode MS" w:hint="eastAsia"/>
          <w:bCs/>
          <w:szCs w:val="21"/>
        </w:rPr>
        <w:t>2024</w:t>
      </w:r>
      <w:r>
        <w:rPr>
          <w:rFonts w:ascii="Arial Unicode MS" w:hAnsi="Arial Unicode MS" w:hint="eastAsia"/>
          <w:bCs/>
          <w:szCs w:val="21"/>
        </w:rPr>
        <w:t>年</w:t>
      </w:r>
      <w:r>
        <w:rPr>
          <w:rFonts w:ascii="Arial Unicode MS" w:hAnsi="Arial Unicode MS" w:hint="eastAsia"/>
          <w:bCs/>
          <w:szCs w:val="21"/>
        </w:rPr>
        <w:t>7</w:t>
      </w:r>
      <w:r>
        <w:rPr>
          <w:rFonts w:ascii="Arial Unicode MS" w:hAnsi="Arial Unicode MS" w:hint="eastAsia"/>
          <w:bCs/>
          <w:szCs w:val="21"/>
        </w:rPr>
        <w:t>月</w:t>
      </w:r>
      <w:r>
        <w:rPr>
          <w:rFonts w:ascii="Arial Unicode MS" w:hAnsi="Arial Unicode MS" w:hint="eastAsia"/>
          <w:bCs/>
          <w:szCs w:val="21"/>
        </w:rPr>
        <w:t>25</w:t>
      </w:r>
      <w:r>
        <w:rPr>
          <w:rFonts w:ascii="Arial Unicode MS" w:hAnsi="Arial Unicode MS" w:hint="eastAsia"/>
          <w:bCs/>
          <w:szCs w:val="21"/>
        </w:rPr>
        <w:t>日起，</w:t>
      </w:r>
      <w:r>
        <w:rPr>
          <w:rFonts w:ascii="Arial Unicode MS" w:hAnsi="Arial Unicode MS" w:hint="eastAsia"/>
          <w:bCs/>
          <w:szCs w:val="21"/>
        </w:rPr>
        <w:t>C</w:t>
      </w:r>
      <w:r>
        <w:rPr>
          <w:rFonts w:ascii="Arial Unicode MS" w:hAnsi="Arial Unicode MS" w:hint="eastAsia"/>
          <w:bCs/>
          <w:szCs w:val="21"/>
        </w:rPr>
        <w:t>类基金份额销售服务费优惠费率为</w:t>
      </w:r>
      <w:r>
        <w:rPr>
          <w:rFonts w:ascii="Arial Unicode MS" w:hAnsi="Arial Unicode MS" w:hint="eastAsia"/>
          <w:bCs/>
          <w:szCs w:val="21"/>
        </w:rPr>
        <w:t>0.10%</w:t>
      </w:r>
      <w:r>
        <w:rPr>
          <w:rFonts w:ascii="Arial Unicode MS" w:hAnsi="Arial Unicode MS" w:hint="eastAsia"/>
          <w:bCs/>
          <w:szCs w:val="21"/>
        </w:rPr>
        <w:t>，优惠活动结束时间另行公告。</w:t>
      </w:r>
    </w:p>
    <w:p w14:paraId="20B62A77"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上述“一、基金费用的种类”中第</w:t>
      </w:r>
      <w:r>
        <w:rPr>
          <w:rFonts w:ascii="Arial Unicode MS" w:hAnsi="Arial Unicode MS" w:hint="eastAsia"/>
          <w:bCs/>
          <w:szCs w:val="21"/>
        </w:rPr>
        <w:t>4</w:t>
      </w: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项费用，根据有关法规及相应协议规定，按费用实际支出金额列入当期费用，由基金托管人从基金财产中支付。</w:t>
      </w:r>
    </w:p>
    <w:p w14:paraId="0787D01B"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b/>
          <w:bCs/>
          <w:szCs w:val="21"/>
        </w:rPr>
        <w:t>三、不列入基金费用的项目</w:t>
      </w:r>
    </w:p>
    <w:p w14:paraId="00474A1E"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下列费用不列入基金费用：</w:t>
      </w:r>
    </w:p>
    <w:p w14:paraId="49F31E1D"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、基金管理人和基金托管人因未履行或未完全履行义务导致的费用支出或基金财产的损失；</w:t>
      </w:r>
    </w:p>
    <w:p w14:paraId="0ED727BD"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、基金管理人和基金托管人处理与基金运作无关的事项发生的费用；</w:t>
      </w:r>
    </w:p>
    <w:p w14:paraId="6F1C406B"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、《基金合同》生效前的相关费用；</w:t>
      </w:r>
    </w:p>
    <w:p w14:paraId="29E04302"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、其他根据相关法律法规及中国证监会的有关规定不得列入基金费用的项目。</w:t>
      </w:r>
    </w:p>
    <w:p w14:paraId="1B775A34"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四、实施</w:t>
      </w:r>
      <w:proofErr w:type="gramStart"/>
      <w:r>
        <w:rPr>
          <w:rFonts w:ascii="Arial Unicode MS" w:hAnsi="Arial Unicode MS" w:hint="eastAsia"/>
          <w:b/>
          <w:bCs/>
          <w:szCs w:val="21"/>
        </w:rPr>
        <w:t>侧袋机制</w:t>
      </w:r>
      <w:proofErr w:type="gramEnd"/>
      <w:r>
        <w:rPr>
          <w:rFonts w:ascii="Arial Unicode MS" w:hAnsi="Arial Unicode MS" w:hint="eastAsia"/>
          <w:b/>
          <w:bCs/>
          <w:szCs w:val="21"/>
        </w:rPr>
        <w:t>期间的基金费用</w:t>
      </w:r>
    </w:p>
    <w:p w14:paraId="4CCC3264"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hint="eastAsia"/>
          <w:bCs/>
          <w:szCs w:val="21"/>
        </w:rPr>
        <w:lastRenderedPageBreak/>
        <w:t>本基金实施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的，</w:t>
      </w:r>
      <w:proofErr w:type="gramStart"/>
      <w:r>
        <w:rPr>
          <w:rFonts w:ascii="Arial Unicode MS" w:hAnsi="Arial Unicode MS" w:hint="eastAsia"/>
          <w:bCs/>
          <w:szCs w:val="21"/>
        </w:rPr>
        <w:t>与侧袋账户</w:t>
      </w:r>
      <w:proofErr w:type="gramEnd"/>
      <w:r>
        <w:rPr>
          <w:rFonts w:ascii="Arial Unicode MS" w:hAnsi="Arial Unicode MS" w:hint="eastAsia"/>
          <w:bCs/>
          <w:szCs w:val="21"/>
        </w:rPr>
        <w:t>有关的费用可以</w:t>
      </w:r>
      <w:proofErr w:type="gramStart"/>
      <w:r>
        <w:rPr>
          <w:rFonts w:ascii="Arial Unicode MS" w:hAnsi="Arial Unicode MS" w:hint="eastAsia"/>
          <w:bCs/>
          <w:szCs w:val="21"/>
        </w:rPr>
        <w:t>从侧袋账户</w:t>
      </w:r>
      <w:proofErr w:type="gramEnd"/>
      <w:r>
        <w:rPr>
          <w:rFonts w:ascii="Arial Unicode MS" w:hAnsi="Arial Unicode MS" w:hint="eastAsia"/>
          <w:bCs/>
          <w:szCs w:val="21"/>
        </w:rPr>
        <w:t>中列支，但应</w:t>
      </w:r>
      <w:proofErr w:type="gramStart"/>
      <w:r>
        <w:rPr>
          <w:rFonts w:ascii="Arial Unicode MS" w:hAnsi="Arial Unicode MS" w:hint="eastAsia"/>
          <w:bCs/>
          <w:szCs w:val="21"/>
        </w:rPr>
        <w:t>待侧袋</w:t>
      </w:r>
      <w:proofErr w:type="gramEnd"/>
      <w:r>
        <w:rPr>
          <w:rFonts w:ascii="Arial Unicode MS" w:hAnsi="Arial Unicode MS" w:hint="eastAsia"/>
          <w:bCs/>
          <w:szCs w:val="21"/>
        </w:rPr>
        <w:t>账户资产变现后方可列支。</w:t>
      </w:r>
      <w:proofErr w:type="gramStart"/>
      <w:r>
        <w:rPr>
          <w:rFonts w:ascii="Arial Unicode MS" w:hAnsi="Arial Unicode MS" w:hint="eastAsia"/>
          <w:bCs/>
          <w:szCs w:val="21"/>
        </w:rPr>
        <w:t>侧袋账户</w:t>
      </w:r>
      <w:proofErr w:type="gramEnd"/>
      <w:r>
        <w:rPr>
          <w:rFonts w:ascii="Arial Unicode MS" w:hAnsi="Arial Unicode MS" w:hint="eastAsia"/>
          <w:bCs/>
          <w:szCs w:val="21"/>
        </w:rPr>
        <w:t>资产不收取管理费，其他费用详见招募说明书“侧袋机制”部分的规定。</w:t>
      </w:r>
    </w:p>
    <w:p w14:paraId="50B5F454"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hint="eastAsia"/>
          <w:b/>
          <w:bCs/>
          <w:szCs w:val="21"/>
        </w:rPr>
        <w:t>五</w:t>
      </w:r>
      <w:r>
        <w:rPr>
          <w:rFonts w:ascii="Arial Unicode MS" w:hAnsi="Arial Unicode MS"/>
          <w:b/>
          <w:bCs/>
          <w:szCs w:val="21"/>
        </w:rPr>
        <w:t>、基金税收</w:t>
      </w:r>
    </w:p>
    <w:p w14:paraId="6F6B17B9"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本基金运作过程中涉及的各纳税主体，其纳税义务按国家税收法律、法规执行。</w:t>
      </w:r>
      <w:r>
        <w:rPr>
          <w:rFonts w:ascii="Arial Unicode MS" w:hAnsi="Arial Unicode MS" w:hint="eastAsia"/>
          <w:bCs/>
          <w:szCs w:val="21"/>
        </w:rPr>
        <w:t>基金财产投资的相关税收，由基金份额持有人承担，基金管理人或者其他扣缴义务人按照国家有关税收征收的规定代扣代缴。</w:t>
      </w:r>
    </w:p>
    <w:p w14:paraId="7A7A12E8" w14:textId="77777777" w:rsidR="009A7A59" w:rsidRDefault="009A7A59">
      <w:pPr>
        <w:spacing w:line="360" w:lineRule="auto"/>
        <w:ind w:firstLineChars="200" w:firstLine="420"/>
        <w:rPr>
          <w:rFonts w:ascii="Arial Unicode MS" w:hAnsi="Arial Unicode MS" w:hint="eastAsia"/>
          <w:bCs/>
          <w:szCs w:val="21"/>
        </w:rPr>
      </w:pPr>
    </w:p>
    <w:p w14:paraId="3834547B" w14:textId="77777777" w:rsidR="009A7A59" w:rsidRDefault="009A7A59">
      <w:pPr>
        <w:spacing w:line="360" w:lineRule="auto"/>
        <w:ind w:firstLineChars="200" w:firstLine="420"/>
        <w:rPr>
          <w:rFonts w:ascii="Arial Unicode MS" w:hAnsi="Arial Unicode MS" w:hint="eastAsia"/>
          <w:bCs/>
          <w:szCs w:val="21"/>
        </w:rPr>
      </w:pPr>
    </w:p>
    <w:p w14:paraId="4A99B272" w14:textId="77777777" w:rsidR="009A7A59" w:rsidRDefault="009A7A59">
      <w:pPr>
        <w:spacing w:line="360" w:lineRule="auto"/>
        <w:ind w:firstLineChars="200" w:firstLine="420"/>
        <w:rPr>
          <w:rFonts w:ascii="Arial Unicode MS" w:hAnsi="Arial Unicode MS" w:hint="eastAsia"/>
          <w:bCs/>
          <w:szCs w:val="21"/>
        </w:rPr>
      </w:pPr>
    </w:p>
    <w:p w14:paraId="42D71E22" w14:textId="77777777" w:rsidR="009A7A59" w:rsidRDefault="009A7A59">
      <w:pPr>
        <w:spacing w:line="360" w:lineRule="auto"/>
        <w:ind w:firstLineChars="200" w:firstLine="420"/>
        <w:rPr>
          <w:rFonts w:ascii="Arial Unicode MS" w:hAnsi="Arial Unicode MS" w:hint="eastAsia"/>
          <w:bCs/>
          <w:szCs w:val="21"/>
        </w:rPr>
      </w:pPr>
    </w:p>
    <w:p w14:paraId="51ABE3A7" w14:textId="77777777" w:rsidR="009A7A59" w:rsidRDefault="009A7A59">
      <w:pPr>
        <w:spacing w:line="360" w:lineRule="auto"/>
        <w:ind w:firstLineChars="200" w:firstLine="420"/>
        <w:rPr>
          <w:rFonts w:ascii="Arial Unicode MS" w:hAnsi="Arial Unicode MS" w:hint="eastAsia"/>
          <w:bCs/>
          <w:szCs w:val="21"/>
        </w:rPr>
      </w:pPr>
    </w:p>
    <w:p w14:paraId="4A496DAF" w14:textId="77777777" w:rsidR="009A7A59" w:rsidRDefault="009A7A59">
      <w:pPr>
        <w:spacing w:line="360" w:lineRule="auto"/>
        <w:ind w:firstLineChars="200" w:firstLine="420"/>
        <w:rPr>
          <w:rFonts w:ascii="Arial Unicode MS" w:hAnsi="Arial Unicode MS" w:hint="eastAsia"/>
          <w:bCs/>
          <w:szCs w:val="21"/>
        </w:rPr>
      </w:pPr>
    </w:p>
    <w:p w14:paraId="7E01C19D" w14:textId="77777777" w:rsidR="009A7A59" w:rsidRDefault="00000000">
      <w:pPr>
        <w:widowControl/>
        <w:jc w:val="left"/>
        <w:rPr>
          <w:rFonts w:ascii="Arial Unicode MS" w:hAnsi="Arial Unicode MS" w:hint="eastAsia"/>
          <w:bCs/>
          <w:szCs w:val="21"/>
        </w:rPr>
      </w:pPr>
      <w:r>
        <w:rPr>
          <w:rFonts w:ascii="Arial Unicode MS" w:hAnsi="Arial Unicode MS"/>
          <w:bCs/>
          <w:szCs w:val="21"/>
        </w:rPr>
        <w:br w:type="page"/>
      </w:r>
    </w:p>
    <w:p w14:paraId="246DAB95" w14:textId="77777777" w:rsidR="009A7A59" w:rsidRDefault="00000000">
      <w:pPr>
        <w:pStyle w:val="11"/>
        <w:snapToGrid w:val="0"/>
        <w:spacing w:before="0" w:after="0" w:line="360" w:lineRule="auto"/>
        <w:ind w:firstLine="422"/>
        <w:rPr>
          <w:rFonts w:ascii="Arial Unicode MS" w:eastAsia="宋体" w:hAnsi="Arial Unicode MS" w:cs="Arial" w:hint="eastAsia"/>
          <w:b/>
          <w:bCs/>
          <w:sz w:val="28"/>
          <w:szCs w:val="28"/>
        </w:rPr>
      </w:pPr>
      <w:bookmarkStart w:id="90" w:name="_Hlt88827255"/>
      <w:bookmarkStart w:id="91" w:name="_Toc317088151"/>
      <w:bookmarkStart w:id="92" w:name="_Toc320887653"/>
      <w:bookmarkStart w:id="93" w:name="_Toc214873603"/>
      <w:bookmarkStart w:id="94" w:name="_Toc63676449"/>
      <w:bookmarkStart w:id="95" w:name="_Toc335232702"/>
      <w:bookmarkStart w:id="96" w:name="_Toc317088548"/>
      <w:bookmarkEnd w:id="90"/>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1E5C3D3C" w14:textId="77777777" w:rsidR="009A7A59" w:rsidRDefault="009A7A59"/>
    <w:p w14:paraId="53A5F2EC" w14:textId="77777777" w:rsidR="009A7A59" w:rsidRDefault="00000000">
      <w:pPr>
        <w:spacing w:line="360" w:lineRule="auto"/>
        <w:ind w:firstLineChars="200" w:firstLine="422"/>
        <w:rPr>
          <w:rFonts w:ascii="Arial Unicode MS" w:hAnsi="Arial Unicode MS" w:hint="eastAsia"/>
          <w:b/>
          <w:bCs/>
          <w:szCs w:val="21"/>
        </w:rPr>
      </w:pPr>
      <w:bookmarkStart w:id="97" w:name="_Toc79978642"/>
      <w:bookmarkStart w:id="98" w:name="_Toc214873604"/>
      <w:r>
        <w:rPr>
          <w:rFonts w:ascii="Arial Unicode MS" w:hAnsi="Arial Unicode MS"/>
          <w:b/>
          <w:bCs/>
          <w:szCs w:val="21"/>
        </w:rPr>
        <w:t>一、基金会计政策</w:t>
      </w:r>
    </w:p>
    <w:p w14:paraId="2065368E"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bCs/>
          <w:szCs w:val="21"/>
        </w:rPr>
        <w:t>、基金管理人为本基金的基金会计责任方；</w:t>
      </w:r>
    </w:p>
    <w:p w14:paraId="65EAB1DC"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bCs/>
          <w:szCs w:val="21"/>
        </w:rPr>
        <w:t>、基金的会计年度为公历年度的</w:t>
      </w:r>
      <w:r>
        <w:rPr>
          <w:rFonts w:ascii="Arial Unicode MS" w:hAnsi="Arial Unicode MS"/>
          <w:bCs/>
          <w:szCs w:val="21"/>
        </w:rPr>
        <w:t>1</w:t>
      </w:r>
      <w:r>
        <w:rPr>
          <w:rFonts w:ascii="Arial Unicode MS" w:hAnsi="Arial Unicode MS"/>
          <w:bCs/>
          <w:szCs w:val="21"/>
        </w:rPr>
        <w:t>月</w:t>
      </w:r>
      <w:r>
        <w:rPr>
          <w:rFonts w:ascii="Arial Unicode MS" w:hAnsi="Arial Unicode MS"/>
          <w:bCs/>
          <w:szCs w:val="21"/>
        </w:rPr>
        <w:t>1</w:t>
      </w:r>
      <w:r>
        <w:rPr>
          <w:rFonts w:ascii="Arial Unicode MS" w:hAnsi="Arial Unicode MS"/>
          <w:bCs/>
          <w:szCs w:val="21"/>
        </w:rPr>
        <w:t>日至</w:t>
      </w:r>
      <w:r>
        <w:rPr>
          <w:rFonts w:ascii="Arial Unicode MS" w:hAnsi="Arial Unicode MS"/>
          <w:bCs/>
          <w:szCs w:val="21"/>
        </w:rPr>
        <w:t>12</w:t>
      </w:r>
      <w:r>
        <w:rPr>
          <w:rFonts w:ascii="Arial Unicode MS" w:hAnsi="Arial Unicode MS"/>
          <w:bCs/>
          <w:szCs w:val="21"/>
        </w:rPr>
        <w:t>月</w:t>
      </w:r>
      <w:r>
        <w:rPr>
          <w:rFonts w:ascii="Arial Unicode MS" w:hAnsi="Arial Unicode MS"/>
          <w:bCs/>
          <w:szCs w:val="21"/>
        </w:rPr>
        <w:t>31</w:t>
      </w:r>
      <w:r>
        <w:rPr>
          <w:rFonts w:ascii="Arial Unicode MS" w:hAnsi="Arial Unicode MS"/>
          <w:bCs/>
          <w:szCs w:val="21"/>
        </w:rPr>
        <w:t>日；基金首次募集的会计年度按如下原则：如果《基金合同》生效少于</w:t>
      </w:r>
      <w:r>
        <w:rPr>
          <w:rFonts w:ascii="Arial Unicode MS" w:hAnsi="Arial Unicode MS"/>
          <w:bCs/>
          <w:szCs w:val="21"/>
        </w:rPr>
        <w:t>2</w:t>
      </w:r>
      <w:r>
        <w:rPr>
          <w:rFonts w:ascii="Arial Unicode MS" w:hAnsi="Arial Unicode MS"/>
          <w:bCs/>
          <w:szCs w:val="21"/>
        </w:rPr>
        <w:t>个月，可以并入下一个会计年度</w:t>
      </w:r>
      <w:r>
        <w:rPr>
          <w:rFonts w:ascii="Arial Unicode MS" w:hAnsi="Arial Unicode MS" w:hint="eastAsia"/>
          <w:bCs/>
          <w:szCs w:val="21"/>
        </w:rPr>
        <w:t>披露</w:t>
      </w:r>
      <w:r>
        <w:rPr>
          <w:rFonts w:ascii="Arial Unicode MS" w:hAnsi="Arial Unicode MS"/>
          <w:bCs/>
          <w:szCs w:val="21"/>
        </w:rPr>
        <w:t>；</w:t>
      </w:r>
    </w:p>
    <w:p w14:paraId="77B641AD"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bCs/>
          <w:szCs w:val="21"/>
        </w:rPr>
        <w:t>、基金核算以人民币为记账本位币，以人民币元为记账单位；</w:t>
      </w:r>
    </w:p>
    <w:p w14:paraId="2602743F"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4</w:t>
      </w:r>
      <w:r>
        <w:rPr>
          <w:rFonts w:ascii="Arial Unicode MS" w:hAnsi="Arial Unicode MS"/>
          <w:bCs/>
          <w:szCs w:val="21"/>
        </w:rPr>
        <w:t>、会计制度执行国家有关会计制度；</w:t>
      </w:r>
    </w:p>
    <w:p w14:paraId="47326C07"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5</w:t>
      </w:r>
      <w:r>
        <w:rPr>
          <w:rFonts w:ascii="Arial Unicode MS" w:hAnsi="Arial Unicode MS"/>
          <w:bCs/>
          <w:szCs w:val="21"/>
        </w:rPr>
        <w:t>、本基金独立建账、独立核算；</w:t>
      </w:r>
    </w:p>
    <w:p w14:paraId="74672BE5"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6</w:t>
      </w:r>
      <w:r>
        <w:rPr>
          <w:rFonts w:ascii="Arial Unicode MS" w:hAnsi="Arial Unicode MS"/>
          <w:bCs/>
          <w:szCs w:val="21"/>
        </w:rPr>
        <w:t>、基金管理人及基金托管人各自保留完整的会计账目、凭证并进行日常的会计核算，按照有关规定编制基金会计报表；</w:t>
      </w:r>
    </w:p>
    <w:p w14:paraId="350BEADA"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7</w:t>
      </w:r>
      <w:r>
        <w:rPr>
          <w:rFonts w:ascii="Arial Unicode MS" w:hAnsi="Arial Unicode MS"/>
          <w:bCs/>
          <w:szCs w:val="21"/>
        </w:rPr>
        <w:t>、基金托管人每月与基金管理人就基金的会计核算、报表编制等进行核对并以书面方式确认。</w:t>
      </w:r>
    </w:p>
    <w:p w14:paraId="253D6E03" w14:textId="77777777" w:rsidR="009A7A59" w:rsidRDefault="00000000">
      <w:pPr>
        <w:spacing w:line="360" w:lineRule="auto"/>
        <w:ind w:firstLineChars="200" w:firstLine="422"/>
        <w:rPr>
          <w:rFonts w:ascii="Arial Unicode MS" w:hAnsi="Arial Unicode MS" w:hint="eastAsia"/>
          <w:b/>
          <w:bCs/>
          <w:szCs w:val="21"/>
        </w:rPr>
      </w:pPr>
      <w:r>
        <w:rPr>
          <w:rFonts w:ascii="Arial Unicode MS" w:hAnsi="Arial Unicode MS"/>
          <w:b/>
          <w:bCs/>
          <w:szCs w:val="21"/>
        </w:rPr>
        <w:t>二、基金的年度审计</w:t>
      </w:r>
    </w:p>
    <w:p w14:paraId="40B22123"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1</w:t>
      </w:r>
      <w:r>
        <w:rPr>
          <w:rFonts w:ascii="Arial Unicode MS" w:hAnsi="Arial Unicode MS"/>
          <w:bCs/>
          <w:szCs w:val="21"/>
        </w:rPr>
        <w:t>、基金管理人聘请与基金管理人、基金托管人相互独立的</w:t>
      </w:r>
      <w:r>
        <w:rPr>
          <w:rFonts w:ascii="Arial Unicode MS" w:hAnsi="Arial Unicode MS" w:hint="eastAsia"/>
          <w:bCs/>
          <w:szCs w:val="21"/>
        </w:rPr>
        <w:t>符合《中华人民共和国证券法》规定</w:t>
      </w:r>
      <w:r>
        <w:rPr>
          <w:rFonts w:ascii="Arial Unicode MS" w:hAnsi="Arial Unicode MS"/>
          <w:bCs/>
          <w:szCs w:val="21"/>
        </w:rPr>
        <w:t>的会计师事务所及其注册会计师对本基金的年度财务报表进行审计。</w:t>
      </w:r>
    </w:p>
    <w:p w14:paraId="0CAE1076"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2</w:t>
      </w:r>
      <w:r>
        <w:rPr>
          <w:rFonts w:ascii="Arial Unicode MS" w:hAnsi="Arial Unicode MS"/>
          <w:bCs/>
          <w:szCs w:val="21"/>
        </w:rPr>
        <w:t>、会计师事务所更换经办注册会计师，应事先征得基金管理人同意。</w:t>
      </w:r>
    </w:p>
    <w:p w14:paraId="0CBA430E"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3</w:t>
      </w:r>
      <w:r>
        <w:rPr>
          <w:rFonts w:ascii="Arial Unicode MS" w:hAnsi="Arial Unicode MS"/>
          <w:bCs/>
          <w:szCs w:val="21"/>
        </w:rPr>
        <w:t>、</w:t>
      </w:r>
      <w:bookmarkStart w:id="99" w:name="_Hlt4221115"/>
      <w:bookmarkEnd w:id="99"/>
      <w:r>
        <w:rPr>
          <w:rFonts w:ascii="Arial Unicode MS" w:hAnsi="Arial Unicode MS"/>
          <w:bCs/>
          <w:szCs w:val="21"/>
        </w:rPr>
        <w:t>基金管理人认为有充足理由更换会计师事务所，须通报基金托管人。更换会计师事务所需在</w:t>
      </w:r>
      <w:r>
        <w:rPr>
          <w:rFonts w:ascii="Arial Unicode MS" w:hAnsi="Arial Unicode MS"/>
          <w:bCs/>
          <w:szCs w:val="21"/>
        </w:rPr>
        <w:t>2</w:t>
      </w:r>
      <w:r>
        <w:rPr>
          <w:rFonts w:ascii="Arial Unicode MS" w:hAnsi="Arial Unicode MS"/>
          <w:bCs/>
          <w:szCs w:val="21"/>
        </w:rPr>
        <w:t>日内在</w:t>
      </w:r>
      <w:r>
        <w:rPr>
          <w:rFonts w:ascii="Arial Unicode MS" w:hAnsi="Arial Unicode MS" w:hint="eastAsia"/>
          <w:bCs/>
          <w:szCs w:val="21"/>
        </w:rPr>
        <w:t>规定媒介</w:t>
      </w:r>
      <w:r>
        <w:rPr>
          <w:rFonts w:ascii="Arial Unicode MS" w:hAnsi="Arial Unicode MS"/>
          <w:bCs/>
          <w:szCs w:val="21"/>
        </w:rPr>
        <w:t>公告。</w:t>
      </w:r>
    </w:p>
    <w:p w14:paraId="60AB2ECD" w14:textId="77777777" w:rsidR="009A7A59" w:rsidRDefault="009A7A59">
      <w:pPr>
        <w:spacing w:line="360" w:lineRule="auto"/>
        <w:ind w:firstLineChars="200" w:firstLine="420"/>
        <w:rPr>
          <w:rFonts w:ascii="Arial Unicode MS" w:hAnsi="Arial Unicode MS" w:hint="eastAsia"/>
          <w:bCs/>
          <w:szCs w:val="21"/>
        </w:rPr>
      </w:pPr>
    </w:p>
    <w:p w14:paraId="222F4996" w14:textId="77777777" w:rsidR="009A7A59" w:rsidRDefault="009A7A59">
      <w:pPr>
        <w:spacing w:line="360" w:lineRule="auto"/>
        <w:ind w:firstLineChars="200" w:firstLine="420"/>
        <w:rPr>
          <w:rFonts w:ascii="Arial Unicode MS" w:hAnsi="Arial Unicode MS" w:hint="eastAsia"/>
          <w:bCs/>
          <w:szCs w:val="21"/>
        </w:rPr>
      </w:pPr>
    </w:p>
    <w:p w14:paraId="0B26D48A" w14:textId="77777777" w:rsidR="009A7A59" w:rsidRDefault="009A7A59">
      <w:pPr>
        <w:spacing w:line="360" w:lineRule="auto"/>
        <w:ind w:firstLineChars="200" w:firstLine="420"/>
        <w:rPr>
          <w:rFonts w:ascii="Arial Unicode MS" w:hAnsi="Arial Unicode MS" w:hint="eastAsia"/>
          <w:bCs/>
          <w:szCs w:val="21"/>
        </w:rPr>
      </w:pPr>
    </w:p>
    <w:p w14:paraId="6BB46BD3" w14:textId="77777777" w:rsidR="009A7A59" w:rsidRDefault="009A7A59">
      <w:pPr>
        <w:spacing w:line="360" w:lineRule="auto"/>
        <w:ind w:firstLineChars="200" w:firstLine="420"/>
        <w:rPr>
          <w:rFonts w:ascii="Arial Unicode MS" w:hAnsi="Arial Unicode MS" w:hint="eastAsia"/>
          <w:bCs/>
          <w:szCs w:val="21"/>
        </w:rPr>
      </w:pPr>
    </w:p>
    <w:p w14:paraId="0399789D" w14:textId="77777777" w:rsidR="009A7A59" w:rsidRDefault="009A7A59">
      <w:pPr>
        <w:spacing w:line="360" w:lineRule="auto"/>
        <w:ind w:firstLineChars="200" w:firstLine="420"/>
        <w:rPr>
          <w:rFonts w:ascii="Arial Unicode MS" w:hAnsi="Arial Unicode MS" w:hint="eastAsia"/>
          <w:bCs/>
          <w:szCs w:val="21"/>
        </w:rPr>
      </w:pPr>
    </w:p>
    <w:p w14:paraId="31B4D55C" w14:textId="77777777" w:rsidR="009A7A59" w:rsidRDefault="00000000">
      <w:pPr>
        <w:widowControl/>
        <w:jc w:val="left"/>
        <w:rPr>
          <w:rFonts w:ascii="Arial Unicode MS" w:hAnsi="Arial Unicode MS" w:hint="eastAsia"/>
          <w:bCs/>
          <w:szCs w:val="21"/>
        </w:rPr>
      </w:pPr>
      <w:r>
        <w:rPr>
          <w:rFonts w:ascii="Arial Unicode MS" w:hAnsi="Arial Unicode MS"/>
          <w:bCs/>
          <w:szCs w:val="21"/>
        </w:rPr>
        <w:br w:type="page"/>
      </w:r>
    </w:p>
    <w:p w14:paraId="0169F85A" w14:textId="77777777" w:rsidR="009A7A59" w:rsidRDefault="00000000">
      <w:pPr>
        <w:pStyle w:val="11"/>
        <w:snapToGrid w:val="0"/>
        <w:spacing w:before="0" w:after="0" w:line="360" w:lineRule="auto"/>
        <w:rPr>
          <w:rFonts w:ascii="Arial Unicode MS" w:eastAsia="宋体" w:hAnsi="Arial Unicode MS" w:hint="eastAsia"/>
          <w:b/>
          <w:sz w:val="28"/>
          <w:szCs w:val="28"/>
        </w:rPr>
      </w:pPr>
      <w:bookmarkStart w:id="100" w:name="_Toc317088549"/>
      <w:bookmarkStart w:id="101" w:name="_Toc320887654"/>
      <w:bookmarkStart w:id="102" w:name="_Toc63676450"/>
      <w:bookmarkStart w:id="103" w:name="_Toc317088152"/>
      <w:bookmarkStart w:id="104" w:name="_Toc335232703"/>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基金的信息披露</w:t>
      </w:r>
      <w:bookmarkEnd w:id="100"/>
      <w:bookmarkEnd w:id="101"/>
      <w:bookmarkEnd w:id="102"/>
      <w:bookmarkEnd w:id="103"/>
      <w:bookmarkEnd w:id="104"/>
    </w:p>
    <w:p w14:paraId="59694493" w14:textId="77777777" w:rsidR="009A7A59" w:rsidRDefault="009A7A59"/>
    <w:p w14:paraId="367897DE"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一、本基金的信息披露应符合《基金法》、《运作办法》、《信息披露办法》、《基金合同》及其他有关规定。</w:t>
      </w:r>
    </w:p>
    <w:p w14:paraId="4B66E422"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二、信息披露义务人</w:t>
      </w:r>
    </w:p>
    <w:p w14:paraId="454AC6F1"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14:paraId="60BED62D"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14:paraId="142B7942"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信息披露义务人应当在中国证监会规定时间内，将应予披露的基金信息通过符合中国证监会规定条件的全国性报刊（以下简称“规定报刊”）及《信息披露办法》规定的互联网网站（以下简称“规定网站”）等媒介披露，并保证基金投资者能够按照《基金合同》约定的时间和方式查阅或者复制公开披露的信息资料。</w:t>
      </w:r>
    </w:p>
    <w:p w14:paraId="62D78495"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三、本基金信息披露义务人承诺公开披露的基金信息，不得有下列行为：</w:t>
      </w:r>
    </w:p>
    <w:p w14:paraId="01063D65"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、虚假记载、误导性陈述或者重大遗漏；</w:t>
      </w:r>
    </w:p>
    <w:p w14:paraId="676E096E"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、对证券投资业绩进行预测；</w:t>
      </w:r>
    </w:p>
    <w:p w14:paraId="036CB495"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、违规承诺收益或者承担损失；</w:t>
      </w:r>
    </w:p>
    <w:p w14:paraId="7C585B1E"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、诋毁其他基金管理人、基金托管人或者基金销售机构；</w:t>
      </w:r>
    </w:p>
    <w:p w14:paraId="64AC876E"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、登载任何自然人、法人或者非法人组织的祝贺性、恭维性或推荐性的文字；</w:t>
      </w:r>
    </w:p>
    <w:p w14:paraId="49D478C7"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、中国证监会禁止的其他行为。</w:t>
      </w:r>
    </w:p>
    <w:p w14:paraId="772A40C2"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14:paraId="2B0343D8"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本基金公开披露的信息采用阿拉伯数字；除特别说明外，货币单位为人民币元。</w:t>
      </w:r>
    </w:p>
    <w:p w14:paraId="374E8891"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五、公开披露的基金信息</w:t>
      </w:r>
    </w:p>
    <w:p w14:paraId="5AD9E702"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公开披露的基金信息包括：</w:t>
      </w:r>
    </w:p>
    <w:p w14:paraId="74802ABD"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（一）基金招募说明书、《基金合同》、基金托管协议、基金产品资料概要</w:t>
      </w:r>
    </w:p>
    <w:p w14:paraId="73F48DE4"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07F46023"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、基金招募说明书应当最大限度地披露影响基金投资者决策的全部事项，说明基金认</w:t>
      </w:r>
      <w:r>
        <w:rPr>
          <w:rFonts w:ascii="Arial Unicode MS" w:hAnsi="Arial Unicode MS" w:cs="Arial" w:hint="eastAsia"/>
          <w:bCs/>
          <w:szCs w:val="21"/>
        </w:rPr>
        <w:lastRenderedPageBreak/>
        <w:t>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Pr>
          <w:rFonts w:ascii="Arial Unicode MS" w:hAnsi="Arial Unicode MS" w:hint="eastAsia"/>
          <w:bCs/>
          <w:szCs w:val="21"/>
        </w:rPr>
        <w:t>规定</w:t>
      </w:r>
      <w:r>
        <w:rPr>
          <w:rFonts w:ascii="Arial Unicode MS" w:hAnsi="Arial Unicode MS" w:cs="Arial" w:hint="eastAsia"/>
          <w:bCs/>
          <w:szCs w:val="21"/>
        </w:rPr>
        <w:t>网站上；基金招募说明书其他信息发生变更的，基金管理人至少每年更新一次。基金终止运作的，基金管理人不再更新基金招募说明书。</w:t>
      </w:r>
    </w:p>
    <w:p w14:paraId="4518DF61"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、基金托管协议是界定基金托管人和基金管理人在基金财产保管及基金运作监督等活动中的权利、义务关系的法律文件。</w:t>
      </w:r>
    </w:p>
    <w:p w14:paraId="663E5CB6"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Pr>
          <w:rFonts w:ascii="Arial Unicode MS" w:hAnsi="Arial Unicode MS" w:hint="eastAsia"/>
          <w:bCs/>
          <w:szCs w:val="21"/>
        </w:rPr>
        <w:t>规定</w:t>
      </w:r>
      <w:r>
        <w:rPr>
          <w:rFonts w:ascii="Arial Unicode MS" w:hAnsi="Arial Unicode MS" w:cs="Arial" w:hint="eastAsia"/>
          <w:bCs/>
          <w:szCs w:val="21"/>
        </w:rPr>
        <w:t>网站及基金销售机构网站或营业网点；基金产品资料概要其他信息发生变更的，基金管理人至少每年更新一次。基金终止运作的，基金管理人不再更新基金产品资料概要。</w:t>
      </w:r>
    </w:p>
    <w:p w14:paraId="01778F1B"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2B9C23E"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（二）基金份额发售公告</w:t>
      </w:r>
    </w:p>
    <w:p w14:paraId="0B5DB0A6"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基金管理人应当就基金份额发售的具体事宜编制基金份额发售公告，并在披露招募说明书的当日登载于指定媒介上。</w:t>
      </w:r>
    </w:p>
    <w:p w14:paraId="244E935E"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（三）《基金合同》生效公告</w:t>
      </w:r>
    </w:p>
    <w:p w14:paraId="7578466D"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基金管理人应当在收到中国证监会确认文件的次日在指定媒介上登载《基金合同》生效公告。</w:t>
      </w:r>
    </w:p>
    <w:p w14:paraId="2232B62A"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（四）基金净值信息</w:t>
      </w:r>
    </w:p>
    <w:p w14:paraId="0E8338C3"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《基金合同》生效后，在开始办理基金份额申购或者赎回前，基金管理人应当至少每周在</w:t>
      </w:r>
      <w:r>
        <w:rPr>
          <w:rFonts w:ascii="Arial Unicode MS" w:hAnsi="Arial Unicode MS" w:hint="eastAsia"/>
          <w:bCs/>
          <w:szCs w:val="21"/>
        </w:rPr>
        <w:t>规定</w:t>
      </w:r>
      <w:r>
        <w:rPr>
          <w:rFonts w:ascii="Arial Unicode MS" w:hAnsi="Arial Unicode MS" w:cs="Arial" w:hint="eastAsia"/>
          <w:bCs/>
          <w:szCs w:val="21"/>
        </w:rPr>
        <w:t>网站披露一次基金份额净值和基金份额累计净值。</w:t>
      </w:r>
    </w:p>
    <w:p w14:paraId="5B253999"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在开始办理基金份额申购或者赎回后，基金管理人应当在不晚于每个开放日的次日，通过其</w:t>
      </w:r>
      <w:r>
        <w:rPr>
          <w:rFonts w:ascii="Arial Unicode MS" w:hAnsi="Arial Unicode MS" w:hint="eastAsia"/>
          <w:bCs/>
          <w:szCs w:val="21"/>
        </w:rPr>
        <w:t>规定</w:t>
      </w:r>
      <w:r>
        <w:rPr>
          <w:rFonts w:ascii="Arial Unicode MS" w:hAnsi="Arial Unicode MS" w:cs="Arial" w:hint="eastAsia"/>
          <w:bCs/>
          <w:szCs w:val="21"/>
        </w:rPr>
        <w:t>网站、基金销售机构网站或营业网点披露开放日的各类基金份额的基金份额净值和基金份额累计净值。</w:t>
      </w:r>
    </w:p>
    <w:p w14:paraId="3E1F9B97"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基金管理人应在不晚于半年度和年度最后一日的次日，在</w:t>
      </w:r>
      <w:r>
        <w:rPr>
          <w:rFonts w:ascii="Arial Unicode MS" w:hAnsi="Arial Unicode MS" w:hint="eastAsia"/>
          <w:bCs/>
          <w:szCs w:val="21"/>
        </w:rPr>
        <w:t>规定</w:t>
      </w:r>
      <w:r>
        <w:rPr>
          <w:rFonts w:ascii="Arial Unicode MS" w:hAnsi="Arial Unicode MS" w:cs="Arial" w:hint="eastAsia"/>
          <w:bCs/>
          <w:szCs w:val="21"/>
        </w:rPr>
        <w:t>网站披露半年度和年度最后一日的各类基金份额的基金份额净值和基金份额累计净值。</w:t>
      </w:r>
    </w:p>
    <w:p w14:paraId="5DA0D71B"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（五）基金份额申购、赎回价格</w:t>
      </w:r>
    </w:p>
    <w:p w14:paraId="7E690C2F"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基金管理人应当在《基金合同》、招募说明书等信息披露文件上载</w:t>
      </w:r>
      <w:proofErr w:type="gramStart"/>
      <w:r>
        <w:rPr>
          <w:rFonts w:ascii="Arial Unicode MS" w:hAnsi="Arial Unicode MS" w:cs="Arial" w:hint="eastAsia"/>
          <w:bCs/>
          <w:szCs w:val="21"/>
        </w:rPr>
        <w:t>明基金</w:t>
      </w:r>
      <w:proofErr w:type="gramEnd"/>
      <w:r>
        <w:rPr>
          <w:rFonts w:ascii="Arial Unicode MS" w:hAnsi="Arial Unicode MS" w:cs="Arial" w:hint="eastAsia"/>
          <w:bCs/>
          <w:szCs w:val="21"/>
        </w:rPr>
        <w:t>份额申购、赎</w:t>
      </w:r>
      <w:r>
        <w:rPr>
          <w:rFonts w:ascii="Arial Unicode MS" w:hAnsi="Arial Unicode MS" w:cs="Arial" w:hint="eastAsia"/>
          <w:bCs/>
          <w:szCs w:val="21"/>
        </w:rPr>
        <w:lastRenderedPageBreak/>
        <w:t>回价格的计算方式及有关申购、赎回费率，并保证投资者能够在基金销售机构网站或营业网点查阅或者复制前述信息库资料。</w:t>
      </w:r>
    </w:p>
    <w:p w14:paraId="1F055E10"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（六）基金定期报告，包括基金年度报告、基金中期报告和基金季度报告</w:t>
      </w:r>
    </w:p>
    <w:p w14:paraId="2BF65060"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基金管理人应当在每年结束之日起三个月内，编制完成基金年度报告，将年度报告登载在</w:t>
      </w:r>
      <w:r>
        <w:rPr>
          <w:rFonts w:ascii="Arial Unicode MS" w:hAnsi="Arial Unicode MS" w:hint="eastAsia"/>
          <w:bCs/>
          <w:szCs w:val="21"/>
        </w:rPr>
        <w:t>规定</w:t>
      </w:r>
      <w:r>
        <w:rPr>
          <w:rFonts w:ascii="Arial Unicode MS" w:hAnsi="Arial Unicode MS" w:cs="Arial" w:hint="eastAsia"/>
          <w:bCs/>
          <w:szCs w:val="21"/>
        </w:rPr>
        <w:t>网站上，将年度报告提示性公告登载在</w:t>
      </w:r>
      <w:r>
        <w:rPr>
          <w:rFonts w:ascii="Arial Unicode MS" w:hAnsi="Arial Unicode MS" w:hint="eastAsia"/>
          <w:bCs/>
          <w:szCs w:val="21"/>
        </w:rPr>
        <w:t>规定</w:t>
      </w:r>
      <w:r>
        <w:rPr>
          <w:rFonts w:ascii="Arial Unicode MS" w:hAnsi="Arial Unicode MS" w:cs="Arial" w:hint="eastAsia"/>
          <w:bCs/>
          <w:szCs w:val="21"/>
        </w:rPr>
        <w:t>报刊上。基金年度报告中的财务会计报告应当经过符合《中华人民共和国证券法》规定的会计师事务所审计。</w:t>
      </w:r>
    </w:p>
    <w:p w14:paraId="23762E12"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基金管理人应当在上半年结束之日起两个月内，编制完成基金中期报告，将中期报告登载在</w:t>
      </w:r>
      <w:r>
        <w:rPr>
          <w:rFonts w:ascii="Arial Unicode MS" w:hAnsi="Arial Unicode MS" w:hint="eastAsia"/>
          <w:bCs/>
          <w:szCs w:val="21"/>
        </w:rPr>
        <w:t>规定</w:t>
      </w:r>
      <w:r>
        <w:rPr>
          <w:rFonts w:ascii="Arial Unicode MS" w:hAnsi="Arial Unicode MS" w:cs="Arial" w:hint="eastAsia"/>
          <w:bCs/>
          <w:szCs w:val="21"/>
        </w:rPr>
        <w:t>网站上，并将中期报告提示性公告登载在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07D22F0D"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w:t>
      </w:r>
      <w:r>
        <w:rPr>
          <w:rFonts w:ascii="Arial Unicode MS" w:hAnsi="Arial Unicode MS" w:hint="eastAsia"/>
          <w:bCs/>
          <w:szCs w:val="21"/>
        </w:rPr>
        <w:t>规定</w:t>
      </w:r>
      <w:r>
        <w:rPr>
          <w:rFonts w:ascii="Arial Unicode MS" w:hAnsi="Arial Unicode MS" w:cs="Arial" w:hint="eastAsia"/>
          <w:bCs/>
          <w:szCs w:val="21"/>
        </w:rPr>
        <w:t>网站上，并将季度报告提示性公告登载在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2563B647"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《基金合同》生效不足</w:t>
      </w:r>
      <w:r>
        <w:rPr>
          <w:rFonts w:ascii="Arial Unicode MS" w:hAnsi="Arial Unicode MS" w:cs="Arial" w:hint="eastAsia"/>
          <w:bCs/>
          <w:szCs w:val="21"/>
        </w:rPr>
        <w:t>2</w:t>
      </w:r>
      <w:r>
        <w:rPr>
          <w:rFonts w:ascii="Arial Unicode MS" w:hAnsi="Arial Unicode MS" w:cs="Arial" w:hint="eastAsia"/>
          <w:bCs/>
          <w:szCs w:val="21"/>
        </w:rPr>
        <w:t>个月的，基金管理人可以不编制当期季度报告、中期报告或者年度报告。</w:t>
      </w:r>
    </w:p>
    <w:p w14:paraId="7D54903D"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如报告期内出现单一投资者持有基金份额达到或超过基金总份额</w:t>
      </w:r>
      <w:r>
        <w:rPr>
          <w:rFonts w:ascii="Arial Unicode MS" w:hAnsi="Arial Unicode MS" w:cs="Arial" w:hint="eastAsia"/>
          <w:bCs/>
          <w:szCs w:val="21"/>
        </w:rPr>
        <w:t>20%</w:t>
      </w:r>
      <w:r>
        <w:rPr>
          <w:rFonts w:ascii="Arial Unicode MS" w:hAnsi="Arial Unicode MS" w:cs="Arial" w:hint="eastAsia"/>
          <w:bCs/>
          <w:szCs w:val="21"/>
        </w:rPr>
        <w:t>的情形</w:t>
      </w:r>
      <w:r>
        <w:rPr>
          <w:rFonts w:ascii="Arial Unicode MS" w:hAnsi="Arial Unicode MS" w:cs="Arial" w:hint="eastAsia"/>
          <w:bCs/>
          <w:szCs w:val="21"/>
        </w:rPr>
        <w:t xml:space="preserve">, </w:t>
      </w:r>
      <w:r>
        <w:rPr>
          <w:rFonts w:ascii="Arial Unicode MS" w:hAnsi="Arial Unicode MS" w:cs="Arial" w:hint="eastAsia"/>
          <w:bCs/>
          <w:szCs w:val="21"/>
        </w:rPr>
        <w:t>为保障其他投资者利益</w:t>
      </w:r>
      <w:r>
        <w:rPr>
          <w:rFonts w:ascii="Arial Unicode MS" w:hAnsi="Arial Unicode MS" w:cs="Arial" w:hint="eastAsia"/>
          <w:bCs/>
          <w:szCs w:val="21"/>
        </w:rPr>
        <w:t xml:space="preserve">, </w:t>
      </w:r>
      <w:r>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基金管理人至少应当在定期报告“影响投资者决策的其他重要信息”项下披露该投资者的类别、报告期末持有份额及占比、报告期内持有份额变化情况及本基金的特有风险，中国证监会认定的特殊情形除外。</w:t>
      </w:r>
    </w:p>
    <w:p w14:paraId="302E7B2F"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本基金持续运作过程中，应当在基金年度报告和中期报告中披露基金组合资产情况及其流动性风险分析等。</w:t>
      </w:r>
    </w:p>
    <w:p w14:paraId="023879D8"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（七）临时报告</w:t>
      </w:r>
    </w:p>
    <w:p w14:paraId="4BA6F6AF"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w:t>
      </w:r>
      <w:r>
        <w:rPr>
          <w:rFonts w:ascii="Arial Unicode MS" w:hAnsi="Arial Unicode MS" w:hint="eastAsia"/>
          <w:bCs/>
          <w:szCs w:val="21"/>
        </w:rPr>
        <w:t>规定</w:t>
      </w:r>
      <w:r>
        <w:rPr>
          <w:rFonts w:ascii="Arial Unicode MS" w:hAnsi="Arial Unicode MS" w:cs="Arial" w:hint="eastAsia"/>
          <w:bCs/>
          <w:szCs w:val="21"/>
        </w:rPr>
        <w:t>报刊和</w:t>
      </w:r>
      <w:r>
        <w:rPr>
          <w:rFonts w:ascii="Arial Unicode MS" w:hAnsi="Arial Unicode MS" w:hint="eastAsia"/>
          <w:bCs/>
          <w:szCs w:val="21"/>
        </w:rPr>
        <w:t>规定</w:t>
      </w:r>
      <w:r>
        <w:rPr>
          <w:rFonts w:ascii="Arial Unicode MS" w:hAnsi="Arial Unicode MS" w:cs="Arial" w:hint="eastAsia"/>
          <w:bCs/>
          <w:szCs w:val="21"/>
        </w:rPr>
        <w:t>网站上。</w:t>
      </w:r>
    </w:p>
    <w:p w14:paraId="5F527FA6"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前款所称重大事件，是指可能对基金份额持有人权益或者基金份额的价格产生重大影响的下列事件：</w:t>
      </w:r>
    </w:p>
    <w:p w14:paraId="7AF7FF9C"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14:paraId="1715EAA0"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、基金合同终止、基金清算；</w:t>
      </w:r>
    </w:p>
    <w:p w14:paraId="3ED6C5C8"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14:paraId="506E5256"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14:paraId="33598E6D"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0DB9B5A1"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14:paraId="2879A6A6"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lastRenderedPageBreak/>
        <w:t>7</w:t>
      </w:r>
      <w:r>
        <w:rPr>
          <w:rFonts w:ascii="Arial Unicode MS" w:hAnsi="Arial Unicode MS" w:cs="Arial" w:hint="eastAsia"/>
          <w:bCs/>
          <w:szCs w:val="21"/>
        </w:rPr>
        <w:t>、基金管理人变更持有百分之五以上股权的股东、基金管理人的实际控制人变更；</w:t>
      </w:r>
    </w:p>
    <w:p w14:paraId="5DFAFAE1"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8</w:t>
      </w:r>
      <w:r>
        <w:rPr>
          <w:rFonts w:ascii="Arial Unicode MS" w:hAnsi="Arial Unicode MS" w:cs="Arial" w:hint="eastAsia"/>
          <w:bCs/>
          <w:szCs w:val="21"/>
        </w:rPr>
        <w:t>、基金募集期延长或提前结束募集；</w:t>
      </w:r>
    </w:p>
    <w:p w14:paraId="00777C02"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14:paraId="02DD0C48"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14:paraId="752CD86E"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14:paraId="5477FB17"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19E88E14"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99F5E40"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14:paraId="41EF6D94"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、管理费、托管费、申购费、赎回费、销售服务费等费用计提标准、计提方式和费率发生变更；</w:t>
      </w:r>
    </w:p>
    <w:p w14:paraId="194BA6AD"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16</w:t>
      </w:r>
      <w:r>
        <w:rPr>
          <w:rFonts w:ascii="Arial Unicode MS" w:hAnsi="Arial Unicode MS" w:cs="Arial" w:hint="eastAsia"/>
          <w:bCs/>
          <w:szCs w:val="21"/>
        </w:rPr>
        <w:t>、任一类基金份额净值计价错误达到该类基金份额净值百分之零点五；</w:t>
      </w:r>
    </w:p>
    <w:p w14:paraId="06460182"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14:paraId="46B496B7"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14:paraId="1906D70E"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19</w:t>
      </w:r>
      <w:r>
        <w:rPr>
          <w:rFonts w:ascii="Arial Unicode MS" w:hAnsi="Arial Unicode MS" w:cs="Arial" w:hint="eastAsia"/>
          <w:bCs/>
          <w:szCs w:val="21"/>
        </w:rPr>
        <w:t>、调整基金份额类别的设置；</w:t>
      </w:r>
    </w:p>
    <w:p w14:paraId="3674EF21"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bCs/>
          <w:szCs w:val="21"/>
        </w:rPr>
        <w:t>0</w:t>
      </w:r>
      <w:r>
        <w:rPr>
          <w:rFonts w:ascii="Arial Unicode MS" w:hAnsi="Arial Unicode MS" w:cs="Arial" w:hint="eastAsia"/>
          <w:bCs/>
          <w:szCs w:val="21"/>
        </w:rPr>
        <w:t>、基金推出新业务或服务；</w:t>
      </w:r>
    </w:p>
    <w:p w14:paraId="3F06A3EC"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21</w:t>
      </w:r>
      <w:r>
        <w:rPr>
          <w:rFonts w:ascii="Arial Unicode MS" w:hAnsi="Arial Unicode MS" w:cs="Arial" w:hint="eastAsia"/>
          <w:bCs/>
          <w:szCs w:val="21"/>
        </w:rPr>
        <w:t>、本基金发生巨额赎回并延期办理；</w:t>
      </w:r>
    </w:p>
    <w:p w14:paraId="7CCB73E4"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22</w:t>
      </w:r>
      <w:r>
        <w:rPr>
          <w:rFonts w:ascii="Arial Unicode MS" w:hAnsi="Arial Unicode MS" w:cs="Arial" w:hint="eastAsia"/>
          <w:bCs/>
          <w:szCs w:val="21"/>
        </w:rPr>
        <w:t>、本基金连续发生巨额赎回并暂停接受赎回申请或延缓支付赎回款项；</w:t>
      </w:r>
    </w:p>
    <w:p w14:paraId="2429E5E5"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bCs/>
          <w:szCs w:val="21"/>
        </w:rPr>
        <w:t>3</w:t>
      </w:r>
      <w:r>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7665439A"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（八）澄清公告</w:t>
      </w:r>
    </w:p>
    <w:p w14:paraId="25DF5ABE"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w:t>
      </w:r>
      <w:r>
        <w:rPr>
          <w:rFonts w:ascii="Arial Unicode MS" w:hAnsi="Arial Unicode MS" w:cs="Arial" w:hint="eastAsia"/>
          <w:bCs/>
          <w:szCs w:val="21"/>
        </w:rPr>
        <w:lastRenderedPageBreak/>
        <w:t>义务人知悉后应当立即对该消息进行公开澄清。</w:t>
      </w:r>
    </w:p>
    <w:p w14:paraId="04A8DECE"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（九）清算报告</w:t>
      </w:r>
    </w:p>
    <w:p w14:paraId="5D7825A7"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基金合同终止的，基金管理人应当依法组织基金财产清算小组对基金财产进行清算并</w:t>
      </w:r>
      <w:proofErr w:type="gramStart"/>
      <w:r>
        <w:rPr>
          <w:rFonts w:ascii="Arial Unicode MS" w:hAnsi="Arial Unicode MS" w:cs="Arial" w:hint="eastAsia"/>
          <w:bCs/>
          <w:szCs w:val="21"/>
        </w:rPr>
        <w:t>作出</w:t>
      </w:r>
      <w:proofErr w:type="gramEnd"/>
      <w:r>
        <w:rPr>
          <w:rFonts w:ascii="Arial Unicode MS" w:hAnsi="Arial Unicode MS" w:cs="Arial" w:hint="eastAsia"/>
          <w:bCs/>
          <w:szCs w:val="21"/>
        </w:rPr>
        <w:t>清算报告。基金财产清算小组应当将清算报告登载在</w:t>
      </w:r>
      <w:r>
        <w:rPr>
          <w:rFonts w:ascii="Arial Unicode MS" w:hAnsi="Arial Unicode MS" w:hint="eastAsia"/>
          <w:bCs/>
          <w:szCs w:val="21"/>
        </w:rPr>
        <w:t>规定</w:t>
      </w:r>
      <w:r>
        <w:rPr>
          <w:rFonts w:ascii="Arial Unicode MS" w:hAnsi="Arial Unicode MS" w:cs="Arial" w:hint="eastAsia"/>
          <w:bCs/>
          <w:szCs w:val="21"/>
        </w:rPr>
        <w:t>网站上，并将清算报告提示性公告登载在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654966EF"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（十）基金份额持有人大会决议</w:t>
      </w:r>
    </w:p>
    <w:p w14:paraId="4BFED4E9"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基金份额持有人大会决定的事项，应当依法报中国证监会备案，并予以公告。</w:t>
      </w:r>
    </w:p>
    <w:p w14:paraId="0A3AD2AD"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（十一）资产支持证券的投资情况</w:t>
      </w:r>
    </w:p>
    <w:p w14:paraId="0DB0FD22"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bCs/>
          <w:szCs w:val="21"/>
        </w:rPr>
        <w:t>10</w:t>
      </w:r>
      <w:r>
        <w:rPr>
          <w:rFonts w:ascii="Arial Unicode MS" w:hAnsi="Arial Unicode MS" w:cs="Arial" w:hint="eastAsia"/>
          <w:bCs/>
          <w:szCs w:val="21"/>
        </w:rPr>
        <w:t>名资产支持证券明细。</w:t>
      </w:r>
    </w:p>
    <w:p w14:paraId="59EBC35D"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（十二）实施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期间的信息披露</w:t>
      </w:r>
      <w:r>
        <w:rPr>
          <w:rFonts w:ascii="Arial Unicode MS" w:hAnsi="Arial Unicode MS" w:cs="Arial" w:hint="eastAsia"/>
          <w:bCs/>
          <w:szCs w:val="21"/>
        </w:rPr>
        <w:t xml:space="preserve"> </w:t>
      </w:r>
    </w:p>
    <w:p w14:paraId="44B2A199"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的，相关信息披露义务人应当根据法律法规、基金合同和招募说明书的规定进行信息披露，详见招募说明书“侧袋机制”部分的规定。</w:t>
      </w:r>
    </w:p>
    <w:p w14:paraId="13EE4A1E"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（十三）中国证监会规定的其他信息。</w:t>
      </w:r>
    </w:p>
    <w:p w14:paraId="379E2B14"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六、信息披露事务管理</w:t>
      </w:r>
    </w:p>
    <w:p w14:paraId="49E7715C"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14:paraId="4EF4C11F"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14:paraId="1EA18EEA"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托管人应当按照相关法律法规、中国证监会的规定和基金合同的约定，对基金管理人编制的基金资产净值、各类基金份额的基金份额净值、基金份额申购赎回价格、基金定期报告、更新的招募说明书、基金产品资料概要、基金清算报告等公开披露的相关基金信息进行复核、审查，并向基金管理人进行书面或电子确认。</w:t>
      </w:r>
    </w:p>
    <w:p w14:paraId="36F479E1"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基金管理人、基金托管人应当在</w:t>
      </w:r>
      <w:r>
        <w:rPr>
          <w:rFonts w:ascii="Arial Unicode MS" w:hAnsi="Arial Unicode MS" w:hint="eastAsia"/>
          <w:bCs/>
          <w:szCs w:val="21"/>
        </w:rPr>
        <w:t>规定</w:t>
      </w:r>
      <w:r>
        <w:rPr>
          <w:rFonts w:ascii="Arial Unicode MS" w:hAnsi="Arial Unicode MS" w:cs="Arial" w:hint="eastAsia"/>
          <w:bCs/>
          <w:szCs w:val="21"/>
        </w:rPr>
        <w:t>报刊中选择一家报刊披露本基金信息。基金管理人、基金托管人应当向中国证监会基金电子披露网站报送拟披露的基金信息，并保证相关报送信息的真实、准确、完整、及时。</w:t>
      </w:r>
    </w:p>
    <w:p w14:paraId="5BF48288"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基金管理人、基金托管人除依法在</w:t>
      </w:r>
      <w:r>
        <w:rPr>
          <w:rFonts w:ascii="Arial Unicode MS" w:hAnsi="Arial Unicode MS" w:hint="eastAsia"/>
          <w:bCs/>
          <w:szCs w:val="21"/>
        </w:rPr>
        <w:t>规定</w:t>
      </w:r>
      <w:r>
        <w:rPr>
          <w:rFonts w:ascii="Arial Unicode MS" w:hAnsi="Arial Unicode MS" w:cs="Arial" w:hint="eastAsia"/>
          <w:bCs/>
          <w:szCs w:val="21"/>
        </w:rPr>
        <w:t>媒介上披露信息外，还可以根据需要在其他公共媒介披露信息，但是其他公共媒介不得早于</w:t>
      </w:r>
      <w:r>
        <w:rPr>
          <w:rFonts w:ascii="Arial Unicode MS" w:hAnsi="Arial Unicode MS" w:hint="eastAsia"/>
          <w:bCs/>
          <w:szCs w:val="21"/>
        </w:rPr>
        <w:t>规定</w:t>
      </w:r>
      <w:r>
        <w:rPr>
          <w:rFonts w:ascii="Arial Unicode MS" w:hAnsi="Arial Unicode MS" w:cs="Arial" w:hint="eastAsia"/>
          <w:bCs/>
          <w:szCs w:val="21"/>
        </w:rPr>
        <w:t>媒介披露信息，并且在不同媒介上披露同一信息的内容应当一致。</w:t>
      </w:r>
    </w:p>
    <w:p w14:paraId="4E40746C"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w:t>
      </w:r>
      <w:proofErr w:type="gramStart"/>
      <w:r>
        <w:rPr>
          <w:rFonts w:ascii="Arial Unicode MS" w:hAnsi="Arial Unicode MS" w:cs="Arial" w:hint="eastAsia"/>
          <w:bCs/>
          <w:szCs w:val="21"/>
        </w:rPr>
        <w:t>不</w:t>
      </w:r>
      <w:proofErr w:type="gramEnd"/>
      <w:r>
        <w:rPr>
          <w:rFonts w:ascii="Arial Unicode MS" w:hAnsi="Arial Unicode MS" w:cs="Arial" w:hint="eastAsia"/>
          <w:bCs/>
          <w:szCs w:val="21"/>
        </w:rPr>
        <w:t>误导投资者、不影响基金正常投资操作的前提下，自主提升信息披露服务的质量。具体要求应当符合中国证监会及自律规则的相关规定。</w:t>
      </w:r>
      <w:r>
        <w:rPr>
          <w:rFonts w:ascii="Arial Unicode MS" w:hAnsi="Arial Unicode MS" w:cs="Arial" w:hint="eastAsia"/>
          <w:bCs/>
          <w:szCs w:val="21"/>
        </w:rPr>
        <w:lastRenderedPageBreak/>
        <w:t>前述自主披露如产生信息披露费用，该费用不得从基金财产中列支。</w:t>
      </w:r>
    </w:p>
    <w:p w14:paraId="19BF24FC"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Pr>
          <w:rFonts w:ascii="Arial Unicode MS" w:hAnsi="Arial Unicode MS" w:cs="Arial" w:hint="eastAsia"/>
          <w:bCs/>
          <w:szCs w:val="21"/>
        </w:rPr>
        <w:t>10</w:t>
      </w:r>
      <w:r>
        <w:rPr>
          <w:rFonts w:ascii="Arial Unicode MS" w:hAnsi="Arial Unicode MS" w:cs="Arial" w:hint="eastAsia"/>
          <w:bCs/>
          <w:szCs w:val="21"/>
        </w:rPr>
        <w:t>年。</w:t>
      </w:r>
    </w:p>
    <w:p w14:paraId="54FA918A"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七、信息披露文件的存放与查阅</w:t>
      </w:r>
    </w:p>
    <w:p w14:paraId="2BAE4B9A"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依法必须披露的信息发布后，基金管理人、基金托管人应当按照相关法律法规规定将信息置备于公司住所，供社会公众查阅、复制。</w:t>
      </w:r>
    </w:p>
    <w:p w14:paraId="58971F12"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八、暂停或延迟披露基金信息的情形</w:t>
      </w:r>
    </w:p>
    <w:p w14:paraId="388FE45C"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不可抗力；</w:t>
      </w:r>
    </w:p>
    <w:p w14:paraId="033869B4"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发生《基金合同》约定的暂停估值的情形；</w:t>
      </w:r>
    </w:p>
    <w:p w14:paraId="263BCE6C"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法律法规、《基金合同》或中国证监会规定的情况。</w:t>
      </w:r>
    </w:p>
    <w:p w14:paraId="5F6AC945" w14:textId="77777777" w:rsidR="009A7A59" w:rsidRDefault="00000000">
      <w:pPr>
        <w:widowControl/>
        <w:jc w:val="left"/>
      </w:pPr>
      <w:bookmarkStart w:id="105" w:name="_Toc214873605"/>
      <w:bookmarkStart w:id="106" w:name="_Toc335232704"/>
      <w:bookmarkStart w:id="107" w:name="_Toc317088550"/>
      <w:bookmarkStart w:id="108" w:name="_Toc317088153"/>
      <w:bookmarkStart w:id="109" w:name="_Toc12357178"/>
      <w:bookmarkStart w:id="110" w:name="_Toc21073398"/>
      <w:bookmarkStart w:id="111" w:name="_Toc320887655"/>
      <w:bookmarkStart w:id="112" w:name="_Toc147463125"/>
      <w:bookmarkEnd w:id="97"/>
      <w:bookmarkEnd w:id="98"/>
      <w:r>
        <w:br w:type="page"/>
      </w:r>
    </w:p>
    <w:p w14:paraId="1EB84A37" w14:textId="77777777" w:rsidR="009A7A59" w:rsidRDefault="00000000">
      <w:pPr>
        <w:pStyle w:val="11"/>
        <w:snapToGrid w:val="0"/>
        <w:spacing w:before="0" w:after="0" w:line="360" w:lineRule="auto"/>
        <w:rPr>
          <w:rFonts w:ascii="Arial Unicode MS" w:eastAsia="宋体" w:hAnsi="Arial Unicode MS" w:cs="Arial" w:hint="eastAsia"/>
          <w:b/>
          <w:bCs/>
          <w:sz w:val="28"/>
          <w:szCs w:val="28"/>
        </w:rPr>
      </w:pPr>
      <w:bookmarkStart w:id="113" w:name="_Toc63676451"/>
      <w:bookmarkStart w:id="114" w:name="_Toc61453056"/>
      <w:r>
        <w:rPr>
          <w:rFonts w:ascii="Arial Unicode MS" w:eastAsia="宋体" w:hAnsi="Arial Unicode MS" w:cs="Arial" w:hint="eastAsia"/>
          <w:b/>
          <w:bCs/>
          <w:sz w:val="28"/>
          <w:szCs w:val="28"/>
        </w:rPr>
        <w:lastRenderedPageBreak/>
        <w:t>第十六部分</w:t>
      </w:r>
      <w:r>
        <w:rPr>
          <w:rFonts w:ascii="Arial Unicode MS" w:eastAsia="宋体" w:hAnsi="Arial Unicode MS" w:cs="Arial" w:hint="eastAsia"/>
          <w:b/>
          <w:bCs/>
          <w:sz w:val="28"/>
          <w:szCs w:val="28"/>
        </w:rPr>
        <w:t xml:space="preserve">  </w:t>
      </w:r>
      <w:proofErr w:type="gramStart"/>
      <w:r>
        <w:rPr>
          <w:rFonts w:ascii="Arial Unicode MS" w:eastAsia="宋体" w:hAnsi="Arial Unicode MS" w:cs="Arial" w:hint="eastAsia"/>
          <w:b/>
          <w:bCs/>
          <w:sz w:val="28"/>
          <w:szCs w:val="28"/>
        </w:rPr>
        <w:t>侧袋机制</w:t>
      </w:r>
      <w:bookmarkEnd w:id="113"/>
      <w:bookmarkEnd w:id="114"/>
      <w:proofErr w:type="gramEnd"/>
    </w:p>
    <w:p w14:paraId="1F03D3E8" w14:textId="77777777" w:rsidR="009A7A59" w:rsidRDefault="009A7A59"/>
    <w:p w14:paraId="70E54066"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的实施条件</w:t>
      </w:r>
    </w:p>
    <w:p w14:paraId="25E47015"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w:t>
      </w:r>
    </w:p>
    <w:p w14:paraId="47ACA62D"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基金管理人应当在启用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后及时发布临时公告，并及时聘请</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启用日发表意见且符合《中华人民共和国证券法》规定的会计师事务所进行审计并披露专项审计意见。</w:t>
      </w:r>
    </w:p>
    <w:p w14:paraId="456FF04D"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期间基金份额的申购与赎回</w:t>
      </w:r>
    </w:p>
    <w:p w14:paraId="72629FA6"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当日，基金登记机构以基金份额持有人的原有账户份额为基础，确认</w:t>
      </w:r>
      <w:proofErr w:type="gramStart"/>
      <w:r>
        <w:rPr>
          <w:rFonts w:ascii="Arial Unicode MS" w:hAnsi="Arial Unicode MS" w:cs="Arial" w:hint="eastAsia"/>
          <w:bCs/>
          <w:szCs w:val="21"/>
        </w:rPr>
        <w:t>相应侧袋账户</w:t>
      </w:r>
      <w:proofErr w:type="gramEnd"/>
      <w:r>
        <w:rPr>
          <w:rFonts w:ascii="Arial Unicode MS" w:hAnsi="Arial Unicode MS" w:cs="Arial" w:hint="eastAsia"/>
          <w:bCs/>
          <w:szCs w:val="21"/>
        </w:rPr>
        <w:t>基金份额持有人名册和份额；当日收到的申购申请，按照启用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w:t>
      </w:r>
      <w:proofErr w:type="gramStart"/>
      <w:r>
        <w:rPr>
          <w:rFonts w:ascii="Arial Unicode MS" w:hAnsi="Arial Unicode MS" w:cs="Arial" w:hint="eastAsia"/>
          <w:bCs/>
          <w:szCs w:val="21"/>
        </w:rPr>
        <w:t>的主袋账户</w:t>
      </w:r>
      <w:proofErr w:type="gramEnd"/>
      <w:r>
        <w:rPr>
          <w:rFonts w:ascii="Arial Unicode MS" w:hAnsi="Arial Unicode MS" w:cs="Arial" w:hint="eastAsia"/>
          <w:bCs/>
          <w:szCs w:val="21"/>
        </w:rPr>
        <w:t>份额办理；当日收到的赎回申请，仅</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的赎回申请并支付赎回款项。</w:t>
      </w:r>
    </w:p>
    <w:p w14:paraId="4C938FCD"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期间，基金管理人</w:t>
      </w:r>
      <w:proofErr w:type="gramStart"/>
      <w:r>
        <w:rPr>
          <w:rFonts w:ascii="Arial Unicode MS" w:hAnsi="Arial Unicode MS" w:cs="Arial" w:hint="eastAsia"/>
          <w:bCs/>
          <w:szCs w:val="21"/>
        </w:rPr>
        <w:t>应对侧袋账户</w:t>
      </w:r>
      <w:proofErr w:type="gramEnd"/>
      <w:r>
        <w:rPr>
          <w:rFonts w:ascii="Arial Unicode MS" w:hAnsi="Arial Unicode MS" w:cs="Arial" w:hint="eastAsia"/>
          <w:bCs/>
          <w:szCs w:val="21"/>
        </w:rPr>
        <w:t>份额实行独立管理，</w:t>
      </w:r>
      <w:proofErr w:type="gramStart"/>
      <w:r>
        <w:rPr>
          <w:rFonts w:ascii="Arial Unicode MS" w:hAnsi="Arial Unicode MS" w:cs="Arial" w:hint="eastAsia"/>
          <w:bCs/>
          <w:szCs w:val="21"/>
        </w:rPr>
        <w:t>主袋账户</w:t>
      </w:r>
      <w:proofErr w:type="gramEnd"/>
      <w:r>
        <w:rPr>
          <w:rFonts w:ascii="Arial Unicode MS" w:hAnsi="Arial Unicode MS" w:cs="Arial" w:hint="eastAsia"/>
          <w:bCs/>
          <w:szCs w:val="21"/>
        </w:rPr>
        <w:t>沿用</w:t>
      </w:r>
      <w:proofErr w:type="gramStart"/>
      <w:r>
        <w:rPr>
          <w:rFonts w:ascii="Arial Unicode MS" w:hAnsi="Arial Unicode MS" w:cs="Arial" w:hint="eastAsia"/>
          <w:bCs/>
          <w:szCs w:val="21"/>
        </w:rPr>
        <w:t>原基金</w:t>
      </w:r>
      <w:proofErr w:type="gramEnd"/>
      <w:r>
        <w:rPr>
          <w:rFonts w:ascii="Arial Unicode MS" w:hAnsi="Arial Unicode MS" w:cs="Arial" w:hint="eastAsia"/>
          <w:bCs/>
          <w:szCs w:val="21"/>
        </w:rPr>
        <w:t>代码，</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使用独立的基金代码。基金管理人不</w:t>
      </w:r>
      <w:proofErr w:type="gramStart"/>
      <w:r>
        <w:rPr>
          <w:rFonts w:ascii="Arial Unicode MS" w:hAnsi="Arial Unicode MS" w:cs="Arial" w:hint="eastAsia"/>
          <w:bCs/>
          <w:szCs w:val="21"/>
        </w:rPr>
        <w:t>办理侧袋账户</w:t>
      </w:r>
      <w:proofErr w:type="gramEnd"/>
      <w:r>
        <w:rPr>
          <w:rFonts w:ascii="Arial Unicode MS" w:hAnsi="Arial Unicode MS" w:cs="Arial" w:hint="eastAsia"/>
          <w:bCs/>
          <w:szCs w:val="21"/>
        </w:rPr>
        <w:t>份额的申购、赎回和转换；同时，基金管理人按照基金合同和招募说明书的约定</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份额的赎回，并</w:t>
      </w:r>
      <w:proofErr w:type="gramStart"/>
      <w:r>
        <w:rPr>
          <w:rFonts w:ascii="Arial Unicode MS" w:hAnsi="Arial Unicode MS" w:cs="Arial" w:hint="eastAsia"/>
          <w:bCs/>
          <w:szCs w:val="21"/>
        </w:rPr>
        <w:t>根据主袋账户</w:t>
      </w:r>
      <w:proofErr w:type="gramEnd"/>
      <w:r>
        <w:rPr>
          <w:rFonts w:ascii="Arial Unicode MS" w:hAnsi="Arial Unicode MS" w:cs="Arial" w:hint="eastAsia"/>
          <w:bCs/>
          <w:szCs w:val="21"/>
        </w:rPr>
        <w:t>运作情况确定是否暂停申购，具体事项届时将由基金管理人在相关公告中规定。</w:t>
      </w:r>
    </w:p>
    <w:p w14:paraId="540085E9"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、基金管理人应</w:t>
      </w:r>
      <w:proofErr w:type="gramStart"/>
      <w:r>
        <w:rPr>
          <w:rFonts w:ascii="Arial Unicode MS" w:hAnsi="Arial Unicode MS" w:cs="Arial" w:hint="eastAsia"/>
          <w:bCs/>
          <w:szCs w:val="21"/>
        </w:rPr>
        <w:t>按照主袋账户</w:t>
      </w:r>
      <w:proofErr w:type="gramEnd"/>
      <w:r>
        <w:rPr>
          <w:rFonts w:ascii="Arial Unicode MS" w:hAnsi="Arial Unicode MS" w:cs="Arial" w:hint="eastAsia"/>
          <w:bCs/>
          <w:szCs w:val="21"/>
        </w:rPr>
        <w:t>的份额净值</w:t>
      </w:r>
      <w:proofErr w:type="gramStart"/>
      <w:r>
        <w:rPr>
          <w:rFonts w:ascii="Arial Unicode MS" w:hAnsi="Arial Unicode MS" w:cs="Arial" w:hint="eastAsia"/>
          <w:bCs/>
          <w:szCs w:val="21"/>
        </w:rPr>
        <w:t>办理主袋账户</w:t>
      </w:r>
      <w:proofErr w:type="gramEnd"/>
      <w:r>
        <w:rPr>
          <w:rFonts w:ascii="Arial Unicode MS" w:hAnsi="Arial Unicode MS" w:cs="Arial" w:hint="eastAsia"/>
          <w:bCs/>
          <w:szCs w:val="21"/>
        </w:rPr>
        <w:t>份额的申购和赎回。本招募说明书“基金份额的申购与赎回”部分的申购、赎回规定</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份额。巨额赎回按照单个开放</w:t>
      </w:r>
      <w:proofErr w:type="gramStart"/>
      <w:r>
        <w:rPr>
          <w:rFonts w:ascii="Arial Unicode MS" w:hAnsi="Arial Unicode MS" w:cs="Arial" w:hint="eastAsia"/>
          <w:bCs/>
          <w:szCs w:val="21"/>
        </w:rPr>
        <w:t>日内主袋账户</w:t>
      </w:r>
      <w:proofErr w:type="gramEnd"/>
      <w:r>
        <w:rPr>
          <w:rFonts w:ascii="Arial Unicode MS" w:hAnsi="Arial Unicode MS" w:cs="Arial" w:hint="eastAsia"/>
          <w:bCs/>
          <w:szCs w:val="21"/>
        </w:rPr>
        <w:t>份额净赎回申请超过前一开放日</w:t>
      </w:r>
      <w:proofErr w:type="gramStart"/>
      <w:r>
        <w:rPr>
          <w:rFonts w:ascii="Arial Unicode MS" w:hAnsi="Arial Unicode MS" w:cs="Arial" w:hint="eastAsia"/>
          <w:bCs/>
          <w:szCs w:val="21"/>
        </w:rPr>
        <w:t>的主袋账户</w:t>
      </w:r>
      <w:proofErr w:type="gramEnd"/>
      <w:r>
        <w:rPr>
          <w:rFonts w:ascii="Arial Unicode MS" w:hAnsi="Arial Unicode MS" w:cs="Arial" w:hint="eastAsia"/>
          <w:bCs/>
          <w:szCs w:val="21"/>
        </w:rPr>
        <w:t>总份额的</w:t>
      </w:r>
      <w:r>
        <w:rPr>
          <w:rFonts w:ascii="Arial Unicode MS" w:hAnsi="Arial Unicode MS" w:cs="Arial"/>
          <w:bCs/>
          <w:szCs w:val="21"/>
        </w:rPr>
        <w:t>1</w:t>
      </w:r>
      <w:r>
        <w:rPr>
          <w:rFonts w:ascii="Arial Unicode MS" w:hAnsi="Arial Unicode MS" w:cs="Arial" w:hint="eastAsia"/>
          <w:bCs/>
          <w:szCs w:val="21"/>
        </w:rPr>
        <w:t>0%</w:t>
      </w:r>
      <w:r>
        <w:rPr>
          <w:rFonts w:ascii="Arial Unicode MS" w:hAnsi="Arial Unicode MS" w:cs="Arial" w:hint="eastAsia"/>
          <w:bCs/>
          <w:szCs w:val="21"/>
        </w:rPr>
        <w:t>认定。</w:t>
      </w:r>
    </w:p>
    <w:p w14:paraId="331E1EB3"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三、实施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期间的基金投资及业绩</w:t>
      </w:r>
    </w:p>
    <w:p w14:paraId="258C97D0" w14:textId="77777777" w:rsidR="009A7A59" w:rsidRDefault="00000000">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实施期间，招募说明书“基金的投资”部分约定的投资组合比例、投资策略、组合限制、业绩比较基准、风险收益特征等约定仅</w:t>
      </w:r>
      <w:proofErr w:type="gramStart"/>
      <w:r>
        <w:rPr>
          <w:rFonts w:ascii="Arial Unicode MS" w:hAnsi="Arial Unicode MS" w:cs="Arial" w:hint="eastAsia"/>
          <w:bCs/>
          <w:szCs w:val="21"/>
        </w:rPr>
        <w:t>适用于主袋账户</w:t>
      </w:r>
      <w:proofErr w:type="gramEnd"/>
      <w:r>
        <w:rPr>
          <w:rFonts w:ascii="Arial Unicode MS" w:hAnsi="Arial Unicode MS" w:cs="Arial" w:hint="eastAsia"/>
          <w:bCs/>
          <w:szCs w:val="21"/>
        </w:rPr>
        <w:t>。基金管理人计算各项投资运作指标和基金业绩指标时仅需</w:t>
      </w:r>
      <w:proofErr w:type="gramStart"/>
      <w:r>
        <w:rPr>
          <w:rFonts w:ascii="Arial Unicode MS" w:hAnsi="Arial Unicode MS" w:cs="Arial" w:hint="eastAsia"/>
          <w:bCs/>
          <w:szCs w:val="21"/>
        </w:rPr>
        <w:t>考虑主袋账户</w:t>
      </w:r>
      <w:proofErr w:type="gramEnd"/>
      <w:r>
        <w:rPr>
          <w:rFonts w:ascii="Arial Unicode MS" w:hAnsi="Arial Unicode MS" w:cs="Arial" w:hint="eastAsia"/>
          <w:bCs/>
          <w:szCs w:val="21"/>
        </w:rPr>
        <w:t>资产。</w:t>
      </w:r>
    </w:p>
    <w:p w14:paraId="1DA8D7CA"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基金管理人原则上应当在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启用后</w:t>
      </w:r>
      <w:r>
        <w:rPr>
          <w:rFonts w:ascii="Arial Unicode MS" w:hAnsi="Arial Unicode MS" w:cs="Arial" w:hint="eastAsia"/>
          <w:bCs/>
          <w:szCs w:val="21"/>
        </w:rPr>
        <w:t>20</w:t>
      </w:r>
      <w:r>
        <w:rPr>
          <w:rFonts w:ascii="Arial Unicode MS" w:hAnsi="Arial Unicode MS" w:cs="Arial" w:hint="eastAsia"/>
          <w:bCs/>
          <w:szCs w:val="21"/>
        </w:rPr>
        <w:t>个交易日内完成</w:t>
      </w:r>
      <w:proofErr w:type="gramStart"/>
      <w:r>
        <w:rPr>
          <w:rFonts w:ascii="Arial Unicode MS" w:hAnsi="Arial Unicode MS" w:cs="Arial" w:hint="eastAsia"/>
          <w:bCs/>
          <w:szCs w:val="21"/>
        </w:rPr>
        <w:t>对主袋账户</w:t>
      </w:r>
      <w:proofErr w:type="gramEnd"/>
      <w:r>
        <w:rPr>
          <w:rFonts w:ascii="Arial Unicode MS" w:hAnsi="Arial Unicode MS" w:cs="Arial" w:hint="eastAsia"/>
          <w:bCs/>
          <w:szCs w:val="21"/>
        </w:rPr>
        <w:t>投资组合的调整，因资产流动性受限等中国证监会规定的情形除外。</w:t>
      </w:r>
    </w:p>
    <w:p w14:paraId="716B0FF6"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基金管理人不得</w:t>
      </w:r>
      <w:proofErr w:type="gramStart"/>
      <w:r>
        <w:rPr>
          <w:rFonts w:ascii="Arial Unicode MS" w:hAnsi="Arial Unicode MS" w:cs="Arial" w:hint="eastAsia"/>
          <w:bCs/>
          <w:szCs w:val="21"/>
        </w:rPr>
        <w:t>在侧袋账户</w:t>
      </w:r>
      <w:proofErr w:type="gramEnd"/>
      <w:r>
        <w:rPr>
          <w:rFonts w:ascii="Arial Unicode MS" w:hAnsi="Arial Unicode MS" w:cs="Arial" w:hint="eastAsia"/>
          <w:bCs/>
          <w:szCs w:val="21"/>
        </w:rPr>
        <w:t>中进行除特定资产处置变现以外的其他投资操作。</w:t>
      </w:r>
    </w:p>
    <w:p w14:paraId="33503752" w14:textId="77777777" w:rsidR="009A7A59" w:rsidRDefault="00000000">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实施期间，基金管理人、基金服务机构在计算基金业绩相关指标时仅</w:t>
      </w:r>
      <w:proofErr w:type="gramStart"/>
      <w:r>
        <w:rPr>
          <w:rFonts w:ascii="Arial Unicode MS" w:hAnsi="Arial Unicode MS" w:cs="Arial" w:hint="eastAsia"/>
          <w:bCs/>
          <w:szCs w:val="21"/>
        </w:rPr>
        <w:t>考虑主袋账户</w:t>
      </w:r>
      <w:proofErr w:type="gramEnd"/>
      <w:r>
        <w:rPr>
          <w:rFonts w:ascii="Arial Unicode MS" w:hAnsi="Arial Unicode MS" w:cs="Arial" w:hint="eastAsia"/>
          <w:bCs/>
          <w:szCs w:val="21"/>
        </w:rPr>
        <w:t>资产，</w:t>
      </w:r>
      <w:proofErr w:type="gramStart"/>
      <w:r>
        <w:rPr>
          <w:rFonts w:ascii="Arial Unicode MS" w:hAnsi="Arial Unicode MS" w:cs="Arial" w:hint="eastAsia"/>
          <w:bCs/>
          <w:szCs w:val="21"/>
        </w:rPr>
        <w:t>分割侧袋账户</w:t>
      </w:r>
      <w:proofErr w:type="gramEnd"/>
      <w:r>
        <w:rPr>
          <w:rFonts w:ascii="Arial Unicode MS" w:hAnsi="Arial Unicode MS" w:cs="Arial" w:hint="eastAsia"/>
          <w:bCs/>
          <w:szCs w:val="21"/>
        </w:rPr>
        <w:t>资产导致的基金净资产减少在计算基金业绩相关指标时按投资损失处理。基金管理人、基金服务机构在展示基金业绩时，应当就前述情况进行充分的解释说明，避免引起投资者误解。</w:t>
      </w:r>
    </w:p>
    <w:p w14:paraId="27670E72"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四、实施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期间的基金估值与会计核算</w:t>
      </w:r>
    </w:p>
    <w:p w14:paraId="37A1F418"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的，基金管理人和基金托管人</w:t>
      </w:r>
      <w:proofErr w:type="gramStart"/>
      <w:r>
        <w:rPr>
          <w:rFonts w:ascii="Arial Unicode MS" w:hAnsi="Arial Unicode MS" w:cs="Arial" w:hint="eastAsia"/>
          <w:bCs/>
          <w:szCs w:val="21"/>
        </w:rPr>
        <w:t>应对主袋账户</w:t>
      </w:r>
      <w:proofErr w:type="gramEnd"/>
      <w:r>
        <w:rPr>
          <w:rFonts w:ascii="Arial Unicode MS" w:hAnsi="Arial Unicode MS" w:cs="Arial" w:hint="eastAsia"/>
          <w:bCs/>
          <w:szCs w:val="21"/>
        </w:rPr>
        <w:t>资产进行估值并</w:t>
      </w:r>
      <w:proofErr w:type="gramStart"/>
      <w:r>
        <w:rPr>
          <w:rFonts w:ascii="Arial Unicode MS" w:hAnsi="Arial Unicode MS" w:cs="Arial" w:hint="eastAsia"/>
          <w:bCs/>
          <w:szCs w:val="21"/>
        </w:rPr>
        <w:t>披露主</w:t>
      </w:r>
      <w:r>
        <w:rPr>
          <w:rFonts w:ascii="Arial Unicode MS" w:hAnsi="Arial Unicode MS" w:cs="Arial" w:hint="eastAsia"/>
          <w:bCs/>
          <w:szCs w:val="21"/>
        </w:rPr>
        <w:lastRenderedPageBreak/>
        <w:t>袋账户</w:t>
      </w:r>
      <w:proofErr w:type="gramEnd"/>
      <w:r>
        <w:rPr>
          <w:rFonts w:ascii="Arial Unicode MS" w:hAnsi="Arial Unicode MS" w:cs="Arial" w:hint="eastAsia"/>
          <w:bCs/>
          <w:szCs w:val="21"/>
        </w:rPr>
        <w:t>的基金净值信息，暂停</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的基金净值信息。</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w:t>
      </w:r>
      <w:proofErr w:type="gramStart"/>
      <w:r>
        <w:rPr>
          <w:rFonts w:ascii="Arial Unicode MS" w:hAnsi="Arial Unicode MS" w:cs="Arial" w:hint="eastAsia"/>
          <w:bCs/>
          <w:szCs w:val="21"/>
        </w:rPr>
        <w:t>应对侧袋账户</w:t>
      </w:r>
      <w:proofErr w:type="gramEnd"/>
      <w:r>
        <w:rPr>
          <w:rFonts w:ascii="Arial Unicode MS" w:hAnsi="Arial Unicode MS" w:cs="Arial" w:hint="eastAsia"/>
          <w:bCs/>
          <w:szCs w:val="21"/>
        </w:rPr>
        <w:t>单独设置账套，实行独立核算。如果本基金同时存在</w:t>
      </w:r>
      <w:proofErr w:type="gramStart"/>
      <w:r>
        <w:rPr>
          <w:rFonts w:ascii="Arial Unicode MS" w:hAnsi="Arial Unicode MS" w:cs="Arial" w:hint="eastAsia"/>
          <w:bCs/>
          <w:szCs w:val="21"/>
        </w:rPr>
        <w:t>多个侧袋账户</w:t>
      </w:r>
      <w:proofErr w:type="gramEnd"/>
      <w:r>
        <w:rPr>
          <w:rFonts w:ascii="Arial Unicode MS" w:hAnsi="Arial Unicode MS" w:cs="Arial" w:hint="eastAsia"/>
          <w:bCs/>
          <w:szCs w:val="21"/>
        </w:rPr>
        <w:t>，</w:t>
      </w:r>
      <w:proofErr w:type="gramStart"/>
      <w:r>
        <w:rPr>
          <w:rFonts w:ascii="Arial Unicode MS" w:hAnsi="Arial Unicode MS" w:cs="Arial" w:hint="eastAsia"/>
          <w:bCs/>
          <w:szCs w:val="21"/>
        </w:rPr>
        <w:t>不同侧袋账户</w:t>
      </w:r>
      <w:proofErr w:type="gramEnd"/>
      <w:r>
        <w:rPr>
          <w:rFonts w:ascii="Arial Unicode MS" w:hAnsi="Arial Unicode MS" w:cs="Arial" w:hint="eastAsia"/>
          <w:bCs/>
          <w:szCs w:val="21"/>
        </w:rPr>
        <w:t>应分开进行核算。</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的会计核算应符合《企业会计准则》的相关要求。</w:t>
      </w:r>
    </w:p>
    <w:p w14:paraId="5B1E1DE6" w14:textId="77777777" w:rsidR="009A7A59" w:rsidRDefault="00000000">
      <w:pPr>
        <w:snapToGrid w:val="0"/>
        <w:spacing w:line="360" w:lineRule="auto"/>
        <w:ind w:firstLineChars="200" w:firstLine="422"/>
        <w:rPr>
          <w:rFonts w:ascii="Arial Unicode MS" w:hAnsi="Arial Unicode MS" w:cs="Arial" w:hint="eastAsia"/>
          <w:bCs/>
          <w:szCs w:val="21"/>
        </w:rPr>
      </w:pPr>
      <w:r>
        <w:rPr>
          <w:rFonts w:ascii="Arial Unicode MS" w:hAnsi="Arial Unicode MS" w:cs="Arial" w:hint="eastAsia"/>
          <w:b/>
          <w:bCs/>
          <w:szCs w:val="21"/>
        </w:rPr>
        <w:t>五、实施</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期间的基金费用</w:t>
      </w:r>
    </w:p>
    <w:p w14:paraId="2D6DF0F3"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的，</w:t>
      </w:r>
      <w:proofErr w:type="gramStart"/>
      <w:r>
        <w:rPr>
          <w:rFonts w:ascii="Arial Unicode MS" w:hAnsi="Arial Unicode MS" w:cs="Arial" w:hint="eastAsia"/>
          <w:bCs/>
          <w:szCs w:val="21"/>
        </w:rPr>
        <w:t>主袋账户</w:t>
      </w:r>
      <w:proofErr w:type="gramEnd"/>
      <w:r>
        <w:rPr>
          <w:rFonts w:ascii="Arial Unicode MS" w:hAnsi="Arial Unicode MS" w:cs="Arial" w:hint="eastAsia"/>
          <w:bCs/>
          <w:szCs w:val="21"/>
        </w:rPr>
        <w:t>的管理费、托管费和销售服务费</w:t>
      </w:r>
      <w:proofErr w:type="gramStart"/>
      <w:r>
        <w:rPr>
          <w:rFonts w:ascii="Arial Unicode MS" w:hAnsi="Arial Unicode MS" w:cs="Arial" w:hint="eastAsia"/>
          <w:bCs/>
          <w:szCs w:val="21"/>
        </w:rPr>
        <w:t>按主袋账户</w:t>
      </w:r>
      <w:proofErr w:type="gramEnd"/>
      <w:r>
        <w:rPr>
          <w:rFonts w:ascii="Arial Unicode MS" w:hAnsi="Arial Unicode MS" w:cs="Arial" w:hint="eastAsia"/>
          <w:bCs/>
          <w:szCs w:val="21"/>
        </w:rPr>
        <w:t>基金资产净值作为基数计提；</w:t>
      </w:r>
      <w:proofErr w:type="gramStart"/>
      <w:r>
        <w:rPr>
          <w:rFonts w:ascii="Arial Unicode MS" w:hAnsi="Arial Unicode MS" w:cs="Arial" w:hint="eastAsia"/>
          <w:bCs/>
          <w:szCs w:val="21"/>
        </w:rPr>
        <w:t>与侧袋账户</w:t>
      </w:r>
      <w:proofErr w:type="gramEnd"/>
      <w:r>
        <w:rPr>
          <w:rFonts w:ascii="Arial Unicode MS" w:hAnsi="Arial Unicode MS" w:cs="Arial" w:hint="eastAsia"/>
          <w:bCs/>
          <w:szCs w:val="21"/>
        </w:rPr>
        <w:t>有关的费用可</w:t>
      </w:r>
      <w:proofErr w:type="gramStart"/>
      <w:r>
        <w:rPr>
          <w:rFonts w:ascii="Arial Unicode MS" w:hAnsi="Arial Unicode MS" w:cs="Arial" w:hint="eastAsia"/>
          <w:bCs/>
          <w:szCs w:val="21"/>
        </w:rPr>
        <w:t>从侧袋账户</w:t>
      </w:r>
      <w:proofErr w:type="gramEnd"/>
      <w:r>
        <w:rPr>
          <w:rFonts w:ascii="Arial Unicode MS" w:hAnsi="Arial Unicode MS" w:cs="Arial" w:hint="eastAsia"/>
          <w:bCs/>
          <w:szCs w:val="21"/>
        </w:rPr>
        <w:t>中列支，但应</w:t>
      </w:r>
      <w:proofErr w:type="gramStart"/>
      <w:r>
        <w:rPr>
          <w:rFonts w:ascii="Arial Unicode MS" w:hAnsi="Arial Unicode MS" w:cs="Arial" w:hint="eastAsia"/>
          <w:bCs/>
          <w:szCs w:val="21"/>
        </w:rPr>
        <w:t>待侧袋</w:t>
      </w:r>
      <w:proofErr w:type="gramEnd"/>
      <w:r>
        <w:rPr>
          <w:rFonts w:ascii="Arial Unicode MS" w:hAnsi="Arial Unicode MS" w:cs="Arial" w:hint="eastAsia"/>
          <w:bCs/>
          <w:szCs w:val="21"/>
        </w:rPr>
        <w:t>账户资产变现后方可列支，有关费用可酌情收取或减免，但不得收取管理费，其他费用详见相关公告的规定。因启用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产生的咨询、审计费用等由基金管理人承担。</w:t>
      </w:r>
    </w:p>
    <w:p w14:paraId="6DC15F6F"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六、</w:t>
      </w:r>
      <w:proofErr w:type="gramStart"/>
      <w:r>
        <w:rPr>
          <w:rFonts w:ascii="Arial Unicode MS" w:hAnsi="Arial Unicode MS" w:cs="Arial" w:hint="eastAsia"/>
          <w:b/>
          <w:bCs/>
          <w:szCs w:val="21"/>
        </w:rPr>
        <w:t>侧袋账户</w:t>
      </w:r>
      <w:proofErr w:type="gramEnd"/>
      <w:r>
        <w:rPr>
          <w:rFonts w:ascii="Arial Unicode MS" w:hAnsi="Arial Unicode MS" w:cs="Arial" w:hint="eastAsia"/>
          <w:b/>
          <w:bCs/>
          <w:szCs w:val="21"/>
        </w:rPr>
        <w:t>中特定资产的处置变现和支付</w:t>
      </w:r>
    </w:p>
    <w:p w14:paraId="2E771844"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特定资产以可出售、可转让、恢复交易等方式恢复流动性后，基金管理人应当按照基金份额持有人利益最大化原则，采取将特定资产予以处置变现等方式，及时</w:t>
      </w:r>
      <w:proofErr w:type="gramStart"/>
      <w:r>
        <w:rPr>
          <w:rFonts w:ascii="Arial Unicode MS" w:hAnsi="Arial Unicode MS" w:cs="Arial" w:hint="eastAsia"/>
          <w:bCs/>
          <w:szCs w:val="21"/>
        </w:rPr>
        <w:t>向侧袋账户</w:t>
      </w:r>
      <w:proofErr w:type="gramEnd"/>
      <w:r>
        <w:rPr>
          <w:rFonts w:ascii="Arial Unicode MS" w:hAnsi="Arial Unicode MS" w:cs="Arial" w:hint="eastAsia"/>
          <w:bCs/>
          <w:szCs w:val="21"/>
        </w:rPr>
        <w:t>份额持有人支付对应变现款项。</w:t>
      </w:r>
    </w:p>
    <w:p w14:paraId="29EAB4C2" w14:textId="77777777" w:rsidR="009A7A59" w:rsidRDefault="00000000">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w:t>
      </w:r>
      <w:proofErr w:type="gramStart"/>
      <w:r>
        <w:rPr>
          <w:rFonts w:ascii="Arial Unicode MS" w:hAnsi="Arial Unicode MS" w:cs="Arial" w:hint="eastAsia"/>
          <w:bCs/>
          <w:szCs w:val="21"/>
        </w:rPr>
        <w:t>无论侧袋账户</w:t>
      </w:r>
      <w:proofErr w:type="gramEnd"/>
      <w:r>
        <w:rPr>
          <w:rFonts w:ascii="Arial Unicode MS" w:hAnsi="Arial Unicode MS" w:cs="Arial" w:hint="eastAsia"/>
          <w:bCs/>
          <w:szCs w:val="21"/>
        </w:rPr>
        <w:t>资产是否全部完成变现，基金管理人都应当及时</w:t>
      </w:r>
      <w:proofErr w:type="gramStart"/>
      <w:r>
        <w:rPr>
          <w:rFonts w:ascii="Arial Unicode MS" w:hAnsi="Arial Unicode MS" w:cs="Arial" w:hint="eastAsia"/>
          <w:bCs/>
          <w:szCs w:val="21"/>
        </w:rPr>
        <w:t>向侧袋账户</w:t>
      </w:r>
      <w:proofErr w:type="gramEnd"/>
      <w:r>
        <w:rPr>
          <w:rFonts w:ascii="Arial Unicode MS" w:hAnsi="Arial Unicode MS" w:cs="Arial" w:hint="eastAsia"/>
          <w:bCs/>
          <w:szCs w:val="21"/>
        </w:rPr>
        <w:t>全部份额持有人支付已变现部分对应的款项。</w:t>
      </w:r>
      <w:proofErr w:type="gramStart"/>
      <w:r>
        <w:rPr>
          <w:rFonts w:ascii="Arial Unicode MS" w:hAnsi="Arial Unicode MS" w:cs="Arial" w:hint="eastAsia"/>
          <w:bCs/>
          <w:szCs w:val="21"/>
        </w:rPr>
        <w:t>若侧袋</w:t>
      </w:r>
      <w:proofErr w:type="gramEnd"/>
      <w:r>
        <w:rPr>
          <w:rFonts w:ascii="Arial Unicode MS" w:hAnsi="Arial Unicode MS" w:cs="Arial" w:hint="eastAsia"/>
          <w:bCs/>
          <w:szCs w:val="21"/>
        </w:rPr>
        <w:t>账户资产无法一次性完成处置变现，基金管理人在每次处置变现后均应按照相关法律法规要求及时发布临时公告。</w:t>
      </w:r>
    </w:p>
    <w:p w14:paraId="2C2537F7" w14:textId="77777777" w:rsidR="009A7A59" w:rsidRDefault="00000000">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资产全部完成变现并终止</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后，基金管理人应及时聘请符合《中华人民共和国证券法》规定的会计师事务所进行审计并披露专项审计意见。</w:t>
      </w:r>
    </w:p>
    <w:p w14:paraId="2AE0CF21" w14:textId="77777777" w:rsidR="009A7A59" w:rsidRDefault="00000000">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资产完全清算后，基金管理人应</w:t>
      </w:r>
      <w:proofErr w:type="gramStart"/>
      <w:r>
        <w:rPr>
          <w:rFonts w:ascii="Arial Unicode MS" w:hAnsi="Arial Unicode MS" w:cs="Arial" w:hint="eastAsia"/>
          <w:bCs/>
          <w:szCs w:val="21"/>
        </w:rPr>
        <w:t>注销侧袋账户</w:t>
      </w:r>
      <w:proofErr w:type="gramEnd"/>
      <w:r>
        <w:rPr>
          <w:rFonts w:ascii="Arial Unicode MS" w:hAnsi="Arial Unicode MS" w:cs="Arial" w:hint="eastAsia"/>
          <w:bCs/>
          <w:szCs w:val="21"/>
        </w:rPr>
        <w:t>。</w:t>
      </w:r>
    </w:p>
    <w:p w14:paraId="0D76FB02"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七、</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的信息披露</w:t>
      </w:r>
    </w:p>
    <w:p w14:paraId="28884349"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、临时公告</w:t>
      </w:r>
    </w:p>
    <w:p w14:paraId="0E8A0CE8"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w:t>
      </w:r>
      <w:proofErr w:type="gramStart"/>
      <w:r>
        <w:rPr>
          <w:rFonts w:ascii="Arial Unicode MS" w:hAnsi="Arial Unicode MS" w:cs="Arial" w:hint="eastAsia"/>
          <w:bCs/>
          <w:szCs w:val="21"/>
        </w:rPr>
        <w:t>启用侧袋机制</w:t>
      </w:r>
      <w:proofErr w:type="gramEnd"/>
      <w:r>
        <w:rPr>
          <w:rFonts w:ascii="Arial Unicode MS" w:hAnsi="Arial Unicode MS" w:cs="Arial" w:hint="eastAsia"/>
          <w:bCs/>
          <w:szCs w:val="21"/>
        </w:rPr>
        <w:t>、处置特定资产、终止</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以及发生其他可能对投资者利益产生重大影响的事项后基金管理人应及时发布临时公告。</w:t>
      </w:r>
    </w:p>
    <w:p w14:paraId="611DDB66"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、基金净值信息</w:t>
      </w:r>
    </w:p>
    <w:p w14:paraId="5176BDF5"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基金管理人应按照招募说明书“基金的信息披露”部分规定的基金净值信息披露方式和频率</w:t>
      </w:r>
      <w:proofErr w:type="gramStart"/>
      <w:r>
        <w:rPr>
          <w:rFonts w:ascii="Arial Unicode MS" w:hAnsi="Arial Unicode MS" w:cs="Arial" w:hint="eastAsia"/>
          <w:bCs/>
          <w:szCs w:val="21"/>
        </w:rPr>
        <w:t>披露主袋账户</w:t>
      </w:r>
      <w:proofErr w:type="gramEnd"/>
      <w:r>
        <w:rPr>
          <w:rFonts w:ascii="Arial Unicode MS" w:hAnsi="Arial Unicode MS" w:cs="Arial" w:hint="eastAsia"/>
          <w:bCs/>
          <w:szCs w:val="21"/>
        </w:rPr>
        <w:t>份额的各类基金份额净值和基金份额累计净值。实施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期间，本基金暂停</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的基金净值信息。</w:t>
      </w:r>
    </w:p>
    <w:p w14:paraId="53623B0A" w14:textId="77777777" w:rsidR="009A7A59" w:rsidRDefault="00000000">
      <w:pPr>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、定期报告</w:t>
      </w:r>
    </w:p>
    <w:p w14:paraId="7A7FE311" w14:textId="77777777" w:rsidR="009A7A59" w:rsidRDefault="00000000">
      <w:pPr>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实施期间，基金管理人应当在基金定期报告中披露报告期</w:t>
      </w:r>
      <w:proofErr w:type="gramStart"/>
      <w:r>
        <w:rPr>
          <w:rFonts w:ascii="Arial Unicode MS" w:hAnsi="Arial Unicode MS" w:cs="Arial" w:hint="eastAsia"/>
          <w:bCs/>
          <w:szCs w:val="21"/>
        </w:rPr>
        <w:t>内侧袋</w:t>
      </w:r>
      <w:proofErr w:type="gramEnd"/>
      <w:r>
        <w:rPr>
          <w:rFonts w:ascii="Arial Unicode MS" w:hAnsi="Arial Unicode MS" w:cs="Arial" w:hint="eastAsia"/>
          <w:bCs/>
          <w:szCs w:val="21"/>
        </w:rPr>
        <w:t>账户相关信息，基金定期报告中的基金会计报表仅需</w:t>
      </w:r>
      <w:proofErr w:type="gramStart"/>
      <w:r>
        <w:rPr>
          <w:rFonts w:ascii="Arial Unicode MS" w:hAnsi="Arial Unicode MS" w:cs="Arial" w:hint="eastAsia"/>
          <w:bCs/>
          <w:szCs w:val="21"/>
        </w:rPr>
        <w:t>针对主袋账户</w:t>
      </w:r>
      <w:proofErr w:type="gramEnd"/>
      <w:r>
        <w:rPr>
          <w:rFonts w:ascii="Arial Unicode MS" w:hAnsi="Arial Unicode MS" w:cs="Arial" w:hint="eastAsia"/>
          <w:bCs/>
          <w:szCs w:val="21"/>
        </w:rPr>
        <w:t>进行编制。</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相关信息在定期报告中单独进行披露。会计师事务所对基金年度报告进行审计时，应对报告期内基金</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运行相关的会计核算和年度报告披露，执行适当程序并发表审计意见。</w:t>
      </w:r>
    </w:p>
    <w:p w14:paraId="17370DB9" w14:textId="77777777" w:rsidR="009A7A59" w:rsidRDefault="00000000">
      <w:pPr>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八、本部</w:t>
      </w:r>
      <w:proofErr w:type="gramStart"/>
      <w:r>
        <w:rPr>
          <w:rFonts w:ascii="Arial Unicode MS" w:hAnsi="Arial Unicode MS" w:cs="Arial" w:hint="eastAsia"/>
          <w:b/>
          <w:bCs/>
          <w:szCs w:val="21"/>
        </w:rPr>
        <w:t>分关于侧袋机制</w:t>
      </w:r>
      <w:proofErr w:type="gramEnd"/>
      <w:r>
        <w:rPr>
          <w:rFonts w:ascii="Arial Unicode MS" w:hAnsi="Arial Unicode MS" w:cs="Arial" w:hint="eastAsia"/>
          <w:b/>
          <w:bCs/>
          <w:szCs w:val="21"/>
        </w:rPr>
        <w:t>的相关规定，凡是直接引用法律法规的部分，如将来法律法规修改导致相关内容被取消或变更的，或将来法律法规或监管规则针对</w:t>
      </w:r>
      <w:proofErr w:type="gramStart"/>
      <w:r>
        <w:rPr>
          <w:rFonts w:ascii="Arial Unicode MS" w:hAnsi="Arial Unicode MS" w:cs="Arial" w:hint="eastAsia"/>
          <w:b/>
          <w:bCs/>
          <w:szCs w:val="21"/>
        </w:rPr>
        <w:t>侧袋机制</w:t>
      </w:r>
      <w:proofErr w:type="gramEnd"/>
      <w:r>
        <w:rPr>
          <w:rFonts w:ascii="Arial Unicode MS" w:hAnsi="Arial Unicode MS" w:cs="Arial" w:hint="eastAsia"/>
          <w:b/>
          <w:bCs/>
          <w:szCs w:val="21"/>
        </w:rPr>
        <w:t>的内容有</w:t>
      </w:r>
      <w:r>
        <w:rPr>
          <w:rFonts w:ascii="Arial Unicode MS" w:hAnsi="Arial Unicode MS" w:cs="Arial" w:hint="eastAsia"/>
          <w:b/>
          <w:bCs/>
          <w:szCs w:val="21"/>
        </w:rPr>
        <w:lastRenderedPageBreak/>
        <w:t>进一步规定的，基金管理人经与基金托管人协商一致并履行适当程序后，在对基金份额持有人利益无实质性不利影响的前提下，可直接对本部分内容进行修改和调整，无需召开基金份额持有人大会审议。</w:t>
      </w:r>
    </w:p>
    <w:p w14:paraId="36162024" w14:textId="77777777" w:rsidR="009A7A59" w:rsidRDefault="009A7A59">
      <w:pPr>
        <w:snapToGrid w:val="0"/>
        <w:spacing w:line="360" w:lineRule="auto"/>
        <w:ind w:firstLineChars="200" w:firstLine="420"/>
        <w:rPr>
          <w:rFonts w:ascii="Arial Unicode MS" w:hAnsi="Arial Unicode MS" w:cs="Arial" w:hint="eastAsia"/>
          <w:bCs/>
          <w:szCs w:val="21"/>
        </w:rPr>
      </w:pPr>
    </w:p>
    <w:p w14:paraId="09DBC5D2" w14:textId="77777777" w:rsidR="009A7A59" w:rsidRDefault="009A7A59"/>
    <w:p w14:paraId="4F40BA5E" w14:textId="77777777" w:rsidR="009A7A59" w:rsidRDefault="009A7A59"/>
    <w:p w14:paraId="013A8104" w14:textId="77777777" w:rsidR="009A7A59" w:rsidRDefault="009A7A59"/>
    <w:p w14:paraId="3C743A44" w14:textId="77777777" w:rsidR="009A7A59" w:rsidRDefault="009A7A59"/>
    <w:p w14:paraId="51EC04F1" w14:textId="77777777" w:rsidR="009A7A59" w:rsidRDefault="009A7A59"/>
    <w:p w14:paraId="6686665E" w14:textId="77777777" w:rsidR="009A7A59" w:rsidRDefault="009A7A59"/>
    <w:p w14:paraId="4D1215AA" w14:textId="77777777" w:rsidR="009A7A59" w:rsidRDefault="009A7A59"/>
    <w:p w14:paraId="49D5FBB7" w14:textId="77777777" w:rsidR="009A7A59" w:rsidRDefault="009A7A59"/>
    <w:p w14:paraId="312676F8" w14:textId="77777777" w:rsidR="009A7A59" w:rsidRDefault="009A7A59"/>
    <w:p w14:paraId="2BAED99E" w14:textId="77777777" w:rsidR="009A7A59" w:rsidRDefault="009A7A59"/>
    <w:p w14:paraId="6DDF4DD9" w14:textId="77777777" w:rsidR="009A7A59" w:rsidRDefault="009A7A59"/>
    <w:p w14:paraId="2ABA7AAA" w14:textId="77777777" w:rsidR="009A7A59" w:rsidRDefault="009A7A59"/>
    <w:p w14:paraId="4F0096E9" w14:textId="77777777" w:rsidR="009A7A59" w:rsidRDefault="009A7A59"/>
    <w:p w14:paraId="64AA499A" w14:textId="77777777" w:rsidR="009A7A59" w:rsidRDefault="009A7A59"/>
    <w:p w14:paraId="73D6746E" w14:textId="77777777" w:rsidR="009A7A59" w:rsidRDefault="009A7A59"/>
    <w:p w14:paraId="053D97DA" w14:textId="77777777" w:rsidR="009A7A59" w:rsidRDefault="009A7A59"/>
    <w:p w14:paraId="26F72B49" w14:textId="77777777" w:rsidR="009A7A59" w:rsidRDefault="009A7A59"/>
    <w:p w14:paraId="734465FC" w14:textId="77777777" w:rsidR="009A7A59" w:rsidRDefault="009A7A59"/>
    <w:p w14:paraId="220965EA" w14:textId="77777777" w:rsidR="009A7A59" w:rsidRDefault="009A7A59"/>
    <w:p w14:paraId="5D97951A" w14:textId="77777777" w:rsidR="009A7A59" w:rsidRDefault="009A7A59"/>
    <w:p w14:paraId="1B3FF125" w14:textId="77777777" w:rsidR="009A7A59" w:rsidRDefault="009A7A59"/>
    <w:p w14:paraId="7F12E517" w14:textId="77777777" w:rsidR="009A7A59" w:rsidRDefault="009A7A59"/>
    <w:p w14:paraId="12EB9C98" w14:textId="77777777" w:rsidR="009A7A59" w:rsidRDefault="009A7A59"/>
    <w:p w14:paraId="73E322CC" w14:textId="77777777" w:rsidR="009A7A59" w:rsidRDefault="009A7A59"/>
    <w:p w14:paraId="6BBAD30F" w14:textId="77777777" w:rsidR="009A7A59" w:rsidRDefault="009A7A59"/>
    <w:p w14:paraId="793FD677" w14:textId="77777777" w:rsidR="009A7A59" w:rsidRDefault="009A7A59"/>
    <w:p w14:paraId="2113825A" w14:textId="77777777" w:rsidR="009A7A59" w:rsidRDefault="009A7A59"/>
    <w:p w14:paraId="047C7890" w14:textId="77777777" w:rsidR="009A7A59" w:rsidRDefault="009A7A59"/>
    <w:p w14:paraId="3629D2D4" w14:textId="77777777" w:rsidR="009A7A59" w:rsidRDefault="009A7A59"/>
    <w:p w14:paraId="7D89D06D" w14:textId="77777777" w:rsidR="009A7A59" w:rsidRDefault="009A7A59"/>
    <w:p w14:paraId="2B0DD564" w14:textId="77777777" w:rsidR="009A7A59" w:rsidRDefault="009A7A59"/>
    <w:p w14:paraId="4CC03777" w14:textId="77777777" w:rsidR="009A7A59" w:rsidRDefault="009A7A59"/>
    <w:p w14:paraId="051CBDC8" w14:textId="77777777" w:rsidR="009A7A59" w:rsidRDefault="009A7A59"/>
    <w:p w14:paraId="3AA94433" w14:textId="77777777" w:rsidR="009A7A59" w:rsidRDefault="009A7A59"/>
    <w:p w14:paraId="0AAA2841" w14:textId="77777777" w:rsidR="009A7A59" w:rsidRDefault="009A7A59"/>
    <w:p w14:paraId="3CD70348" w14:textId="77777777" w:rsidR="009A7A59" w:rsidRDefault="009A7A59"/>
    <w:p w14:paraId="1FA5A771" w14:textId="77777777" w:rsidR="009A7A59" w:rsidRDefault="009A7A59"/>
    <w:p w14:paraId="31155C10" w14:textId="77777777" w:rsidR="009A7A59" w:rsidRDefault="009A7A59"/>
    <w:p w14:paraId="1B79ACA1" w14:textId="77777777" w:rsidR="009A7A59" w:rsidRDefault="009A7A59"/>
    <w:p w14:paraId="25E055A9" w14:textId="77777777" w:rsidR="009A7A59" w:rsidRDefault="00000000">
      <w:pPr>
        <w:widowControl/>
        <w:jc w:val="left"/>
      </w:pPr>
      <w:r>
        <w:br w:type="page"/>
      </w:r>
    </w:p>
    <w:p w14:paraId="2A42FE93" w14:textId="77777777" w:rsidR="009A7A59" w:rsidRDefault="00000000">
      <w:pPr>
        <w:pStyle w:val="11"/>
        <w:snapToGrid w:val="0"/>
        <w:spacing w:before="0" w:after="0" w:line="360" w:lineRule="auto"/>
        <w:rPr>
          <w:rFonts w:ascii="Arial Unicode MS" w:eastAsia="宋体" w:hAnsi="Arial Unicode MS" w:hint="eastAsia"/>
          <w:b/>
          <w:sz w:val="28"/>
          <w:szCs w:val="28"/>
        </w:rPr>
      </w:pPr>
      <w:bookmarkStart w:id="115" w:name="_Toc63676452"/>
      <w:r>
        <w:rPr>
          <w:rFonts w:ascii="Arial Unicode MS" w:eastAsia="宋体" w:hAnsi="Arial Unicode MS" w:cs="Arial"/>
          <w:b/>
          <w:bCs/>
          <w:sz w:val="28"/>
          <w:szCs w:val="28"/>
        </w:rPr>
        <w:lastRenderedPageBreak/>
        <w:t>第</w:t>
      </w:r>
      <w:r>
        <w:rPr>
          <w:rFonts w:ascii="Arial Unicode MS" w:eastAsia="宋体" w:hAnsi="Arial Unicode MS"/>
          <w:b/>
          <w:sz w:val="28"/>
          <w:szCs w:val="28"/>
        </w:rPr>
        <w:t>十</w:t>
      </w:r>
      <w:r>
        <w:rPr>
          <w:rFonts w:ascii="Arial Unicode MS" w:eastAsia="宋体" w:hAnsi="Arial Unicode MS" w:hint="eastAsia"/>
          <w:b/>
          <w:sz w:val="28"/>
          <w:szCs w:val="28"/>
        </w:rPr>
        <w:t>七</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5"/>
    </w:p>
    <w:p w14:paraId="672D207F" w14:textId="77777777" w:rsidR="009A7A59" w:rsidRDefault="009A7A59"/>
    <w:p w14:paraId="494492D6" w14:textId="77777777" w:rsidR="009A7A59" w:rsidRDefault="00000000">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一、投资于本基金的主要风险</w:t>
      </w:r>
    </w:p>
    <w:p w14:paraId="66C1E864"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投资于本基金的主要风险有：</w:t>
      </w:r>
    </w:p>
    <w:p w14:paraId="37FD3D90"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、市场风险</w:t>
      </w:r>
    </w:p>
    <w:p w14:paraId="092F931C"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证券市场价格受到各种因素的影响，导致基金收益水平变化而产生风险，主要包括：</w:t>
      </w:r>
    </w:p>
    <w:p w14:paraId="012B4BD4"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）政策风险。因国家宏观政策（如货币政策、财政政策、行业政策、地区发展政策等）发生变化，导致市场价格波动而产生风险。</w:t>
      </w:r>
    </w:p>
    <w:p w14:paraId="7508AF65"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693DBC69"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）利率风险。金融市场利率的波动会导致证券市场价格和收益率的变动。</w:t>
      </w:r>
    </w:p>
    <w:p w14:paraId="00720428"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）通货膨胀风险。如果发生通货膨胀，基金投资于证券所获得的收益可能会被通货膨胀抵消，从而影响基金资产的保值增值。</w:t>
      </w:r>
    </w:p>
    <w:p w14:paraId="3116173F"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3786A5E1"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、信用风险</w:t>
      </w:r>
    </w:p>
    <w:p w14:paraId="43966D7C"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7CF30DCD"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、流动性风险</w:t>
      </w:r>
    </w:p>
    <w:p w14:paraId="136576EC"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3690028B" w14:textId="77777777" w:rsidR="009A7A59" w:rsidRDefault="00000000">
      <w:pPr>
        <w:pStyle w:val="afff0"/>
        <w:numPr>
          <w:ilvl w:val="0"/>
          <w:numId w:val="6"/>
        </w:numPr>
        <w:adjustRightInd w:val="0"/>
        <w:snapToGrid w:val="0"/>
        <w:ind w:firstLineChars="0"/>
        <w:rPr>
          <w:rFonts w:ascii="Arial Unicode MS" w:hAnsi="Arial Unicode MS" w:hint="eastAsia"/>
          <w:bCs w:val="0"/>
        </w:rPr>
      </w:pPr>
      <w:r>
        <w:rPr>
          <w:rFonts w:ascii="Arial Unicode MS" w:hAnsi="Arial Unicode MS" w:hint="eastAsia"/>
        </w:rPr>
        <w:t>本基金的申购、赎回安排</w:t>
      </w:r>
    </w:p>
    <w:p w14:paraId="4DBE5AEC"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投资人具体请参见基金合同“第六部分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基金份额的申购与赎回”和本招募说明书“第八部分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基金份额的申购与赎回”，详细了解本基金的申购以及赎回安排。</w:t>
      </w:r>
    </w:p>
    <w:p w14:paraId="1AB2F411"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本基金发生流动性风险时，基金管理人可以综合利用备用的流动性风险管理工具以减少或应对基金的流动性风险，投资者可能面临赎回申请被暂停接受或延期办理、赎回款项被延缓支付、被收取短期赎回费、基金估值被暂停、基金采用摆动定价等风险。投资者应该了解自身的流动性偏好，并评估是否与本基金的流动性风险匹配。</w:t>
      </w:r>
    </w:p>
    <w:p w14:paraId="5E49EBF8" w14:textId="77777777" w:rsidR="009A7A59" w:rsidRDefault="00000000">
      <w:pPr>
        <w:pStyle w:val="afff0"/>
        <w:numPr>
          <w:ilvl w:val="0"/>
          <w:numId w:val="6"/>
        </w:numPr>
        <w:adjustRightInd w:val="0"/>
        <w:snapToGrid w:val="0"/>
        <w:ind w:firstLineChars="0"/>
        <w:rPr>
          <w:rFonts w:ascii="Arial Unicode MS" w:hAnsi="Arial Unicode MS" w:hint="eastAsia"/>
          <w:bCs w:val="0"/>
        </w:rPr>
      </w:pPr>
      <w:r>
        <w:rPr>
          <w:rFonts w:ascii="Arial Unicode MS" w:hAnsi="Arial Unicode MS" w:hint="eastAsia"/>
        </w:rPr>
        <w:t>拟投资市场、行业及资产的流动性风险评估</w:t>
      </w:r>
    </w:p>
    <w:p w14:paraId="54EE60FC"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本基金的投资市场主要为证券交易所、全国银行间债券市场等流动性较好的规范型交易</w:t>
      </w:r>
      <w:r>
        <w:rPr>
          <w:rFonts w:ascii="Arial Unicode MS" w:hAnsi="Arial Unicode MS" w:cs="Arial" w:hint="eastAsia"/>
          <w:bCs/>
          <w:szCs w:val="21"/>
        </w:rPr>
        <w:lastRenderedPageBreak/>
        <w:t>场所，主要投资于具有良好流动性的金融工具（包括国债、金融债、企业债、公司债、央行票据、中期票据、短期融资</w:t>
      </w:r>
      <w:proofErr w:type="gramStart"/>
      <w:r>
        <w:rPr>
          <w:rFonts w:ascii="Arial Unicode MS" w:hAnsi="Arial Unicode MS" w:cs="Arial" w:hint="eastAsia"/>
          <w:bCs/>
          <w:szCs w:val="21"/>
        </w:rPr>
        <w:t>券</w:t>
      </w:r>
      <w:proofErr w:type="gramEnd"/>
      <w:r>
        <w:rPr>
          <w:rFonts w:ascii="Arial Unicode MS" w:hAnsi="Arial Unicode MS" w:cs="Arial" w:hint="eastAsia"/>
          <w:bCs/>
          <w:szCs w:val="21"/>
        </w:rPr>
        <w:t>、资产支持证券、次级债、可分离交易可转债</w:t>
      </w:r>
      <w:proofErr w:type="gramStart"/>
      <w:r>
        <w:rPr>
          <w:rFonts w:ascii="Arial Unicode MS" w:hAnsi="Arial Unicode MS" w:cs="Arial" w:hint="eastAsia"/>
          <w:bCs/>
          <w:szCs w:val="21"/>
        </w:rPr>
        <w:t>的纯债部分</w:t>
      </w:r>
      <w:proofErr w:type="gramEnd"/>
      <w:r>
        <w:rPr>
          <w:rFonts w:ascii="Arial Unicode MS" w:hAnsi="Arial Unicode MS" w:cs="Arial" w:hint="eastAsia"/>
          <w:bCs/>
          <w:szCs w:val="21"/>
        </w:rPr>
        <w:t>、债券回购、银行存款等法律法规或中国证监会允许基金投资的其他金融工具，但须符合中国证监会相关规定）。资本市场成交活跃程度、基金持仓资产的变现能力以及投资者的申购</w:t>
      </w:r>
      <w:r>
        <w:rPr>
          <w:rFonts w:ascii="Arial Unicode MS" w:hAnsi="Arial Unicode MS" w:cs="Arial" w:hint="eastAsia"/>
          <w:bCs/>
          <w:szCs w:val="21"/>
        </w:rPr>
        <w:t>/</w:t>
      </w:r>
      <w:r>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Pr>
          <w:rFonts w:ascii="Arial Unicode MS" w:hAnsi="Arial Unicode MS" w:cs="Arial" w:hint="eastAsia"/>
          <w:bCs/>
          <w:szCs w:val="21"/>
        </w:rPr>
        <w:t>单一基金</w:t>
      </w:r>
      <w:proofErr w:type="gramEnd"/>
      <w:r>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3E578AE6"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）巨额赎回情形下的流动性风险管理措施</w:t>
      </w:r>
      <w:r>
        <w:rPr>
          <w:rFonts w:ascii="Arial Unicode MS" w:hAnsi="Arial Unicode MS" w:cs="Arial" w:hint="eastAsia"/>
          <w:bCs/>
          <w:szCs w:val="21"/>
        </w:rPr>
        <w:t xml:space="preserve"> </w:t>
      </w:r>
    </w:p>
    <w:p w14:paraId="3F78689B"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出现巨额赎回情形下，基金管理人可以根据基金当时的资产组合状况或巨额赎回份额占比情况决定全额赎回或部分延期赎回。同时，如本基金单个基金份额持有人在单个开放日申请赎回基金份额超过前一开放日基金总份额一定比例以上的，基金管理人有权对其采取延期办理赎回申请的措施。</w:t>
      </w:r>
    </w:p>
    <w:p w14:paraId="0951CDFD"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）实施备用的流动性风险管理工具的情形、程序及对投资者的潜在影响</w:t>
      </w:r>
    </w:p>
    <w:p w14:paraId="225827EC"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暂停基金估值、摆动定价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包括但不限于：</w:t>
      </w:r>
    </w:p>
    <w:p w14:paraId="2B004760"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ab/>
      </w:r>
      <w:r>
        <w:rPr>
          <w:rFonts w:ascii="Arial Unicode MS" w:hAnsi="Arial Unicode MS" w:cs="Arial" w:hint="eastAsia"/>
          <w:bCs/>
          <w:szCs w:val="21"/>
        </w:rPr>
        <w:t>延期办理巨额赎回申请</w:t>
      </w:r>
    </w:p>
    <w:p w14:paraId="44BF0205"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投资人具体请参见本招募说明书“基金份额的申购与赎回”章节中“巨额赎回的情形及处理方式”的相关内容。</w:t>
      </w:r>
    </w:p>
    <w:p w14:paraId="6EBD52FB"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当本基金出现上述情形时，本基金可能无法及时满足所有投资人的赎回申请，投资人收到赎回款项的时间也可能晚于预期。</w:t>
      </w:r>
    </w:p>
    <w:p w14:paraId="702546DD"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2)</w:t>
      </w:r>
      <w:r>
        <w:rPr>
          <w:rFonts w:ascii="Arial Unicode MS" w:hAnsi="Arial Unicode MS" w:cs="Arial" w:hint="eastAsia"/>
          <w:bCs/>
          <w:szCs w:val="21"/>
        </w:rPr>
        <w:tab/>
      </w:r>
      <w:r>
        <w:rPr>
          <w:rFonts w:ascii="Arial Unicode MS" w:hAnsi="Arial Unicode MS" w:cs="Arial" w:hint="eastAsia"/>
          <w:bCs/>
          <w:szCs w:val="21"/>
        </w:rPr>
        <w:t>暂停接受赎回申请</w:t>
      </w:r>
    </w:p>
    <w:p w14:paraId="611C8AD6"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投资人具体请参见本招募说明书“基金份额的申购与赎回”章节中“暂停赎回申请或延</w:t>
      </w:r>
      <w:r>
        <w:rPr>
          <w:rFonts w:ascii="Arial Unicode MS" w:hAnsi="Arial Unicode MS" w:cs="Arial" w:hint="eastAsia"/>
          <w:bCs/>
          <w:szCs w:val="21"/>
        </w:rPr>
        <w:lastRenderedPageBreak/>
        <w:t>缓支付赎回款项的情形”，详细了解本基金暂停接受赎回申请的情形及程序。</w:t>
      </w:r>
    </w:p>
    <w:p w14:paraId="1F072C01"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在此情形下，投资人的部分或全部赎回申请可能被拒绝，同时投资人完成基金赎回时的基金份额净值可能与其提交赎回申请时的基金份额净值不同。</w:t>
      </w:r>
    </w:p>
    <w:p w14:paraId="712FEA4B"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3)</w:t>
      </w:r>
      <w:r>
        <w:rPr>
          <w:rFonts w:ascii="Arial Unicode MS" w:hAnsi="Arial Unicode MS" w:cs="Arial" w:hint="eastAsia"/>
          <w:bCs/>
          <w:szCs w:val="21"/>
        </w:rPr>
        <w:tab/>
      </w:r>
      <w:r>
        <w:rPr>
          <w:rFonts w:ascii="Arial Unicode MS" w:hAnsi="Arial Unicode MS" w:cs="Arial" w:hint="eastAsia"/>
          <w:bCs/>
          <w:szCs w:val="21"/>
        </w:rPr>
        <w:t>延缓支付赎回款项</w:t>
      </w:r>
    </w:p>
    <w:p w14:paraId="563C2778"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投资人具体请参见本招募说明书“基金份额的申购与赎回”章节中“暂停赎回申请或延缓支付赎回款项的情形”，和“巨额赎回的情形及处理方式”，详细了解本基金延缓支付赎回款项的情形及程序。</w:t>
      </w:r>
    </w:p>
    <w:p w14:paraId="5CC319E8"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在此情形下，投资人收到赎回款项的时间将可能比一般正常情形下有所延迟。</w:t>
      </w:r>
    </w:p>
    <w:p w14:paraId="43C5C806"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ab/>
      </w:r>
      <w:r>
        <w:rPr>
          <w:rFonts w:ascii="Arial Unicode MS" w:hAnsi="Arial Unicode MS" w:cs="Arial" w:hint="eastAsia"/>
          <w:bCs/>
          <w:szCs w:val="21"/>
        </w:rPr>
        <w:t>收取短期赎回费</w:t>
      </w:r>
    </w:p>
    <w:p w14:paraId="159779DB"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本基金对持续持有期限少于</w:t>
      </w:r>
      <w:r>
        <w:rPr>
          <w:rFonts w:ascii="Arial Unicode MS" w:hAnsi="Arial Unicode MS" w:cs="Arial" w:hint="eastAsia"/>
          <w:bCs/>
          <w:szCs w:val="21"/>
        </w:rPr>
        <w:t>7</w:t>
      </w:r>
      <w:r>
        <w:rPr>
          <w:rFonts w:ascii="Arial Unicode MS" w:hAnsi="Arial Unicode MS" w:cs="Arial" w:hint="eastAsia"/>
          <w:bCs/>
          <w:szCs w:val="21"/>
        </w:rPr>
        <w:t>天的投资者收取不低于</w:t>
      </w:r>
      <w:r>
        <w:rPr>
          <w:rFonts w:ascii="Arial Unicode MS" w:hAnsi="Arial Unicode MS" w:cs="Arial" w:hint="eastAsia"/>
          <w:bCs/>
          <w:szCs w:val="21"/>
        </w:rPr>
        <w:t>1.5%</w:t>
      </w:r>
      <w:r>
        <w:rPr>
          <w:rFonts w:ascii="Arial Unicode MS" w:hAnsi="Arial Unicode MS" w:cs="Arial" w:hint="eastAsia"/>
          <w:bCs/>
          <w:szCs w:val="21"/>
        </w:rPr>
        <w:t>的赎回费，并将上述赎回费全额计入基金财产。</w:t>
      </w:r>
    </w:p>
    <w:p w14:paraId="6F2A7AB5"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ab/>
      </w:r>
      <w:r>
        <w:rPr>
          <w:rFonts w:ascii="Arial Unicode MS" w:hAnsi="Arial Unicode MS" w:cs="Arial" w:hint="eastAsia"/>
          <w:bCs/>
          <w:szCs w:val="21"/>
        </w:rPr>
        <w:t>暂停基金估值</w:t>
      </w:r>
    </w:p>
    <w:p w14:paraId="4BB25BC7"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投资人具体请参见本招募说明书“基金资产的估值”章节中“暂停估值的情形”，详细了解本基金暂停估值的情形及程序。在此情形下，投资人没有可供参考的基金份额净值，同时赎回申请可能被延期办理或被暂停接受，或被延缓支付赎回款项。</w:t>
      </w:r>
    </w:p>
    <w:p w14:paraId="1477BC09"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ab/>
      </w:r>
      <w:r>
        <w:rPr>
          <w:rFonts w:ascii="Arial Unicode MS" w:hAnsi="Arial Unicode MS" w:cs="Arial" w:hint="eastAsia"/>
          <w:bCs/>
          <w:szCs w:val="21"/>
        </w:rPr>
        <w:t>摆动定价</w:t>
      </w:r>
    </w:p>
    <w:p w14:paraId="50755779"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当本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8184DFD"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ab/>
      </w:r>
      <w:r>
        <w:rPr>
          <w:rFonts w:ascii="Arial Unicode MS" w:hAnsi="Arial Unicode MS" w:cs="Arial" w:hint="eastAsia"/>
          <w:bCs/>
          <w:szCs w:val="21"/>
        </w:rPr>
        <w:t>法律法规规定、中国证监会认定或基金合同约定的其他措施。</w:t>
      </w:r>
    </w:p>
    <w:p w14:paraId="3774D284"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对投资者的影响</w:t>
      </w:r>
    </w:p>
    <w:p w14:paraId="17BCD6E4"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是一种流动性风险管理工具，是将特定资产分离</w:t>
      </w:r>
      <w:proofErr w:type="gramStart"/>
      <w:r>
        <w:rPr>
          <w:rFonts w:ascii="Arial Unicode MS" w:hAnsi="Arial Unicode MS" w:cs="Arial" w:hint="eastAsia"/>
          <w:bCs/>
          <w:szCs w:val="21"/>
        </w:rPr>
        <w:t>至专门的侧袋</w:t>
      </w:r>
      <w:proofErr w:type="gramEnd"/>
      <w:r>
        <w:rPr>
          <w:rFonts w:ascii="Arial Unicode MS" w:hAnsi="Arial Unicode MS" w:cs="Arial" w:hint="eastAsia"/>
          <w:bCs/>
          <w:szCs w:val="21"/>
        </w:rPr>
        <w:t>账户进行处置清算，并以处置变现后的款项向基金份额持有人进行支付，目的在于有效隔离并化解风险，但基金启用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份额将停止披露基金份额净值，并不得办理申购、赎回和转换，</w:t>
      </w:r>
      <w:proofErr w:type="gramStart"/>
      <w:r>
        <w:rPr>
          <w:rFonts w:ascii="Arial Unicode MS" w:hAnsi="Arial Unicode MS" w:cs="Arial" w:hint="eastAsia"/>
          <w:bCs/>
          <w:szCs w:val="21"/>
        </w:rPr>
        <w:t>仅主袋</w:t>
      </w:r>
      <w:proofErr w:type="gramEnd"/>
      <w:r>
        <w:rPr>
          <w:rFonts w:ascii="Arial Unicode MS" w:hAnsi="Arial Unicode MS" w:cs="Arial" w:hint="eastAsia"/>
          <w:bCs/>
          <w:szCs w:val="21"/>
        </w:rPr>
        <w:t>账户份额按规定开放赎回，因此启用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时持有基金份额的持有人将在启用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后同时</w:t>
      </w:r>
      <w:proofErr w:type="gramStart"/>
      <w:r>
        <w:rPr>
          <w:rFonts w:ascii="Arial Unicode MS" w:hAnsi="Arial Unicode MS" w:cs="Arial" w:hint="eastAsia"/>
          <w:bCs/>
          <w:szCs w:val="21"/>
        </w:rPr>
        <w:t>拥有主袋账户</w:t>
      </w:r>
      <w:proofErr w:type="gramEnd"/>
      <w:r>
        <w:rPr>
          <w:rFonts w:ascii="Arial Unicode MS" w:hAnsi="Arial Unicode MS" w:cs="Arial" w:hint="eastAsia"/>
          <w:bCs/>
          <w:szCs w:val="21"/>
        </w:rPr>
        <w:t>份额和</w:t>
      </w:r>
      <w:proofErr w:type="gramStart"/>
      <w:r>
        <w:rPr>
          <w:rFonts w:ascii="Arial Unicode MS" w:hAnsi="Arial Unicode MS" w:cs="Arial" w:hint="eastAsia"/>
          <w:bCs/>
          <w:szCs w:val="21"/>
        </w:rPr>
        <w:t>侧袋</w:t>
      </w:r>
      <w:proofErr w:type="gramEnd"/>
      <w:r>
        <w:rPr>
          <w:rFonts w:ascii="Arial Unicode MS" w:hAnsi="Arial Unicode MS" w:cs="Arial" w:hint="eastAsia"/>
          <w:bCs/>
          <w:szCs w:val="21"/>
        </w:rPr>
        <w:t>账户份额，</w:t>
      </w:r>
      <w:proofErr w:type="gramStart"/>
      <w:r>
        <w:rPr>
          <w:rFonts w:ascii="Arial Unicode MS" w:hAnsi="Arial Unicode MS" w:cs="Arial" w:hint="eastAsia"/>
          <w:bCs/>
          <w:szCs w:val="21"/>
        </w:rPr>
        <w:t>侧袋账户</w:t>
      </w:r>
      <w:proofErr w:type="gramEnd"/>
      <w:r>
        <w:rPr>
          <w:rFonts w:ascii="Arial Unicode MS" w:hAnsi="Arial Unicode MS" w:cs="Arial" w:hint="eastAsia"/>
          <w:bCs/>
          <w:szCs w:val="21"/>
        </w:rPr>
        <w:t>份额不能赎回，其对应特定资产的变现时间具有不确定性，最终变现价格也具有不确定性并且有可能大幅低于启用</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时的特定资产的估值，基金份额持有人可能因此面临损失。</w:t>
      </w:r>
    </w:p>
    <w:p w14:paraId="428CA080"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期间，基金管理人计算各项投资运作指标和基金业绩指标时</w:t>
      </w:r>
      <w:proofErr w:type="gramStart"/>
      <w:r>
        <w:rPr>
          <w:rFonts w:ascii="Arial Unicode MS" w:hAnsi="Arial Unicode MS" w:cs="Arial" w:hint="eastAsia"/>
          <w:bCs/>
          <w:szCs w:val="21"/>
        </w:rPr>
        <w:t>以主袋账户</w:t>
      </w:r>
      <w:proofErr w:type="gramEnd"/>
      <w:r>
        <w:rPr>
          <w:rFonts w:ascii="Arial Unicode MS" w:hAnsi="Arial Unicode MS" w:cs="Arial" w:hint="eastAsia"/>
          <w:bCs/>
          <w:szCs w:val="21"/>
        </w:rPr>
        <w:t>资产为基准，不</w:t>
      </w:r>
      <w:proofErr w:type="gramStart"/>
      <w:r>
        <w:rPr>
          <w:rFonts w:ascii="Arial Unicode MS" w:hAnsi="Arial Unicode MS" w:cs="Arial" w:hint="eastAsia"/>
          <w:bCs/>
          <w:szCs w:val="21"/>
        </w:rPr>
        <w:t>反映侧袋账户</w:t>
      </w:r>
      <w:proofErr w:type="gramEnd"/>
      <w:r>
        <w:rPr>
          <w:rFonts w:ascii="Arial Unicode MS" w:hAnsi="Arial Unicode MS" w:cs="Arial" w:hint="eastAsia"/>
          <w:bCs/>
          <w:szCs w:val="21"/>
        </w:rPr>
        <w:t>特定资产的真实价值及变化情况。本基金不</w:t>
      </w:r>
      <w:proofErr w:type="gramStart"/>
      <w:r>
        <w:rPr>
          <w:rFonts w:ascii="Arial Unicode MS" w:hAnsi="Arial Unicode MS" w:cs="Arial" w:hint="eastAsia"/>
          <w:bCs/>
          <w:szCs w:val="21"/>
        </w:rPr>
        <w:t>披露侧袋账户</w:t>
      </w:r>
      <w:proofErr w:type="gramEnd"/>
      <w:r>
        <w:rPr>
          <w:rFonts w:ascii="Arial Unicode MS" w:hAnsi="Arial Unicode MS" w:cs="Arial" w:hint="eastAsia"/>
          <w:bCs/>
          <w:szCs w:val="21"/>
        </w:rPr>
        <w:t>份额的净值，即便基金管理人在基金定期报告中披露报告期末特定资产可变现净值或净值区间的，也不作为特定资产最终变现价格的承诺，对于特定资产的公允价值和最终变现价格，基金管</w:t>
      </w:r>
      <w:r>
        <w:rPr>
          <w:rFonts w:ascii="Arial Unicode MS" w:hAnsi="Arial Unicode MS" w:cs="Arial" w:hint="eastAsia"/>
          <w:bCs/>
          <w:szCs w:val="21"/>
        </w:rPr>
        <w:lastRenderedPageBreak/>
        <w:t>理人不承担任何保证和承诺的责任。</w:t>
      </w:r>
    </w:p>
    <w:p w14:paraId="27F626C4"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基金管理人将</w:t>
      </w:r>
      <w:proofErr w:type="gramStart"/>
      <w:r>
        <w:rPr>
          <w:rFonts w:ascii="Arial Unicode MS" w:hAnsi="Arial Unicode MS" w:cs="Arial" w:hint="eastAsia"/>
          <w:bCs/>
          <w:szCs w:val="21"/>
        </w:rPr>
        <w:t>根据主袋账户</w:t>
      </w:r>
      <w:proofErr w:type="gramEnd"/>
      <w:r>
        <w:rPr>
          <w:rFonts w:ascii="Arial Unicode MS" w:hAnsi="Arial Unicode MS" w:cs="Arial" w:hint="eastAsia"/>
          <w:bCs/>
          <w:szCs w:val="21"/>
        </w:rPr>
        <w:t>运作情况合理确定申购政策，因此实施</w:t>
      </w:r>
      <w:proofErr w:type="gramStart"/>
      <w:r>
        <w:rPr>
          <w:rFonts w:ascii="Arial Unicode MS" w:hAnsi="Arial Unicode MS" w:cs="Arial" w:hint="eastAsia"/>
          <w:bCs/>
          <w:szCs w:val="21"/>
        </w:rPr>
        <w:t>侧袋机制</w:t>
      </w:r>
      <w:proofErr w:type="gramEnd"/>
      <w:r>
        <w:rPr>
          <w:rFonts w:ascii="Arial Unicode MS" w:hAnsi="Arial Unicode MS" w:cs="Arial" w:hint="eastAsia"/>
          <w:bCs/>
          <w:szCs w:val="21"/>
        </w:rPr>
        <w:t>后主袋账户份额存在暂停申购的可能。</w:t>
      </w:r>
    </w:p>
    <w:p w14:paraId="293A05FF"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4</w:t>
      </w:r>
      <w:r>
        <w:rPr>
          <w:rFonts w:ascii="Arial Unicode MS" w:hAnsi="Arial Unicode MS" w:cs="Arial" w:hint="eastAsia"/>
          <w:bCs/>
          <w:szCs w:val="21"/>
        </w:rPr>
        <w:t>、操作风险</w:t>
      </w:r>
    </w:p>
    <w:p w14:paraId="3204C47B"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bCs/>
          <w:szCs w:val="21"/>
        </w:rPr>
        <w:t>IT</w:t>
      </w:r>
      <w:r>
        <w:rPr>
          <w:rFonts w:ascii="Arial Unicode MS" w:hAnsi="Arial Unicode MS" w:cs="Arial" w:hint="eastAsia"/>
          <w:bCs/>
          <w:szCs w:val="21"/>
        </w:rPr>
        <w:t>系统故障等风险。</w:t>
      </w:r>
    </w:p>
    <w:p w14:paraId="7BF2690A"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5</w:t>
      </w:r>
      <w:r>
        <w:rPr>
          <w:rFonts w:ascii="Arial Unicode MS" w:hAnsi="Arial Unicode MS" w:cs="Arial" w:hint="eastAsia"/>
          <w:bCs/>
          <w:szCs w:val="21"/>
        </w:rPr>
        <w:t>、管理风险</w:t>
      </w:r>
    </w:p>
    <w:p w14:paraId="1DB493FB"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39DB4AA"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6</w:t>
      </w:r>
      <w:r>
        <w:rPr>
          <w:rFonts w:ascii="Arial Unicode MS" w:hAnsi="Arial Unicode MS" w:cs="Arial" w:hint="eastAsia"/>
          <w:bCs/>
          <w:szCs w:val="21"/>
        </w:rPr>
        <w:t>、合</w:t>
      </w:r>
      <w:proofErr w:type="gramStart"/>
      <w:r>
        <w:rPr>
          <w:rFonts w:ascii="Arial Unicode MS" w:hAnsi="Arial Unicode MS" w:cs="Arial" w:hint="eastAsia"/>
          <w:bCs/>
          <w:szCs w:val="21"/>
        </w:rPr>
        <w:t>规</w:t>
      </w:r>
      <w:proofErr w:type="gramEnd"/>
      <w:r>
        <w:rPr>
          <w:rFonts w:ascii="Arial Unicode MS" w:hAnsi="Arial Unicode MS" w:cs="Arial" w:hint="eastAsia"/>
          <w:bCs/>
          <w:szCs w:val="21"/>
        </w:rPr>
        <w:t>风险</w:t>
      </w:r>
    </w:p>
    <w:p w14:paraId="4428A53D"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合</w:t>
      </w:r>
      <w:proofErr w:type="gramStart"/>
      <w:r>
        <w:rPr>
          <w:rFonts w:ascii="Arial Unicode MS" w:hAnsi="Arial Unicode MS" w:cs="Arial" w:hint="eastAsia"/>
          <w:bCs/>
          <w:szCs w:val="21"/>
        </w:rPr>
        <w:t>规</w:t>
      </w:r>
      <w:proofErr w:type="gramEnd"/>
      <w:r>
        <w:rPr>
          <w:rFonts w:ascii="Arial Unicode MS" w:hAnsi="Arial Unicode MS" w:cs="Arial" w:hint="eastAsia"/>
          <w:bCs/>
          <w:szCs w:val="21"/>
        </w:rPr>
        <w:t>风险指基金管理或运作过程中，违反国家法律、法规的规定，或者违反《基金合同》有关规定的风险。</w:t>
      </w:r>
    </w:p>
    <w:p w14:paraId="6657F9F0"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7</w:t>
      </w:r>
      <w:r>
        <w:rPr>
          <w:rFonts w:ascii="Arial Unicode MS" w:hAnsi="Arial Unicode MS" w:cs="Arial" w:hint="eastAsia"/>
          <w:bCs/>
          <w:szCs w:val="21"/>
        </w:rPr>
        <w:t>、本基金的特有风险</w:t>
      </w:r>
    </w:p>
    <w:p w14:paraId="581C51CA" w14:textId="77777777" w:rsidR="009A7A59" w:rsidRDefault="00000000">
      <w:pPr>
        <w:adjustRightInd w:val="0"/>
        <w:snapToGrid w:val="0"/>
        <w:spacing w:line="360" w:lineRule="auto"/>
        <w:ind w:firstLineChars="200" w:firstLine="420"/>
        <w:rPr>
          <w:rFonts w:ascii="Arial Unicode MS" w:hAnsi="Arial Unicode MS" w:hint="eastAsia"/>
          <w:szCs w:val="21"/>
        </w:rPr>
      </w:pPr>
      <w:r>
        <w:rPr>
          <w:rFonts w:ascii="Arial Unicode MS" w:hAnsi="Arial Unicode MS" w:hint="eastAsia"/>
          <w:szCs w:val="21"/>
        </w:rPr>
        <w:t>本基金为债券型基金，债券的投资比例不低于基金资产的</w:t>
      </w:r>
      <w:r>
        <w:rPr>
          <w:rFonts w:ascii="Arial Unicode MS" w:hAnsi="Arial Unicode MS" w:hint="eastAsia"/>
          <w:szCs w:val="21"/>
        </w:rPr>
        <w:t>80</w:t>
      </w:r>
      <w:r>
        <w:rPr>
          <w:rFonts w:ascii="Arial Unicode MS" w:hAnsi="Arial Unicode MS" w:hint="eastAsia"/>
          <w:szCs w:val="21"/>
        </w:rPr>
        <w:t>％，该类债券的特定风险即成为本基金及投资者主要面对的特定投资风险。债券的投资收益会受到宏观经济、政府产业政策、货币政策、市场需求变化、行业波动等因素的影响，可能存在所选投资标的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Arial Unicode MS" w:hAnsi="Arial Unicode MS" w:hint="eastAsia"/>
          <w:szCs w:val="21"/>
        </w:rPr>
        <w:t>的</w:t>
      </w:r>
      <w:proofErr w:type="gramEnd"/>
      <w:r>
        <w:rPr>
          <w:rFonts w:ascii="Arial Unicode MS" w:hAnsi="Arial Unicode MS" w:hint="eastAsia"/>
          <w:szCs w:val="21"/>
        </w:rPr>
        <w:t>成长性与市场一致预期不符而造成个</w:t>
      </w:r>
      <w:proofErr w:type="gramStart"/>
      <w:r>
        <w:rPr>
          <w:rFonts w:ascii="Arial Unicode MS" w:hAnsi="Arial Unicode MS" w:hint="eastAsia"/>
          <w:szCs w:val="21"/>
        </w:rPr>
        <w:t>券</w:t>
      </w:r>
      <w:proofErr w:type="gramEnd"/>
      <w:r>
        <w:rPr>
          <w:rFonts w:ascii="Arial Unicode MS" w:hAnsi="Arial Unicode MS" w:hint="eastAsia"/>
          <w:szCs w:val="21"/>
        </w:rPr>
        <w:t>价格表现低于预期的风险。</w:t>
      </w:r>
    </w:p>
    <w:p w14:paraId="517A97E9" w14:textId="77777777" w:rsidR="009A7A59" w:rsidRDefault="00000000">
      <w:pPr>
        <w:adjustRightInd w:val="0"/>
        <w:snapToGrid w:val="0"/>
        <w:spacing w:line="360" w:lineRule="auto"/>
        <w:ind w:firstLineChars="200" w:firstLine="420"/>
        <w:rPr>
          <w:rFonts w:ascii="Arial Unicode MS" w:hAnsi="Arial Unicode MS" w:hint="eastAsia"/>
          <w:szCs w:val="21"/>
        </w:rPr>
      </w:pPr>
      <w:r>
        <w:rPr>
          <w:rFonts w:ascii="Arial Unicode MS" w:hAnsi="Arial Unicode MS" w:hint="eastAsia"/>
          <w:szCs w:val="21"/>
        </w:rPr>
        <w:t>本基金投资资产支持证券，资产支持证券（</w:t>
      </w:r>
      <w:r>
        <w:rPr>
          <w:rFonts w:ascii="Arial Unicode MS" w:hAnsi="Arial Unicode MS" w:hint="eastAsia"/>
          <w:szCs w:val="21"/>
        </w:rPr>
        <w:t>ABS</w:t>
      </w:r>
      <w:r>
        <w:rPr>
          <w:rFonts w:ascii="Arial Unicode MS" w:hAnsi="Arial Unicode MS" w:hint="eastAsia"/>
          <w:szCs w:val="21"/>
        </w:rPr>
        <w:t>）是一种债券性质的金融工具，其向投资者支付的本息来自于基础资产</w:t>
      </w:r>
      <w:proofErr w:type="gramStart"/>
      <w:r>
        <w:rPr>
          <w:rFonts w:ascii="Arial Unicode MS" w:hAnsi="Arial Unicode MS" w:hint="eastAsia"/>
          <w:szCs w:val="21"/>
        </w:rPr>
        <w:t>池产生</w:t>
      </w:r>
      <w:proofErr w:type="gramEnd"/>
      <w:r>
        <w:rPr>
          <w:rFonts w:ascii="Arial Unicode MS" w:hAnsi="Arial Unicode MS" w:hint="eastAsia"/>
          <w:szCs w:val="21"/>
        </w:rPr>
        <w:t>的现金流或剩余权益。与股票和一般债券不同，资产支持证券不是对某一经营实体的利益要求权，而是对基础</w:t>
      </w:r>
      <w:proofErr w:type="gramStart"/>
      <w:r>
        <w:rPr>
          <w:rFonts w:ascii="Arial Unicode MS" w:hAnsi="Arial Unicode MS" w:hint="eastAsia"/>
          <w:szCs w:val="21"/>
        </w:rPr>
        <w:t>资产池所产生</w:t>
      </w:r>
      <w:proofErr w:type="gramEnd"/>
      <w:r>
        <w:rPr>
          <w:rFonts w:ascii="Arial Unicode MS" w:hAnsi="Arial Unicode MS" w:hint="eastAsia"/>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6722A434" w14:textId="77777777" w:rsidR="009A7A59" w:rsidRDefault="00000000">
      <w:pPr>
        <w:adjustRightInd w:val="0"/>
        <w:snapToGrid w:val="0"/>
        <w:spacing w:line="360" w:lineRule="auto"/>
        <w:ind w:firstLineChars="200" w:firstLine="422"/>
        <w:rPr>
          <w:rFonts w:ascii="Arial Unicode MS" w:hAnsi="Arial Unicode MS" w:cs="Arial" w:hint="eastAsia"/>
          <w:b/>
          <w:bCs/>
          <w:szCs w:val="21"/>
        </w:rPr>
      </w:pPr>
      <w:r>
        <w:rPr>
          <w:rFonts w:ascii="Arial Unicode MS" w:hAnsi="Arial Unicode MS" w:cs="Arial" w:hint="eastAsia"/>
          <w:b/>
          <w:bCs/>
          <w:szCs w:val="21"/>
        </w:rPr>
        <w:t>二、声明</w:t>
      </w:r>
    </w:p>
    <w:p w14:paraId="37024192" w14:textId="77777777" w:rsidR="009A7A59" w:rsidRDefault="00000000">
      <w:pPr>
        <w:adjustRightInd w:val="0"/>
        <w:snapToGrid w:val="0"/>
        <w:spacing w:line="360" w:lineRule="auto"/>
        <w:ind w:firstLineChars="200" w:firstLine="420"/>
        <w:rPr>
          <w:rFonts w:ascii="Arial Unicode MS" w:hAnsi="Arial Unicode MS" w:cs="Arial" w:hint="eastAsia"/>
          <w:bCs/>
          <w:szCs w:val="21"/>
        </w:rPr>
      </w:pPr>
      <w:r>
        <w:rPr>
          <w:rFonts w:ascii="Arial Unicode MS" w:hAnsi="Arial Unicode MS" w:cs="Arial" w:hint="eastAsia"/>
          <w:bCs/>
          <w:szCs w:val="21"/>
        </w:rPr>
        <w:t>1</w:t>
      </w:r>
      <w:r>
        <w:rPr>
          <w:rFonts w:ascii="Arial Unicode MS" w:hAnsi="Arial Unicode MS" w:cs="Arial" w:hint="eastAsia"/>
          <w:bCs/>
          <w:szCs w:val="21"/>
        </w:rPr>
        <w:t>、投资者投资于本基金，须自行承担投资风险；</w:t>
      </w:r>
    </w:p>
    <w:p w14:paraId="2AB7143B" w14:textId="77777777" w:rsidR="009A7A59" w:rsidRDefault="00000000">
      <w:pPr>
        <w:adjustRightInd w:val="0"/>
        <w:snapToGrid w:val="0"/>
        <w:spacing w:line="360" w:lineRule="auto"/>
        <w:ind w:firstLineChars="200" w:firstLine="420"/>
        <w:rPr>
          <w:rFonts w:ascii="Arial Unicode MS" w:hAnsi="Arial Unicode MS" w:hint="eastAsia"/>
        </w:rPr>
      </w:pPr>
      <w:r>
        <w:rPr>
          <w:rFonts w:ascii="Arial Unicode MS" w:hAnsi="Arial Unicode MS" w:cs="Arial" w:hint="eastAsia"/>
          <w:bCs/>
          <w:szCs w:val="21"/>
        </w:rPr>
        <w:t>2</w:t>
      </w:r>
      <w:r>
        <w:rPr>
          <w:rFonts w:ascii="Arial Unicode MS" w:hAnsi="Arial Unicode MS" w:cs="Arial" w:hint="eastAsia"/>
          <w:bCs/>
          <w:szCs w:val="21"/>
        </w:rPr>
        <w:t>、除基金管理人直接办理本基金的销售外，本基金还可以通过基金代销机构代理销售，基金管理人与基金代销机构都不能保证其收益或本金安全。</w:t>
      </w:r>
      <w:bookmarkStart w:id="116" w:name="_Toc520693901"/>
      <w:bookmarkStart w:id="117" w:name="_Toc454717524"/>
      <w:bookmarkStart w:id="118" w:name="_Toc524923235"/>
      <w:bookmarkStart w:id="119" w:name="_Toc520693803"/>
      <w:bookmarkStart w:id="120" w:name="_Toc320887656"/>
      <w:bookmarkStart w:id="121" w:name="_Toc214873606"/>
      <w:bookmarkStart w:id="122" w:name="_Toc317088551"/>
      <w:bookmarkStart w:id="123" w:name="_Toc335232705"/>
      <w:bookmarkStart w:id="124" w:name="_Toc317088154"/>
    </w:p>
    <w:p w14:paraId="4C8FF38D" w14:textId="77777777" w:rsidR="009A7A59" w:rsidRDefault="00000000">
      <w:pPr>
        <w:widowControl/>
        <w:jc w:val="left"/>
        <w:rPr>
          <w:rFonts w:ascii="Arial Unicode MS" w:hAnsi="Arial Unicode MS" w:hint="eastAsia"/>
        </w:rPr>
      </w:pPr>
      <w:r>
        <w:rPr>
          <w:rFonts w:ascii="Arial Unicode MS" w:hAnsi="Arial Unicode MS"/>
        </w:rPr>
        <w:br w:type="page"/>
      </w:r>
    </w:p>
    <w:p w14:paraId="497F4176" w14:textId="77777777" w:rsidR="009A7A59" w:rsidRDefault="00000000">
      <w:pPr>
        <w:pStyle w:val="11"/>
        <w:snapToGrid w:val="0"/>
        <w:spacing w:before="0" w:after="0" w:line="360" w:lineRule="auto"/>
        <w:rPr>
          <w:rFonts w:ascii="Arial Unicode MS" w:eastAsia="宋体" w:hAnsi="Arial Unicode MS" w:cs="Arial" w:hint="eastAsia"/>
          <w:b/>
          <w:bCs/>
          <w:sz w:val="28"/>
          <w:szCs w:val="28"/>
        </w:rPr>
      </w:pPr>
      <w:bookmarkStart w:id="125" w:name="_Toc63676453"/>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16"/>
      <w:bookmarkEnd w:id="117"/>
      <w:bookmarkEnd w:id="118"/>
      <w:bookmarkEnd w:id="119"/>
      <w:r>
        <w:rPr>
          <w:rFonts w:ascii="Arial Unicode MS" w:eastAsia="宋体" w:hAnsi="Arial Unicode MS" w:cs="Arial"/>
          <w:b/>
          <w:bCs/>
          <w:sz w:val="28"/>
          <w:szCs w:val="28"/>
        </w:rPr>
        <w:t>基金合同的变更、终止与基金财产的清算</w:t>
      </w:r>
      <w:bookmarkEnd w:id="120"/>
      <w:bookmarkEnd w:id="121"/>
      <w:bookmarkEnd w:id="122"/>
      <w:bookmarkEnd w:id="123"/>
      <w:bookmarkEnd w:id="124"/>
      <w:bookmarkEnd w:id="125"/>
    </w:p>
    <w:p w14:paraId="31FF3285" w14:textId="77777777" w:rsidR="009A7A59" w:rsidRDefault="009A7A59"/>
    <w:p w14:paraId="2641EC50" w14:textId="77777777" w:rsidR="009A7A59" w:rsidRDefault="00000000">
      <w:pPr>
        <w:snapToGrid w:val="0"/>
        <w:spacing w:line="360" w:lineRule="auto"/>
        <w:ind w:firstLineChars="200" w:firstLine="422"/>
        <w:rPr>
          <w:rFonts w:ascii="Arial Unicode MS" w:hAnsi="Arial Unicode MS" w:cs="Arial" w:hint="eastAsia"/>
          <w:b/>
          <w:szCs w:val="21"/>
        </w:rPr>
      </w:pPr>
      <w:bookmarkStart w:id="126" w:name="_Toc79392639"/>
      <w:r>
        <w:rPr>
          <w:rFonts w:ascii="Arial Unicode MS" w:hAnsi="Arial Unicode MS" w:cs="Arial" w:hint="eastAsia"/>
          <w:b/>
          <w:szCs w:val="21"/>
        </w:rPr>
        <w:t>一、《基金合同》的变更</w:t>
      </w:r>
    </w:p>
    <w:p w14:paraId="4A13844A"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、变更基金合同涉及法律法规规定或基金合同约定应经基金份额持有人大会决议通过的事项的，应召</w:t>
      </w:r>
      <w:proofErr w:type="gramStart"/>
      <w:r>
        <w:rPr>
          <w:rFonts w:ascii="Arial Unicode MS" w:hAnsi="Arial Unicode MS" w:cs="Arial" w:hint="eastAsia"/>
          <w:szCs w:val="21"/>
        </w:rPr>
        <w:t>开基金</w:t>
      </w:r>
      <w:proofErr w:type="gramEnd"/>
      <w:r>
        <w:rPr>
          <w:rFonts w:ascii="Arial Unicode MS" w:hAnsi="Arial Unicode MS" w:cs="Arial" w:hint="eastAsia"/>
          <w:szCs w:val="21"/>
        </w:rPr>
        <w:t>份额持有人大会决议通过。对于法律法规规定和基金合同约定可不经基金份额持有人大会决议通过的事项，由基金管理人和基金托管人同意后变更并公告，并报中国证监会备案。</w:t>
      </w:r>
    </w:p>
    <w:p w14:paraId="69C6F2CE"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、关于《基金合同》变更的基金份额持有人大会决议自生效后方可执行，并</w:t>
      </w:r>
      <w:proofErr w:type="gramStart"/>
      <w:r>
        <w:rPr>
          <w:rFonts w:ascii="Arial Unicode MS" w:hAnsi="Arial Unicode MS" w:cs="Arial" w:hint="eastAsia"/>
          <w:szCs w:val="21"/>
        </w:rPr>
        <w:t>自决议</w:t>
      </w:r>
      <w:proofErr w:type="gramEnd"/>
      <w:r>
        <w:rPr>
          <w:rFonts w:ascii="Arial Unicode MS" w:hAnsi="Arial Unicode MS" w:cs="Arial" w:hint="eastAsia"/>
          <w:szCs w:val="21"/>
        </w:rPr>
        <w:t>生效后两日内在规定媒介公告。</w:t>
      </w:r>
    </w:p>
    <w:p w14:paraId="105DC692" w14:textId="77777777" w:rsidR="009A7A59" w:rsidRDefault="00000000">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二、《基金合同》的终止事由</w:t>
      </w:r>
    </w:p>
    <w:p w14:paraId="78977A92"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有下列情形之一的，经履行相关程序后，《基金合同》应当终止：</w:t>
      </w:r>
    </w:p>
    <w:p w14:paraId="66462155"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、基金份额持有人大会决定终止的；</w:t>
      </w:r>
    </w:p>
    <w:p w14:paraId="2B79A21B"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、基金管理人、基金托管人职责终止，在</w:t>
      </w:r>
      <w:r>
        <w:rPr>
          <w:rFonts w:ascii="Arial Unicode MS" w:hAnsi="Arial Unicode MS" w:cs="Arial" w:hint="eastAsia"/>
          <w:szCs w:val="21"/>
        </w:rPr>
        <w:t>6</w:t>
      </w:r>
      <w:r>
        <w:rPr>
          <w:rFonts w:ascii="Arial Unicode MS" w:hAnsi="Arial Unicode MS" w:cs="Arial" w:hint="eastAsia"/>
          <w:szCs w:val="21"/>
        </w:rPr>
        <w:t>个月内没有新基金管理人、新基金托管人承接的；</w:t>
      </w:r>
    </w:p>
    <w:p w14:paraId="744CB2AF"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、《基金合同》约定的其他情形；</w:t>
      </w:r>
    </w:p>
    <w:p w14:paraId="3D6FCB5A"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、相关法律法规和中国证监会规定的其他情况。</w:t>
      </w:r>
    </w:p>
    <w:p w14:paraId="04D90534" w14:textId="77777777" w:rsidR="009A7A59" w:rsidRDefault="00000000">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三、基金财产的清算</w:t>
      </w:r>
    </w:p>
    <w:p w14:paraId="14A956A3"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3F6D6E47"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、基金财产清算小组组成：基金财产清算小组成员由基金管理人、基金托管人、具有证券、期货相关业务资格的注册会计师、律师以及中国证监会指定的人员组成。基金财产清算小组可以聘用必要的工作人员。</w:t>
      </w:r>
    </w:p>
    <w:p w14:paraId="642C6312"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15E19C1B"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0B2E873C"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1306D0F5"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078AF769"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）对基金财产进行估值和变现；</w:t>
      </w:r>
    </w:p>
    <w:p w14:paraId="794237A8"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）制作清算报告；</w:t>
      </w:r>
    </w:p>
    <w:p w14:paraId="7C5E10ED"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）聘请具有证券、期货相关业务资格的会计师事务所对清算报告进行外部审计，聘请律师事务所对清算报告出具法律意见书；</w:t>
      </w:r>
    </w:p>
    <w:p w14:paraId="3FBC5FB0"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38AFCC10"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）对基金剩余财产进行分配。</w:t>
      </w:r>
    </w:p>
    <w:p w14:paraId="4B345595"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6</w:t>
      </w:r>
      <w:r>
        <w:rPr>
          <w:rFonts w:ascii="Arial Unicode MS" w:hAnsi="Arial Unicode MS" w:cs="Arial" w:hint="eastAsia"/>
          <w:szCs w:val="21"/>
        </w:rPr>
        <w:t>个月，但因本基金所持证券的流动性受到限制而不能及时变现的，清算期限相应顺延。</w:t>
      </w:r>
    </w:p>
    <w:p w14:paraId="31C411D1" w14:textId="77777777" w:rsidR="009A7A59" w:rsidRDefault="00000000">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四、清算费用</w:t>
      </w:r>
    </w:p>
    <w:p w14:paraId="49EC4CDA"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094D1D71" w14:textId="77777777" w:rsidR="009A7A59" w:rsidRDefault="00000000">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五、基金财产清算剩余资产的分配</w:t>
      </w:r>
    </w:p>
    <w:p w14:paraId="6E6F2E26"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各类基金份额在基金合同终止事由发生时各自基金份额资产净值的比例确定剩余财产在各类基金份额中的分配比例，并在各类基金份额可分配的剩余财产范围内按各份额类别内基金份额持有人持有的基金份额比例进行分配。</w:t>
      </w:r>
    </w:p>
    <w:p w14:paraId="3A4A4730" w14:textId="77777777" w:rsidR="009A7A59" w:rsidRDefault="00000000">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六、基金财产清算的公告</w:t>
      </w:r>
    </w:p>
    <w:p w14:paraId="4E99DF1E"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清算过程中的有关重大事项须及时公告；基金财产清算报告</w:t>
      </w:r>
      <w:proofErr w:type="gramStart"/>
      <w:r>
        <w:rPr>
          <w:rFonts w:ascii="Arial Unicode MS" w:hAnsi="Arial Unicode MS" w:cs="Arial" w:hint="eastAsia"/>
          <w:szCs w:val="21"/>
        </w:rPr>
        <w:t>经符合</w:t>
      </w:r>
      <w:proofErr w:type="gramEnd"/>
      <w:r>
        <w:rPr>
          <w:rFonts w:ascii="Arial Unicode MS" w:hAnsi="Arial Unicode MS" w:cs="Arial" w:hint="eastAsia"/>
          <w:szCs w:val="21"/>
        </w:rPr>
        <w:t>《中华人民共和国证券法》规定的会计师事务所审计并由律师事务所出具法律意见书后报中国证监会备案并公告。基金财产清算公告于基金财产清算报告报中国证监会备案后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5</w:t>
      </w:r>
      <w:r>
        <w:rPr>
          <w:rFonts w:ascii="Arial Unicode MS" w:hAnsi="Arial Unicode MS" w:cs="Arial" w:hint="eastAsia"/>
          <w:szCs w:val="21"/>
        </w:rPr>
        <w:t>个工作日内由基金财产清算小组进行公告，基金财产清算小组应当将清算报告登载在规定网站上，并将清算报告提示性公告登载在规定报刊上。</w:t>
      </w:r>
    </w:p>
    <w:p w14:paraId="00116435" w14:textId="77777777" w:rsidR="009A7A59" w:rsidRDefault="00000000">
      <w:pPr>
        <w:snapToGrid w:val="0"/>
        <w:spacing w:line="360" w:lineRule="auto"/>
        <w:ind w:firstLineChars="200" w:firstLine="422"/>
        <w:rPr>
          <w:rFonts w:ascii="Arial Unicode MS" w:hAnsi="Arial Unicode MS" w:cs="Arial" w:hint="eastAsia"/>
          <w:b/>
          <w:szCs w:val="21"/>
        </w:rPr>
      </w:pPr>
      <w:r>
        <w:rPr>
          <w:rFonts w:ascii="Arial Unicode MS" w:hAnsi="Arial Unicode MS" w:cs="Arial" w:hint="eastAsia"/>
          <w:b/>
          <w:szCs w:val="21"/>
        </w:rPr>
        <w:t>七、基金财产清算账册及文件的保存</w:t>
      </w:r>
    </w:p>
    <w:p w14:paraId="363E04B8" w14:textId="77777777" w:rsidR="009A7A59" w:rsidRDefault="00000000">
      <w:pPr>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基金财产清算账册及有关文件由基金托管人保存不低于法律法规规定的最低期限。</w:t>
      </w:r>
    </w:p>
    <w:p w14:paraId="0447DAEB" w14:textId="77777777" w:rsidR="009A7A59" w:rsidRDefault="009A7A59">
      <w:pPr>
        <w:snapToGrid w:val="0"/>
        <w:spacing w:line="360" w:lineRule="auto"/>
        <w:ind w:firstLineChars="200" w:firstLine="422"/>
        <w:rPr>
          <w:rFonts w:ascii="Arial Unicode MS" w:hAnsi="Arial Unicode MS" w:cs="Arial" w:hint="eastAsia"/>
          <w:b/>
          <w:szCs w:val="21"/>
        </w:rPr>
      </w:pPr>
    </w:p>
    <w:p w14:paraId="53A622D7" w14:textId="77777777" w:rsidR="009A7A59" w:rsidRDefault="009A7A59">
      <w:pPr>
        <w:snapToGrid w:val="0"/>
        <w:spacing w:line="360" w:lineRule="auto"/>
        <w:ind w:firstLineChars="200" w:firstLine="422"/>
        <w:rPr>
          <w:rFonts w:ascii="Arial Unicode MS" w:hAnsi="Arial Unicode MS" w:cs="Arial" w:hint="eastAsia"/>
          <w:b/>
          <w:szCs w:val="21"/>
        </w:rPr>
      </w:pPr>
    </w:p>
    <w:p w14:paraId="27937829" w14:textId="77777777" w:rsidR="009A7A59" w:rsidRDefault="009A7A59">
      <w:pPr>
        <w:snapToGrid w:val="0"/>
        <w:spacing w:line="360" w:lineRule="auto"/>
        <w:ind w:firstLineChars="200" w:firstLine="422"/>
        <w:rPr>
          <w:rFonts w:ascii="Arial Unicode MS" w:hAnsi="Arial Unicode MS" w:cs="Arial" w:hint="eastAsia"/>
          <w:b/>
          <w:szCs w:val="21"/>
        </w:rPr>
      </w:pPr>
    </w:p>
    <w:p w14:paraId="5F757F81" w14:textId="77777777" w:rsidR="009A7A59" w:rsidRDefault="009A7A59">
      <w:pPr>
        <w:snapToGrid w:val="0"/>
        <w:spacing w:line="360" w:lineRule="auto"/>
        <w:ind w:firstLineChars="200" w:firstLine="422"/>
        <w:rPr>
          <w:rFonts w:ascii="Arial Unicode MS" w:hAnsi="Arial Unicode MS" w:cs="Arial" w:hint="eastAsia"/>
          <w:b/>
          <w:szCs w:val="21"/>
        </w:rPr>
      </w:pPr>
    </w:p>
    <w:p w14:paraId="39A9640F" w14:textId="77777777" w:rsidR="009A7A59" w:rsidRDefault="009A7A59">
      <w:pPr>
        <w:snapToGrid w:val="0"/>
        <w:spacing w:line="360" w:lineRule="auto"/>
        <w:ind w:firstLineChars="200" w:firstLine="422"/>
        <w:rPr>
          <w:rFonts w:ascii="Arial Unicode MS" w:hAnsi="Arial Unicode MS" w:cs="Arial" w:hint="eastAsia"/>
          <w:b/>
          <w:szCs w:val="21"/>
        </w:rPr>
      </w:pPr>
    </w:p>
    <w:p w14:paraId="32707861" w14:textId="77777777" w:rsidR="009A7A59" w:rsidRDefault="009A7A59">
      <w:pPr>
        <w:snapToGrid w:val="0"/>
        <w:spacing w:line="360" w:lineRule="auto"/>
        <w:ind w:firstLineChars="200" w:firstLine="422"/>
        <w:rPr>
          <w:rFonts w:ascii="Arial Unicode MS" w:hAnsi="Arial Unicode MS" w:cs="Arial" w:hint="eastAsia"/>
          <w:b/>
          <w:szCs w:val="21"/>
        </w:rPr>
      </w:pPr>
    </w:p>
    <w:p w14:paraId="1FC6EE6B" w14:textId="77777777" w:rsidR="009A7A59" w:rsidRDefault="009A7A59">
      <w:pPr>
        <w:snapToGrid w:val="0"/>
        <w:spacing w:line="360" w:lineRule="auto"/>
        <w:ind w:firstLineChars="200" w:firstLine="422"/>
        <w:rPr>
          <w:rFonts w:ascii="Arial Unicode MS" w:hAnsi="Arial Unicode MS" w:cs="Arial" w:hint="eastAsia"/>
          <w:b/>
          <w:szCs w:val="21"/>
        </w:rPr>
      </w:pPr>
    </w:p>
    <w:p w14:paraId="2DB535CC" w14:textId="77777777" w:rsidR="009A7A59" w:rsidRDefault="009A7A59">
      <w:pPr>
        <w:snapToGrid w:val="0"/>
        <w:spacing w:line="360" w:lineRule="auto"/>
        <w:ind w:firstLineChars="200" w:firstLine="422"/>
        <w:rPr>
          <w:rFonts w:ascii="Arial Unicode MS" w:hAnsi="Arial Unicode MS" w:cs="Arial" w:hint="eastAsia"/>
          <w:b/>
          <w:szCs w:val="21"/>
        </w:rPr>
      </w:pPr>
    </w:p>
    <w:p w14:paraId="1BDD8C0F" w14:textId="77777777" w:rsidR="009A7A59" w:rsidRDefault="009A7A59">
      <w:pPr>
        <w:snapToGrid w:val="0"/>
        <w:spacing w:line="360" w:lineRule="auto"/>
        <w:ind w:firstLineChars="200" w:firstLine="422"/>
        <w:rPr>
          <w:rFonts w:ascii="Arial Unicode MS" w:hAnsi="Arial Unicode MS" w:cs="Arial" w:hint="eastAsia"/>
          <w:b/>
          <w:szCs w:val="21"/>
        </w:rPr>
      </w:pPr>
    </w:p>
    <w:p w14:paraId="1D52D0BA" w14:textId="77777777" w:rsidR="009A7A59" w:rsidRDefault="00000000">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27" w:name="_Toc317088552"/>
      <w:bookmarkStart w:id="128" w:name="_Toc63676454"/>
      <w:bookmarkStart w:id="129" w:name="_Toc320887657"/>
      <w:bookmarkStart w:id="130" w:name="_Toc214873607"/>
      <w:bookmarkStart w:id="131" w:name="_Toc335232706"/>
      <w:bookmarkStart w:id="132" w:name="_Toc317088155"/>
      <w:bookmarkEnd w:id="126"/>
      <w:r>
        <w:rPr>
          <w:rFonts w:ascii="Arial Unicode MS" w:eastAsia="宋体" w:hAnsi="Arial Unicode MS" w:cs="Arial"/>
          <w:b/>
          <w:bCs/>
          <w:sz w:val="28"/>
          <w:szCs w:val="28"/>
        </w:rPr>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27"/>
      <w:bookmarkEnd w:id="128"/>
      <w:bookmarkEnd w:id="129"/>
      <w:bookmarkEnd w:id="130"/>
      <w:bookmarkEnd w:id="131"/>
      <w:bookmarkEnd w:id="132"/>
    </w:p>
    <w:p w14:paraId="0D1E28AB" w14:textId="77777777" w:rsidR="009A7A59" w:rsidRDefault="009A7A59">
      <w:pPr>
        <w:ind w:firstLine="315"/>
      </w:pPr>
    </w:p>
    <w:p w14:paraId="590AEB55" w14:textId="77777777" w:rsidR="009A7A59" w:rsidRDefault="00000000">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一、基金份额持有人、基金管理人和基金托管人的权利、义务</w:t>
      </w:r>
    </w:p>
    <w:p w14:paraId="12F2F31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（一）基金管理人的权利与义务</w:t>
      </w:r>
    </w:p>
    <w:p w14:paraId="0D64CA0C"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、根据《基金法》、《运作办法》及其他有关规定，基金管理人的权利包括但不限于：</w:t>
      </w:r>
    </w:p>
    <w:p w14:paraId="6EA7D82B"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w:t>
      </w:r>
    </w:p>
    <w:p w14:paraId="381CD11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）自《基金合同》生效之日起，根据法律法规和《基金合同》独立运用并管理基金财产；</w:t>
      </w:r>
    </w:p>
    <w:p w14:paraId="448E8014"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）依照《基金合同》收取基金管理费以及法律法规规定或中国证监会批准的其他费用；</w:t>
      </w:r>
    </w:p>
    <w:p w14:paraId="29D44A7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）销售基金份额；</w:t>
      </w:r>
    </w:p>
    <w:p w14:paraId="503AABB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）按照规定召集基金份额持有人大会；</w:t>
      </w:r>
    </w:p>
    <w:p w14:paraId="75D9C964"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3F0FF997"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）在基金托管人更换时，提名新的基金托管人；</w:t>
      </w:r>
    </w:p>
    <w:p w14:paraId="62E6DDDC"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）选择、更换基金销售机构，对基金销售机构的相关行为进行监督和处理；</w:t>
      </w:r>
    </w:p>
    <w:p w14:paraId="4DDA301D"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）担任或委托其他符合条件的机构担任基金登记机构办理基金登记业务并获得《基金合同》规定的费用；</w:t>
      </w:r>
    </w:p>
    <w:p w14:paraId="4674B7A7"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）依据《基金合同》及有关法律规定决定基金收益的分配方案；</w:t>
      </w:r>
      <w:r>
        <w:rPr>
          <w:rFonts w:ascii="Arial Unicode MS" w:hAnsi="Arial Unicode MS" w:hint="eastAsia"/>
          <w:bCs/>
          <w:szCs w:val="21"/>
        </w:rPr>
        <w:tab/>
      </w:r>
    </w:p>
    <w:p w14:paraId="06B669D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）在《基金合同》约定的范围内，拒绝或暂停受理申购与赎回申请；</w:t>
      </w:r>
    </w:p>
    <w:p w14:paraId="1F06633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）依照法律法规为基金的利益对被投资公司行使股东权利，为基金的利益行使因基金财产投资于证券所产生的权利；</w:t>
      </w:r>
      <w:r>
        <w:rPr>
          <w:rFonts w:ascii="Arial Unicode MS" w:hAnsi="Arial Unicode MS" w:hint="eastAsia"/>
          <w:bCs/>
          <w:szCs w:val="21"/>
        </w:rPr>
        <w:tab/>
      </w:r>
    </w:p>
    <w:p w14:paraId="5318610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）在法律法规允许的前提下，为基金的利益依法为基金进行融资；</w:t>
      </w:r>
    </w:p>
    <w:p w14:paraId="69506BD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）以基金管理人的名义，代表基金份额持有人的利益行使诉讼权利或者实施其他法律行为；</w:t>
      </w:r>
      <w:r>
        <w:rPr>
          <w:rFonts w:ascii="Arial Unicode MS" w:hAnsi="Arial Unicode MS" w:hint="eastAsia"/>
          <w:bCs/>
          <w:szCs w:val="21"/>
        </w:rPr>
        <w:tab/>
      </w:r>
    </w:p>
    <w:p w14:paraId="4D47014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）选择、更换律师事务所、会计师事务所、证券经纪商或其他为基金提供服务的</w:t>
      </w:r>
      <w:r>
        <w:rPr>
          <w:rFonts w:ascii="Arial Unicode MS" w:hAnsi="Arial Unicode MS" w:hint="eastAsia"/>
          <w:bCs/>
          <w:szCs w:val="21"/>
        </w:rPr>
        <w:lastRenderedPageBreak/>
        <w:t>外部机构；</w:t>
      </w:r>
      <w:r>
        <w:rPr>
          <w:rFonts w:ascii="Arial Unicode MS" w:hAnsi="Arial Unicode MS" w:hint="eastAsia"/>
          <w:bCs/>
          <w:szCs w:val="21"/>
        </w:rPr>
        <w:tab/>
      </w:r>
    </w:p>
    <w:p w14:paraId="380A0F7D"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）在符合有关法律、法规的前提下，制订和调整有关基金申购、赎回、转换和</w:t>
      </w:r>
      <w:proofErr w:type="gramStart"/>
      <w:r>
        <w:rPr>
          <w:rFonts w:ascii="Arial Unicode MS" w:hAnsi="Arial Unicode MS" w:hint="eastAsia"/>
          <w:bCs/>
          <w:szCs w:val="21"/>
        </w:rPr>
        <w:t>非交易</w:t>
      </w:r>
      <w:proofErr w:type="gramEnd"/>
      <w:r>
        <w:rPr>
          <w:rFonts w:ascii="Arial Unicode MS" w:hAnsi="Arial Unicode MS" w:hint="eastAsia"/>
          <w:bCs/>
          <w:szCs w:val="21"/>
        </w:rPr>
        <w:t>过户等业务规则；</w:t>
      </w:r>
    </w:p>
    <w:p w14:paraId="7500F570"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）法律法规及中国证监会规定的和《基金合同》约定的其他权利。</w:t>
      </w:r>
      <w:r>
        <w:rPr>
          <w:rFonts w:ascii="Arial Unicode MS" w:hAnsi="Arial Unicode MS" w:hint="eastAsia"/>
          <w:bCs/>
          <w:szCs w:val="21"/>
        </w:rPr>
        <w:t>2</w:t>
      </w:r>
      <w:r>
        <w:rPr>
          <w:rFonts w:ascii="Arial Unicode MS" w:hAnsi="Arial Unicode MS" w:hint="eastAsia"/>
          <w:bCs/>
          <w:szCs w:val="21"/>
        </w:rPr>
        <w:t>、根据《基金法》、《运作办法》及其他有关规定，基金管理人的义务包括但不限于：</w:t>
      </w:r>
    </w:p>
    <w:p w14:paraId="40D4D16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）依法募集资金，办理或者委托经中国证监会认定的其他机构代为办理基金份额的申购、赎回和登记事宜；</w:t>
      </w:r>
    </w:p>
    <w:p w14:paraId="3F7174A5"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）办理基金备案手续；</w:t>
      </w:r>
    </w:p>
    <w:p w14:paraId="7E94A1D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）自《基金合同》生效之日起，以诚实信用、谨慎勤勉的原则管理和运用基金财产；</w:t>
      </w:r>
    </w:p>
    <w:p w14:paraId="27110B3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）配备足够的具有专业资格的人员进行基金投资分析、决策，以专业化的经营方式管理和运作基金财产；</w:t>
      </w:r>
    </w:p>
    <w:p w14:paraId="53E84F04"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22C26F8"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）除依据《基金法》、《基金合同》及其他有关规定外，不得利用基金财产为自己及任何第三人谋取利益，不得委托第三人运作基金财产；</w:t>
      </w:r>
    </w:p>
    <w:p w14:paraId="42DFBBC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）依法接受基金托管人的监督；</w:t>
      </w:r>
    </w:p>
    <w:p w14:paraId="1C32B5C7"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607464E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）进行基金会计核算并编制基金财务会计报告；</w:t>
      </w:r>
    </w:p>
    <w:p w14:paraId="6C4F513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）编制季度报告、中期报告和年度报告；</w:t>
      </w:r>
    </w:p>
    <w:p w14:paraId="39ECD69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）严格按照《基金法》、《基金合同》及其他有关规定，履行信息披露及报告义务；</w:t>
      </w:r>
    </w:p>
    <w:p w14:paraId="4DF1770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43706ABD"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）按《基金合同》的约定确定基金收益分配方案，及时向基金份额持有人分配基金收益；</w:t>
      </w:r>
    </w:p>
    <w:p w14:paraId="4ABB9FA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）按规定受理申购与赎回申请，及时、足额支付赎回款项；</w:t>
      </w:r>
    </w:p>
    <w:p w14:paraId="1AE90FC8"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7A0F2905"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）按规定保存基金财产管理业务活动的会计账册、报表、记录和其他相关资料</w:t>
      </w:r>
      <w:r>
        <w:rPr>
          <w:rFonts w:ascii="Arial Unicode MS" w:hAnsi="Arial Unicode MS" w:hint="eastAsia"/>
          <w:bCs/>
          <w:szCs w:val="21"/>
        </w:rPr>
        <w:t>15</w:t>
      </w:r>
      <w:r>
        <w:rPr>
          <w:rFonts w:ascii="Arial Unicode MS" w:hAnsi="Arial Unicode MS" w:hint="eastAsia"/>
          <w:bCs/>
          <w:szCs w:val="21"/>
        </w:rPr>
        <w:t>年以上；</w:t>
      </w:r>
    </w:p>
    <w:p w14:paraId="32A59BF4"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65CB24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）组织并参加基金财产清算小组，参与基金财产的保管、清理、估价、变现和分配；</w:t>
      </w:r>
    </w:p>
    <w:p w14:paraId="7D3081C4"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）面临解散、依法被撤销或者被依法宣告破产时，及时报告中国证监会并通知基金托管人；</w:t>
      </w:r>
    </w:p>
    <w:p w14:paraId="48EF47F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）因违反《基金合同》导致基金财产的损失或损害基金份额持有人合法权益时，应当承担赔偿责任，其赔偿责任不因其退任而免除；</w:t>
      </w:r>
    </w:p>
    <w:p w14:paraId="1EA7DF9D"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293A559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）当基金管理人将其义务委托第三方处理时，应当对第三方处理有关基金事务的行为承担责任；</w:t>
      </w:r>
    </w:p>
    <w:p w14:paraId="3DF152C0"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23</w:t>
      </w:r>
      <w:r>
        <w:rPr>
          <w:rFonts w:ascii="Arial Unicode MS" w:hAnsi="Arial Unicode MS" w:hint="eastAsia"/>
          <w:bCs/>
          <w:szCs w:val="21"/>
        </w:rPr>
        <w:t>）以基金管理人名义，代表基金份额持有人利益行使诉讼权利或实施其他法律行为；</w:t>
      </w:r>
      <w:r>
        <w:rPr>
          <w:rFonts w:ascii="Arial Unicode MS" w:hAnsi="Arial Unicode MS" w:hint="eastAsia"/>
          <w:bCs/>
          <w:szCs w:val="21"/>
        </w:rPr>
        <w:tab/>
      </w:r>
    </w:p>
    <w:p w14:paraId="6E0056A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24</w:t>
      </w:r>
      <w:r>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hint="eastAsia"/>
          <w:bCs/>
          <w:szCs w:val="21"/>
        </w:rPr>
        <w:t>30</w:t>
      </w:r>
      <w:r>
        <w:rPr>
          <w:rFonts w:ascii="Arial Unicode MS" w:hAnsi="Arial Unicode MS" w:hint="eastAsia"/>
          <w:bCs/>
          <w:szCs w:val="21"/>
        </w:rPr>
        <w:t>日内退还基金认购人；</w:t>
      </w:r>
    </w:p>
    <w:p w14:paraId="1E085840"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25</w:t>
      </w:r>
      <w:r>
        <w:rPr>
          <w:rFonts w:ascii="Arial Unicode MS" w:hAnsi="Arial Unicode MS" w:hint="eastAsia"/>
          <w:bCs/>
          <w:szCs w:val="21"/>
        </w:rPr>
        <w:t>）执行生效的基金份额持有人大会的决议；</w:t>
      </w:r>
    </w:p>
    <w:p w14:paraId="412E492B"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26</w:t>
      </w:r>
      <w:r>
        <w:rPr>
          <w:rFonts w:ascii="Arial Unicode MS" w:hAnsi="Arial Unicode MS" w:hint="eastAsia"/>
          <w:bCs/>
          <w:szCs w:val="21"/>
        </w:rPr>
        <w:t>）建立并保存基金份额持有人名册；</w:t>
      </w:r>
    </w:p>
    <w:p w14:paraId="27B9E01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27</w:t>
      </w:r>
      <w:r>
        <w:rPr>
          <w:rFonts w:ascii="Arial Unicode MS" w:hAnsi="Arial Unicode MS" w:hint="eastAsia"/>
          <w:bCs/>
          <w:szCs w:val="21"/>
        </w:rPr>
        <w:t>）法律法规及中国证监会规定的和《基金合同》约定的其他义务。</w:t>
      </w:r>
    </w:p>
    <w:p w14:paraId="20D7D58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w:t>
      </w:r>
      <w:r>
        <w:rPr>
          <w:rFonts w:ascii="Arial Unicode MS" w:hAnsi="Arial Unicode MS" w:hint="eastAsia"/>
          <w:bCs/>
          <w:szCs w:val="21"/>
        </w:rPr>
        <w:tab/>
      </w:r>
      <w:r>
        <w:rPr>
          <w:rFonts w:ascii="Arial Unicode MS" w:hAnsi="Arial Unicode MS" w:hint="eastAsia"/>
          <w:bCs/>
          <w:szCs w:val="21"/>
        </w:rPr>
        <w:t>基金托管人的权利与义务</w:t>
      </w:r>
    </w:p>
    <w:p w14:paraId="1326CAAD"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、根据《基金法》、《运作办法》及其他有关规定，基金托管人的权利包括但不限于：</w:t>
      </w:r>
    </w:p>
    <w:p w14:paraId="5239F848"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w:t>
      </w:r>
      <w:r>
        <w:rPr>
          <w:rFonts w:ascii="Arial Unicode MS" w:hAnsi="Arial Unicode MS"/>
          <w:bCs/>
          <w:szCs w:val="21"/>
        </w:rPr>
        <w:t>）自《基金合同》生效之日起，依法</w:t>
      </w:r>
      <w:proofErr w:type="gramStart"/>
      <w:r>
        <w:rPr>
          <w:rFonts w:ascii="Arial Unicode MS" w:hAnsi="Arial Unicode MS"/>
          <w:bCs/>
          <w:szCs w:val="21"/>
        </w:rPr>
        <w:t>律法规</w:t>
      </w:r>
      <w:proofErr w:type="gramEnd"/>
      <w:r>
        <w:rPr>
          <w:rFonts w:ascii="Arial Unicode MS" w:hAnsi="Arial Unicode MS"/>
          <w:bCs/>
          <w:szCs w:val="21"/>
        </w:rPr>
        <w:t>和《基金合同》的规定安全保管基金财</w:t>
      </w:r>
      <w:r>
        <w:rPr>
          <w:rFonts w:ascii="Arial Unicode MS" w:hAnsi="Arial Unicode MS"/>
          <w:bCs/>
          <w:szCs w:val="21"/>
        </w:rPr>
        <w:lastRenderedPageBreak/>
        <w:t>产；</w:t>
      </w:r>
    </w:p>
    <w:p w14:paraId="14F6CD28"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2</w:t>
      </w:r>
      <w:r>
        <w:rPr>
          <w:rFonts w:ascii="Arial Unicode MS" w:hAnsi="Arial Unicode MS"/>
          <w:bCs/>
          <w:szCs w:val="21"/>
        </w:rPr>
        <w:t>）依《基金合同》约定获得基金托管费以及法律法规规定或监管部门批准的其他费用；</w:t>
      </w:r>
    </w:p>
    <w:p w14:paraId="5B2939B1"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3</w:t>
      </w:r>
      <w:r>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797240D"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4</w:t>
      </w:r>
      <w:r>
        <w:rPr>
          <w:rFonts w:ascii="Arial Unicode MS" w:hAnsi="Arial Unicode MS"/>
          <w:bCs/>
          <w:szCs w:val="21"/>
        </w:rPr>
        <w:t>）根据相关市场规则，为基金开设</w:t>
      </w:r>
      <w:r>
        <w:rPr>
          <w:rFonts w:ascii="Arial Unicode MS" w:hAnsi="Arial Unicode MS" w:hint="eastAsia"/>
          <w:bCs/>
          <w:szCs w:val="21"/>
        </w:rPr>
        <w:t>资金账户、</w:t>
      </w:r>
      <w:r>
        <w:rPr>
          <w:rFonts w:ascii="Arial Unicode MS" w:hAnsi="Arial Unicode MS"/>
          <w:bCs/>
          <w:szCs w:val="21"/>
        </w:rPr>
        <w:t>证券</w:t>
      </w:r>
      <w:r>
        <w:rPr>
          <w:rFonts w:ascii="Arial Unicode MS" w:hAnsi="Arial Unicode MS" w:hint="eastAsia"/>
          <w:bCs/>
          <w:szCs w:val="21"/>
        </w:rPr>
        <w:t>账户等投资所需账户，</w:t>
      </w:r>
      <w:r>
        <w:rPr>
          <w:rFonts w:ascii="Arial Unicode MS" w:hAnsi="Arial Unicode MS"/>
          <w:bCs/>
          <w:szCs w:val="21"/>
        </w:rPr>
        <w:t>为基金办理证券交易资金清算</w:t>
      </w:r>
      <w:r>
        <w:rPr>
          <w:rFonts w:ascii="Arial Unicode MS" w:hAnsi="Arial Unicode MS" w:hint="eastAsia"/>
          <w:bCs/>
          <w:szCs w:val="21"/>
        </w:rPr>
        <w:t>；</w:t>
      </w:r>
    </w:p>
    <w:p w14:paraId="5C4EDE03"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5</w:t>
      </w:r>
      <w:r>
        <w:rPr>
          <w:rFonts w:ascii="Arial Unicode MS" w:hAnsi="Arial Unicode MS"/>
          <w:bCs/>
          <w:szCs w:val="21"/>
        </w:rPr>
        <w:t>）提议召开或召集基金份额持有人大会；</w:t>
      </w:r>
    </w:p>
    <w:p w14:paraId="58A80A61"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6</w:t>
      </w:r>
      <w:r>
        <w:rPr>
          <w:rFonts w:ascii="Arial Unicode MS" w:hAnsi="Arial Unicode MS"/>
          <w:bCs/>
          <w:szCs w:val="21"/>
        </w:rPr>
        <w:t>）在基金管理人更换时，提名新的基金管理人；</w:t>
      </w:r>
    </w:p>
    <w:p w14:paraId="41A31DA7"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7</w:t>
      </w:r>
      <w:r>
        <w:rPr>
          <w:rFonts w:ascii="Arial Unicode MS" w:hAnsi="Arial Unicode MS"/>
          <w:bCs/>
          <w:szCs w:val="21"/>
        </w:rPr>
        <w:t>）</w:t>
      </w:r>
      <w:r>
        <w:rPr>
          <w:rFonts w:ascii="Arial Unicode MS" w:hAnsi="Arial Unicode MS" w:hint="eastAsia"/>
          <w:bCs/>
          <w:szCs w:val="21"/>
        </w:rPr>
        <w:t>法律法规及中国证监会规定的和《基金合同》约定的其他</w:t>
      </w:r>
      <w:r>
        <w:rPr>
          <w:rFonts w:ascii="Arial Unicode MS" w:hAnsi="Arial Unicode MS"/>
          <w:bCs/>
          <w:szCs w:val="21"/>
        </w:rPr>
        <w:t>权利。</w:t>
      </w:r>
    </w:p>
    <w:p w14:paraId="29B57785"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、根据《基金法》、《运作办法》及其他有关规定，基金托管人的义务包括但不限于：</w:t>
      </w:r>
    </w:p>
    <w:p w14:paraId="31B6F9B7"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）以诚实信用、勤勉尽责的原则持有并安全保管基金财产；</w:t>
      </w:r>
    </w:p>
    <w:p w14:paraId="5396B77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80A710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3A011D6"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）除依据《基金法》、《基金合同》及其他有关规定外，不得利用基金财产为自己及任何第三人谋取利益，不得委托第三人托管基金财产；</w:t>
      </w:r>
    </w:p>
    <w:p w14:paraId="4ED8F9DC"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）保管由基金管理人代表基金签订的与基金有关的重大合同及有关凭证；</w:t>
      </w:r>
    </w:p>
    <w:p w14:paraId="74F652D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）按规定开设基金财产的资金账户、证券账户等投资所需账户，按照《基金合同》的约定，根据基金管理人的投资指令，及时办理清算、交割事宜；</w:t>
      </w:r>
    </w:p>
    <w:p w14:paraId="28D443B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）保守基金商业秘密，除《基金法》、《基金合同》及其他有关规定另有规定外，在基金信息公开披露前予以保密，不得向他人泄露；</w:t>
      </w:r>
    </w:p>
    <w:p w14:paraId="7235AB7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）复核、审查基金管理人计算的基金资产净值、各类基金份额净值、基金份额申购、赎回价格；</w:t>
      </w:r>
    </w:p>
    <w:p w14:paraId="0FFF45E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）办理与基金托管业务活动有关的信息披露事项；</w:t>
      </w:r>
    </w:p>
    <w:p w14:paraId="4F2A6558"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10</w:t>
      </w:r>
      <w:r>
        <w:rPr>
          <w:rFonts w:ascii="Arial Unicode MS" w:hAnsi="Arial Unicode MS" w:hint="eastAsia"/>
          <w:bCs/>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287ECF6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）保存基金托管业务活动的记录、账册、报表和其他相关资料不低于法律法规规定的最低期限；</w:t>
      </w:r>
    </w:p>
    <w:p w14:paraId="23E7E54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）建立并保存基金份额持有人名册；</w:t>
      </w:r>
    </w:p>
    <w:p w14:paraId="1254CC56"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）按规定制作相关账册并与基金管理人核对；</w:t>
      </w:r>
    </w:p>
    <w:p w14:paraId="5A2FC167"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）依据基金管理人的指令或有关规定向基金份额持有人支付基金收益和赎回款项；</w:t>
      </w:r>
    </w:p>
    <w:p w14:paraId="751B752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96AC9E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）按照法律法规和《基金合同》的规定监督基金管理人的投资运作；</w:t>
      </w:r>
    </w:p>
    <w:p w14:paraId="50D0E10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）参加基金财产清算小组，参与基金财产的保管、清理、估价、变现和分配；</w:t>
      </w:r>
    </w:p>
    <w:p w14:paraId="7855031B"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）面临解散、依法被撤销或者被依法宣告破产时，及时报告中国证监会和银行监管机构，并通知基金管理人；</w:t>
      </w:r>
    </w:p>
    <w:p w14:paraId="70652CE6"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）因违反《基金合同》导致基金财产损失时，应承担赔偿责任，其赔偿责任不因其退任而免除；</w:t>
      </w:r>
    </w:p>
    <w:p w14:paraId="74786AC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4AA4BAB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）执行生效的基金份额持有人大会的决议；</w:t>
      </w:r>
    </w:p>
    <w:p w14:paraId="2C9CE74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）法律法规及中国证监会规定的和《基金合同》约定的其他义务。</w:t>
      </w:r>
    </w:p>
    <w:p w14:paraId="1A60BFD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（三）基金份额持有人的权利和义务</w:t>
      </w:r>
    </w:p>
    <w:p w14:paraId="735BEDE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基金投资者持有本</w:t>
      </w:r>
      <w:proofErr w:type="gramStart"/>
      <w:r>
        <w:rPr>
          <w:rFonts w:ascii="Arial Unicode MS" w:hAnsi="Arial Unicode MS" w:hint="eastAsia"/>
          <w:bCs/>
          <w:szCs w:val="21"/>
        </w:rPr>
        <w:t>基金基金</w:t>
      </w:r>
      <w:proofErr w:type="gramEnd"/>
      <w:r>
        <w:rPr>
          <w:rFonts w:ascii="Arial Unicode MS" w:hAnsi="Arial Unicode MS" w:hint="eastAsia"/>
          <w:bCs/>
          <w:szCs w:val="21"/>
        </w:rPr>
        <w:t>份额的行为即视为对《基金合同》的承认和接受，基金投资者</w:t>
      </w:r>
      <w:proofErr w:type="gramStart"/>
      <w:r>
        <w:rPr>
          <w:rFonts w:ascii="Arial Unicode MS" w:hAnsi="Arial Unicode MS" w:hint="eastAsia"/>
          <w:bCs/>
          <w:szCs w:val="21"/>
        </w:rPr>
        <w:t>自依据</w:t>
      </w:r>
      <w:proofErr w:type="gramEnd"/>
      <w:r>
        <w:rPr>
          <w:rFonts w:ascii="Arial Unicode MS" w:hAnsi="Arial Unicode MS" w:hint="eastAsia"/>
          <w:bCs/>
          <w:szCs w:val="21"/>
        </w:rPr>
        <w:t>《基金合同》取得基金份额，即成为本基金份额持有人和《基金合同》的当事人，直至其不再持有本基金的基金份额。基金份额持有人作为《基金合同》当事人并不以在《基金合同》上书面签章或签字为必要条件。</w:t>
      </w:r>
    </w:p>
    <w:p w14:paraId="0CABA3E6"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同一类别每份基金份额具有同等的合法权益。</w:t>
      </w:r>
    </w:p>
    <w:p w14:paraId="2FBB6268"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、根据《基金法》、《运作办法》及其他有关规定，基金份额持有人的权利包括但不限于：</w:t>
      </w:r>
    </w:p>
    <w:p w14:paraId="42BAFDE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）分享基金财产收益；</w:t>
      </w:r>
    </w:p>
    <w:p w14:paraId="1AAC7E9C"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2</w:t>
      </w:r>
      <w:r>
        <w:rPr>
          <w:rFonts w:ascii="Arial Unicode MS" w:hAnsi="Arial Unicode MS" w:hint="eastAsia"/>
          <w:bCs/>
          <w:szCs w:val="21"/>
        </w:rPr>
        <w:t>）参与分配清算后的剩余基金财产；</w:t>
      </w:r>
    </w:p>
    <w:p w14:paraId="6681F6C5"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）依法转让或申请赎回其持有的基金份额；</w:t>
      </w:r>
    </w:p>
    <w:p w14:paraId="22E4C41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）按照规定要求召开基金份额持有人大会或者召集基金份额持有人大会；</w:t>
      </w:r>
    </w:p>
    <w:p w14:paraId="3D42E4F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）出席或者委派代表出席基金份额持有人大会，对基金份额持有人大会审议事项行使表决权；</w:t>
      </w:r>
    </w:p>
    <w:p w14:paraId="4A55DBCC"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）查阅或者复制公开披露的基金信息资料；</w:t>
      </w:r>
    </w:p>
    <w:p w14:paraId="5ADE10AD"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）监督基金管理人的投资运作；</w:t>
      </w:r>
    </w:p>
    <w:p w14:paraId="1432A87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）对基金管理人、基金托管人、基金服务机构损害其合法权益的行为依法提起诉讼或仲裁；</w:t>
      </w:r>
    </w:p>
    <w:p w14:paraId="7674F0F5"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）法律法规及中国证监会规定的和《基金合同》约定的其他权利。</w:t>
      </w:r>
    </w:p>
    <w:p w14:paraId="7F4CD525"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、根据《基金法》、《运作办法》及其他有关规定，基金份额持有人的义务包括但不限于：</w:t>
      </w:r>
    </w:p>
    <w:p w14:paraId="4199ED3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）认真阅读并遵守《基金合同》、招募说明书等信息披露文件；</w:t>
      </w:r>
    </w:p>
    <w:p w14:paraId="492F46A7"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）了解所投资基金产品，了解自身风险承受能力，自主判断基金的投资价值，自主做出投资决策，自行承担投资风险；</w:t>
      </w:r>
    </w:p>
    <w:p w14:paraId="35B65A6C"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）关注基金信息披露，及时行使权利和履行义务；</w:t>
      </w:r>
    </w:p>
    <w:p w14:paraId="2FB7AE56"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）缴纳基金认购、申购款项及法律法规和《基金合同》所规定的费用；</w:t>
      </w:r>
    </w:p>
    <w:p w14:paraId="34A7EF90"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）在其持有的基金份额范围内，承担基金亏损或者《基金合同》终止的有限责任；</w:t>
      </w:r>
    </w:p>
    <w:p w14:paraId="299E246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）不从事任何有损基金及其他《基金合同》当事人合法权益的活动；</w:t>
      </w:r>
    </w:p>
    <w:p w14:paraId="32E6788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）执行生效的基金份额持有人大会的决议；</w:t>
      </w:r>
    </w:p>
    <w:p w14:paraId="4EA9A97B"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）返还在基金交易过程中因任何原因获得的不当得利；</w:t>
      </w:r>
    </w:p>
    <w:p w14:paraId="5DD7AB80"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）法律法规及中国证监会规定的和《基金合同》约定的其他义务。</w:t>
      </w:r>
    </w:p>
    <w:p w14:paraId="35DB22D8" w14:textId="77777777" w:rsidR="009A7A59" w:rsidRDefault="00000000">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二、基金份额持有人大会召集、议事及表决的程序和规则</w:t>
      </w:r>
    </w:p>
    <w:p w14:paraId="32D48E0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1F59D9B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本基金份额持有人大会不设日常机构。</w:t>
      </w:r>
    </w:p>
    <w:p w14:paraId="55032C2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（一）召开事由</w:t>
      </w:r>
    </w:p>
    <w:p w14:paraId="75C0F395"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、当出现或需要决定下列事由之一的，应当召开基金份额持有人大会：</w:t>
      </w:r>
    </w:p>
    <w:p w14:paraId="064D962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w:t>
      </w:r>
      <w:r>
        <w:rPr>
          <w:rFonts w:ascii="Arial Unicode MS" w:hAnsi="Arial Unicode MS" w:hint="eastAsia"/>
          <w:bCs/>
          <w:szCs w:val="21"/>
        </w:rPr>
        <w:t>）终止《基金合同》；</w:t>
      </w:r>
    </w:p>
    <w:p w14:paraId="6986869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）更换基金管理人；</w:t>
      </w:r>
    </w:p>
    <w:p w14:paraId="68E778E5"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）更换基金托管人；</w:t>
      </w:r>
    </w:p>
    <w:p w14:paraId="1315E20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）转换基金运作方式；</w:t>
      </w:r>
    </w:p>
    <w:p w14:paraId="498DE60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）调整基金管理人、基金托管人的报酬标准或提高销售服务费，但根据法律法规的要求调整该等报酬标准或提高销售服务费的除外；</w:t>
      </w:r>
    </w:p>
    <w:p w14:paraId="63BED4E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）变更基金类别；</w:t>
      </w:r>
    </w:p>
    <w:p w14:paraId="2AF9FEB4"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）本基金与其他基金的合并；</w:t>
      </w:r>
    </w:p>
    <w:p w14:paraId="53AD0AFE"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8</w:t>
      </w:r>
      <w:r>
        <w:rPr>
          <w:rFonts w:ascii="Arial Unicode MS" w:hAnsi="Arial Unicode MS"/>
          <w:bCs/>
          <w:szCs w:val="21"/>
        </w:rPr>
        <w:t>）变更基金投资目标、范围或策略；</w:t>
      </w:r>
    </w:p>
    <w:p w14:paraId="308B96AE"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9</w:t>
      </w:r>
      <w:r>
        <w:rPr>
          <w:rFonts w:ascii="Arial Unicode MS" w:hAnsi="Arial Unicode MS"/>
          <w:bCs/>
          <w:szCs w:val="21"/>
        </w:rPr>
        <w:t>）变更基金份额持有人大会程序；</w:t>
      </w:r>
    </w:p>
    <w:p w14:paraId="762053F8"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10</w:t>
      </w:r>
      <w:r>
        <w:rPr>
          <w:rFonts w:ascii="Arial Unicode MS" w:hAnsi="Arial Unicode MS"/>
          <w:bCs/>
          <w:szCs w:val="21"/>
        </w:rPr>
        <w:t>）基金管理人或基金托管人要求召开基金份额持有人大会；</w:t>
      </w:r>
    </w:p>
    <w:p w14:paraId="51424B3A"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11</w:t>
      </w:r>
      <w:r>
        <w:rPr>
          <w:rFonts w:ascii="Arial Unicode MS" w:hAnsi="Arial Unicode MS"/>
          <w:bCs/>
          <w:szCs w:val="21"/>
        </w:rPr>
        <w:t>）单独或合计持有本基金总份额</w:t>
      </w:r>
      <w:r>
        <w:rPr>
          <w:rFonts w:ascii="Arial Unicode MS" w:hAnsi="Arial Unicode MS"/>
          <w:bCs/>
          <w:szCs w:val="21"/>
        </w:rPr>
        <w:t>10%</w:t>
      </w:r>
      <w:r>
        <w:rPr>
          <w:rFonts w:ascii="Arial Unicode MS" w:hAnsi="Arial Unicode MS"/>
          <w:bCs/>
          <w:szCs w:val="21"/>
        </w:rPr>
        <w:t>以上（含</w:t>
      </w:r>
      <w:r>
        <w:rPr>
          <w:rFonts w:ascii="Arial Unicode MS" w:hAnsi="Arial Unicode MS"/>
          <w:bCs/>
          <w:szCs w:val="21"/>
        </w:rPr>
        <w:t>10%</w:t>
      </w:r>
      <w:r>
        <w:rPr>
          <w:rFonts w:ascii="Arial Unicode MS" w:hAnsi="Arial Unicode MS"/>
          <w:bCs/>
          <w:szCs w:val="21"/>
        </w:rPr>
        <w:t>）基金份额的基金份额持有人（以基金管理人收到提议当日的基金份额计算，下同）就同一事项书面要求召开基金份额持有人大会；</w:t>
      </w:r>
    </w:p>
    <w:p w14:paraId="774CCCE7"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12</w:t>
      </w:r>
      <w:r>
        <w:rPr>
          <w:rFonts w:ascii="Arial Unicode MS" w:hAnsi="Arial Unicode MS"/>
          <w:bCs/>
          <w:szCs w:val="21"/>
        </w:rPr>
        <w:t>）对基金</w:t>
      </w:r>
      <w:r>
        <w:rPr>
          <w:rFonts w:ascii="Arial Unicode MS" w:hAnsi="Arial Unicode MS" w:hint="eastAsia"/>
          <w:bCs/>
          <w:szCs w:val="21"/>
        </w:rPr>
        <w:t>合同</w:t>
      </w:r>
      <w:r>
        <w:rPr>
          <w:rFonts w:ascii="Arial Unicode MS" w:hAnsi="Arial Unicode MS"/>
          <w:bCs/>
          <w:szCs w:val="21"/>
        </w:rPr>
        <w:t>当事人权利和义务产生重大影响的其他事项；</w:t>
      </w:r>
    </w:p>
    <w:p w14:paraId="585DBC24" w14:textId="77777777" w:rsidR="009A7A59" w:rsidRDefault="00000000">
      <w:pPr>
        <w:spacing w:line="360" w:lineRule="auto"/>
        <w:ind w:firstLineChars="200" w:firstLine="420"/>
        <w:rPr>
          <w:rFonts w:ascii="Arial Unicode MS" w:hAnsi="Arial Unicode MS" w:hint="eastAsia"/>
          <w:bCs/>
          <w:szCs w:val="21"/>
        </w:rPr>
      </w:pPr>
      <w:r>
        <w:rPr>
          <w:rFonts w:ascii="Arial Unicode MS" w:hAnsi="Arial Unicode MS"/>
          <w:bCs/>
          <w:szCs w:val="21"/>
        </w:rPr>
        <w:t>（</w:t>
      </w:r>
      <w:r>
        <w:rPr>
          <w:rFonts w:ascii="Arial Unicode MS" w:hAnsi="Arial Unicode MS"/>
          <w:bCs/>
          <w:szCs w:val="21"/>
        </w:rPr>
        <w:t>13</w:t>
      </w:r>
      <w:r>
        <w:rPr>
          <w:rFonts w:ascii="Arial Unicode MS" w:hAnsi="Arial Unicode MS"/>
          <w:bCs/>
          <w:szCs w:val="21"/>
        </w:rPr>
        <w:t>）法律法规、《基金合同》或中国证监会规定的其他应当召开基金份额持有人大会的事项。</w:t>
      </w:r>
    </w:p>
    <w:p w14:paraId="1F07A598"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、在法律法规规定和《基金合同》约定的范围内且对基金份额持有人利益无实质性不利影响的前提下，以下情况可由基金管理人和基金托管人协商后修改，不需召开基金份额持有人大会：</w:t>
      </w:r>
    </w:p>
    <w:p w14:paraId="03687D0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）调低除基金管理费、基金托管费以外的其他应由基金承担的费用；</w:t>
      </w:r>
    </w:p>
    <w:p w14:paraId="5A905F76"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）法律法规要求增加的基金费用的收取；</w:t>
      </w:r>
    </w:p>
    <w:p w14:paraId="6FAB125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）在法律法规和《基金合同》规定的范围内调整本基金的申购费率、调低赎回费率、调低销售服务费或在对现有基金份额持有人利益无实质性不利影响的前提下变更收费方式；</w:t>
      </w:r>
    </w:p>
    <w:p w14:paraId="10ECC4EB"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w:t>
      </w:r>
      <w:proofErr w:type="gramStart"/>
      <w:r>
        <w:rPr>
          <w:rFonts w:ascii="Arial Unicode MS" w:hAnsi="Arial Unicode MS" w:hint="eastAsia"/>
          <w:bCs/>
          <w:szCs w:val="21"/>
        </w:rPr>
        <w:t>因相应</w:t>
      </w:r>
      <w:proofErr w:type="gramEnd"/>
      <w:r>
        <w:rPr>
          <w:rFonts w:ascii="Arial Unicode MS" w:hAnsi="Arial Unicode MS" w:hint="eastAsia"/>
          <w:bCs/>
          <w:szCs w:val="21"/>
        </w:rPr>
        <w:t>的法律法规发生变动而应当对《基金合同》进行修改；</w:t>
      </w:r>
    </w:p>
    <w:p w14:paraId="664B2F54"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）对《基金合同》的修改对基金份额持有人利益无实质性不利影响或修改不涉及《基金合同》当事人权利义务关系发生重大变化；</w:t>
      </w:r>
    </w:p>
    <w:p w14:paraId="6D63A00D"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6</w:t>
      </w:r>
      <w:r>
        <w:rPr>
          <w:rFonts w:ascii="Arial Unicode MS" w:hAnsi="Arial Unicode MS" w:hint="eastAsia"/>
          <w:bCs/>
          <w:szCs w:val="21"/>
        </w:rPr>
        <w:t>）按照法律法规和《基金合同》规定不需召开基金份额持有人大会的以外的其他情形。</w:t>
      </w:r>
    </w:p>
    <w:p w14:paraId="21FFFA3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（二）会议召集人及召集方式</w:t>
      </w:r>
    </w:p>
    <w:p w14:paraId="742E4A85"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、除法律法规规定或《基金合同》另有约定外，基金份额持有人大会由基金管理人召集。</w:t>
      </w:r>
    </w:p>
    <w:p w14:paraId="2EEDC1E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、基金管理人未按规定召集或不能召集时，由基金托管人召集。</w:t>
      </w:r>
    </w:p>
    <w:p w14:paraId="7234C934"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、基金托管人认为有必要召开基金份额持有人大会的，应当向基金管理人提出书面提议。基金管理人应当自收到书面提议之日起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日内召开；基金管理人决定不召集，基金托管人仍认为有必要召开的，应当由基金托管人自行召集，并自出具书面决定之日起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6E17CD9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）的基金份额持有人仍认为有必要召开的，应当向基金托管人提出书面提议。基金托管人应当自收到书面提议之日起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日内决定是否召集，并书面告知提出提议的基金份额持有人代表和基金管理人；基金托管人决定召集的，应当自出具书面决定之日起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22381EC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）的基金份额持有人就同一事项要求召开基金份额持有人大会，而基金管理人、基金托管人都不召集的，单独或合计代表基金份额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）的基金份额持有人有权自行召集，并至少提前</w:t>
      </w:r>
      <w:r>
        <w:rPr>
          <w:rFonts w:ascii="Arial Unicode MS" w:hAnsi="Arial Unicode MS" w:hint="eastAsia"/>
          <w:bCs/>
          <w:szCs w:val="21"/>
        </w:rPr>
        <w:t>30</w:t>
      </w:r>
      <w:r>
        <w:rPr>
          <w:rFonts w:ascii="Arial Unicode MS" w:hAnsi="Arial Unicode MS" w:hint="eastAsia"/>
          <w:bCs/>
          <w:szCs w:val="21"/>
        </w:rPr>
        <w:t>日报中国证监会备案。基金份额持有人依法自行召集基金份额持有人大会的，基金管理人、基金托管人应当配合，不得阻碍、干扰。</w:t>
      </w:r>
    </w:p>
    <w:p w14:paraId="5E02C124"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、基金份额持有人会议的召集人负责选择确定开会时间、地点、方式和权益登记日。</w:t>
      </w:r>
    </w:p>
    <w:p w14:paraId="2AB86908"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（三）召开基金份额持有人大会的通知时间、通知内容、通知方式</w:t>
      </w:r>
    </w:p>
    <w:p w14:paraId="7FA22168"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、召开基金份额持有人大会，召集人应于会议召开前</w:t>
      </w:r>
      <w:r>
        <w:rPr>
          <w:rFonts w:ascii="Arial Unicode MS" w:hAnsi="Arial Unicode MS" w:hint="eastAsia"/>
          <w:bCs/>
          <w:szCs w:val="21"/>
        </w:rPr>
        <w:t>30</w:t>
      </w:r>
      <w:r>
        <w:rPr>
          <w:rFonts w:ascii="Arial Unicode MS" w:hAnsi="Arial Unicode MS" w:hint="eastAsia"/>
          <w:bCs/>
          <w:szCs w:val="21"/>
        </w:rPr>
        <w:t>日，依据有关规定进行公告。基金份额持有人大会通知应至少载明以下内容：</w:t>
      </w:r>
    </w:p>
    <w:p w14:paraId="09E89A4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1</w:t>
      </w:r>
      <w:r>
        <w:rPr>
          <w:rFonts w:ascii="Arial Unicode MS" w:hAnsi="Arial Unicode MS" w:hint="eastAsia"/>
          <w:bCs/>
          <w:szCs w:val="21"/>
        </w:rPr>
        <w:t>）会议召开的时间、地点和会议形式；</w:t>
      </w:r>
    </w:p>
    <w:p w14:paraId="3B7272AD"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）会议</w:t>
      </w:r>
      <w:proofErr w:type="gramStart"/>
      <w:r>
        <w:rPr>
          <w:rFonts w:ascii="Arial Unicode MS" w:hAnsi="Arial Unicode MS" w:hint="eastAsia"/>
          <w:bCs/>
          <w:szCs w:val="21"/>
        </w:rPr>
        <w:t>拟审议</w:t>
      </w:r>
      <w:proofErr w:type="gramEnd"/>
      <w:r>
        <w:rPr>
          <w:rFonts w:ascii="Arial Unicode MS" w:hAnsi="Arial Unicode MS" w:hint="eastAsia"/>
          <w:bCs/>
          <w:szCs w:val="21"/>
        </w:rPr>
        <w:t>的事项、议事程序和表决方式；</w:t>
      </w:r>
    </w:p>
    <w:p w14:paraId="30A6202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）有权出席基金份额持有人大会的基金份额持有人的权益登记日；</w:t>
      </w:r>
    </w:p>
    <w:p w14:paraId="702B5E30"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）授权委托证明的内容要求（包括但不限于代理人身份，代理权限和代理有效期限等）、送达时间和地点；</w:t>
      </w:r>
    </w:p>
    <w:p w14:paraId="4AC94D3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）会务常设联系人姓名及联系电话；</w:t>
      </w:r>
    </w:p>
    <w:p w14:paraId="27A4723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）出席会议者必须准备的文件和必须履行的手续；</w:t>
      </w:r>
    </w:p>
    <w:p w14:paraId="6ABEF1D6"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）召集人需要通知的其他事项。</w:t>
      </w:r>
    </w:p>
    <w:p w14:paraId="3A50859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E22E74C"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Arial Unicode MS" w:hAnsi="Arial Unicode MS" w:hint="eastAsia"/>
          <w:bCs/>
          <w:szCs w:val="21"/>
        </w:rPr>
        <w:t>拒不派</w:t>
      </w:r>
      <w:proofErr w:type="gramEnd"/>
      <w:r>
        <w:rPr>
          <w:rFonts w:ascii="Arial Unicode MS" w:hAnsi="Arial Unicode MS" w:hint="eastAsia"/>
          <w:bCs/>
          <w:szCs w:val="21"/>
        </w:rPr>
        <w:t>代表对表决意见的计票进行监督的，不影响表决意见的计票效力。</w:t>
      </w:r>
    </w:p>
    <w:p w14:paraId="5C1033D6"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（四）基金份额持有人出席会议的方式</w:t>
      </w:r>
    </w:p>
    <w:p w14:paraId="74A181C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72FD158B"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2307CBD"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92E599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w:t>
      </w:r>
      <w:r>
        <w:rPr>
          <w:rFonts w:ascii="Arial Unicode MS" w:hAnsi="Arial Unicode MS" w:hint="eastAsia"/>
          <w:bCs/>
          <w:szCs w:val="21"/>
        </w:rPr>
        <w:lastRenderedPageBreak/>
        <w:t>集基金份额持有人大会。重新召集的基金份额持有人大会到会者在权益登记日代表的有效的基金份额应不少于本基金在权益登记日基金总份额的三分之一（含三分之一）。</w:t>
      </w:r>
    </w:p>
    <w:p w14:paraId="1230DF16"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、通讯开会。通讯开会系指基金份额持有人将其对表决事项的投票以书面形式或基金合同约定的其他方式在表决截至日以前送达至召集人指定的地址。通讯开会应以书面方式或基金合同约定的其他方式进行表决。</w:t>
      </w:r>
    </w:p>
    <w:p w14:paraId="77EB1CE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在同时符合以下条件时，通讯开会的方式视为有效：</w:t>
      </w:r>
    </w:p>
    <w:p w14:paraId="11C1399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）会议召集人按《基金合同》约定公布会议通知后，在</w:t>
      </w:r>
      <w:r>
        <w:rPr>
          <w:rFonts w:ascii="Arial Unicode MS" w:hAnsi="Arial Unicode MS" w:hint="eastAsia"/>
          <w:bCs/>
          <w:szCs w:val="21"/>
        </w:rPr>
        <w:t>2</w:t>
      </w:r>
      <w:r>
        <w:rPr>
          <w:rFonts w:ascii="Arial Unicode MS" w:hAnsi="Arial Unicode MS" w:hint="eastAsia"/>
          <w:bCs/>
          <w:szCs w:val="21"/>
        </w:rPr>
        <w:t>个工作日内连续公布相关提示性公告；</w:t>
      </w:r>
    </w:p>
    <w:p w14:paraId="3CCC189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CD77F6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723EFDC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）上述第（</w:t>
      </w:r>
      <w:r>
        <w:rPr>
          <w:rFonts w:ascii="Arial Unicode MS" w:hAnsi="Arial Unicode MS" w:hint="eastAsia"/>
          <w:bCs/>
          <w:szCs w:val="21"/>
        </w:rPr>
        <w:t>3</w:t>
      </w:r>
      <w:r>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759BF05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7A6073CD" w14:textId="77777777" w:rsidR="009A7A59" w:rsidRDefault="00000000">
      <w:pPr>
        <w:autoSpaceDE w:val="0"/>
        <w:autoSpaceDN w:val="0"/>
        <w:adjustRightInd w:val="0"/>
        <w:spacing w:line="360" w:lineRule="auto"/>
        <w:ind w:firstLineChars="150" w:firstLine="315"/>
        <w:jc w:val="left"/>
        <w:rPr>
          <w:rFonts w:ascii="Arial Unicode MS" w:hAnsi="Arial Unicode MS" w:hint="eastAsia"/>
          <w:bCs/>
          <w:szCs w:val="21"/>
        </w:rPr>
      </w:pPr>
      <w:r>
        <w:rPr>
          <w:rFonts w:ascii="Arial Unicode MS" w:hAnsi="Arial Unicode MS" w:hint="eastAsia"/>
          <w:bCs/>
          <w:szCs w:val="21"/>
        </w:rPr>
        <w:t>（五）议事内容与程序</w:t>
      </w:r>
    </w:p>
    <w:p w14:paraId="614767D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、议事内容及提案权</w:t>
      </w:r>
    </w:p>
    <w:p w14:paraId="0B67CAB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议事内容为关系基金份额持有人利益的重大事项，如《基金合同》的重大修改、决定终</w:t>
      </w:r>
      <w:r>
        <w:rPr>
          <w:rFonts w:ascii="Arial Unicode MS" w:hAnsi="Arial Unicode MS" w:hint="eastAsia"/>
          <w:bCs/>
          <w:szCs w:val="21"/>
        </w:rPr>
        <w:lastRenderedPageBreak/>
        <w:t>止《基金合同》、更换基金管理人、更换基金托管人、与其他基金合并、法律法规及《基金合同》规定的其他事项以及会议召集人认为需提交基金份额持有人大会讨论的其他事项。</w:t>
      </w:r>
    </w:p>
    <w:p w14:paraId="27D8DB5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基金份额持有人大会的召集人发出召集会议的通知后，对原有提案的修改应当在基金份额持有人大会召开前及时公告。</w:t>
      </w:r>
    </w:p>
    <w:p w14:paraId="4563AB64"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基金份额持有人大会不得对未事先公告的议事内容进行表决。</w:t>
      </w:r>
    </w:p>
    <w:p w14:paraId="1BB2EECD"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、议事程序</w:t>
      </w:r>
    </w:p>
    <w:p w14:paraId="3A7FEF4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）现场开会</w:t>
      </w:r>
    </w:p>
    <w:p w14:paraId="590BA1E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Arial Unicode MS" w:hAnsi="Arial Unicode MS" w:hint="eastAsia"/>
          <w:bCs/>
          <w:szCs w:val="21"/>
        </w:rPr>
        <w:t>作出</w:t>
      </w:r>
      <w:proofErr w:type="gramEnd"/>
      <w:r>
        <w:rPr>
          <w:rFonts w:ascii="Arial Unicode MS" w:hAnsi="Arial Unicode MS" w:hint="eastAsia"/>
          <w:bCs/>
          <w:szCs w:val="21"/>
        </w:rPr>
        <w:t>的决议的效力。</w:t>
      </w:r>
    </w:p>
    <w:p w14:paraId="2E4FFC35"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会议召集人应当制作出席会议人员的签名册。签名</w:t>
      </w:r>
      <w:proofErr w:type="gramStart"/>
      <w:r>
        <w:rPr>
          <w:rFonts w:ascii="Arial Unicode MS" w:hAnsi="Arial Unicode MS" w:hint="eastAsia"/>
          <w:bCs/>
          <w:szCs w:val="21"/>
        </w:rPr>
        <w:t>册</w:t>
      </w:r>
      <w:proofErr w:type="gramEnd"/>
      <w:r>
        <w:rPr>
          <w:rFonts w:ascii="Arial Unicode MS" w:hAnsi="Arial Unicode MS" w:hint="eastAsia"/>
          <w:bCs/>
          <w:szCs w:val="21"/>
        </w:rPr>
        <w:t>载明参加会议人员姓名（或单位名称）、身份证明文件号码、持有或代表有表决权的基金份额、委托人姓名（或单位名称）和联系方式等事项。</w:t>
      </w:r>
    </w:p>
    <w:p w14:paraId="4D8B4170"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）通讯开会</w:t>
      </w:r>
    </w:p>
    <w:p w14:paraId="725A4AC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在通讯开会的情况下，首先由召集人提前</w:t>
      </w:r>
      <w:r>
        <w:rPr>
          <w:rFonts w:ascii="Arial Unicode MS" w:hAnsi="Arial Unicode MS" w:hint="eastAsia"/>
          <w:bCs/>
          <w:szCs w:val="21"/>
        </w:rPr>
        <w:t>30</w:t>
      </w:r>
      <w:r>
        <w:rPr>
          <w:rFonts w:ascii="Arial Unicode MS" w:hAnsi="Arial Unicode MS" w:hint="eastAsia"/>
          <w:bCs/>
          <w:szCs w:val="21"/>
        </w:rPr>
        <w:t>日公布提案，在所通知的表决截止日期后</w:t>
      </w:r>
      <w:r>
        <w:rPr>
          <w:rFonts w:ascii="Arial Unicode MS" w:hAnsi="Arial Unicode MS" w:hint="eastAsia"/>
          <w:bCs/>
          <w:szCs w:val="21"/>
        </w:rPr>
        <w:t>2</w:t>
      </w:r>
      <w:r>
        <w:rPr>
          <w:rFonts w:ascii="Arial Unicode MS" w:hAnsi="Arial Unicode MS" w:hint="eastAsia"/>
          <w:bCs/>
          <w:szCs w:val="21"/>
        </w:rPr>
        <w:t>个工作日内在公证机关监督下由召集人统计全部有效表决，在公证机关监督下形成决议。</w:t>
      </w:r>
    </w:p>
    <w:p w14:paraId="0CF31C5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（六）表决</w:t>
      </w:r>
    </w:p>
    <w:p w14:paraId="65922478"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基金份额持有人所持每份基金份额有一票表决权。</w:t>
      </w:r>
    </w:p>
    <w:p w14:paraId="328DEFA7"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基金份额持有人大会决议分为一般决议和特别决议：</w:t>
      </w:r>
    </w:p>
    <w:p w14:paraId="0A2FAE44"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、一般决议，一般决议须经参加大会的基金份额持有人或其代理人所持表决权的二分之一以上（含二分之一）通过方为有效；除下列第</w:t>
      </w:r>
      <w:r>
        <w:rPr>
          <w:rFonts w:ascii="Arial Unicode MS" w:hAnsi="Arial Unicode MS" w:hint="eastAsia"/>
          <w:bCs/>
          <w:szCs w:val="21"/>
        </w:rPr>
        <w:t>2</w:t>
      </w:r>
      <w:r>
        <w:rPr>
          <w:rFonts w:ascii="Arial Unicode MS" w:hAnsi="Arial Unicode MS" w:hint="eastAsia"/>
          <w:bCs/>
          <w:szCs w:val="21"/>
        </w:rPr>
        <w:t>项所规定的须以特别决议通过事项以外的其他事项均以一般决议的方式通过。</w:t>
      </w:r>
    </w:p>
    <w:p w14:paraId="623D1CF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5D8C839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基金份额持有人大会决定的事项，应当依法报中国证监会备案，并予以公告。</w:t>
      </w:r>
    </w:p>
    <w:p w14:paraId="72A15EF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基金份额持有人大会采取记名方式进行投票表决。</w:t>
      </w:r>
    </w:p>
    <w:p w14:paraId="33C4460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采取通讯方式进行表决时，除非在计票时监督员及公证机关均认为有充分的相反证据证</w:t>
      </w:r>
      <w:r>
        <w:rPr>
          <w:rFonts w:ascii="Arial Unicode MS" w:hAnsi="Arial Unicode MS" w:hint="eastAsia"/>
          <w:bCs/>
          <w:szCs w:val="21"/>
        </w:rPr>
        <w:lastRenderedPageBreak/>
        <w:t>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BBE50FC"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基金份额持有人大会的各项提案或同一项提案内并列的各项议题应当分开审议、逐项表决。</w:t>
      </w:r>
    </w:p>
    <w:p w14:paraId="1F358500"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（七）计票</w:t>
      </w:r>
    </w:p>
    <w:p w14:paraId="633C2657"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、现场开会</w:t>
      </w:r>
    </w:p>
    <w:p w14:paraId="1597D38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Arial Unicode MS" w:hAnsi="Arial Unicode MS" w:hint="eastAsia"/>
          <w:bCs/>
          <w:szCs w:val="21"/>
        </w:rPr>
        <w:t>或大会</w:t>
      </w:r>
      <w:proofErr w:type="gramEnd"/>
      <w:r>
        <w:rPr>
          <w:rFonts w:ascii="Arial Unicode MS" w:hAnsi="Arial Unicode MS" w:hint="eastAsia"/>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C9B193D"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）监票人应当在基金份额持有人表决后立即进行清点并由大会主持人当场公布计票结果。</w:t>
      </w:r>
    </w:p>
    <w:p w14:paraId="65243DA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）如果会议主持人或基金份额持有人或代理人对于提交的表决结果有怀疑，可以在宣布表决结果后立即对所投票</w:t>
      </w:r>
      <w:proofErr w:type="gramStart"/>
      <w:r>
        <w:rPr>
          <w:rFonts w:ascii="Arial Unicode MS" w:hAnsi="Arial Unicode MS" w:hint="eastAsia"/>
          <w:bCs/>
          <w:szCs w:val="21"/>
        </w:rPr>
        <w:t>数要求</w:t>
      </w:r>
      <w:proofErr w:type="gramEnd"/>
      <w:r>
        <w:rPr>
          <w:rFonts w:ascii="Arial Unicode MS" w:hAnsi="Arial Unicode MS" w:hint="eastAsia"/>
          <w:bCs/>
          <w:szCs w:val="21"/>
        </w:rPr>
        <w:t>进行重新清点。监票人应当进行重新清点，重新清点以一次为限。重新清点后，大会主持人应当当场公布重新清点结果。</w:t>
      </w:r>
    </w:p>
    <w:p w14:paraId="3A5D4F16"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）计票过程应由公证机关予以公证，基金管理人或基金托管人拒不出席大会的，不影响计票的效力。</w:t>
      </w:r>
    </w:p>
    <w:p w14:paraId="28AFD3A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、通讯开会</w:t>
      </w:r>
    </w:p>
    <w:p w14:paraId="7C57DDF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Arial Unicode MS" w:hAnsi="Arial Unicode MS" w:hint="eastAsia"/>
          <w:bCs/>
          <w:szCs w:val="21"/>
        </w:rPr>
        <w:t>人拒派</w:t>
      </w:r>
      <w:proofErr w:type="gramEnd"/>
      <w:r>
        <w:rPr>
          <w:rFonts w:ascii="Arial Unicode MS" w:hAnsi="Arial Unicode MS" w:hint="eastAsia"/>
          <w:bCs/>
          <w:szCs w:val="21"/>
        </w:rPr>
        <w:t>代表对书面表决意见的计票进行监督的，不影响计票和表决结果。</w:t>
      </w:r>
    </w:p>
    <w:p w14:paraId="51EB82A8"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（八）生效与公告</w:t>
      </w:r>
    </w:p>
    <w:p w14:paraId="530041C5"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基金份额持有人大会的决议，召集人应当自通过之日起</w:t>
      </w:r>
      <w:r>
        <w:rPr>
          <w:rFonts w:ascii="Arial Unicode MS" w:hAnsi="Arial Unicode MS" w:hint="eastAsia"/>
          <w:bCs/>
          <w:szCs w:val="21"/>
        </w:rPr>
        <w:t>5</w:t>
      </w:r>
      <w:r>
        <w:rPr>
          <w:rFonts w:ascii="Arial Unicode MS" w:hAnsi="Arial Unicode MS" w:hint="eastAsia"/>
          <w:bCs/>
          <w:szCs w:val="21"/>
        </w:rPr>
        <w:t>日内报中国证监会备案。</w:t>
      </w:r>
    </w:p>
    <w:p w14:paraId="4BE7FB2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基金份额持有人大会的决议自表决通过之日起生效。</w:t>
      </w:r>
    </w:p>
    <w:p w14:paraId="1D9A15A7"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基金份额持有人大会决议自生效之日起</w:t>
      </w:r>
      <w:r>
        <w:rPr>
          <w:rFonts w:ascii="Arial Unicode MS" w:hAnsi="Arial Unicode MS" w:hint="eastAsia"/>
          <w:bCs/>
          <w:szCs w:val="21"/>
        </w:rPr>
        <w:t>2</w:t>
      </w:r>
      <w:r>
        <w:rPr>
          <w:rFonts w:ascii="Arial Unicode MS" w:hAnsi="Arial Unicode MS" w:hint="eastAsia"/>
          <w:bCs/>
          <w:szCs w:val="21"/>
        </w:rPr>
        <w:t>日内在规定媒介上公告。如果采用通讯方式进行表决，在公告基金份额持有人大会决议时，必须将公证书全文、公证机构、公证员姓名等一同公告。</w:t>
      </w:r>
    </w:p>
    <w:p w14:paraId="3B3D7A64"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408D162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（九）实施</w:t>
      </w:r>
      <w:proofErr w:type="gramStart"/>
      <w:r>
        <w:rPr>
          <w:rFonts w:ascii="Arial Unicode MS" w:hAnsi="Arial Unicode MS" w:hint="eastAsia"/>
          <w:bCs/>
          <w:szCs w:val="21"/>
        </w:rPr>
        <w:t>侧袋机制</w:t>
      </w:r>
      <w:proofErr w:type="gramEnd"/>
      <w:r>
        <w:rPr>
          <w:rFonts w:ascii="Arial Unicode MS" w:hAnsi="Arial Unicode MS" w:hint="eastAsia"/>
          <w:bCs/>
          <w:szCs w:val="21"/>
        </w:rPr>
        <w:t>期间基金份额持有人大会的特殊约定</w:t>
      </w:r>
    </w:p>
    <w:p w14:paraId="7F98EA54"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若本基金</w:t>
      </w:r>
      <w:proofErr w:type="gramStart"/>
      <w:r>
        <w:rPr>
          <w:rFonts w:ascii="Arial Unicode MS" w:hAnsi="Arial Unicode MS" w:hint="eastAsia"/>
          <w:bCs/>
          <w:szCs w:val="21"/>
        </w:rPr>
        <w:t>实施侧袋机制</w:t>
      </w:r>
      <w:proofErr w:type="gramEnd"/>
      <w:r>
        <w:rPr>
          <w:rFonts w:ascii="Arial Unicode MS" w:hAnsi="Arial Unicode MS" w:hint="eastAsia"/>
          <w:bCs/>
          <w:szCs w:val="21"/>
        </w:rPr>
        <w:t>，</w:t>
      </w:r>
      <w:proofErr w:type="gramStart"/>
      <w:r>
        <w:rPr>
          <w:rFonts w:ascii="Arial Unicode MS" w:hAnsi="Arial Unicode MS" w:hint="eastAsia"/>
          <w:bCs/>
          <w:szCs w:val="21"/>
        </w:rPr>
        <w:t>则相关</w:t>
      </w:r>
      <w:proofErr w:type="gramEnd"/>
      <w:r>
        <w:rPr>
          <w:rFonts w:ascii="Arial Unicode MS" w:hAnsi="Arial Unicode MS" w:hint="eastAsia"/>
          <w:bCs/>
          <w:szCs w:val="21"/>
        </w:rPr>
        <w:t>基金份额或表决权的比例</w:t>
      </w:r>
      <w:proofErr w:type="gramStart"/>
      <w:r>
        <w:rPr>
          <w:rFonts w:ascii="Arial Unicode MS" w:hAnsi="Arial Unicode MS" w:hint="eastAsia"/>
          <w:bCs/>
          <w:szCs w:val="21"/>
        </w:rPr>
        <w:t>指主袋份额</w:t>
      </w:r>
      <w:proofErr w:type="gramEnd"/>
      <w:r>
        <w:rPr>
          <w:rFonts w:ascii="Arial Unicode MS" w:hAnsi="Arial Unicode MS" w:hint="eastAsia"/>
          <w:bCs/>
          <w:szCs w:val="21"/>
        </w:rPr>
        <w:t>持有</w:t>
      </w:r>
      <w:proofErr w:type="gramStart"/>
      <w:r>
        <w:rPr>
          <w:rFonts w:ascii="Arial Unicode MS" w:hAnsi="Arial Unicode MS" w:hint="eastAsia"/>
          <w:bCs/>
          <w:szCs w:val="21"/>
        </w:rPr>
        <w:t>人和侧袋份额</w:t>
      </w:r>
      <w:proofErr w:type="gramEnd"/>
      <w:r>
        <w:rPr>
          <w:rFonts w:ascii="Arial Unicode MS" w:hAnsi="Arial Unicode MS" w:hint="eastAsia"/>
          <w:bCs/>
          <w:szCs w:val="21"/>
        </w:rPr>
        <w:t>持有人分别持有或代表的基金份额或表决权符合该等比例，但</w:t>
      </w:r>
      <w:proofErr w:type="gramStart"/>
      <w:r>
        <w:rPr>
          <w:rFonts w:ascii="Arial Unicode MS" w:hAnsi="Arial Unicode MS" w:hint="eastAsia"/>
          <w:bCs/>
          <w:szCs w:val="21"/>
        </w:rPr>
        <w:t>若相关</w:t>
      </w:r>
      <w:proofErr w:type="gramEnd"/>
      <w:r>
        <w:rPr>
          <w:rFonts w:ascii="Arial Unicode MS" w:hAnsi="Arial Unicode MS" w:hint="eastAsia"/>
          <w:bCs/>
          <w:szCs w:val="21"/>
        </w:rPr>
        <w:t>基金份额持有人大会召集和审议事项不</w:t>
      </w:r>
      <w:proofErr w:type="gramStart"/>
      <w:r>
        <w:rPr>
          <w:rFonts w:ascii="Arial Unicode MS" w:hAnsi="Arial Unicode MS" w:hint="eastAsia"/>
          <w:bCs/>
          <w:szCs w:val="21"/>
        </w:rPr>
        <w:t>涉及侧袋账户</w:t>
      </w:r>
      <w:proofErr w:type="gramEnd"/>
      <w:r>
        <w:rPr>
          <w:rFonts w:ascii="Arial Unicode MS" w:hAnsi="Arial Unicode MS" w:hint="eastAsia"/>
          <w:bCs/>
          <w:szCs w:val="21"/>
        </w:rPr>
        <w:t>的，则仅</w:t>
      </w:r>
      <w:proofErr w:type="gramStart"/>
      <w:r>
        <w:rPr>
          <w:rFonts w:ascii="Arial Unicode MS" w:hAnsi="Arial Unicode MS" w:hint="eastAsia"/>
          <w:bCs/>
          <w:szCs w:val="21"/>
        </w:rPr>
        <w:t>指主袋份额</w:t>
      </w:r>
      <w:proofErr w:type="gramEnd"/>
      <w:r>
        <w:rPr>
          <w:rFonts w:ascii="Arial Unicode MS" w:hAnsi="Arial Unicode MS" w:hint="eastAsia"/>
          <w:bCs/>
          <w:szCs w:val="21"/>
        </w:rPr>
        <w:t>持有人持有或代表的基金份额或表决权符合该等比例：</w:t>
      </w:r>
    </w:p>
    <w:p w14:paraId="28628FE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、基金份额持有人行使提议权、召集权、提名权所需单独或合计代表相关基金份额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w:t>
      </w:r>
    </w:p>
    <w:p w14:paraId="68366BD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、现场开会的到会者在权益登记日代表的基金份额不少于本基金在权益登记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基金份额的二分之一（含二分之一）；</w:t>
      </w:r>
    </w:p>
    <w:p w14:paraId="0AD45E1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、通讯开会的直接出具表决意见或授权他人代表出具表决意见的基金份额持有人所持有的基金份额不小于在权益登记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基金份额的二分之一（含二分之一）；</w:t>
      </w:r>
    </w:p>
    <w:p w14:paraId="102B692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、在参与基金份额持有人大会投票的基金份额持有人所持有的基金份额小于在权益登记</w:t>
      </w:r>
      <w:proofErr w:type="gramStart"/>
      <w:r>
        <w:rPr>
          <w:rFonts w:ascii="Arial Unicode MS" w:hAnsi="Arial Unicode MS" w:hint="eastAsia"/>
          <w:bCs/>
          <w:szCs w:val="21"/>
        </w:rPr>
        <w:t>日相关</w:t>
      </w:r>
      <w:proofErr w:type="gramEnd"/>
      <w:r>
        <w:rPr>
          <w:rFonts w:ascii="Arial Unicode MS" w:hAnsi="Arial Unicode MS" w:hint="eastAsia"/>
          <w:bCs/>
          <w:szCs w:val="21"/>
        </w:rPr>
        <w:t>基金份额的二分之一、召集人在原公告的基金份额持有人大会召开时间的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个月以内就原定审议事项重新召集的基金份额持有人大会应当有代表三分之一以上（含三分之一）相关基金份额的持有人参与或授权他人参与基金份额持有人大会投票；</w:t>
      </w:r>
    </w:p>
    <w:p w14:paraId="6C6E0F9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、现场开会由出席大会的基金份额持有人和代理人所持表决权的</w:t>
      </w:r>
      <w:r>
        <w:rPr>
          <w:rFonts w:ascii="Arial Unicode MS" w:hAnsi="Arial Unicode MS" w:hint="eastAsia"/>
          <w:bCs/>
          <w:szCs w:val="21"/>
        </w:rPr>
        <w:t>50%</w:t>
      </w:r>
      <w:r>
        <w:rPr>
          <w:rFonts w:ascii="Arial Unicode MS" w:hAnsi="Arial Unicode MS" w:hint="eastAsia"/>
          <w:bCs/>
          <w:szCs w:val="21"/>
        </w:rPr>
        <w:t>以上（含</w:t>
      </w:r>
      <w:r>
        <w:rPr>
          <w:rFonts w:ascii="Arial Unicode MS" w:hAnsi="Arial Unicode MS" w:hint="eastAsia"/>
          <w:bCs/>
          <w:szCs w:val="21"/>
        </w:rPr>
        <w:t>50%</w:t>
      </w:r>
      <w:r>
        <w:rPr>
          <w:rFonts w:ascii="Arial Unicode MS" w:hAnsi="Arial Unicode MS" w:hint="eastAsia"/>
          <w:bCs/>
          <w:szCs w:val="21"/>
        </w:rPr>
        <w:t>）选举产生一名基金份额持有人作为该次基金份额持有人大会的主持人；</w:t>
      </w:r>
    </w:p>
    <w:p w14:paraId="555877C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、一般决议须经参加大会的基金份额持有人或其代理人所持表决权的二分之一以上（含二分之一）通过；</w:t>
      </w:r>
    </w:p>
    <w:p w14:paraId="3DF722F8"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、特别决议应当经参加大会的基金份额持有人或其代理人所持表决权的三分之二以上（含三分之二）通过。</w:t>
      </w:r>
    </w:p>
    <w:p w14:paraId="4D05679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同</w:t>
      </w:r>
      <w:proofErr w:type="gramStart"/>
      <w:r>
        <w:rPr>
          <w:rFonts w:ascii="Arial Unicode MS" w:hAnsi="Arial Unicode MS" w:hint="eastAsia"/>
          <w:bCs/>
          <w:szCs w:val="21"/>
        </w:rPr>
        <w:t>一主侧袋账户</w:t>
      </w:r>
      <w:proofErr w:type="gramEnd"/>
      <w:r>
        <w:rPr>
          <w:rFonts w:ascii="Arial Unicode MS" w:hAnsi="Arial Unicode MS" w:hint="eastAsia"/>
          <w:bCs/>
          <w:szCs w:val="21"/>
        </w:rPr>
        <w:t>内的每份基金份额具有平等的表决权。</w:t>
      </w:r>
    </w:p>
    <w:p w14:paraId="63643AD0"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（十）本部</w:t>
      </w:r>
      <w:proofErr w:type="gramStart"/>
      <w:r>
        <w:rPr>
          <w:rFonts w:ascii="Arial Unicode MS" w:hAnsi="Arial Unicode MS" w:hint="eastAsia"/>
          <w:bCs/>
          <w:szCs w:val="21"/>
        </w:rPr>
        <w:t>分关于</w:t>
      </w:r>
      <w:proofErr w:type="gramEnd"/>
      <w:r>
        <w:rPr>
          <w:rFonts w:ascii="Arial Unicode MS" w:hAnsi="Arial Unicode MS" w:hint="eastAsia"/>
          <w:bCs/>
          <w:szCs w:val="21"/>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7311C6D" w14:textId="77777777" w:rsidR="009A7A59" w:rsidRDefault="00000000">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三、基金合同解除和终止的事由、程序以及基金财产清算方式</w:t>
      </w:r>
    </w:p>
    <w:p w14:paraId="521C336D"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（一）《基金合同》的变更</w:t>
      </w:r>
    </w:p>
    <w:p w14:paraId="1EEDAE6C"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1</w:t>
      </w:r>
      <w:r>
        <w:rPr>
          <w:rFonts w:ascii="Arial Unicode MS" w:hAnsi="Arial Unicode MS" w:hint="eastAsia"/>
          <w:bCs/>
          <w:szCs w:val="21"/>
        </w:rPr>
        <w:t>、变更基金合同涉及法律法规规定或本基金合同约定应经基金份额持有人大会决议通过的事项的，应召</w:t>
      </w:r>
      <w:proofErr w:type="gramStart"/>
      <w:r>
        <w:rPr>
          <w:rFonts w:ascii="Arial Unicode MS" w:hAnsi="Arial Unicode MS" w:hint="eastAsia"/>
          <w:bCs/>
          <w:szCs w:val="21"/>
        </w:rPr>
        <w:t>开基金</w:t>
      </w:r>
      <w:proofErr w:type="gramEnd"/>
      <w:r>
        <w:rPr>
          <w:rFonts w:ascii="Arial Unicode MS" w:hAnsi="Arial Unicode MS" w:hint="eastAsia"/>
          <w:bCs/>
          <w:szCs w:val="21"/>
        </w:rPr>
        <w:t>份额持有人大会决议通过。对于法律法规规定和基金合同约定可不经基金份额持有人大会决议通过的事项，由基金管理人和基金托管人同意后变更并公告，并报中国证监会备案。</w:t>
      </w:r>
    </w:p>
    <w:p w14:paraId="1F49263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、关于《基金合同》变更的基金份额持有人大会决议自生效后方可执行，并</w:t>
      </w:r>
      <w:proofErr w:type="gramStart"/>
      <w:r>
        <w:rPr>
          <w:rFonts w:ascii="Arial Unicode MS" w:hAnsi="Arial Unicode MS" w:hint="eastAsia"/>
          <w:bCs/>
          <w:szCs w:val="21"/>
        </w:rPr>
        <w:t>自决议</w:t>
      </w:r>
      <w:proofErr w:type="gramEnd"/>
      <w:r>
        <w:rPr>
          <w:rFonts w:ascii="Arial Unicode MS" w:hAnsi="Arial Unicode MS" w:hint="eastAsia"/>
          <w:bCs/>
          <w:szCs w:val="21"/>
        </w:rPr>
        <w:t>生效后两日内在规定媒介公告。</w:t>
      </w:r>
    </w:p>
    <w:p w14:paraId="544B388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（二）《基金合同》的终止事由</w:t>
      </w:r>
    </w:p>
    <w:p w14:paraId="64C3C617"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有下列情形之一的，经履行相关程序后，《基金合同》应当终止：</w:t>
      </w:r>
    </w:p>
    <w:p w14:paraId="45934BA7"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、基金份额持有人大会决定终止的；</w:t>
      </w:r>
    </w:p>
    <w:p w14:paraId="3ECA23B4"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、基金管理人、基金托管人职责终止，在</w:t>
      </w:r>
      <w:r>
        <w:rPr>
          <w:rFonts w:ascii="Arial Unicode MS" w:hAnsi="Arial Unicode MS" w:hint="eastAsia"/>
          <w:bCs/>
          <w:szCs w:val="21"/>
        </w:rPr>
        <w:t>6</w:t>
      </w:r>
      <w:r>
        <w:rPr>
          <w:rFonts w:ascii="Arial Unicode MS" w:hAnsi="Arial Unicode MS" w:hint="eastAsia"/>
          <w:bCs/>
          <w:szCs w:val="21"/>
        </w:rPr>
        <w:t>个月内没有新基金管理人、新基金托管人承接的；</w:t>
      </w:r>
    </w:p>
    <w:p w14:paraId="6BC888A7"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、《基金合同》约定的其他情形；</w:t>
      </w:r>
    </w:p>
    <w:p w14:paraId="072F6DD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、相关法律法规和中国证监会规定的其他情况。</w:t>
      </w:r>
    </w:p>
    <w:p w14:paraId="4194F49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（三）基金财产的清算</w:t>
      </w:r>
    </w:p>
    <w:p w14:paraId="0A77525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、基金财产清算小组：自出现基金合同终止事由之日起</w:t>
      </w:r>
      <w:r>
        <w:rPr>
          <w:rFonts w:ascii="Arial Unicode MS" w:hAnsi="Arial Unicode MS" w:hint="eastAsia"/>
          <w:bCs/>
          <w:szCs w:val="21"/>
        </w:rPr>
        <w:t>30</w:t>
      </w:r>
      <w:r>
        <w:rPr>
          <w:rFonts w:ascii="Arial Unicode MS" w:hAnsi="Arial Unicode MS" w:hint="eastAsia"/>
          <w:bCs/>
          <w:szCs w:val="21"/>
        </w:rPr>
        <w:t>个工作日内成立清算小组，基金管理人组织基金财产清算小组并在中国证监会的监督下进行基金清算。</w:t>
      </w:r>
    </w:p>
    <w:p w14:paraId="1E9FA503"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、基金财产清算小组组成：基金财产清算小组成员由基金管理人、基金托管人、具有证券、</w:t>
      </w:r>
      <w:r>
        <w:rPr>
          <w:rFonts w:ascii="Arial Unicode MS" w:hAnsi="Arial Unicode MS"/>
          <w:bCs/>
          <w:szCs w:val="21"/>
        </w:rPr>
        <w:t>期货</w:t>
      </w:r>
      <w:r>
        <w:rPr>
          <w:rFonts w:ascii="Arial Unicode MS" w:hAnsi="Arial Unicode MS" w:hint="eastAsia"/>
          <w:bCs/>
          <w:szCs w:val="21"/>
        </w:rPr>
        <w:t>相关业务资格的注册会计师、律师以及中国证监会指定的人员组成。基金财产清算小组可以聘用必要的工作人员。</w:t>
      </w:r>
    </w:p>
    <w:p w14:paraId="6D8A14CA"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654C8C2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、基金财产清算程序：</w:t>
      </w:r>
    </w:p>
    <w:p w14:paraId="44A8CCD8"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）《基金合同》终止情形出现时，由基金财产清算小组统一接管基金；</w:t>
      </w:r>
    </w:p>
    <w:p w14:paraId="1AC741C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）对基金财产和债权债务进行清理和确认；</w:t>
      </w:r>
    </w:p>
    <w:p w14:paraId="69342C50"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）对基金财产进行估值和变现；</w:t>
      </w:r>
    </w:p>
    <w:p w14:paraId="1194E6E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）制作清算报告；</w:t>
      </w:r>
    </w:p>
    <w:p w14:paraId="186B3710"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）聘请具有证券、</w:t>
      </w:r>
      <w:r>
        <w:rPr>
          <w:rFonts w:ascii="Arial Unicode MS" w:hAnsi="Arial Unicode MS"/>
          <w:bCs/>
          <w:szCs w:val="21"/>
        </w:rPr>
        <w:t>期货</w:t>
      </w:r>
      <w:r>
        <w:rPr>
          <w:rFonts w:ascii="Arial Unicode MS" w:hAnsi="Arial Unicode MS" w:hint="eastAsia"/>
          <w:bCs/>
          <w:szCs w:val="21"/>
        </w:rPr>
        <w:t>相关业务资格的会计师事务所对清算报告进行外部审计，聘请律师事务所对清算报告出具法律意见书；</w:t>
      </w:r>
    </w:p>
    <w:p w14:paraId="642C200D"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）将清算报告报中国证监会备案并公告；</w:t>
      </w:r>
    </w:p>
    <w:p w14:paraId="0BD6784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lastRenderedPageBreak/>
        <w:t>（</w:t>
      </w:r>
      <w:r>
        <w:rPr>
          <w:rFonts w:ascii="Arial Unicode MS" w:hAnsi="Arial Unicode MS" w:hint="eastAsia"/>
          <w:bCs/>
          <w:szCs w:val="21"/>
        </w:rPr>
        <w:t>7</w:t>
      </w:r>
      <w:r>
        <w:rPr>
          <w:rFonts w:ascii="Arial Unicode MS" w:hAnsi="Arial Unicode MS" w:hint="eastAsia"/>
          <w:bCs/>
          <w:szCs w:val="21"/>
        </w:rPr>
        <w:t>）对基金剩余财产进行分配。</w:t>
      </w:r>
    </w:p>
    <w:p w14:paraId="3DD00DC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、基金财产清算的期限为</w:t>
      </w:r>
      <w:r>
        <w:rPr>
          <w:rFonts w:ascii="Arial Unicode MS" w:hAnsi="Arial Unicode MS" w:hint="eastAsia"/>
          <w:bCs/>
          <w:szCs w:val="21"/>
        </w:rPr>
        <w:t>6</w:t>
      </w:r>
      <w:r>
        <w:rPr>
          <w:rFonts w:ascii="Arial Unicode MS" w:hAnsi="Arial Unicode MS" w:hint="eastAsia"/>
          <w:bCs/>
          <w:szCs w:val="21"/>
        </w:rPr>
        <w:t>个月，但因本基金所持证券的流动性受到限制而不能及时变现的，清算期限相应顺延。</w:t>
      </w:r>
    </w:p>
    <w:p w14:paraId="71AEA0E1"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（四）清算费用</w:t>
      </w:r>
    </w:p>
    <w:p w14:paraId="535EBA0B"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74141DD2"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（五）基金财产清算剩余资产的分配</w:t>
      </w:r>
    </w:p>
    <w:p w14:paraId="42C8FBB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依据基金财产清算的分配方案，将基金财产清算后的全部剩余资产扣除基金财产清算费用、交纳所欠税款并清偿基金债务后，按各类基金份额在基金合同终止事由发生时各自基金份额资产净值的比例确定剩余财产在各类基金份额中的分配比例，并在各类基金份额可分配的剩余财产范围内按各份额类别内基金份额持有人持有的基金份额比例进行分配。</w:t>
      </w:r>
    </w:p>
    <w:p w14:paraId="336DBA8E"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（六）基金财产清算的公告</w:t>
      </w:r>
    </w:p>
    <w:p w14:paraId="139AA4F8"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清算过程中的有关重大事项须及时公告；基金财产清算报告</w:t>
      </w:r>
      <w:proofErr w:type="gramStart"/>
      <w:r>
        <w:rPr>
          <w:rFonts w:ascii="Arial Unicode MS" w:hAnsi="Arial Unicode MS" w:hint="eastAsia"/>
          <w:bCs/>
          <w:szCs w:val="21"/>
        </w:rPr>
        <w:t>经符合</w:t>
      </w:r>
      <w:proofErr w:type="gramEnd"/>
      <w:r>
        <w:rPr>
          <w:rFonts w:ascii="Arial Unicode MS" w:hAnsi="Arial Unicode MS" w:hint="eastAsia"/>
          <w:bCs/>
          <w:szCs w:val="21"/>
        </w:rPr>
        <w:t>《中华人民共和国证券法》规定的会计师事务所审计并由律师事务所出具法律意见书后报中国证监会备案并公告。基金财产清算公告于基金财产清算报告报中国证监会备案后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hint="eastAsia"/>
          <w:bCs/>
          <w:szCs w:val="21"/>
        </w:rPr>
        <w:t>5</w:t>
      </w:r>
      <w:r>
        <w:rPr>
          <w:rFonts w:ascii="Arial Unicode MS" w:hAnsi="Arial Unicode MS" w:hint="eastAsia"/>
          <w:bCs/>
          <w:szCs w:val="21"/>
        </w:rPr>
        <w:t>个工作日内由基金财产清算小组进行公告，基金财产清算小组应当将清算报告登载在规定网站上，并将清算报告提示性公告登载在规定报刊上。</w:t>
      </w:r>
    </w:p>
    <w:p w14:paraId="2EB7673B"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（七）基金财产清算账册及文件的保存</w:t>
      </w:r>
    </w:p>
    <w:p w14:paraId="4D00118F"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基金财产清算账册及有关文件由基金托管人保存不低于法律法规规定的最低期限。</w:t>
      </w:r>
    </w:p>
    <w:p w14:paraId="16AE6D99" w14:textId="77777777" w:rsidR="009A7A59" w:rsidRDefault="00000000">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四、争议解决方式</w:t>
      </w:r>
    </w:p>
    <w:p w14:paraId="3CAF4778"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各方当事人同意，因《基金合同》而产生的或与《基金合同》有关的一切争议，如不愿或者不能通过协商、调解解决的，任何一方均有权将争议提交中国国际经济贸易仲裁委员会，按照该会届时有效的仲裁规则进行仲裁。仲裁地点为北京市。仲裁裁决是终局的，对各方当事人均有约束力。仲裁费用由败诉方承担。</w:t>
      </w:r>
    </w:p>
    <w:p w14:paraId="2B55ABF9"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《基金合同》适用中华人民共和国法律及其解释。</w:t>
      </w:r>
    </w:p>
    <w:p w14:paraId="10B34015" w14:textId="77777777" w:rsidR="009A7A59" w:rsidRDefault="00000000">
      <w:pPr>
        <w:autoSpaceDE w:val="0"/>
        <w:autoSpaceDN w:val="0"/>
        <w:adjustRightInd w:val="0"/>
        <w:spacing w:line="360" w:lineRule="auto"/>
        <w:ind w:firstLineChars="200" w:firstLine="422"/>
        <w:jc w:val="left"/>
        <w:outlineLvl w:val="1"/>
        <w:rPr>
          <w:rFonts w:ascii="Arial Unicode MS" w:hAnsi="Arial Unicode MS" w:hint="eastAsia"/>
          <w:b/>
          <w:bCs/>
          <w:szCs w:val="21"/>
        </w:rPr>
      </w:pPr>
      <w:r>
        <w:rPr>
          <w:rFonts w:ascii="Arial Unicode MS" w:hAnsi="Arial Unicode MS" w:hint="eastAsia"/>
          <w:b/>
          <w:bCs/>
          <w:szCs w:val="21"/>
        </w:rPr>
        <w:t>五、基金合同存放地和投资人取得基金合同的方式</w:t>
      </w:r>
    </w:p>
    <w:p w14:paraId="47AE2A30" w14:textId="77777777" w:rsidR="009A7A59" w:rsidRDefault="00000000">
      <w:pPr>
        <w:autoSpaceDE w:val="0"/>
        <w:autoSpaceDN w:val="0"/>
        <w:adjustRightInd w:val="0"/>
        <w:spacing w:line="360" w:lineRule="auto"/>
        <w:ind w:firstLineChars="200" w:firstLine="420"/>
        <w:jc w:val="left"/>
        <w:rPr>
          <w:rFonts w:ascii="Arial Unicode MS" w:hAnsi="Arial Unicode MS" w:hint="eastAsia"/>
          <w:bCs/>
          <w:szCs w:val="21"/>
        </w:rPr>
      </w:pPr>
      <w:r>
        <w:rPr>
          <w:rFonts w:ascii="Arial Unicode MS" w:hAnsi="Arial Unicode MS" w:hint="eastAsia"/>
          <w:bCs/>
          <w:szCs w:val="21"/>
        </w:rPr>
        <w:t>《基金合同》可印制成册，供投资者在基金管理人、基金托管人、销售机构的办公场所和营业场所查阅。</w:t>
      </w:r>
    </w:p>
    <w:p w14:paraId="7F9554FE" w14:textId="77777777" w:rsidR="009A7A59" w:rsidRDefault="009A7A59">
      <w:pPr>
        <w:autoSpaceDE w:val="0"/>
        <w:autoSpaceDN w:val="0"/>
        <w:adjustRightInd w:val="0"/>
        <w:spacing w:line="360" w:lineRule="auto"/>
        <w:ind w:firstLineChars="200" w:firstLine="480"/>
        <w:jc w:val="right"/>
        <w:rPr>
          <w:rFonts w:ascii="Arial Unicode MS" w:hAnsi="Arial Unicode MS" w:hint="eastAsia"/>
          <w:bCs/>
          <w:sz w:val="24"/>
        </w:rPr>
      </w:pPr>
    </w:p>
    <w:p w14:paraId="1EEA8126" w14:textId="77777777" w:rsidR="009A7A59" w:rsidRDefault="009A7A59">
      <w:pPr>
        <w:autoSpaceDE w:val="0"/>
        <w:autoSpaceDN w:val="0"/>
        <w:adjustRightInd w:val="0"/>
        <w:spacing w:line="360" w:lineRule="auto"/>
        <w:jc w:val="left"/>
        <w:rPr>
          <w:rFonts w:ascii="Arial Unicode MS" w:hAnsi="Arial Unicode MS" w:hint="eastAsia"/>
          <w:bCs/>
        </w:rPr>
      </w:pPr>
    </w:p>
    <w:p w14:paraId="25693F6F" w14:textId="77777777" w:rsidR="009A7A59" w:rsidRDefault="009A7A59">
      <w:pPr>
        <w:pStyle w:val="11"/>
        <w:snapToGrid w:val="0"/>
        <w:spacing w:before="0" w:after="0" w:line="360" w:lineRule="auto"/>
        <w:ind w:firstLineChars="150" w:firstLine="422"/>
        <w:rPr>
          <w:rFonts w:ascii="Arial Unicode MS" w:eastAsia="宋体" w:hAnsi="Arial Unicode MS" w:cs="Arial" w:hint="eastAsia"/>
          <w:b/>
          <w:bCs/>
          <w:sz w:val="28"/>
          <w:szCs w:val="28"/>
        </w:rPr>
        <w:sectPr w:rsidR="009A7A59">
          <w:pgSz w:w="11906" w:h="16838"/>
          <w:pgMar w:top="1440" w:right="1800" w:bottom="1440" w:left="1800" w:header="851" w:footer="992" w:gutter="0"/>
          <w:cols w:space="720"/>
          <w:titlePg/>
          <w:docGrid w:linePitch="312"/>
        </w:sectPr>
      </w:pPr>
      <w:bookmarkStart w:id="133" w:name="_Toc317088156"/>
      <w:bookmarkStart w:id="134" w:name="_Toc214873614"/>
      <w:bookmarkStart w:id="135" w:name="_Toc317088553"/>
      <w:bookmarkStart w:id="136" w:name="_Toc320887658"/>
      <w:bookmarkStart w:id="137" w:name="_Toc335232707"/>
    </w:p>
    <w:p w14:paraId="51B35ABE" w14:textId="77777777" w:rsidR="009A7A59" w:rsidRDefault="00000000">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38" w:name="_Toc63676455"/>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二十</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3"/>
      <w:bookmarkEnd w:id="134"/>
      <w:bookmarkEnd w:id="135"/>
      <w:bookmarkEnd w:id="136"/>
      <w:bookmarkEnd w:id="137"/>
      <w:bookmarkEnd w:id="138"/>
    </w:p>
    <w:p w14:paraId="68AD078F" w14:textId="77777777" w:rsidR="009A7A59" w:rsidRDefault="009A7A59">
      <w:pPr>
        <w:ind w:firstLine="315"/>
      </w:pPr>
    </w:p>
    <w:p w14:paraId="5107DF4D" w14:textId="77777777" w:rsidR="009A7A59" w:rsidRDefault="00000000">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一、托管协议当事人</w:t>
      </w:r>
    </w:p>
    <w:p w14:paraId="360E6B75"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bookmarkStart w:id="139" w:name="_Toc22454433"/>
      <w:bookmarkStart w:id="140" w:name="_Toc77662992"/>
      <w:r>
        <w:rPr>
          <w:rFonts w:ascii="Arial Unicode MS" w:hAnsi="Arial Unicode MS" w:cs="Arial"/>
          <w:kern w:val="0"/>
          <w:szCs w:val="21"/>
        </w:rPr>
        <w:t>（一）基金管理人</w:t>
      </w:r>
      <w:bookmarkEnd w:id="139"/>
      <w:bookmarkEnd w:id="140"/>
    </w:p>
    <w:p w14:paraId="623D4337"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名称：富荣基金管理有限公司</w:t>
      </w:r>
    </w:p>
    <w:p w14:paraId="63487B6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住所：广州市南沙区横</w:t>
      </w:r>
      <w:proofErr w:type="gramStart"/>
      <w:r>
        <w:rPr>
          <w:rFonts w:ascii="Arial Unicode MS" w:hAnsi="Arial Unicode MS" w:cs="Arial" w:hint="eastAsia"/>
          <w:kern w:val="0"/>
          <w:szCs w:val="21"/>
        </w:rPr>
        <w:t>沥</w:t>
      </w:r>
      <w:proofErr w:type="gramEnd"/>
      <w:r>
        <w:rPr>
          <w:rFonts w:ascii="Arial Unicode MS" w:hAnsi="Arial Unicode MS" w:cs="Arial" w:hint="eastAsia"/>
          <w:kern w:val="0"/>
          <w:szCs w:val="21"/>
        </w:rPr>
        <w:t>镇汇通二街</w:t>
      </w:r>
      <w:r>
        <w:rPr>
          <w:rFonts w:ascii="Arial Unicode MS" w:hAnsi="Arial Unicode MS" w:cs="Arial" w:hint="eastAsia"/>
          <w:kern w:val="0"/>
          <w:szCs w:val="21"/>
        </w:rPr>
        <w:t>2</w:t>
      </w:r>
      <w:r>
        <w:rPr>
          <w:rFonts w:ascii="Arial Unicode MS" w:hAnsi="Arial Unicode MS" w:cs="Arial" w:hint="eastAsia"/>
          <w:kern w:val="0"/>
          <w:szCs w:val="21"/>
        </w:rPr>
        <w:t>号</w:t>
      </w:r>
      <w:r>
        <w:rPr>
          <w:rFonts w:ascii="Arial Unicode MS" w:hAnsi="Arial Unicode MS" w:cs="Arial" w:hint="eastAsia"/>
          <w:kern w:val="0"/>
          <w:szCs w:val="21"/>
        </w:rPr>
        <w:t>3110</w:t>
      </w:r>
      <w:r>
        <w:rPr>
          <w:rFonts w:ascii="Arial Unicode MS" w:hAnsi="Arial Unicode MS" w:cs="Arial" w:hint="eastAsia"/>
          <w:kern w:val="0"/>
          <w:szCs w:val="21"/>
        </w:rPr>
        <w:t>房</w:t>
      </w:r>
    </w:p>
    <w:p w14:paraId="6EB32A3B"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365617D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法定代表人：王亦伟</w:t>
      </w:r>
    </w:p>
    <w:p w14:paraId="1FDD7C02"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设立日期：</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0EEB179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批准设立机关及批准设立文号：中国证监会证监许可</w:t>
      </w:r>
      <w:r>
        <w:rPr>
          <w:rFonts w:ascii="Arial Unicode MS" w:hAnsi="Arial Unicode MS" w:cs="Arial" w:hint="eastAsia"/>
          <w:kern w:val="0"/>
          <w:szCs w:val="21"/>
        </w:rPr>
        <w:t>[2015]3118</w:t>
      </w:r>
      <w:r>
        <w:rPr>
          <w:rFonts w:ascii="Arial Unicode MS" w:hAnsi="Arial Unicode MS" w:cs="Arial" w:hint="eastAsia"/>
          <w:kern w:val="0"/>
          <w:szCs w:val="21"/>
        </w:rPr>
        <w:t>号</w:t>
      </w:r>
    </w:p>
    <w:p w14:paraId="6BF4E4E7"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组织形式：有限责任公司</w:t>
      </w:r>
    </w:p>
    <w:p w14:paraId="2CFE6516"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 xml:space="preserve"> 2</w:t>
      </w:r>
      <w:r>
        <w:rPr>
          <w:rFonts w:ascii="Arial Unicode MS" w:hAnsi="Arial Unicode MS" w:cs="Arial" w:hint="eastAsia"/>
          <w:kern w:val="0"/>
          <w:szCs w:val="21"/>
        </w:rPr>
        <w:t>亿元人民币</w:t>
      </w:r>
    </w:p>
    <w:p w14:paraId="3678B783"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存续期间：永续经营</w:t>
      </w:r>
    </w:p>
    <w:p w14:paraId="5024F11C"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经营范围：基金募集、基金销售、资产管理、特定客户资产管理和中国证监会许可的其他业务</w:t>
      </w:r>
    </w:p>
    <w:p w14:paraId="344294D1"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bookmarkStart w:id="141" w:name="_Toc22454434"/>
      <w:bookmarkStart w:id="142" w:name="_Toc77662993"/>
      <w:r>
        <w:rPr>
          <w:rFonts w:ascii="Arial Unicode MS" w:hAnsi="Arial Unicode MS" w:cs="Arial"/>
          <w:kern w:val="0"/>
          <w:szCs w:val="21"/>
        </w:rPr>
        <w:t>（二）基金托管人</w:t>
      </w:r>
      <w:bookmarkEnd w:id="141"/>
      <w:bookmarkEnd w:id="142"/>
    </w:p>
    <w:p w14:paraId="7953E100"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名称：中国建设银行股份有限公司</w:t>
      </w:r>
      <w:r>
        <w:rPr>
          <w:rFonts w:ascii="Arial Unicode MS" w:hAnsi="Arial Unicode MS" w:cs="Arial" w:hint="eastAsia"/>
          <w:kern w:val="0"/>
          <w:szCs w:val="21"/>
        </w:rPr>
        <w:t>(</w:t>
      </w:r>
      <w:r>
        <w:rPr>
          <w:rFonts w:ascii="Arial Unicode MS" w:hAnsi="Arial Unicode MS" w:cs="Arial" w:hint="eastAsia"/>
          <w:kern w:val="0"/>
          <w:szCs w:val="21"/>
        </w:rPr>
        <w:t>简称：中国建设银行</w:t>
      </w:r>
      <w:r>
        <w:rPr>
          <w:rFonts w:ascii="Arial Unicode MS" w:hAnsi="Arial Unicode MS" w:cs="Arial" w:hint="eastAsia"/>
          <w:kern w:val="0"/>
          <w:szCs w:val="21"/>
        </w:rPr>
        <w:t>)</w:t>
      </w:r>
    </w:p>
    <w:p w14:paraId="21EBBD5B"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住所：北京市西城区金融大街</w:t>
      </w:r>
      <w:r>
        <w:rPr>
          <w:rFonts w:ascii="Arial Unicode MS" w:hAnsi="Arial Unicode MS" w:cs="Arial" w:hint="eastAsia"/>
          <w:kern w:val="0"/>
          <w:szCs w:val="21"/>
        </w:rPr>
        <w:t>25</w:t>
      </w:r>
      <w:r>
        <w:rPr>
          <w:rFonts w:ascii="Arial Unicode MS" w:hAnsi="Arial Unicode MS" w:cs="Arial" w:hint="eastAsia"/>
          <w:kern w:val="0"/>
          <w:szCs w:val="21"/>
        </w:rPr>
        <w:t>号</w:t>
      </w:r>
    </w:p>
    <w:p w14:paraId="6BCC0560"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办公地址：北京市西城区闹市口大街</w:t>
      </w:r>
      <w:r>
        <w:rPr>
          <w:rFonts w:ascii="Arial Unicode MS" w:hAnsi="Arial Unicode MS" w:cs="Arial" w:hint="eastAsia"/>
          <w:kern w:val="0"/>
          <w:szCs w:val="21"/>
        </w:rPr>
        <w:t>1</w:t>
      </w:r>
      <w:r>
        <w:rPr>
          <w:rFonts w:ascii="Arial Unicode MS" w:hAnsi="Arial Unicode MS" w:cs="Arial" w:hint="eastAsia"/>
          <w:kern w:val="0"/>
          <w:szCs w:val="21"/>
        </w:rPr>
        <w:t>号院</w:t>
      </w:r>
      <w:r>
        <w:rPr>
          <w:rFonts w:ascii="Arial Unicode MS" w:hAnsi="Arial Unicode MS" w:cs="Arial" w:hint="eastAsia"/>
          <w:kern w:val="0"/>
          <w:szCs w:val="21"/>
        </w:rPr>
        <w:t>1</w:t>
      </w:r>
      <w:r>
        <w:rPr>
          <w:rFonts w:ascii="Arial Unicode MS" w:hAnsi="Arial Unicode MS" w:cs="Arial" w:hint="eastAsia"/>
          <w:kern w:val="0"/>
          <w:szCs w:val="21"/>
        </w:rPr>
        <w:t>号楼</w:t>
      </w:r>
    </w:p>
    <w:p w14:paraId="0CF7325B"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100033</w:t>
      </w:r>
    </w:p>
    <w:p w14:paraId="025397EB"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法定代表人：张金良</w:t>
      </w:r>
      <w:r>
        <w:rPr>
          <w:rFonts w:ascii="Arial Unicode MS" w:hAnsi="Arial Unicode MS" w:cs="Arial" w:hint="eastAsia"/>
          <w:kern w:val="0"/>
          <w:szCs w:val="21"/>
        </w:rPr>
        <w:t xml:space="preserve"> </w:t>
      </w:r>
    </w:p>
    <w:p w14:paraId="5BF7B117"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2004</w:t>
      </w:r>
      <w:r>
        <w:rPr>
          <w:rFonts w:ascii="Arial Unicode MS" w:hAnsi="Arial Unicode MS" w:cs="Arial" w:hint="eastAsia"/>
          <w:kern w:val="0"/>
          <w:szCs w:val="21"/>
        </w:rPr>
        <w:t>年</w:t>
      </w:r>
      <w:r>
        <w:rPr>
          <w:rFonts w:ascii="Arial Unicode MS" w:hAnsi="Arial Unicode MS" w:cs="Arial" w:hint="eastAsia"/>
          <w:kern w:val="0"/>
          <w:szCs w:val="21"/>
        </w:rPr>
        <w:t>09</w:t>
      </w:r>
      <w:r>
        <w:rPr>
          <w:rFonts w:ascii="Arial Unicode MS" w:hAnsi="Arial Unicode MS" w:cs="Arial" w:hint="eastAsia"/>
          <w:kern w:val="0"/>
          <w:szCs w:val="21"/>
        </w:rPr>
        <w:t>月</w:t>
      </w:r>
      <w:r>
        <w:rPr>
          <w:rFonts w:ascii="Arial Unicode MS" w:hAnsi="Arial Unicode MS" w:cs="Arial" w:hint="eastAsia"/>
          <w:kern w:val="0"/>
          <w:szCs w:val="21"/>
        </w:rPr>
        <w:t>17</w:t>
      </w:r>
      <w:r>
        <w:rPr>
          <w:rFonts w:ascii="Arial Unicode MS" w:hAnsi="Arial Unicode MS" w:cs="Arial" w:hint="eastAsia"/>
          <w:kern w:val="0"/>
          <w:szCs w:val="21"/>
        </w:rPr>
        <w:t>日</w:t>
      </w:r>
    </w:p>
    <w:p w14:paraId="4851AB54"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基金托管业务批准文号：中国证监会</w:t>
      </w:r>
      <w:proofErr w:type="gramStart"/>
      <w:r>
        <w:rPr>
          <w:rFonts w:ascii="Arial Unicode MS" w:hAnsi="Arial Unicode MS" w:cs="Arial" w:hint="eastAsia"/>
          <w:kern w:val="0"/>
          <w:szCs w:val="21"/>
        </w:rPr>
        <w:t>证监基字</w:t>
      </w:r>
      <w:proofErr w:type="gramEnd"/>
      <w:r>
        <w:rPr>
          <w:rFonts w:ascii="Arial Unicode MS" w:hAnsi="Arial Unicode MS" w:cs="Arial" w:hint="eastAsia"/>
          <w:kern w:val="0"/>
          <w:szCs w:val="21"/>
        </w:rPr>
        <w:t>[1998]12</w:t>
      </w:r>
      <w:r>
        <w:rPr>
          <w:rFonts w:ascii="Arial Unicode MS" w:hAnsi="Arial Unicode MS" w:cs="Arial" w:hint="eastAsia"/>
          <w:kern w:val="0"/>
          <w:szCs w:val="21"/>
        </w:rPr>
        <w:t>号</w:t>
      </w:r>
    </w:p>
    <w:p w14:paraId="00269C8C"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组织形式：股份有限公司</w:t>
      </w:r>
    </w:p>
    <w:p w14:paraId="645050F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注册资本：</w:t>
      </w:r>
      <w:proofErr w:type="gramStart"/>
      <w:r>
        <w:rPr>
          <w:rFonts w:ascii="Arial Unicode MS" w:hAnsi="Arial Unicode MS" w:cs="Arial" w:hint="eastAsia"/>
          <w:kern w:val="0"/>
          <w:szCs w:val="21"/>
        </w:rPr>
        <w:t>贰仟伍佰亿壹仟零玖拾柒万柒仟肆佰捌拾陆</w:t>
      </w:r>
      <w:proofErr w:type="gramEnd"/>
      <w:r>
        <w:rPr>
          <w:rFonts w:ascii="Arial Unicode MS" w:hAnsi="Arial Unicode MS" w:cs="Arial" w:hint="eastAsia"/>
          <w:kern w:val="0"/>
          <w:szCs w:val="21"/>
        </w:rPr>
        <w:t>元整</w:t>
      </w:r>
    </w:p>
    <w:p w14:paraId="783F1714"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存续期间：持续经营</w:t>
      </w:r>
    </w:p>
    <w:p w14:paraId="27655274"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经营范围：吸收公众存款；发放短期、中期、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中国银行业监督管理机构等监管部门批准的其他</w:t>
      </w:r>
      <w:r>
        <w:rPr>
          <w:rFonts w:ascii="Arial Unicode MS" w:hAnsi="Arial Unicode MS" w:cs="Arial" w:hint="eastAsia"/>
          <w:kern w:val="0"/>
          <w:szCs w:val="21"/>
        </w:rPr>
        <w:lastRenderedPageBreak/>
        <w:t>业务。</w:t>
      </w:r>
    </w:p>
    <w:p w14:paraId="7518ED1A" w14:textId="77777777" w:rsidR="009A7A59" w:rsidRDefault="00000000">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二、基金托管人对基金管理人的业务监督和核查</w:t>
      </w:r>
    </w:p>
    <w:p w14:paraId="584CEACA"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19D83A67"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本基金的投资范围主要为具有良好流动性的金融工具，包括国债、金融债、企业债、公司债、央行票据、中期票据、短期融资</w:t>
      </w:r>
      <w:proofErr w:type="gramStart"/>
      <w:r>
        <w:rPr>
          <w:rFonts w:ascii="Arial Unicode MS" w:hAnsi="Arial Unicode MS" w:cs="Arial" w:hint="eastAsia"/>
          <w:kern w:val="0"/>
          <w:szCs w:val="21"/>
        </w:rPr>
        <w:t>券</w:t>
      </w:r>
      <w:proofErr w:type="gramEnd"/>
      <w:r>
        <w:rPr>
          <w:rFonts w:ascii="Arial Unicode MS" w:hAnsi="Arial Unicode MS" w:cs="Arial" w:hint="eastAsia"/>
          <w:kern w:val="0"/>
          <w:szCs w:val="21"/>
        </w:rPr>
        <w:t>、资产支持证券、次级债、可分离交易可转债</w:t>
      </w:r>
      <w:proofErr w:type="gramStart"/>
      <w:r>
        <w:rPr>
          <w:rFonts w:ascii="Arial Unicode MS" w:hAnsi="Arial Unicode MS" w:cs="Arial" w:hint="eastAsia"/>
          <w:kern w:val="0"/>
          <w:szCs w:val="21"/>
        </w:rPr>
        <w:t>的纯债部分</w:t>
      </w:r>
      <w:proofErr w:type="gramEnd"/>
      <w:r>
        <w:rPr>
          <w:rFonts w:ascii="Arial Unicode MS" w:hAnsi="Arial Unicode MS" w:cs="Arial" w:hint="eastAsia"/>
          <w:kern w:val="0"/>
          <w:szCs w:val="21"/>
        </w:rPr>
        <w:t>、债券回购、银行存款等法律法规或中国证监会允许基金投资的其他金融工具（但须符合中国证监会的相关规定）。</w:t>
      </w:r>
    </w:p>
    <w:p w14:paraId="17452DEE"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本基金不投资于股票和权证，也不投资于可转换债券（可分离交易可转债的</w:t>
      </w:r>
      <w:proofErr w:type="gramStart"/>
      <w:r>
        <w:rPr>
          <w:rFonts w:ascii="Arial Unicode MS" w:hAnsi="Arial Unicode MS" w:cs="Arial" w:hint="eastAsia"/>
          <w:kern w:val="0"/>
          <w:szCs w:val="21"/>
        </w:rPr>
        <w:t>纯债部分</w:t>
      </w:r>
      <w:proofErr w:type="gramEnd"/>
      <w:r>
        <w:rPr>
          <w:rFonts w:ascii="Arial Unicode MS" w:hAnsi="Arial Unicode MS" w:cs="Arial" w:hint="eastAsia"/>
          <w:kern w:val="0"/>
          <w:szCs w:val="21"/>
        </w:rPr>
        <w:t>除外）、可交换债券。</w:t>
      </w:r>
    </w:p>
    <w:p w14:paraId="53FFB2E4"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％；本基金持有现金或者到期日在一年以内的政府债券投资比例不低于基金资产净值的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137EADD9"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7DE00936"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16CE6357"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w:t>
      </w:r>
    </w:p>
    <w:p w14:paraId="06C5CADD"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）本基金持有现金或者到期日在一年以内的政府债券投资比例合计不低于基金资产净值的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6D0433FC"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554B311F"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）本基金管理人管理且由本基金托管人托管的全部基金持有一家公司发行的证券，不超过该证券的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40A865BA"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w:t>
      </w:r>
      <w:proofErr w:type="gramStart"/>
      <w:r>
        <w:rPr>
          <w:rFonts w:ascii="Arial Unicode MS" w:hAnsi="Arial Unicode MS" w:cs="Arial" w:hint="eastAsia"/>
          <w:kern w:val="0"/>
          <w:szCs w:val="21"/>
        </w:rPr>
        <w:t>不</w:t>
      </w:r>
      <w:proofErr w:type="gramEnd"/>
      <w:r>
        <w:rPr>
          <w:rFonts w:ascii="Arial Unicode MS" w:hAnsi="Arial Unicode MS" w:cs="Arial" w:hint="eastAsia"/>
          <w:kern w:val="0"/>
          <w:szCs w:val="21"/>
        </w:rPr>
        <w:t>展期；</w:t>
      </w:r>
    </w:p>
    <w:p w14:paraId="175366E4"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759EF5E4"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7</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6E4C2D74"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7B789E44"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）本基金管理人管理且由本基金托管人托管的全部基金投资于同一原始权益人的各类资产支持证券，不得超过其各类资产支持证券合计规模的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5D5CA2E4"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45E1FF56"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0A0D5F69"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）本基金主动投资于流动性受限资产的市值合计不得超过基金资产净值的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3E11F877"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5275C55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3</w:t>
      </w:r>
      <w:r>
        <w:rPr>
          <w:rFonts w:ascii="Arial Unicode MS" w:hAnsi="Arial Unicode MS" w:cs="Arial" w:hint="eastAsia"/>
          <w:kern w:val="0"/>
          <w:szCs w:val="21"/>
        </w:rPr>
        <w:t>）法律法规及中国证监会规定的和《基金合同》约定的其他投资限制。</w:t>
      </w:r>
    </w:p>
    <w:p w14:paraId="0B20B230"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除上述第（</w:t>
      </w:r>
      <w:r>
        <w:rPr>
          <w:rFonts w:ascii="Arial Unicode MS" w:hAnsi="Arial Unicode MS" w:cs="Arial" w:hint="eastAsia"/>
          <w:kern w:val="0"/>
          <w:szCs w:val="21"/>
        </w:rPr>
        <w:t>2</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kern w:val="0"/>
          <w:szCs w:val="21"/>
        </w:rPr>
        <w:t>10</w:t>
      </w:r>
      <w:r>
        <w:rPr>
          <w:rFonts w:ascii="Arial Unicode MS" w:hAnsi="Arial Unicode MS" w:cs="Arial" w:hint="eastAsia"/>
          <w:kern w:val="0"/>
          <w:szCs w:val="21"/>
        </w:rPr>
        <w:t>个交易日内进行调整，但中国证监会规定的特殊情形除外。法律法规或监管机构另有规定的，从其规定。</w:t>
      </w:r>
    </w:p>
    <w:p w14:paraId="0060A087"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15FAFA4A"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5860B8E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（三）基金托管人根据有关法律法规的规定及《基金合同》的约定，对本托管协议第十五条第九款基金投资禁止行为通过事后监督方式进行监督。</w:t>
      </w:r>
    </w:p>
    <w:p w14:paraId="11A28431"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相关交易必须事先得到基金托管人的同意，并履行信息披露义务。</w:t>
      </w:r>
    </w:p>
    <w:p w14:paraId="22B604AC"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（四）基金托管人根据有关法律法规的规定及《基金合同》的约定，对基金管理人参与银行间债券市场进行监督。基金管理人应在基金投资运作之前向基金托管人提供符合法律法</w:t>
      </w:r>
      <w:r>
        <w:rPr>
          <w:rFonts w:ascii="Arial Unicode MS" w:hAnsi="Arial Unicode MS" w:cs="Arial" w:hint="eastAsia"/>
          <w:kern w:val="0"/>
          <w:szCs w:val="21"/>
        </w:rPr>
        <w:lastRenderedPageBreak/>
        <w:t>规及行业标准的、经慎重选择的、本基金适用的银行间债券市场交易对手名单，并约定各交易对手所适用的交易结算方式（若管理人未提供交易对手名单，则视同可与所有交易对手进行交易）。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Arial Unicode MS" w:hAnsi="Arial Unicode MS" w:cs="Arial" w:hint="eastAsia"/>
          <w:kern w:val="0"/>
          <w:szCs w:val="21"/>
        </w:rPr>
        <w:t>3</w:t>
      </w:r>
      <w:r>
        <w:rPr>
          <w:rFonts w:ascii="Arial Unicode MS" w:hAnsi="Arial Unicode MS" w:cs="Arial" w:hint="eastAsia"/>
          <w:kern w:val="0"/>
          <w:szCs w:val="21"/>
        </w:rPr>
        <w:t>个工作日内与基金托管人协商解决。</w:t>
      </w:r>
    </w:p>
    <w:p w14:paraId="3BDE0F27"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50F82EBF"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五）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5C263E96"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六）基金托管人根据有关法律法规的规定及《基金合同》的约定，对基金资产净值计算、各类基金份额的基金份额净值计算、应收资金到账、基金费用开支及收入确定、基金收益分配、相关信息披露、基金宣传推介材料中登载基金业绩表现数据等进行监督和核查。</w:t>
      </w:r>
    </w:p>
    <w:p w14:paraId="423BDB3B"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0D563F01"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40BBB14D"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lastRenderedPageBreak/>
        <w:t>（九）</w:t>
      </w:r>
      <w:proofErr w:type="gramStart"/>
      <w:r>
        <w:rPr>
          <w:rFonts w:ascii="Arial Unicode MS" w:hAnsi="Arial Unicode MS" w:cs="Arial" w:hint="eastAsia"/>
          <w:kern w:val="0"/>
          <w:szCs w:val="21"/>
        </w:rPr>
        <w:t>若基金</w:t>
      </w:r>
      <w:proofErr w:type="gramEnd"/>
      <w:r>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托管人发现基金管理人依据交易程序已经生效的指令违反法律、行政法规和其他有关规定，或者违反《基金合同》约定的，应当立即通知基金管理人，由此造成的损失由基金管理人承担。</w:t>
      </w:r>
    </w:p>
    <w:p w14:paraId="7B8DA9B1"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4B3D986" w14:textId="77777777" w:rsidR="009A7A59" w:rsidRDefault="00000000">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三、基金管理人对基金托管人的业务监督、核查</w:t>
      </w:r>
    </w:p>
    <w:p w14:paraId="02ACA4A7" w14:textId="77777777" w:rsidR="009A7A59" w:rsidRDefault="00000000">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一）基金管理人对基金托管人履行托管职责情况进行核查，核查事项包括基金托管人安全保管基金财产、开设基金财产的资金账户和证券账户、复核基金管理人计算的基金资产净值和各类基金份额的基金份额净值、根据基金管理人指令办理清算交收、相关信息披露和监督基金投资运作等行为。</w:t>
      </w:r>
    </w:p>
    <w:p w14:paraId="34354C46" w14:textId="77777777" w:rsidR="009A7A59" w:rsidRDefault="00000000">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Arial Unicode MS" w:hAnsi="Arial Unicode MS" w:hint="eastAsia"/>
          <w:kern w:val="0"/>
        </w:rPr>
        <w:t>供基金</w:t>
      </w:r>
      <w:proofErr w:type="gramEnd"/>
      <w:r>
        <w:rPr>
          <w:rFonts w:ascii="Arial Unicode MS" w:hAnsi="Arial Unicode MS" w:hint="eastAsia"/>
          <w:kern w:val="0"/>
        </w:rPr>
        <w:t>管理人核查托管财产的完整性和真实性，在规定时间内答复基金管理人并改正。</w:t>
      </w:r>
    </w:p>
    <w:p w14:paraId="7BBBD658" w14:textId="77777777" w:rsidR="009A7A59" w:rsidRDefault="00000000">
      <w:pPr>
        <w:adjustRightInd w:val="0"/>
        <w:snapToGrid w:val="0"/>
        <w:spacing w:line="360" w:lineRule="auto"/>
        <w:ind w:firstLineChars="200" w:firstLine="420"/>
        <w:rPr>
          <w:rFonts w:ascii="Arial Unicode MS" w:hAnsi="Arial Unicode MS" w:hint="eastAsia"/>
          <w:kern w:val="0"/>
        </w:rPr>
      </w:pPr>
      <w:r>
        <w:rPr>
          <w:rFonts w:ascii="Arial Unicode MS" w:hAnsi="Arial Unicode MS" w:hint="eastAsia"/>
          <w:kern w:val="0"/>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701AF8A9" w14:textId="77777777" w:rsidR="009A7A59" w:rsidRDefault="00000000">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四、基金财产的保管</w:t>
      </w:r>
      <w:bookmarkStart w:id="143" w:name="_Toc37159173"/>
      <w:bookmarkStart w:id="144" w:name="_Toc77662997"/>
    </w:p>
    <w:p w14:paraId="55C24DA0"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（一）基金财产保管的原则</w:t>
      </w:r>
    </w:p>
    <w:p w14:paraId="1A28D210"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基金财产应独立于基金管理人、基金托管人的固有财产。</w:t>
      </w:r>
    </w:p>
    <w:p w14:paraId="2B0F689C"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基金托管人应安全保管基金财产。</w:t>
      </w:r>
    </w:p>
    <w:p w14:paraId="092CF660"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基金托管人按照规定开设基金财产的资金账户和证券账户。</w:t>
      </w:r>
    </w:p>
    <w:p w14:paraId="1CF48237"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基金托管人对所托管的不同基金财产分别设置账户，确保基金财产的完整与独立。</w:t>
      </w:r>
    </w:p>
    <w:p w14:paraId="6B343A71"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w:t>
      </w:r>
      <w:r>
        <w:rPr>
          <w:rFonts w:ascii="Arial Unicode MS" w:hAnsi="Arial Unicode MS" w:hint="eastAsia"/>
          <w:bCs/>
          <w:szCs w:val="21"/>
        </w:rPr>
        <w:lastRenderedPageBreak/>
        <w:t>资产（不包含基金托管人依据中国证券登记结算有限责任公司结算数据完成场内交易交收、开户银行或交易</w:t>
      </w:r>
      <w:r>
        <w:rPr>
          <w:rFonts w:ascii="Arial Unicode MS" w:hAnsi="Arial Unicode MS" w:hint="eastAsia"/>
          <w:bCs/>
          <w:szCs w:val="21"/>
        </w:rPr>
        <w:t>/</w:t>
      </w:r>
      <w:r>
        <w:rPr>
          <w:rFonts w:ascii="Arial Unicode MS" w:hAnsi="Arial Unicode MS" w:hint="eastAsia"/>
          <w:bCs/>
          <w:szCs w:val="21"/>
        </w:rPr>
        <w:t>登记结算机构扣</w:t>
      </w:r>
      <w:proofErr w:type="gramStart"/>
      <w:r>
        <w:rPr>
          <w:rFonts w:ascii="Arial Unicode MS" w:hAnsi="Arial Unicode MS" w:hint="eastAsia"/>
          <w:bCs/>
          <w:szCs w:val="21"/>
        </w:rPr>
        <w:t>收交易</w:t>
      </w:r>
      <w:proofErr w:type="gramEnd"/>
      <w:r>
        <w:rPr>
          <w:rFonts w:ascii="Arial Unicode MS" w:hAnsi="Arial Unicode MS" w:hint="eastAsia"/>
          <w:bCs/>
          <w:szCs w:val="21"/>
        </w:rPr>
        <w:t>费、结算费和账户维护费等费用）。</w:t>
      </w:r>
    </w:p>
    <w:p w14:paraId="4DB2DF4F"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622DC705"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7.</w:t>
      </w:r>
      <w:r>
        <w:rPr>
          <w:rFonts w:ascii="Arial Unicode MS" w:hAnsi="Arial Unicode MS" w:hint="eastAsia"/>
          <w:bCs/>
          <w:szCs w:val="21"/>
        </w:rPr>
        <w:t>除依据法律法规和《基金合同》的规定外，基金托管人不得委托第三人托管基金财产。</w:t>
      </w:r>
    </w:p>
    <w:p w14:paraId="1138E52F"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（二）基金银行账户的开立和管理</w:t>
      </w:r>
    </w:p>
    <w:p w14:paraId="4EBCF1CC"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基金托管人可以基金的名义在其营业机构开立基金的银行账户，并根据基金管理人合法合</w:t>
      </w:r>
      <w:proofErr w:type="gramStart"/>
      <w:r>
        <w:rPr>
          <w:rFonts w:ascii="Arial Unicode MS" w:hAnsi="Arial Unicode MS" w:hint="eastAsia"/>
          <w:bCs/>
          <w:szCs w:val="21"/>
        </w:rPr>
        <w:t>规</w:t>
      </w:r>
      <w:proofErr w:type="gramEnd"/>
      <w:r>
        <w:rPr>
          <w:rFonts w:ascii="Arial Unicode MS" w:hAnsi="Arial Unicode MS" w:hint="eastAsia"/>
          <w:bCs/>
          <w:szCs w:val="21"/>
        </w:rPr>
        <w:t>的指令办理资金收付。本基金的银行预留印鉴由基金托管人保管和使用。</w:t>
      </w:r>
    </w:p>
    <w:p w14:paraId="41950204"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基金银行账户的开立和使用，限于满足开展本基金业务的需要。基金托管人和基金管理人不得假借本基金的名义开立任何其他银行账户；亦不得使用基金的任何账户进行本基金业务以外的活动。</w:t>
      </w:r>
    </w:p>
    <w:p w14:paraId="0C7B244E"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基金银行账户的开立和管理应符合银行业监督管理机构的有关规定。</w:t>
      </w:r>
    </w:p>
    <w:p w14:paraId="6B2C776F"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4.</w:t>
      </w:r>
      <w:r>
        <w:rPr>
          <w:rFonts w:ascii="Arial Unicode MS" w:hAnsi="Arial Unicode MS" w:hint="eastAsia"/>
          <w:bCs/>
          <w:szCs w:val="21"/>
        </w:rPr>
        <w:t>在符合法律法规规定的条件下，基金托管人可以通过基金托管人专用账户办理基金资产的支付。</w:t>
      </w:r>
    </w:p>
    <w:p w14:paraId="23EED8E2"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管理人应于托管产品清盘后及时完成收益兑付、费用结清及其他应收应付款项资金划转，在确保后续不再发生款项进出后的</w:t>
      </w:r>
      <w:r>
        <w:rPr>
          <w:rFonts w:ascii="Arial Unicode MS" w:hAnsi="Arial Unicode MS" w:hint="eastAsia"/>
          <w:bCs/>
          <w:szCs w:val="21"/>
        </w:rPr>
        <w:t>10</w:t>
      </w:r>
      <w:r>
        <w:rPr>
          <w:rFonts w:ascii="Arial Unicode MS" w:hAnsi="Arial Unicode MS" w:hint="eastAsia"/>
          <w:bCs/>
          <w:szCs w:val="21"/>
        </w:rPr>
        <w:t>个工作日内向托管人发出销户申请。</w:t>
      </w:r>
    </w:p>
    <w:p w14:paraId="1D031DCF" w14:textId="77777777" w:rsidR="009A7A59" w:rsidRDefault="009A7A59">
      <w:pPr>
        <w:adjustRightInd w:val="0"/>
        <w:snapToGrid w:val="0"/>
        <w:spacing w:line="360" w:lineRule="auto"/>
        <w:ind w:firstLineChars="200" w:firstLine="420"/>
        <w:rPr>
          <w:rFonts w:ascii="Arial Unicode MS" w:hAnsi="Arial Unicode MS" w:hint="eastAsia"/>
          <w:bCs/>
          <w:szCs w:val="21"/>
        </w:rPr>
      </w:pPr>
    </w:p>
    <w:p w14:paraId="1B9B6186"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（三）基金证券账户和结算备付金账户的开立和管理</w:t>
      </w:r>
    </w:p>
    <w:p w14:paraId="32F9048F"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基金托管人在中国证券登记结算有限责任公司为基金开立基金托管人与基金联名的证券账户。</w:t>
      </w:r>
    </w:p>
    <w:p w14:paraId="1630A23E"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62CCD227"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3.</w:t>
      </w:r>
      <w:r>
        <w:rPr>
          <w:rFonts w:ascii="Arial Unicode MS" w:hAnsi="Arial Unicode MS" w:hint="eastAsia"/>
          <w:bCs/>
          <w:szCs w:val="21"/>
        </w:rPr>
        <w:t>基金证券账户的开立和证券账户卡的保管由基金托管人负责，账户资产的管理和运用由基金管理人负责。</w:t>
      </w:r>
    </w:p>
    <w:p w14:paraId="66A713C2"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证券账户开户费由基金管理人先行垫付</w:t>
      </w:r>
      <w:r>
        <w:rPr>
          <w:rFonts w:ascii="Arial Unicode MS" w:hAnsi="Arial Unicode MS" w:hint="eastAsia"/>
          <w:bCs/>
          <w:szCs w:val="21"/>
        </w:rPr>
        <w:t>,</w:t>
      </w:r>
      <w:r>
        <w:rPr>
          <w:rFonts w:ascii="Arial Unicode MS" w:hAnsi="Arial Unicode MS" w:hint="eastAsia"/>
          <w:bCs/>
          <w:szCs w:val="21"/>
        </w:rPr>
        <w:t>待托管产品启始运营后</w:t>
      </w:r>
      <w:r>
        <w:rPr>
          <w:rFonts w:ascii="Arial Unicode MS" w:hAnsi="Arial Unicode MS" w:hint="eastAsia"/>
          <w:bCs/>
          <w:szCs w:val="21"/>
        </w:rPr>
        <w:t>,</w:t>
      </w:r>
      <w:r>
        <w:rPr>
          <w:rFonts w:ascii="Arial Unicode MS" w:hAnsi="Arial Unicode MS" w:hint="eastAsia"/>
          <w:bCs/>
          <w:szCs w:val="21"/>
        </w:rPr>
        <w:t>基金管理人可向基金托管人发送划款指令</w:t>
      </w:r>
      <w:r>
        <w:rPr>
          <w:rFonts w:ascii="Arial Unicode MS" w:hAnsi="Arial Unicode MS" w:hint="eastAsia"/>
          <w:bCs/>
          <w:szCs w:val="21"/>
        </w:rPr>
        <w:t>,</w:t>
      </w:r>
      <w:r>
        <w:rPr>
          <w:rFonts w:ascii="Arial Unicode MS" w:hAnsi="Arial Unicode MS" w:hint="eastAsia"/>
          <w:bCs/>
          <w:szCs w:val="21"/>
        </w:rPr>
        <w:t>将代垫开户费从本基金托管资金账户中扣还基金管理人。</w:t>
      </w:r>
    </w:p>
    <w:p w14:paraId="32ADE167"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lastRenderedPageBreak/>
        <w:t>4.</w:t>
      </w:r>
      <w:r>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交</w:t>
      </w:r>
      <w:proofErr w:type="gramStart"/>
      <w:r>
        <w:rPr>
          <w:rFonts w:ascii="Arial Unicode MS" w:hAnsi="Arial Unicode MS" w:hint="eastAsia"/>
          <w:bCs/>
          <w:szCs w:val="21"/>
        </w:rPr>
        <w:t>收资金</w:t>
      </w:r>
      <w:proofErr w:type="gramEnd"/>
      <w:r>
        <w:rPr>
          <w:rFonts w:ascii="Arial Unicode MS" w:hAnsi="Arial Unicode MS" w:hint="eastAsia"/>
          <w:bCs/>
          <w:szCs w:val="21"/>
        </w:rPr>
        <w:t>等的收取按照中国证券登记结算有限责任公司的规定以及基金管理人与基金托管人签署的《托管银行证券资金结算协议》执行。</w:t>
      </w:r>
    </w:p>
    <w:p w14:paraId="53AD03C9"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5.</w:t>
      </w:r>
      <w:r>
        <w:rPr>
          <w:rFonts w:ascii="Arial Unicode MS" w:hAnsi="Arial Unicode MS" w:hint="eastAsia"/>
          <w:bCs/>
          <w:szCs w:val="21"/>
        </w:rPr>
        <w:t>账户注销时，由基金管理人依据中国证券登记结算公司相关规定，委托有交易关系的证券公司负责办理。销户完成后，基金管理人需将相关证明提供至基金托管人。账户注销期间如</w:t>
      </w:r>
      <w:proofErr w:type="gramStart"/>
      <w:r>
        <w:rPr>
          <w:rFonts w:ascii="Arial Unicode MS" w:hAnsi="Arial Unicode MS" w:hint="eastAsia"/>
          <w:bCs/>
          <w:szCs w:val="21"/>
        </w:rPr>
        <w:t>需基金</w:t>
      </w:r>
      <w:proofErr w:type="gramEnd"/>
      <w:r>
        <w:rPr>
          <w:rFonts w:ascii="Arial Unicode MS" w:hAnsi="Arial Unicode MS" w:hint="eastAsia"/>
          <w:bCs/>
          <w:szCs w:val="21"/>
        </w:rPr>
        <w:t>托管人提供配合的，基金托管人应予以配合。</w:t>
      </w:r>
    </w:p>
    <w:p w14:paraId="2F7707EB"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6.</w:t>
      </w:r>
      <w:r>
        <w:rPr>
          <w:rFonts w:ascii="Arial Unicode MS" w:hAnsi="Arial Unicode MS" w:hint="eastAsia"/>
          <w:bCs/>
          <w:szCs w:val="21"/>
        </w:rPr>
        <w:t>若中国证监会或其他监管机构在本托管协议订立日之后允许基金从事其他投资品种的投资业务，涉及相关账户的开立、使用的，若无相关规定，</w:t>
      </w:r>
      <w:proofErr w:type="gramStart"/>
      <w:r>
        <w:rPr>
          <w:rFonts w:ascii="Arial Unicode MS" w:hAnsi="Arial Unicode MS" w:hint="eastAsia"/>
          <w:bCs/>
          <w:szCs w:val="21"/>
        </w:rPr>
        <w:t>则基金</w:t>
      </w:r>
      <w:proofErr w:type="gramEnd"/>
      <w:r>
        <w:rPr>
          <w:rFonts w:ascii="Arial Unicode MS" w:hAnsi="Arial Unicode MS" w:hint="eastAsia"/>
          <w:bCs/>
          <w:szCs w:val="21"/>
        </w:rPr>
        <w:t>托管人比照上述关于账户开立、使用的规定执行。</w:t>
      </w:r>
    </w:p>
    <w:p w14:paraId="04778A4E"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（四）债券托管专户的开设和管理</w:t>
      </w:r>
    </w:p>
    <w:p w14:paraId="79019432"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基金合同》生效后，基金管理人负责以基金的名义申请并取得进入全国银行间同业拆借市场的交易资格，并代表基金进行交易；基金托管人根据中国人民银行、银行间市场登记结算机构的有关规定，在银行间市场登记结算机构开立债券托管账户，持有人账户和资金结算账户，并代表基金进行银行间市场债券的结算。基金管理人和基金托管人共同代表基金签订全国银行间债券市场债券回购主协议。</w:t>
      </w:r>
    </w:p>
    <w:p w14:paraId="4C9F3567"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（五）其他账户的开立和管理</w:t>
      </w:r>
    </w:p>
    <w:p w14:paraId="12D09859"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1.</w:t>
      </w:r>
      <w:r>
        <w:rPr>
          <w:rFonts w:ascii="Arial Unicode MS" w:hAnsi="Arial Unicode MS" w:hint="eastAsia"/>
          <w:bCs/>
          <w:szCs w:val="21"/>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67713F55"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2.</w:t>
      </w:r>
      <w:r>
        <w:rPr>
          <w:rFonts w:ascii="Arial Unicode MS" w:hAnsi="Arial Unicode MS" w:hint="eastAsia"/>
          <w:bCs/>
          <w:szCs w:val="21"/>
        </w:rPr>
        <w:t>法律法规等有关规定对相关账户的开立和管理另有规定的，从其规定办理。</w:t>
      </w:r>
    </w:p>
    <w:p w14:paraId="7E979823"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（六）基金财产投资的有关有价凭证等的保管</w:t>
      </w:r>
    </w:p>
    <w:p w14:paraId="18B46503"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Pr>
          <w:rFonts w:ascii="Arial Unicode MS" w:hAnsi="Arial Unicode MS" w:hint="eastAsia"/>
          <w:bCs/>
          <w:szCs w:val="21"/>
        </w:rPr>
        <w:t>/</w:t>
      </w:r>
      <w:r>
        <w:rPr>
          <w:rFonts w:ascii="Arial Unicode MS" w:hAnsi="Arial Unicode MS" w:hint="eastAsia"/>
          <w:bCs/>
          <w:szCs w:val="21"/>
        </w:rPr>
        <w:t>深圳分公司</w:t>
      </w:r>
      <w:r>
        <w:rPr>
          <w:rFonts w:ascii="Arial Unicode MS" w:hAnsi="Arial Unicode MS" w:hint="eastAsia"/>
          <w:bCs/>
          <w:szCs w:val="21"/>
        </w:rPr>
        <w:t>/</w:t>
      </w:r>
      <w:r>
        <w:rPr>
          <w:rFonts w:ascii="Arial Unicode MS" w:hAnsi="Arial Unicode MS" w:hint="eastAsia"/>
          <w:bCs/>
          <w:szCs w:val="21"/>
        </w:rPr>
        <w:t>北京分公司、银行间市场清算所股份有限公司或票据营业中心的代保管库，保管凭证由基金托管人持有。实物证券、银行定期存款证实书等有价凭证的购买和转让，按基金管理人和基金托管人双方约定办理。基金托管人对由基金托管人以外机构实际有效控制或保管的资产不承担任何责任。</w:t>
      </w:r>
    </w:p>
    <w:p w14:paraId="5B93E5F3"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（七）与基金财产有关的重大合同的保管</w:t>
      </w:r>
    </w:p>
    <w:p w14:paraId="53E98E84" w14:textId="77777777" w:rsidR="009A7A59" w:rsidRDefault="00000000">
      <w:pPr>
        <w:adjustRightInd w:val="0"/>
        <w:snapToGrid w:val="0"/>
        <w:spacing w:line="360" w:lineRule="auto"/>
        <w:ind w:firstLineChars="200" w:firstLine="420"/>
        <w:rPr>
          <w:rFonts w:ascii="Arial Unicode MS" w:hAnsi="Arial Unicode MS" w:hint="eastAsia"/>
          <w:bCs/>
          <w:szCs w:val="21"/>
        </w:rPr>
      </w:pPr>
      <w:r>
        <w:rPr>
          <w:rFonts w:ascii="Arial Unicode MS" w:hAnsi="Arial Unicode MS" w:hint="eastAsia"/>
          <w:bCs/>
          <w:szCs w:val="21"/>
        </w:rPr>
        <w:t>与基金财产有关的重大合同的签署，由基金管理人负责。由基金管理人代表基金签署的、</w:t>
      </w:r>
      <w:r>
        <w:rPr>
          <w:rFonts w:ascii="Arial Unicode MS" w:hAnsi="Arial Unicode MS" w:hint="eastAsia"/>
          <w:bCs/>
          <w:szCs w:val="21"/>
        </w:rPr>
        <w:lastRenderedPageBreak/>
        <w:t>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不低于法律法规规定的最低期限。</w:t>
      </w:r>
    </w:p>
    <w:bookmarkEnd w:id="143"/>
    <w:bookmarkEnd w:id="144"/>
    <w:p w14:paraId="420D45BB" w14:textId="77777777" w:rsidR="009A7A59" w:rsidRDefault="00000000">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45" w:name="_Toc77663017"/>
    </w:p>
    <w:bookmarkEnd w:id="145"/>
    <w:p w14:paraId="1238E05E"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（一）基金资产净值的计算、复核与完成的时间及程序</w:t>
      </w:r>
    </w:p>
    <w:p w14:paraId="2B0429ED"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基金资产净值是指基金资产总值减去基金负债后的金额。各类基金份额的基金份额净值是按照每个交易日闭市后，各类基金资产净值除以当日该类基金份额的余额数量计算，均精确到</w:t>
      </w:r>
      <w:r>
        <w:rPr>
          <w:rFonts w:ascii="Arial Unicode MS" w:hAnsi="Arial Unicode MS" w:cs="Arial" w:hint="eastAsia"/>
          <w:szCs w:val="21"/>
        </w:rPr>
        <w:t>0.0001</w:t>
      </w:r>
      <w:r>
        <w:rPr>
          <w:rFonts w:ascii="Arial Unicode MS" w:hAnsi="Arial Unicode MS" w:cs="Arial" w:hint="eastAsia"/>
          <w:szCs w:val="21"/>
        </w:rPr>
        <w:t>元，小数点后第五位四舍五入。基金管理人可以设立大额赎回情形下的净值精度应急调整机制。国家另有规定的，从其规定。</w:t>
      </w:r>
    </w:p>
    <w:p w14:paraId="59C93047"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每个交易日计算基金资产净值及各类基金份额的基金份额净值，并按规定公告。</w:t>
      </w:r>
    </w:p>
    <w:p w14:paraId="164E0310"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管理人应每交易日对基金资产估值。但基金管理人根据法律法规或《基金合同》的规定暂停估值时除外。基金管理人每个交易日对基金资产估值后，将各类基金份额净值结果发送基金托管人，经基金托管人复核无误后，由基金管理人对外公布。</w:t>
      </w:r>
    </w:p>
    <w:p w14:paraId="49D84C89"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（二）基金资产估值方法和特殊情形的处理</w:t>
      </w:r>
    </w:p>
    <w:p w14:paraId="09FD07CD"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估值对象</w:t>
      </w:r>
    </w:p>
    <w:p w14:paraId="4B2109C1"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基金所拥有的债券和银行存款本息、应收款项及其它投资等资产及负债。</w:t>
      </w:r>
    </w:p>
    <w:p w14:paraId="4D80197D"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估值方法</w:t>
      </w:r>
    </w:p>
    <w:p w14:paraId="465EAB39"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）证券交易所上市的有价证券的估值</w:t>
      </w:r>
    </w:p>
    <w:p w14:paraId="46B9793F"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）交易所上市交易或挂牌转让的不含</w:t>
      </w:r>
      <w:proofErr w:type="gramStart"/>
      <w:r>
        <w:rPr>
          <w:rFonts w:ascii="Arial Unicode MS" w:hAnsi="Arial Unicode MS" w:cs="Arial" w:hint="eastAsia"/>
          <w:szCs w:val="21"/>
        </w:rPr>
        <w:t>权固定</w:t>
      </w:r>
      <w:proofErr w:type="gramEnd"/>
      <w:r>
        <w:rPr>
          <w:rFonts w:ascii="Arial Unicode MS" w:hAnsi="Arial Unicode MS" w:cs="Arial" w:hint="eastAsia"/>
          <w:szCs w:val="21"/>
        </w:rPr>
        <w:t>收益品种，选取估值日第三方估值基准服务机构提供的相应品种当日的估值全价进行估值；</w:t>
      </w:r>
    </w:p>
    <w:p w14:paraId="546D3D67"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）交易所上市交易或挂牌转让的含</w:t>
      </w:r>
      <w:proofErr w:type="gramStart"/>
      <w:r>
        <w:rPr>
          <w:rFonts w:ascii="Arial Unicode MS" w:hAnsi="Arial Unicode MS" w:cs="Arial" w:hint="eastAsia"/>
          <w:szCs w:val="21"/>
        </w:rPr>
        <w:t>权固定</w:t>
      </w:r>
      <w:proofErr w:type="gramEnd"/>
      <w:r>
        <w:rPr>
          <w:rFonts w:ascii="Arial Unicode MS" w:hAnsi="Arial Unicode MS" w:cs="Arial" w:hint="eastAsia"/>
          <w:szCs w:val="21"/>
        </w:rPr>
        <w:t>收益品种，选取估值日第三方估值基准服务机构提供的相应品种当日的唯一估值全价或推荐估值全价进行估值；</w:t>
      </w:r>
    </w:p>
    <w:p w14:paraId="7DD9783F"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含投资者回售权的固定收益品种，行使回售权的，在回售登记日至实际收款日期间选取第三方估值基准服务机构提供的相应品种的唯一估值全价或推荐估值全价，同时应充分考虑发行人的信用风险变化对公允价值的影响。回售登记期截止日（含当日）后未行使回售权的按照长待偿期所对应的价格进行估值；</w:t>
      </w:r>
    </w:p>
    <w:p w14:paraId="1AE7154E"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）交易所市场上市交易的公开发行的可转换债券等有活跃市场的含转股权的债券，实行全价交易的债券选取估值日收盘价作为估值全价；实行净价交易的债券选取估值日收盘价</w:t>
      </w:r>
      <w:r>
        <w:rPr>
          <w:rFonts w:ascii="Arial Unicode MS" w:hAnsi="Arial Unicode MS" w:cs="Arial" w:hint="eastAsia"/>
          <w:szCs w:val="21"/>
        </w:rPr>
        <w:lastRenderedPageBreak/>
        <w:t>并加计每百元税前应计利息作为估值全价；</w:t>
      </w:r>
    </w:p>
    <w:p w14:paraId="2E291419"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）交易所上市不存在活跃市场的有价证券，采用估值技术确定公允价值。</w:t>
      </w:r>
    </w:p>
    <w:p w14:paraId="78F4D6D9"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）首次公开发行未上市的债券，采用估值技术确定公允价值。</w:t>
      </w:r>
    </w:p>
    <w:p w14:paraId="2CB7F80A"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对全国银行间市场上不含权的固定收益品种，按照第三方估值基准服务机构提供的相应品种当日的估值全价估值。对银行间市场上含权的固定收益品种，按照第三方估值基准服务机构提供的相应品种当日的唯一估值全价或推荐估值全价估值。对于含投资人回售权的固定收益品种，回售登记期截止日（含当日）后未行使回售权的按照长待偿期所对应的价格进行估值。对银行间市场未上市，且第三方估值基准服务机构未提供估值价格的债券，采用估值技术确定公允价值。</w:t>
      </w:r>
    </w:p>
    <w:p w14:paraId="28B36A81"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）同一债券同时在两个或两个以上市场交易的，按债券所处的市场分别估值。</w:t>
      </w:r>
    </w:p>
    <w:p w14:paraId="0609ACA9"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）当发生大额申购或赎回情形时，基金管理人可以采用摆动定价机制，以确保基金估值的公平性。</w:t>
      </w:r>
    </w:p>
    <w:p w14:paraId="3C31820C"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5256D81B"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）相关法律法规以及监管部门有强制规定的，从其规定。如有新增事项，按国家最新规定估值。</w:t>
      </w:r>
    </w:p>
    <w:p w14:paraId="68AD642A"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EE88FB9"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基金管理人向基金托管人出具加盖公章的书面说明后，按照基金管理人对基金资产净值的计算结果对外予以公布。</w:t>
      </w:r>
    </w:p>
    <w:p w14:paraId="1ADE9EB3"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特殊情形的处理</w:t>
      </w:r>
    </w:p>
    <w:p w14:paraId="697B017B"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基金管理人、基金托管人按估值方法的第</w:t>
      </w:r>
      <w:r>
        <w:rPr>
          <w:rFonts w:ascii="Arial Unicode MS" w:hAnsi="Arial Unicode MS" w:cs="Arial" w:hint="eastAsia"/>
          <w:szCs w:val="21"/>
        </w:rPr>
        <w:t>(6)</w:t>
      </w:r>
      <w:r>
        <w:rPr>
          <w:rFonts w:ascii="Arial Unicode MS" w:hAnsi="Arial Unicode MS" w:cs="Arial" w:hint="eastAsia"/>
          <w:szCs w:val="21"/>
        </w:rPr>
        <w:t>项进行估值时，所造成的误差不作为基金份额净值错误处理。</w:t>
      </w:r>
    </w:p>
    <w:p w14:paraId="2EF4BE53"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（三）基金份额净值错误的处理方式</w:t>
      </w:r>
    </w:p>
    <w:p w14:paraId="7E364C8B"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当任一类基金份额净值小数点后</w:t>
      </w:r>
      <w:r>
        <w:rPr>
          <w:rFonts w:ascii="Arial Unicode MS" w:hAnsi="Arial Unicode MS" w:cs="Arial" w:hint="eastAsia"/>
          <w:szCs w:val="21"/>
        </w:rPr>
        <w:t>4</w:t>
      </w:r>
      <w:r>
        <w:rPr>
          <w:rFonts w:ascii="Arial Unicode MS" w:hAnsi="Arial Unicode MS" w:cs="Arial" w:hint="eastAsia"/>
          <w:szCs w:val="21"/>
        </w:rPr>
        <w:t>位以内</w:t>
      </w:r>
      <w:r>
        <w:rPr>
          <w:rFonts w:ascii="Arial Unicode MS" w:hAnsi="Arial Unicode MS" w:cs="Arial" w:hint="eastAsia"/>
          <w:szCs w:val="21"/>
        </w:rPr>
        <w:t>(</w:t>
      </w:r>
      <w:r>
        <w:rPr>
          <w:rFonts w:ascii="Arial Unicode MS" w:hAnsi="Arial Unicode MS" w:cs="Arial" w:hint="eastAsia"/>
          <w:szCs w:val="21"/>
        </w:rPr>
        <w:t>含第</w:t>
      </w:r>
      <w:r>
        <w:rPr>
          <w:rFonts w:ascii="Arial Unicode MS" w:hAnsi="Arial Unicode MS" w:cs="Arial" w:hint="eastAsia"/>
          <w:szCs w:val="21"/>
        </w:rPr>
        <w:t>4</w:t>
      </w:r>
      <w:r>
        <w:rPr>
          <w:rFonts w:ascii="Arial Unicode MS" w:hAnsi="Arial Unicode MS" w:cs="Arial" w:hint="eastAsia"/>
          <w:szCs w:val="21"/>
        </w:rPr>
        <w:t>位</w:t>
      </w:r>
      <w:r>
        <w:rPr>
          <w:rFonts w:ascii="Arial Unicode MS" w:hAnsi="Arial Unicode MS" w:cs="Arial" w:hint="eastAsia"/>
          <w:szCs w:val="21"/>
        </w:rPr>
        <w:t>)</w:t>
      </w:r>
      <w:r>
        <w:rPr>
          <w:rFonts w:ascii="Arial Unicode MS" w:hAnsi="Arial Unicode MS" w:cs="Arial" w:hint="eastAsia"/>
          <w:szCs w:val="21"/>
        </w:rPr>
        <w:t>发生差错时，视为该类基金份额净值错误；基金份额净值出现错误时，基金管理人应当立即予以纠正，通报基金托管人，并采取合理的措施防止损失进一步扩大；错误偏差达到该类基金份额净值的</w:t>
      </w:r>
      <w:r>
        <w:rPr>
          <w:rFonts w:ascii="Arial Unicode MS" w:hAnsi="Arial Unicode MS" w:cs="Arial" w:hint="eastAsia"/>
          <w:szCs w:val="21"/>
        </w:rPr>
        <w:t>0.25%</w:t>
      </w:r>
      <w:r>
        <w:rPr>
          <w:rFonts w:ascii="Arial Unicode MS" w:hAnsi="Arial Unicode MS" w:cs="Arial" w:hint="eastAsia"/>
          <w:szCs w:val="21"/>
        </w:rPr>
        <w:t>时，基金</w:t>
      </w:r>
      <w:r>
        <w:rPr>
          <w:rFonts w:ascii="Arial Unicode MS" w:hAnsi="Arial Unicode MS" w:cs="Arial" w:hint="eastAsia"/>
          <w:szCs w:val="21"/>
        </w:rPr>
        <w:lastRenderedPageBreak/>
        <w:t>管理人应当通报基金托管人并报中国证监会备案；错误偏差达到该类基金份额净值的</w:t>
      </w:r>
      <w:r>
        <w:rPr>
          <w:rFonts w:ascii="Arial Unicode MS" w:hAnsi="Arial Unicode MS" w:cs="Arial" w:hint="eastAsia"/>
          <w:szCs w:val="21"/>
        </w:rPr>
        <w:t>0.5%</w:t>
      </w:r>
      <w:r>
        <w:rPr>
          <w:rFonts w:ascii="Arial Unicode MS" w:hAnsi="Arial Unicode MS" w:cs="Arial" w:hint="eastAsia"/>
          <w:szCs w:val="21"/>
        </w:rPr>
        <w:t>时，基金管理人应当公告；当发生净值计算错误时，由基金管理人负责处理，由此给基金份额持有人和基金造成损失的，应由基金管理人先行赔付，基金管理人按差错情形，有权向其他当事人追偿。</w:t>
      </w:r>
    </w:p>
    <w:p w14:paraId="04235AE6"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B62DA55"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7A5ED23B"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proofErr w:type="gramStart"/>
      <w:r>
        <w:rPr>
          <w:rFonts w:ascii="Arial Unicode MS" w:hAnsi="Arial Unicode MS" w:cs="Arial" w:hint="eastAsia"/>
          <w:szCs w:val="21"/>
        </w:rPr>
        <w:t>若基金</w:t>
      </w:r>
      <w:proofErr w:type="gramEnd"/>
      <w:r>
        <w:rPr>
          <w:rFonts w:ascii="Arial Unicode MS" w:hAnsi="Arial Unicode MS" w:cs="Arial" w:hint="eastAsia"/>
          <w:szCs w:val="21"/>
        </w:rPr>
        <w:t>管理人计算的各类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管理费和托管费比例各自承担相应的责任。</w:t>
      </w:r>
    </w:p>
    <w:p w14:paraId="22B41C18"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如基金管理人和基金托管人对各类基金份额净值的计算结果，虽然多次重新计算和核对，尚不能达成一致时，为避免不能按时公布各类基金份额净值的情形，以基金管理人的计算结果对外公布，由此给基金份额持有人和基金造成的损失，由基金管理人负责赔付。</w:t>
      </w:r>
    </w:p>
    <w:p w14:paraId="72A68587"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795D90D0"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由于证券交易所及登记结算公司发送的数据错误，有关会计制度变化或由于其他不可抗力原因，基金管理人和基金托管人虽然已经采取必要、适当、合理的措施进行检查，但是未能发现该错误而造成的基金份额净值计算错误，基金管理人、基金托管人免除赔偿责任。但基金管理人、基金托管人应积极采取必要的措施减轻或消除由此造成的影响。</w:t>
      </w:r>
    </w:p>
    <w:p w14:paraId="158976AC"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基金管理人和基金托管人由于各自技术系统设置而产生的净值计算尾差，以基金管理人计算结果为准。</w:t>
      </w:r>
    </w:p>
    <w:p w14:paraId="559A68BE"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1FB12D13"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（四）暂停估值与公告基金份额净值的情形</w:t>
      </w:r>
    </w:p>
    <w:p w14:paraId="6B1AE287"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基金投资所涉及的证券交易市场遇法定节假日或因其他原因暂停营业时；</w:t>
      </w:r>
    </w:p>
    <w:p w14:paraId="017150D4"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因不可抗力致使基金管理人、基金托管人无法准确评估基金资产价值时；</w:t>
      </w:r>
    </w:p>
    <w:p w14:paraId="73368B30"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3</w:t>
      </w:r>
      <w:r>
        <w:rPr>
          <w:rFonts w:ascii="Arial Unicode MS" w:hAnsi="Arial Unicode MS" w:cs="Arial" w:hint="eastAsia"/>
          <w:szCs w:val="21"/>
        </w:rPr>
        <w:t xml:space="preserve">. </w:t>
      </w:r>
      <w:r>
        <w:rPr>
          <w:rFonts w:ascii="Arial Unicode MS" w:hAnsi="Arial Unicode MS" w:cs="Arial" w:hint="eastAsia"/>
          <w:szCs w:val="21"/>
        </w:rPr>
        <w:t>当特定资产占前一估值日基金资产净值</w:t>
      </w:r>
      <w:r>
        <w:rPr>
          <w:rFonts w:ascii="Arial Unicode MS" w:hAnsi="Arial Unicode MS" w:cs="Arial" w:hint="eastAsia"/>
          <w:szCs w:val="21"/>
        </w:rPr>
        <w:t>50%</w:t>
      </w:r>
      <w:r>
        <w:rPr>
          <w:rFonts w:ascii="Arial Unicode MS" w:hAnsi="Arial Unicode MS" w:cs="Arial" w:hint="eastAsia"/>
          <w:szCs w:val="21"/>
        </w:rPr>
        <w:t>以上的，经与基金托管人协商确认后，</w:t>
      </w:r>
      <w:r>
        <w:rPr>
          <w:rFonts w:ascii="Arial Unicode MS" w:hAnsi="Arial Unicode MS" w:cs="Arial" w:hint="eastAsia"/>
          <w:szCs w:val="21"/>
        </w:rPr>
        <w:lastRenderedPageBreak/>
        <w:t>基金管理人应当暂停接受基金申购申请；</w:t>
      </w:r>
    </w:p>
    <w:p w14:paraId="0E8696CB"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中国证监会和《基金合同》认定的其他情形。</w:t>
      </w:r>
    </w:p>
    <w:p w14:paraId="5C53AD68"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（五）实施</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期间的基金资产估值</w:t>
      </w:r>
    </w:p>
    <w:p w14:paraId="11304973"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本基金实施</w:t>
      </w:r>
      <w:proofErr w:type="gramStart"/>
      <w:r>
        <w:rPr>
          <w:rFonts w:ascii="Arial Unicode MS" w:hAnsi="Arial Unicode MS" w:cs="Arial" w:hint="eastAsia"/>
          <w:szCs w:val="21"/>
        </w:rPr>
        <w:t>侧袋机制</w:t>
      </w:r>
      <w:proofErr w:type="gramEnd"/>
      <w:r>
        <w:rPr>
          <w:rFonts w:ascii="Arial Unicode MS" w:hAnsi="Arial Unicode MS" w:cs="Arial" w:hint="eastAsia"/>
          <w:szCs w:val="21"/>
        </w:rPr>
        <w:t>的，应根据本部分的约定</w:t>
      </w:r>
      <w:proofErr w:type="gramStart"/>
      <w:r>
        <w:rPr>
          <w:rFonts w:ascii="Arial Unicode MS" w:hAnsi="Arial Unicode MS" w:cs="Arial" w:hint="eastAsia"/>
          <w:szCs w:val="21"/>
        </w:rPr>
        <w:t>对主袋账户</w:t>
      </w:r>
      <w:proofErr w:type="gramEnd"/>
      <w:r>
        <w:rPr>
          <w:rFonts w:ascii="Arial Unicode MS" w:hAnsi="Arial Unicode MS" w:cs="Arial" w:hint="eastAsia"/>
          <w:szCs w:val="21"/>
        </w:rPr>
        <w:t>资产进行估值并</w:t>
      </w:r>
      <w:proofErr w:type="gramStart"/>
      <w:r>
        <w:rPr>
          <w:rFonts w:ascii="Arial Unicode MS" w:hAnsi="Arial Unicode MS" w:cs="Arial" w:hint="eastAsia"/>
          <w:szCs w:val="21"/>
        </w:rPr>
        <w:t>披露主袋账户</w:t>
      </w:r>
      <w:proofErr w:type="gramEnd"/>
      <w:r>
        <w:rPr>
          <w:rFonts w:ascii="Arial Unicode MS" w:hAnsi="Arial Unicode MS" w:cs="Arial" w:hint="eastAsia"/>
          <w:szCs w:val="21"/>
        </w:rPr>
        <w:t>的基金净值信息，暂停</w:t>
      </w:r>
      <w:proofErr w:type="gramStart"/>
      <w:r>
        <w:rPr>
          <w:rFonts w:ascii="Arial Unicode MS" w:hAnsi="Arial Unicode MS" w:cs="Arial" w:hint="eastAsia"/>
          <w:szCs w:val="21"/>
        </w:rPr>
        <w:t>披露侧袋账户</w:t>
      </w:r>
      <w:proofErr w:type="gramEnd"/>
      <w:r>
        <w:rPr>
          <w:rFonts w:ascii="Arial Unicode MS" w:hAnsi="Arial Unicode MS" w:cs="Arial" w:hint="eastAsia"/>
          <w:szCs w:val="21"/>
        </w:rPr>
        <w:t>份额净值。</w:t>
      </w:r>
    </w:p>
    <w:p w14:paraId="047E6C04"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（五）基金会计制度</w:t>
      </w:r>
    </w:p>
    <w:p w14:paraId="01028184"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按国家有关部门规定的会计制度执行。</w:t>
      </w:r>
    </w:p>
    <w:p w14:paraId="582F50EF"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（六）基金账册的建立</w:t>
      </w:r>
    </w:p>
    <w:p w14:paraId="2A40D291"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基金管理人进行基金会计核算并编制基金财务会计报告。基金管理人独立地设置、记录和保管本基金的全套账册。</w:t>
      </w:r>
      <w:proofErr w:type="gramStart"/>
      <w:r>
        <w:rPr>
          <w:rFonts w:ascii="Arial Unicode MS" w:hAnsi="Arial Unicode MS" w:cs="Arial" w:hint="eastAsia"/>
          <w:szCs w:val="21"/>
        </w:rPr>
        <w:t>若基金</w:t>
      </w:r>
      <w:proofErr w:type="gramEnd"/>
      <w:r>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13DADFA4"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（七）基金财务报表与报告的编制和复核</w:t>
      </w:r>
    </w:p>
    <w:p w14:paraId="4EC25DAF"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财务报表的编制</w:t>
      </w:r>
    </w:p>
    <w:p w14:paraId="1190EAE1"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基金财务报表由基金管理人编制，基金托管人复核。</w:t>
      </w:r>
    </w:p>
    <w:p w14:paraId="7F8F6737"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报表复核</w:t>
      </w:r>
    </w:p>
    <w:p w14:paraId="3B77B300"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7A1AD0F3"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财务报表的编制与复核时间安排</w:t>
      </w:r>
    </w:p>
    <w:p w14:paraId="71CF0531"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报表的编制</w:t>
      </w:r>
    </w:p>
    <w:p w14:paraId="2E072003"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基金管理人应当在每月结束后</w:t>
      </w:r>
      <w:r>
        <w:rPr>
          <w:rFonts w:ascii="Arial Unicode MS" w:hAnsi="Arial Unicode MS" w:cs="Arial" w:hint="eastAsia"/>
          <w:szCs w:val="21"/>
        </w:rPr>
        <w:t>5</w:t>
      </w:r>
      <w:r>
        <w:rPr>
          <w:rFonts w:ascii="Arial Unicode MS" w:hAnsi="Arial Unicode MS" w:cs="Arial" w:hint="eastAsia"/>
          <w:szCs w:val="21"/>
        </w:rPr>
        <w:t>个工作日内完成月度报表的编制；在每个季度结束之日起</w:t>
      </w:r>
      <w:r>
        <w:rPr>
          <w:rFonts w:ascii="Arial Unicode MS" w:hAnsi="Arial Unicode MS" w:cs="Arial" w:hint="eastAsia"/>
          <w:szCs w:val="21"/>
        </w:rPr>
        <w:t>15</w:t>
      </w:r>
      <w:r>
        <w:rPr>
          <w:rFonts w:ascii="Arial Unicode MS" w:hAnsi="Arial Unicode MS" w:cs="Arial" w:hint="eastAsia"/>
          <w:szCs w:val="21"/>
        </w:rPr>
        <w:t>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6263ECA1"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报表的复核</w:t>
      </w:r>
    </w:p>
    <w:p w14:paraId="2E79B8A7"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EADA22F"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基金管理人应留足充分的时间，便于基金托管人复核相关报表及报告。</w:t>
      </w:r>
    </w:p>
    <w:p w14:paraId="36338B70"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（八）基金管理人应在编制季度报告、中期报告或者年度报告之前及时向基金托管人提</w:t>
      </w:r>
      <w:r>
        <w:rPr>
          <w:rFonts w:ascii="Arial Unicode MS" w:hAnsi="Arial Unicode MS" w:cs="Arial" w:hint="eastAsia"/>
          <w:szCs w:val="21"/>
        </w:rPr>
        <w:lastRenderedPageBreak/>
        <w:t>供基金业绩比较基准的基础数据和编制结果。</w:t>
      </w:r>
    </w:p>
    <w:p w14:paraId="72792186" w14:textId="77777777" w:rsidR="009A7A59" w:rsidRDefault="00000000">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六、基金份额持有人名册的保管</w:t>
      </w:r>
    </w:p>
    <w:p w14:paraId="2C0809B7"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份额持有人名册至少应包括基金份额持有人的名称和持有的基金份额。基金份额持有人名册由基金注册登记机构根据基金管理人的指令编制和保管，基金管理人和基金托管人应分别保管基金份额持有人名册，保存期不低于法律法规规定的最低期限。如不能妥善保管，则按相关法规承担责任。</w:t>
      </w:r>
    </w:p>
    <w:p w14:paraId="4B698B05"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在基金托管人要求或编制半年报和年报前，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B071AFB" w14:textId="77777777" w:rsidR="009A7A59" w:rsidRDefault="00000000">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七、争议解决方式</w:t>
      </w:r>
    </w:p>
    <w:p w14:paraId="4AA2D2B2"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因本协议产生或与之相关的争议，双方当事人应通过协商、调解解决，协商、调解不能解决的，任何一方均有权将争议提交中国国际经济贸易仲裁委员会，仲裁地点为北京市，按照中国国际经济贸易仲裁委员会届时有效的仲裁规则进行仲裁。仲裁裁决是终局的，对当事人均有约束力，仲裁费用由败诉方承担。</w:t>
      </w:r>
    </w:p>
    <w:p w14:paraId="6379C364"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5149AD2B"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本协议受中国法律管辖。</w:t>
      </w:r>
    </w:p>
    <w:p w14:paraId="12851C4C" w14:textId="77777777" w:rsidR="009A7A59" w:rsidRDefault="00000000">
      <w:pPr>
        <w:adjustRightInd w:val="0"/>
        <w:snapToGrid w:val="0"/>
        <w:spacing w:line="360" w:lineRule="auto"/>
        <w:ind w:firstLineChars="200" w:firstLine="422"/>
        <w:outlineLvl w:val="1"/>
        <w:rPr>
          <w:rFonts w:ascii="Arial Unicode MS" w:hAnsi="Arial Unicode MS" w:cs="Arial" w:hint="eastAsia"/>
          <w:b/>
          <w:szCs w:val="21"/>
        </w:rPr>
      </w:pPr>
      <w:r>
        <w:rPr>
          <w:rFonts w:ascii="Arial Unicode MS" w:hAnsi="Arial Unicode MS" w:cs="Arial"/>
          <w:b/>
          <w:szCs w:val="21"/>
        </w:rPr>
        <w:t>八、托管协议的</w:t>
      </w:r>
      <w:r>
        <w:rPr>
          <w:rFonts w:ascii="Arial Unicode MS" w:hAnsi="Arial Unicode MS" w:cs="Arial" w:hint="eastAsia"/>
          <w:b/>
          <w:szCs w:val="21"/>
        </w:rPr>
        <w:t>变更、</w:t>
      </w:r>
      <w:r>
        <w:rPr>
          <w:rFonts w:ascii="Arial Unicode MS" w:hAnsi="Arial Unicode MS" w:cs="Arial"/>
          <w:b/>
          <w:szCs w:val="21"/>
        </w:rPr>
        <w:t>终止</w:t>
      </w:r>
      <w:r>
        <w:rPr>
          <w:rFonts w:ascii="Arial Unicode MS" w:hAnsi="Arial Unicode MS" w:cs="Arial" w:hint="eastAsia"/>
          <w:b/>
          <w:szCs w:val="21"/>
        </w:rPr>
        <w:t>与基金财产的清算</w:t>
      </w:r>
    </w:p>
    <w:p w14:paraId="179B42A3" w14:textId="77777777" w:rsidR="009A7A59" w:rsidRDefault="00000000">
      <w:pPr>
        <w:adjustRightInd w:val="0"/>
        <w:snapToGrid w:val="0"/>
        <w:spacing w:line="360" w:lineRule="auto"/>
        <w:ind w:firstLineChars="200" w:firstLine="420"/>
        <w:rPr>
          <w:rFonts w:ascii="Arial Unicode MS" w:hAnsi="Arial Unicode MS" w:cs="Arial" w:hint="eastAsia"/>
          <w:szCs w:val="21"/>
        </w:rPr>
      </w:pPr>
      <w:bookmarkStart w:id="146" w:name="_Toc510842757"/>
      <w:r>
        <w:rPr>
          <w:rFonts w:ascii="Arial Unicode MS" w:hAnsi="Arial Unicode MS" w:cs="Arial" w:hint="eastAsia"/>
          <w:szCs w:val="21"/>
        </w:rPr>
        <w:t>（一）托管协议的变更程序</w:t>
      </w:r>
    </w:p>
    <w:p w14:paraId="3A583571"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本协议双方当事人经协商一致，可以对协议进行修改。修改后的新协议，其内容不得与《基金合同》的规定有任何冲突。基金托管协议的变更报中国证监会备案后生效。</w:t>
      </w:r>
    </w:p>
    <w:p w14:paraId="6506FBCD"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（二）托管协议终止的情形</w:t>
      </w:r>
    </w:p>
    <w:p w14:paraId="57F6D9D0"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《基金合同》终止；</w:t>
      </w:r>
    </w:p>
    <w:p w14:paraId="340EE172"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基金托管人解散、依法被撤销、破产或由其他基金托管人接管基金资产；</w:t>
      </w:r>
    </w:p>
    <w:p w14:paraId="39EBA6EF"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基金管理人解散、依法被撤销、破产或由其他基金管理人接管基金管理权；</w:t>
      </w:r>
    </w:p>
    <w:p w14:paraId="206FF478"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发生法律法规或《基金合同》规定的终止事项。</w:t>
      </w:r>
    </w:p>
    <w:p w14:paraId="02026AAD"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（三）基金财产的清算</w:t>
      </w:r>
    </w:p>
    <w:p w14:paraId="31C32279"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260E5B92"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0FDBB1D4"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lastRenderedPageBreak/>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A41D7EC"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4B0564A1"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28F263E9"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75EF98F0"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(3)</w:t>
      </w:r>
      <w:r>
        <w:rPr>
          <w:rFonts w:ascii="Arial Unicode MS" w:hAnsi="Arial Unicode MS" w:cs="Arial" w:hint="eastAsia"/>
          <w:szCs w:val="21"/>
        </w:rPr>
        <w:t>对基金财产进行估值和变现；</w:t>
      </w:r>
    </w:p>
    <w:p w14:paraId="03CB3158"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(4)</w:t>
      </w:r>
      <w:r>
        <w:rPr>
          <w:rFonts w:ascii="Arial Unicode MS" w:hAnsi="Arial Unicode MS" w:cs="Arial" w:hint="eastAsia"/>
          <w:szCs w:val="21"/>
        </w:rPr>
        <w:t>制作清算报告；</w:t>
      </w:r>
    </w:p>
    <w:p w14:paraId="25309DB7"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聘请会计师事务所对清算报告进行外部审计，聘请律师事务所对清算报告出具法律意见书；</w:t>
      </w:r>
    </w:p>
    <w:p w14:paraId="551F376B"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299DD7B8"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对基金剩余财产进行分配。</w:t>
      </w:r>
    </w:p>
    <w:p w14:paraId="27696B23"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 xml:space="preserve"> 6 </w:t>
      </w:r>
      <w:proofErr w:type="gramStart"/>
      <w:r>
        <w:rPr>
          <w:rFonts w:ascii="Arial Unicode MS" w:hAnsi="Arial Unicode MS" w:cs="Arial" w:hint="eastAsia"/>
          <w:szCs w:val="21"/>
        </w:rPr>
        <w:t>个</w:t>
      </w:r>
      <w:proofErr w:type="gramEnd"/>
      <w:r>
        <w:rPr>
          <w:rFonts w:ascii="Arial Unicode MS" w:hAnsi="Arial Unicode MS" w:cs="Arial" w:hint="eastAsia"/>
          <w:szCs w:val="21"/>
        </w:rPr>
        <w:t>月，但因本基金所持证券的流动性受到限制而不能及时变现的，清算期限相应顺延。</w:t>
      </w:r>
    </w:p>
    <w:p w14:paraId="123FE786"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6.</w:t>
      </w:r>
      <w:r>
        <w:rPr>
          <w:rFonts w:ascii="Arial Unicode MS" w:hAnsi="Arial Unicode MS" w:cs="Arial" w:hint="eastAsia"/>
          <w:szCs w:val="21"/>
        </w:rPr>
        <w:t>清算费用</w:t>
      </w:r>
    </w:p>
    <w:p w14:paraId="38A1AFEF"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2DE73CC4"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7.</w:t>
      </w:r>
      <w:r>
        <w:rPr>
          <w:rFonts w:ascii="Arial Unicode MS" w:hAnsi="Arial Unicode MS" w:cs="Arial" w:hint="eastAsia"/>
          <w:szCs w:val="21"/>
        </w:rPr>
        <w:t>基金财产清算剩余资产的分配：</w:t>
      </w:r>
    </w:p>
    <w:p w14:paraId="1B12F5FC"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各类基金份额在基金合同终止事由发生时各自基金份额资产净值的比例确定剩余财产在各类基金份额中的分配比例，并在各类基金份额可分配的剩余财产范围内按各份额类别内基金份额持有人持有的基金份额比例进行分配。</w:t>
      </w:r>
    </w:p>
    <w:p w14:paraId="417382AA"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8.</w:t>
      </w:r>
      <w:r>
        <w:rPr>
          <w:rFonts w:ascii="Arial Unicode MS" w:hAnsi="Arial Unicode MS" w:cs="Arial" w:hint="eastAsia"/>
          <w:szCs w:val="21"/>
        </w:rPr>
        <w:t>基金财产清算的公告</w:t>
      </w:r>
    </w:p>
    <w:p w14:paraId="07687D7E"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清算过程中的有关重大事项须及时公告；基金财产清算报告</w:t>
      </w:r>
      <w:proofErr w:type="gramStart"/>
      <w:r>
        <w:rPr>
          <w:rFonts w:ascii="Arial Unicode MS" w:hAnsi="Arial Unicode MS" w:cs="Arial" w:hint="eastAsia"/>
          <w:szCs w:val="21"/>
        </w:rPr>
        <w:t>经符合</w:t>
      </w:r>
      <w:proofErr w:type="gramEnd"/>
      <w:r>
        <w:rPr>
          <w:rFonts w:ascii="Arial Unicode MS" w:hAnsi="Arial Unicode MS" w:cs="Arial" w:hint="eastAsia"/>
          <w:szCs w:val="21"/>
        </w:rPr>
        <w:t>《中华人民共和国证券法》规定的会计师事务所审计、并由律师事务所出具法律意见书后，报中国证监会备案并公告。基金财产清算公告于基金财产清算报告报中国证监会备案后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 xml:space="preserve">  5 </w:t>
      </w:r>
      <w:proofErr w:type="gramStart"/>
      <w:r>
        <w:rPr>
          <w:rFonts w:ascii="Arial Unicode MS" w:hAnsi="Arial Unicode MS" w:cs="Arial" w:hint="eastAsia"/>
          <w:szCs w:val="21"/>
        </w:rPr>
        <w:t>个</w:t>
      </w:r>
      <w:proofErr w:type="gramEnd"/>
      <w:r>
        <w:rPr>
          <w:rFonts w:ascii="Arial Unicode MS" w:hAnsi="Arial Unicode MS" w:cs="Arial" w:hint="eastAsia"/>
          <w:szCs w:val="21"/>
        </w:rPr>
        <w:t>工作日内由基金财产清算小组进行公告，基金财产清算小组应当将清算报告登载在规定网站上，并将清算报告提示性公告登载在规定报刊上。</w:t>
      </w:r>
    </w:p>
    <w:p w14:paraId="4EA2F40F"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9.</w:t>
      </w:r>
      <w:r>
        <w:rPr>
          <w:rFonts w:ascii="Arial Unicode MS" w:hAnsi="Arial Unicode MS" w:cs="Arial" w:hint="eastAsia"/>
          <w:szCs w:val="21"/>
        </w:rPr>
        <w:t>基金财产清算账册及文件的保存</w:t>
      </w:r>
    </w:p>
    <w:p w14:paraId="45DB2BFE" w14:textId="77777777" w:rsidR="009A7A59" w:rsidRDefault="00000000">
      <w:pPr>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基金财产清算账册及有关文件由基金托管人保存不低于法律法规规定的最低期限。</w:t>
      </w:r>
      <w:r>
        <w:rPr>
          <w:rFonts w:ascii="Arial Unicode MS" w:hAnsi="Arial Unicode MS" w:cs="Arial"/>
          <w:szCs w:val="21"/>
        </w:rPr>
        <w:br w:type="page"/>
      </w:r>
    </w:p>
    <w:p w14:paraId="04339747" w14:textId="77777777" w:rsidR="009A7A59" w:rsidRDefault="00000000">
      <w:pPr>
        <w:pStyle w:val="11"/>
        <w:snapToGrid w:val="0"/>
        <w:spacing w:before="0" w:after="0" w:line="360" w:lineRule="auto"/>
        <w:rPr>
          <w:rFonts w:ascii="Arial Unicode MS" w:eastAsia="宋体" w:hAnsi="Arial Unicode MS" w:cs="Arial" w:hint="eastAsia"/>
          <w:b/>
          <w:bCs/>
          <w:sz w:val="28"/>
          <w:szCs w:val="28"/>
        </w:rPr>
      </w:pPr>
      <w:bookmarkStart w:id="147" w:name="_Toc147463123"/>
      <w:bookmarkStart w:id="148" w:name="_Toc12357176"/>
      <w:bookmarkStart w:id="149" w:name="_Toc21073396"/>
      <w:bookmarkStart w:id="150" w:name="_Toc335232708"/>
      <w:bookmarkStart w:id="151" w:name="_Toc317088554"/>
      <w:bookmarkStart w:id="152" w:name="_Toc214873621"/>
      <w:bookmarkStart w:id="153" w:name="_Toc63676456"/>
      <w:bookmarkStart w:id="154" w:name="_Toc320887659"/>
      <w:bookmarkStart w:id="155" w:name="_Toc317088165"/>
      <w:bookmarkEnd w:id="146"/>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47"/>
      <w:bookmarkEnd w:id="148"/>
      <w:bookmarkEnd w:id="149"/>
      <w:r>
        <w:rPr>
          <w:rFonts w:ascii="Arial Unicode MS" w:eastAsia="宋体" w:hAnsi="Arial Unicode MS" w:cs="Arial"/>
          <w:b/>
          <w:bCs/>
          <w:sz w:val="28"/>
          <w:szCs w:val="28"/>
        </w:rPr>
        <w:t>对基金份额持有人的服务</w:t>
      </w:r>
      <w:bookmarkEnd w:id="150"/>
      <w:bookmarkEnd w:id="151"/>
      <w:bookmarkEnd w:id="152"/>
      <w:bookmarkEnd w:id="153"/>
      <w:bookmarkEnd w:id="154"/>
      <w:bookmarkEnd w:id="155"/>
    </w:p>
    <w:p w14:paraId="4A3F36C4" w14:textId="77777777" w:rsidR="009A7A59" w:rsidRDefault="009A7A59"/>
    <w:p w14:paraId="0383ED7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基金管理人承诺为基金份额持有人提供一系列服务，基金管理人根据基金份额持有人的需要和市场的变化，有权增加或变更服务项目。主要服务内容如下：</w:t>
      </w:r>
    </w:p>
    <w:p w14:paraId="7739B92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（一）电话人工咨询服务</w:t>
      </w:r>
    </w:p>
    <w:p w14:paraId="7C8125F2"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投资者可以通过拨打基金管理人客服热线转人工坐席，进行基金业务的相关咨询，人工坐席服务时间为每周一至周五上午</w:t>
      </w:r>
      <w:r>
        <w:rPr>
          <w:rFonts w:ascii="Arial Unicode MS" w:hAnsi="Arial Unicode MS" w:cs="Arial" w:hint="eastAsia"/>
          <w:kern w:val="0"/>
          <w:szCs w:val="21"/>
        </w:rPr>
        <w:t>9:00-11:30</w:t>
      </w:r>
      <w:r>
        <w:rPr>
          <w:rFonts w:ascii="Arial Unicode MS" w:hAnsi="Arial Unicode MS" w:cs="Arial" w:hint="eastAsia"/>
          <w:kern w:val="0"/>
          <w:szCs w:val="21"/>
        </w:rPr>
        <w:t>，下午</w:t>
      </w:r>
      <w:r>
        <w:rPr>
          <w:rFonts w:ascii="Arial Unicode MS" w:hAnsi="Arial Unicode MS" w:cs="Arial" w:hint="eastAsia"/>
          <w:kern w:val="0"/>
          <w:szCs w:val="21"/>
        </w:rPr>
        <w:t>13:00-17:00</w:t>
      </w:r>
      <w:r>
        <w:rPr>
          <w:rFonts w:ascii="Arial Unicode MS" w:hAnsi="Arial Unicode MS" w:cs="Arial" w:hint="eastAsia"/>
          <w:kern w:val="0"/>
          <w:szCs w:val="21"/>
        </w:rPr>
        <w:t>（法定节假日及因此导致的证券交易所休市日除外）。针对非人工服务时间内的电话留言，基金管理人将设有专员进行及时回复。</w:t>
      </w:r>
    </w:p>
    <w:p w14:paraId="01999CD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（二）自助查询服务</w:t>
      </w:r>
    </w:p>
    <w:p w14:paraId="7D22BB8B"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投资者可通过基金管理人呼叫中心自动语音系统、基金管理人网上账户查询系统进行账户余额、交易情况、基金净值等信息查询。</w:t>
      </w:r>
    </w:p>
    <w:p w14:paraId="3881C2BA"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（三）邮件咨询服务</w:t>
      </w:r>
    </w:p>
    <w:p w14:paraId="651828EB"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投资者可通过电子邮件的形式向基金管理人提出疑问，针对投资者的问题，基金管理人将设有专员进行及时回复。</w:t>
      </w:r>
    </w:p>
    <w:p w14:paraId="6AE6A6EB"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（四）免费信息订阅服务</w:t>
      </w:r>
    </w:p>
    <w:p w14:paraId="2D9E86A0"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359F6857"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（五）客户投诉受理服务</w:t>
      </w:r>
    </w:p>
    <w:p w14:paraId="3F729EA2"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投资人可以通过客服热线、书信、电子邮件等渠道，对基金管理人和销售机构所提供的服务进行投诉。基金管理人承诺在</w:t>
      </w:r>
      <w:r>
        <w:rPr>
          <w:rFonts w:ascii="Arial Unicode MS" w:hAnsi="Arial Unicode MS" w:cs="Arial" w:hint="eastAsia"/>
          <w:kern w:val="0"/>
          <w:szCs w:val="21"/>
        </w:rPr>
        <w:t xml:space="preserve"> </w:t>
      </w:r>
      <w:r>
        <w:rPr>
          <w:rFonts w:ascii="Arial Unicode MS" w:hAnsi="Arial Unicode MS" w:cs="Arial"/>
          <w:kern w:val="0"/>
          <w:szCs w:val="21"/>
        </w:rPr>
        <w:t>20</w:t>
      </w:r>
      <w:r>
        <w:rPr>
          <w:rFonts w:ascii="Arial Unicode MS" w:hAnsi="Arial Unicode MS" w:cs="Arial" w:hint="eastAsia"/>
          <w:kern w:val="0"/>
          <w:szCs w:val="21"/>
        </w:rPr>
        <w:t>个工作日之内对基金投资人的投诉做出回复。</w:t>
      </w:r>
    </w:p>
    <w:p w14:paraId="2B3C7C34"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（六）基金管理人联系方式</w:t>
      </w:r>
      <w:r>
        <w:rPr>
          <w:rFonts w:ascii="Arial Unicode MS" w:hAnsi="Arial Unicode MS" w:cs="Arial" w:hint="eastAsia"/>
          <w:kern w:val="0"/>
          <w:szCs w:val="21"/>
        </w:rPr>
        <w:t xml:space="preserve"> </w:t>
      </w:r>
    </w:p>
    <w:p w14:paraId="4A759814"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基金管理人网址：</w:t>
      </w:r>
      <w:r>
        <w:rPr>
          <w:rFonts w:ascii="Arial Unicode MS" w:hAnsi="Arial Unicode MS" w:cs="Arial" w:hint="eastAsia"/>
          <w:kern w:val="0"/>
          <w:szCs w:val="21"/>
        </w:rPr>
        <w:t xml:space="preserve"> www.furamc.com.cn</w:t>
      </w:r>
    </w:p>
    <w:p w14:paraId="1C581228"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电子信箱：</w:t>
      </w:r>
      <w:r>
        <w:rPr>
          <w:rFonts w:ascii="Arial Unicode MS" w:hAnsi="Arial Unicode MS" w:cs="Arial" w:hint="eastAsia"/>
          <w:kern w:val="0"/>
          <w:szCs w:val="21"/>
        </w:rPr>
        <w:t>service@furamc.com.cn</w:t>
      </w:r>
    </w:p>
    <w:p w14:paraId="79BD48AB"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客服热线：</w:t>
      </w:r>
      <w:r>
        <w:rPr>
          <w:rFonts w:ascii="Arial Unicode MS" w:hAnsi="Arial Unicode MS" w:cs="Arial" w:hint="eastAsia"/>
          <w:kern w:val="0"/>
          <w:szCs w:val="21"/>
        </w:rPr>
        <w:t>4006855600</w:t>
      </w:r>
    </w:p>
    <w:p w14:paraId="6D99B48A"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客户服务部门地址：深圳市福田区八卦四路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层，富荣基金管理有限公司客户服务部门（收）</w:t>
      </w:r>
    </w:p>
    <w:p w14:paraId="3CB00C0B"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邮编：</w:t>
      </w:r>
      <w:r>
        <w:rPr>
          <w:rFonts w:ascii="Arial Unicode MS" w:hAnsi="Arial Unicode MS" w:cs="Arial" w:hint="eastAsia"/>
          <w:kern w:val="0"/>
          <w:szCs w:val="21"/>
        </w:rPr>
        <w:t>518038</w:t>
      </w:r>
    </w:p>
    <w:p w14:paraId="48CAC9DA" w14:textId="77777777" w:rsidR="009A7A59" w:rsidRDefault="00000000">
      <w:pPr>
        <w:adjustRightInd w:val="0"/>
        <w:snapToGrid w:val="0"/>
        <w:spacing w:line="360" w:lineRule="auto"/>
        <w:ind w:firstLineChars="200" w:firstLine="420"/>
        <w:rPr>
          <w:rFonts w:ascii="Arial Unicode MS" w:hAnsi="Arial Unicode MS" w:cs="Arial" w:hint="eastAsia"/>
          <w:kern w:val="0"/>
          <w:szCs w:val="21"/>
        </w:rPr>
        <w:sectPr w:rsidR="009A7A59">
          <w:pgSz w:w="11906" w:h="16838"/>
          <w:pgMar w:top="1440" w:right="1800" w:bottom="1440" w:left="1800" w:header="851" w:footer="992" w:gutter="0"/>
          <w:pgNumType w:chapStyle="1"/>
          <w:cols w:space="720"/>
          <w:docGrid w:type="lines" w:linePitch="312"/>
        </w:sectPr>
      </w:pPr>
      <w:r>
        <w:rPr>
          <w:rFonts w:ascii="Arial Unicode MS" w:hAnsi="Arial Unicode MS" w:cs="Arial" w:hint="eastAsia"/>
          <w:kern w:val="0"/>
          <w:szCs w:val="21"/>
        </w:rPr>
        <w:lastRenderedPageBreak/>
        <w:t>（七）如本招募说明书存在任何您</w:t>
      </w:r>
      <w:r>
        <w:rPr>
          <w:rFonts w:ascii="Arial Unicode MS" w:hAnsi="Arial Unicode MS" w:cs="Arial" w:hint="eastAsia"/>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无法理解的内容，请通过</w:t>
      </w:r>
      <w:proofErr w:type="gramStart"/>
      <w:r>
        <w:rPr>
          <w:rFonts w:ascii="Arial Unicode MS" w:hAnsi="Arial Unicode MS" w:cs="Arial" w:hint="eastAsia"/>
          <w:kern w:val="0"/>
          <w:szCs w:val="21"/>
        </w:rPr>
        <w:t>上述联系</w:t>
      </w:r>
      <w:proofErr w:type="gramEnd"/>
      <w:r>
        <w:rPr>
          <w:rFonts w:ascii="Arial Unicode MS" w:hAnsi="Arial Unicode MS" w:cs="Arial" w:hint="eastAsia"/>
          <w:kern w:val="0"/>
          <w:szCs w:val="21"/>
        </w:rPr>
        <w:t>方式联系基金管理人。</w:t>
      </w:r>
      <w:proofErr w:type="gramStart"/>
      <w:r>
        <w:rPr>
          <w:rFonts w:ascii="Arial Unicode MS" w:hAnsi="Arial Unicode MS" w:cs="Arial" w:hint="eastAsia"/>
          <w:kern w:val="0"/>
          <w:szCs w:val="21"/>
        </w:rPr>
        <w:t>请确保</w:t>
      </w:r>
      <w:proofErr w:type="gramEnd"/>
      <w:r>
        <w:rPr>
          <w:rFonts w:ascii="Arial Unicode MS" w:hAnsi="Arial Unicode MS" w:cs="Arial" w:hint="eastAsia"/>
          <w:kern w:val="0"/>
          <w:szCs w:val="21"/>
        </w:rPr>
        <w:t>投资前，您</w:t>
      </w:r>
      <w:r>
        <w:rPr>
          <w:rFonts w:ascii="Arial Unicode MS" w:hAnsi="Arial Unicode MS" w:cs="Arial" w:hint="eastAsia"/>
          <w:kern w:val="0"/>
          <w:szCs w:val="21"/>
        </w:rPr>
        <w:t>/</w:t>
      </w:r>
      <w:proofErr w:type="gramStart"/>
      <w:r>
        <w:rPr>
          <w:rFonts w:ascii="Arial Unicode MS" w:hAnsi="Arial Unicode MS" w:cs="Arial" w:hint="eastAsia"/>
          <w:kern w:val="0"/>
          <w:szCs w:val="21"/>
        </w:rPr>
        <w:t>贵机构</w:t>
      </w:r>
      <w:proofErr w:type="gramEnd"/>
      <w:r>
        <w:rPr>
          <w:rFonts w:ascii="Arial Unicode MS" w:hAnsi="Arial Unicode MS" w:cs="Arial" w:hint="eastAsia"/>
          <w:kern w:val="0"/>
          <w:szCs w:val="21"/>
        </w:rPr>
        <w:t>已经全面理解了本招募说明书</w:t>
      </w:r>
      <w:r>
        <w:rPr>
          <w:rFonts w:ascii="Arial Unicode MS" w:hAnsi="Arial Unicode MS" w:cs="Arial"/>
          <w:kern w:val="0"/>
          <w:szCs w:val="21"/>
        </w:rPr>
        <w:t>。</w:t>
      </w:r>
    </w:p>
    <w:p w14:paraId="3F3ED9EF" w14:textId="77777777" w:rsidR="009A7A59" w:rsidRDefault="00000000">
      <w:pPr>
        <w:pStyle w:val="11"/>
        <w:spacing w:beforeLines="50" w:before="120" w:after="0" w:line="360" w:lineRule="auto"/>
        <w:ind w:firstLine="420"/>
        <w:rPr>
          <w:rStyle w:val="affc"/>
          <w:rFonts w:eastAsia="宋体" w:hAnsi="宋体" w:hint="eastAsia"/>
          <w:b/>
          <w:kern w:val="2"/>
          <w:sz w:val="28"/>
          <w:szCs w:val="28"/>
        </w:rPr>
      </w:pPr>
      <w:bookmarkStart w:id="156" w:name="_Toc256666929"/>
      <w:bookmarkStart w:id="157" w:name="_Toc63676457"/>
      <w:bookmarkStart w:id="158" w:name="_Toc30359"/>
      <w:bookmarkStart w:id="159" w:name="_Toc482624810"/>
      <w:bookmarkStart w:id="160" w:name="_Toc256666809"/>
      <w:bookmarkStart w:id="161" w:name="_Toc214873622"/>
      <w:bookmarkStart w:id="162" w:name="_Toc320887660"/>
      <w:bookmarkStart w:id="163" w:name="_Toc317088166"/>
      <w:bookmarkStart w:id="164" w:name="_Toc335232709"/>
      <w:bookmarkStart w:id="165" w:name="_Toc530223198"/>
      <w:bookmarkStart w:id="166" w:name="_Toc317088555"/>
      <w:bookmarkStart w:id="167" w:name="_Toc484165614"/>
      <w:r>
        <w:rPr>
          <w:rFonts w:eastAsia="宋体" w:hAnsi="宋体" w:hint="eastAsia"/>
          <w:b/>
          <w:color w:val="000000"/>
          <w:sz w:val="28"/>
          <w:szCs w:val="28"/>
        </w:rPr>
        <w:lastRenderedPageBreak/>
        <w:t>第二十二部分  其他应披露事项</w:t>
      </w:r>
      <w:bookmarkEnd w:id="156"/>
      <w:bookmarkEnd w:id="157"/>
      <w:bookmarkEnd w:id="158"/>
      <w:bookmarkEnd w:id="159"/>
      <w:bookmarkEnd w:id="160"/>
    </w:p>
    <w:tbl>
      <w:tblPr>
        <w:tblW w:w="839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
        <w:gridCol w:w="702"/>
        <w:gridCol w:w="6287"/>
        <w:gridCol w:w="1369"/>
        <w:gridCol w:w="30"/>
      </w:tblGrid>
      <w:tr w:rsidR="009A7A59" w14:paraId="6F2130BD"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693B6A88" w14:textId="77777777" w:rsidR="009A7A59" w:rsidRDefault="00000000">
            <w:pPr>
              <w:jc w:val="left"/>
              <w:rPr>
                <w:szCs w:val="21"/>
              </w:rPr>
            </w:pPr>
            <w:r>
              <w:rPr>
                <w:rFonts w:hint="eastAsia"/>
                <w:szCs w:val="21"/>
              </w:rPr>
              <w:t>序号</w:t>
            </w:r>
          </w:p>
        </w:tc>
        <w:tc>
          <w:tcPr>
            <w:tcW w:w="6287" w:type="dxa"/>
            <w:tcBorders>
              <w:top w:val="single" w:sz="4" w:space="0" w:color="auto"/>
              <w:left w:val="single" w:sz="4" w:space="0" w:color="auto"/>
              <w:bottom w:val="single" w:sz="4" w:space="0" w:color="auto"/>
              <w:right w:val="single" w:sz="4" w:space="0" w:color="auto"/>
            </w:tcBorders>
          </w:tcPr>
          <w:p w14:paraId="2772D2E7" w14:textId="77777777" w:rsidR="009A7A59" w:rsidRDefault="00000000">
            <w:pPr>
              <w:jc w:val="left"/>
              <w:rPr>
                <w:szCs w:val="21"/>
              </w:rPr>
            </w:pPr>
            <w:r>
              <w:rPr>
                <w:rFonts w:hint="eastAsia"/>
                <w:szCs w:val="21"/>
              </w:rPr>
              <w:t>公告事项</w:t>
            </w:r>
          </w:p>
        </w:tc>
        <w:tc>
          <w:tcPr>
            <w:tcW w:w="1399" w:type="dxa"/>
            <w:gridSpan w:val="2"/>
            <w:tcBorders>
              <w:top w:val="single" w:sz="4" w:space="0" w:color="auto"/>
              <w:left w:val="single" w:sz="4" w:space="0" w:color="auto"/>
              <w:bottom w:val="single" w:sz="4" w:space="0" w:color="auto"/>
              <w:right w:val="single" w:sz="4" w:space="0" w:color="auto"/>
            </w:tcBorders>
          </w:tcPr>
          <w:p w14:paraId="7B11A62E" w14:textId="77777777" w:rsidR="009A7A59" w:rsidRDefault="00000000">
            <w:pPr>
              <w:jc w:val="left"/>
              <w:rPr>
                <w:szCs w:val="21"/>
              </w:rPr>
            </w:pPr>
            <w:r>
              <w:rPr>
                <w:rFonts w:hint="eastAsia"/>
                <w:szCs w:val="21"/>
              </w:rPr>
              <w:t>披露日期</w:t>
            </w:r>
          </w:p>
        </w:tc>
      </w:tr>
      <w:tr w:rsidR="009A7A59" w14:paraId="2CD1AA55"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6757B094" w14:textId="77777777" w:rsidR="009A7A59" w:rsidRDefault="00000000">
            <w:pPr>
              <w:jc w:val="left"/>
              <w:rPr>
                <w:szCs w:val="21"/>
              </w:rPr>
            </w:pPr>
            <w:r>
              <w:rPr>
                <w:rFonts w:hint="eastAsia"/>
                <w:color w:val="000000"/>
                <w:sz w:val="22"/>
                <w:szCs w:val="22"/>
              </w:rPr>
              <w:t>1</w:t>
            </w:r>
          </w:p>
        </w:tc>
        <w:tc>
          <w:tcPr>
            <w:tcW w:w="6287" w:type="dxa"/>
            <w:tcBorders>
              <w:top w:val="single" w:sz="4" w:space="0" w:color="auto"/>
              <w:left w:val="single" w:sz="4" w:space="0" w:color="auto"/>
              <w:bottom w:val="single" w:sz="4" w:space="0" w:color="auto"/>
              <w:right w:val="single" w:sz="4" w:space="0" w:color="auto"/>
            </w:tcBorders>
          </w:tcPr>
          <w:p w14:paraId="2A1E0997" w14:textId="77777777" w:rsidR="009A7A59" w:rsidRDefault="00000000">
            <w:pPr>
              <w:jc w:val="left"/>
              <w:rPr>
                <w:color w:val="000000"/>
                <w:sz w:val="22"/>
                <w:szCs w:val="22"/>
              </w:rPr>
            </w:pPr>
            <w:r>
              <w:rPr>
                <w:rFonts w:hint="eastAsia"/>
              </w:rPr>
              <w:t>富荣基金管理有限公司关于董事变更的公告</w:t>
            </w:r>
          </w:p>
        </w:tc>
        <w:tc>
          <w:tcPr>
            <w:tcW w:w="1399" w:type="dxa"/>
            <w:gridSpan w:val="2"/>
            <w:tcBorders>
              <w:top w:val="single" w:sz="4" w:space="0" w:color="auto"/>
              <w:left w:val="single" w:sz="4" w:space="0" w:color="auto"/>
              <w:bottom w:val="single" w:sz="4" w:space="0" w:color="auto"/>
              <w:right w:val="single" w:sz="4" w:space="0" w:color="auto"/>
            </w:tcBorders>
          </w:tcPr>
          <w:p w14:paraId="5D62A7F1" w14:textId="77777777" w:rsidR="009A7A59" w:rsidRDefault="00000000">
            <w:pPr>
              <w:jc w:val="left"/>
              <w:rPr>
                <w:color w:val="000000"/>
                <w:sz w:val="22"/>
                <w:szCs w:val="22"/>
              </w:rPr>
            </w:pPr>
            <w:r>
              <w:t>2024-03-01</w:t>
            </w:r>
          </w:p>
        </w:tc>
      </w:tr>
      <w:tr w:rsidR="009A7A59" w14:paraId="2CE96275"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02805A4C" w14:textId="77777777" w:rsidR="009A7A59" w:rsidRDefault="00000000">
            <w:pPr>
              <w:jc w:val="left"/>
              <w:rPr>
                <w:szCs w:val="21"/>
              </w:rPr>
            </w:pPr>
            <w:r>
              <w:rPr>
                <w:rFonts w:hint="eastAsia"/>
                <w:color w:val="000000"/>
                <w:sz w:val="22"/>
                <w:szCs w:val="22"/>
              </w:rPr>
              <w:t>2</w:t>
            </w:r>
          </w:p>
        </w:tc>
        <w:tc>
          <w:tcPr>
            <w:tcW w:w="6287" w:type="dxa"/>
            <w:tcBorders>
              <w:top w:val="single" w:sz="4" w:space="0" w:color="auto"/>
              <w:left w:val="single" w:sz="4" w:space="0" w:color="auto"/>
              <w:bottom w:val="single" w:sz="4" w:space="0" w:color="auto"/>
              <w:right w:val="single" w:sz="4" w:space="0" w:color="auto"/>
            </w:tcBorders>
          </w:tcPr>
          <w:p w14:paraId="1114B9CE" w14:textId="77777777" w:rsidR="009A7A59" w:rsidRDefault="00000000">
            <w:pPr>
              <w:jc w:val="left"/>
              <w:rPr>
                <w:color w:val="000000"/>
                <w:sz w:val="22"/>
                <w:szCs w:val="22"/>
              </w:rPr>
            </w:pPr>
            <w:r>
              <w:rPr>
                <w:rFonts w:hint="eastAsia"/>
              </w:rPr>
              <w:t>富荣基金管理有限公司关于提醒投资者持续完善身份信息资料的公告</w:t>
            </w:r>
          </w:p>
        </w:tc>
        <w:tc>
          <w:tcPr>
            <w:tcW w:w="1399" w:type="dxa"/>
            <w:gridSpan w:val="2"/>
            <w:tcBorders>
              <w:top w:val="single" w:sz="4" w:space="0" w:color="auto"/>
              <w:left w:val="single" w:sz="4" w:space="0" w:color="auto"/>
              <w:bottom w:val="single" w:sz="4" w:space="0" w:color="auto"/>
              <w:right w:val="single" w:sz="4" w:space="0" w:color="auto"/>
            </w:tcBorders>
          </w:tcPr>
          <w:p w14:paraId="6328BD0C" w14:textId="77777777" w:rsidR="009A7A59" w:rsidRDefault="00000000">
            <w:pPr>
              <w:jc w:val="left"/>
              <w:rPr>
                <w:color w:val="000000"/>
                <w:sz w:val="22"/>
                <w:szCs w:val="22"/>
              </w:rPr>
            </w:pPr>
            <w:r>
              <w:t>2024-03-20</w:t>
            </w:r>
          </w:p>
        </w:tc>
      </w:tr>
      <w:tr w:rsidR="009A7A59" w14:paraId="1903B22B"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1072E7F7" w14:textId="77777777" w:rsidR="009A7A59" w:rsidRDefault="00000000">
            <w:pPr>
              <w:jc w:val="left"/>
              <w:rPr>
                <w:szCs w:val="21"/>
              </w:rPr>
            </w:pPr>
            <w:r>
              <w:rPr>
                <w:rFonts w:hint="eastAsia"/>
                <w:color w:val="000000"/>
                <w:sz w:val="22"/>
                <w:szCs w:val="22"/>
              </w:rPr>
              <w:t>3</w:t>
            </w:r>
          </w:p>
        </w:tc>
        <w:tc>
          <w:tcPr>
            <w:tcW w:w="6287" w:type="dxa"/>
            <w:tcBorders>
              <w:top w:val="single" w:sz="4" w:space="0" w:color="auto"/>
              <w:left w:val="single" w:sz="4" w:space="0" w:color="auto"/>
              <w:bottom w:val="single" w:sz="4" w:space="0" w:color="auto"/>
              <w:right w:val="single" w:sz="4" w:space="0" w:color="auto"/>
            </w:tcBorders>
          </w:tcPr>
          <w:p w14:paraId="2339B0D2" w14:textId="77777777" w:rsidR="009A7A59" w:rsidRDefault="00000000">
            <w:pPr>
              <w:jc w:val="left"/>
              <w:rPr>
                <w:color w:val="000000"/>
                <w:sz w:val="22"/>
                <w:szCs w:val="22"/>
              </w:rPr>
            </w:pPr>
            <w:r>
              <w:rPr>
                <w:rFonts w:hint="eastAsia"/>
              </w:rPr>
              <w:t>富荣基金管理有限公司关于旗下部分公开募集证券投资基金更新招募说明书及产品资料概要的提示性公告</w:t>
            </w:r>
          </w:p>
        </w:tc>
        <w:tc>
          <w:tcPr>
            <w:tcW w:w="1399" w:type="dxa"/>
            <w:gridSpan w:val="2"/>
            <w:tcBorders>
              <w:top w:val="single" w:sz="4" w:space="0" w:color="auto"/>
              <w:left w:val="single" w:sz="4" w:space="0" w:color="auto"/>
              <w:bottom w:val="single" w:sz="4" w:space="0" w:color="auto"/>
              <w:right w:val="single" w:sz="4" w:space="0" w:color="auto"/>
            </w:tcBorders>
          </w:tcPr>
          <w:p w14:paraId="774123B4" w14:textId="77777777" w:rsidR="009A7A59" w:rsidRDefault="00000000">
            <w:pPr>
              <w:jc w:val="left"/>
              <w:rPr>
                <w:color w:val="000000"/>
                <w:sz w:val="22"/>
                <w:szCs w:val="22"/>
              </w:rPr>
            </w:pPr>
            <w:r>
              <w:t>2024-03-22</w:t>
            </w:r>
          </w:p>
        </w:tc>
      </w:tr>
      <w:tr w:rsidR="009A7A59" w14:paraId="32964D9E"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3DD6E62D" w14:textId="77777777" w:rsidR="009A7A59" w:rsidRDefault="00000000">
            <w:pPr>
              <w:jc w:val="left"/>
              <w:rPr>
                <w:szCs w:val="21"/>
              </w:rPr>
            </w:pPr>
            <w:r>
              <w:rPr>
                <w:rFonts w:hint="eastAsia"/>
                <w:color w:val="000000"/>
                <w:sz w:val="22"/>
                <w:szCs w:val="22"/>
              </w:rPr>
              <w:t>4</w:t>
            </w:r>
          </w:p>
        </w:tc>
        <w:tc>
          <w:tcPr>
            <w:tcW w:w="6287" w:type="dxa"/>
            <w:tcBorders>
              <w:top w:val="single" w:sz="4" w:space="0" w:color="auto"/>
              <w:left w:val="single" w:sz="4" w:space="0" w:color="auto"/>
              <w:bottom w:val="single" w:sz="4" w:space="0" w:color="auto"/>
              <w:right w:val="single" w:sz="4" w:space="0" w:color="auto"/>
            </w:tcBorders>
          </w:tcPr>
          <w:p w14:paraId="78491BEB" w14:textId="77777777" w:rsidR="009A7A59" w:rsidRDefault="00000000">
            <w:pPr>
              <w:jc w:val="left"/>
              <w:rPr>
                <w:color w:val="000000"/>
                <w:sz w:val="22"/>
                <w:szCs w:val="22"/>
              </w:rPr>
            </w:pPr>
            <w:r>
              <w:rPr>
                <w:rFonts w:hint="eastAsia"/>
              </w:rPr>
              <w:t>富荣基金管理有限公司关于旗下基金新增上海中欧财富基金销售有限公司为销售机构、开通基金定期定额投资业务和基金转换业务并参加申购及定期定额投资申购费率优惠活动的公告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tcPr>
          <w:p w14:paraId="27C102D4" w14:textId="77777777" w:rsidR="009A7A59" w:rsidRDefault="00000000">
            <w:pPr>
              <w:jc w:val="left"/>
              <w:rPr>
                <w:color w:val="000000"/>
                <w:sz w:val="22"/>
                <w:szCs w:val="22"/>
              </w:rPr>
            </w:pPr>
            <w:r>
              <w:t>2024-03-29</w:t>
            </w:r>
          </w:p>
        </w:tc>
      </w:tr>
      <w:tr w:rsidR="009A7A59" w14:paraId="1974C525"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4B2C6EA1" w14:textId="77777777" w:rsidR="009A7A59" w:rsidRDefault="00000000">
            <w:pPr>
              <w:jc w:val="left"/>
              <w:rPr>
                <w:szCs w:val="21"/>
              </w:rPr>
            </w:pPr>
            <w:r>
              <w:rPr>
                <w:rFonts w:hint="eastAsia"/>
                <w:color w:val="000000"/>
                <w:sz w:val="22"/>
                <w:szCs w:val="22"/>
              </w:rPr>
              <w:t>5</w:t>
            </w:r>
          </w:p>
        </w:tc>
        <w:tc>
          <w:tcPr>
            <w:tcW w:w="6287" w:type="dxa"/>
            <w:tcBorders>
              <w:top w:val="single" w:sz="4" w:space="0" w:color="auto"/>
              <w:left w:val="single" w:sz="4" w:space="0" w:color="auto"/>
              <w:bottom w:val="single" w:sz="4" w:space="0" w:color="auto"/>
              <w:right w:val="single" w:sz="4" w:space="0" w:color="auto"/>
            </w:tcBorders>
          </w:tcPr>
          <w:p w14:paraId="029CF43A" w14:textId="77777777" w:rsidR="009A7A59" w:rsidRDefault="00000000">
            <w:pPr>
              <w:jc w:val="left"/>
              <w:rPr>
                <w:color w:val="000000"/>
                <w:sz w:val="22"/>
                <w:szCs w:val="22"/>
              </w:rPr>
            </w:pPr>
            <w:r>
              <w:rPr>
                <w:rFonts w:hint="eastAsia"/>
              </w:rPr>
              <w:t>富荣基金管理有限公司旗下全部基金</w:t>
            </w:r>
            <w:r>
              <w:rPr>
                <w:rFonts w:hint="eastAsia"/>
              </w:rPr>
              <w:t>2023</w:t>
            </w:r>
            <w:r>
              <w:rPr>
                <w:rFonts w:hint="eastAsia"/>
              </w:rPr>
              <w:t>年年度报告提示性公告</w:t>
            </w:r>
          </w:p>
        </w:tc>
        <w:tc>
          <w:tcPr>
            <w:tcW w:w="1399" w:type="dxa"/>
            <w:gridSpan w:val="2"/>
            <w:tcBorders>
              <w:top w:val="single" w:sz="4" w:space="0" w:color="auto"/>
              <w:left w:val="single" w:sz="4" w:space="0" w:color="auto"/>
              <w:bottom w:val="single" w:sz="4" w:space="0" w:color="auto"/>
              <w:right w:val="single" w:sz="4" w:space="0" w:color="auto"/>
            </w:tcBorders>
          </w:tcPr>
          <w:p w14:paraId="5A521176" w14:textId="77777777" w:rsidR="009A7A59" w:rsidRDefault="00000000">
            <w:pPr>
              <w:jc w:val="left"/>
              <w:rPr>
                <w:color w:val="000000"/>
                <w:sz w:val="22"/>
                <w:szCs w:val="22"/>
              </w:rPr>
            </w:pPr>
            <w:r>
              <w:t>2024-03-30</w:t>
            </w:r>
          </w:p>
        </w:tc>
      </w:tr>
      <w:tr w:rsidR="009A7A59" w14:paraId="30C9F6BB"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2FBBEECA" w14:textId="77777777" w:rsidR="009A7A59" w:rsidRDefault="00000000">
            <w:pPr>
              <w:jc w:val="left"/>
              <w:rPr>
                <w:szCs w:val="21"/>
              </w:rPr>
            </w:pPr>
            <w:r>
              <w:rPr>
                <w:rFonts w:hint="eastAsia"/>
                <w:color w:val="000000"/>
                <w:sz w:val="22"/>
                <w:szCs w:val="22"/>
              </w:rPr>
              <w:t>6</w:t>
            </w:r>
          </w:p>
        </w:tc>
        <w:tc>
          <w:tcPr>
            <w:tcW w:w="6287" w:type="dxa"/>
            <w:tcBorders>
              <w:top w:val="single" w:sz="4" w:space="0" w:color="auto"/>
              <w:left w:val="single" w:sz="4" w:space="0" w:color="auto"/>
              <w:bottom w:val="single" w:sz="4" w:space="0" w:color="auto"/>
              <w:right w:val="single" w:sz="4" w:space="0" w:color="auto"/>
            </w:tcBorders>
          </w:tcPr>
          <w:p w14:paraId="57C486C2" w14:textId="77777777" w:rsidR="009A7A59" w:rsidRDefault="00000000">
            <w:pPr>
              <w:jc w:val="left"/>
              <w:rPr>
                <w:color w:val="000000"/>
                <w:sz w:val="22"/>
                <w:szCs w:val="22"/>
              </w:rPr>
            </w:pPr>
            <w:r>
              <w:rPr>
                <w:rFonts w:hint="eastAsia"/>
              </w:rPr>
              <w:t>富荣基金管理有限公司旗下全部基金</w:t>
            </w:r>
            <w:r>
              <w:rPr>
                <w:rFonts w:hint="eastAsia"/>
              </w:rPr>
              <w:t>2024</w:t>
            </w:r>
            <w:r>
              <w:rPr>
                <w:rFonts w:hint="eastAsia"/>
              </w:rPr>
              <w:t>年第</w:t>
            </w:r>
            <w:r>
              <w:rPr>
                <w:rFonts w:hint="eastAsia"/>
              </w:rPr>
              <w:t>1</w:t>
            </w:r>
            <w:r>
              <w:rPr>
                <w:rFonts w:hint="eastAsia"/>
              </w:rPr>
              <w:t>季度报告提示性公告</w:t>
            </w:r>
          </w:p>
        </w:tc>
        <w:tc>
          <w:tcPr>
            <w:tcW w:w="1399" w:type="dxa"/>
            <w:gridSpan w:val="2"/>
            <w:tcBorders>
              <w:top w:val="single" w:sz="4" w:space="0" w:color="auto"/>
              <w:left w:val="single" w:sz="4" w:space="0" w:color="auto"/>
              <w:bottom w:val="single" w:sz="4" w:space="0" w:color="auto"/>
              <w:right w:val="single" w:sz="4" w:space="0" w:color="auto"/>
            </w:tcBorders>
          </w:tcPr>
          <w:p w14:paraId="2972B657" w14:textId="77777777" w:rsidR="009A7A59" w:rsidRDefault="00000000">
            <w:pPr>
              <w:jc w:val="left"/>
              <w:rPr>
                <w:color w:val="000000"/>
                <w:sz w:val="22"/>
                <w:szCs w:val="22"/>
              </w:rPr>
            </w:pPr>
            <w:r>
              <w:t>2024-04-22</w:t>
            </w:r>
          </w:p>
        </w:tc>
      </w:tr>
      <w:tr w:rsidR="009A7A59" w14:paraId="1F3C0D14"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4F0B3694" w14:textId="77777777" w:rsidR="009A7A59" w:rsidRDefault="00000000">
            <w:pPr>
              <w:jc w:val="left"/>
              <w:rPr>
                <w:szCs w:val="21"/>
              </w:rPr>
            </w:pPr>
            <w:r>
              <w:rPr>
                <w:rFonts w:hint="eastAsia"/>
                <w:color w:val="000000"/>
                <w:sz w:val="22"/>
                <w:szCs w:val="22"/>
              </w:rPr>
              <w:t>7</w:t>
            </w:r>
          </w:p>
        </w:tc>
        <w:tc>
          <w:tcPr>
            <w:tcW w:w="6287" w:type="dxa"/>
            <w:tcBorders>
              <w:top w:val="single" w:sz="4" w:space="0" w:color="auto"/>
              <w:left w:val="single" w:sz="4" w:space="0" w:color="auto"/>
              <w:bottom w:val="single" w:sz="4" w:space="0" w:color="auto"/>
              <w:right w:val="single" w:sz="4" w:space="0" w:color="auto"/>
            </w:tcBorders>
          </w:tcPr>
          <w:p w14:paraId="7C39B303" w14:textId="77777777" w:rsidR="009A7A59" w:rsidRDefault="00000000">
            <w:pPr>
              <w:jc w:val="left"/>
              <w:rPr>
                <w:color w:val="000000"/>
                <w:sz w:val="22"/>
                <w:szCs w:val="22"/>
              </w:rPr>
            </w:pPr>
            <w:r>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tcPr>
          <w:p w14:paraId="4C9585D5" w14:textId="77777777" w:rsidR="009A7A59" w:rsidRDefault="00000000">
            <w:pPr>
              <w:jc w:val="left"/>
              <w:rPr>
                <w:color w:val="000000"/>
                <w:sz w:val="22"/>
                <w:szCs w:val="22"/>
              </w:rPr>
            </w:pPr>
            <w:r>
              <w:t>2024-06-18</w:t>
            </w:r>
          </w:p>
        </w:tc>
      </w:tr>
      <w:tr w:rsidR="009A7A59" w14:paraId="47AC5766"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5DCE83CB" w14:textId="77777777" w:rsidR="009A7A59" w:rsidRDefault="00000000">
            <w:pPr>
              <w:jc w:val="left"/>
              <w:rPr>
                <w:szCs w:val="21"/>
              </w:rPr>
            </w:pPr>
            <w:r>
              <w:rPr>
                <w:rFonts w:hint="eastAsia"/>
                <w:color w:val="000000"/>
                <w:sz w:val="22"/>
                <w:szCs w:val="22"/>
              </w:rPr>
              <w:t>8</w:t>
            </w:r>
          </w:p>
        </w:tc>
        <w:tc>
          <w:tcPr>
            <w:tcW w:w="6287" w:type="dxa"/>
            <w:tcBorders>
              <w:top w:val="single" w:sz="4" w:space="0" w:color="auto"/>
              <w:left w:val="single" w:sz="4" w:space="0" w:color="auto"/>
              <w:bottom w:val="single" w:sz="4" w:space="0" w:color="auto"/>
              <w:right w:val="single" w:sz="4" w:space="0" w:color="auto"/>
            </w:tcBorders>
          </w:tcPr>
          <w:p w14:paraId="56A2E02E" w14:textId="77777777" w:rsidR="009A7A59" w:rsidRDefault="00000000">
            <w:pPr>
              <w:jc w:val="left"/>
              <w:rPr>
                <w:color w:val="000000"/>
                <w:sz w:val="22"/>
                <w:szCs w:val="22"/>
              </w:rPr>
            </w:pPr>
            <w:r>
              <w:rPr>
                <w:rFonts w:hint="eastAsia"/>
              </w:rPr>
              <w:t>富荣基金管理有限公司关于旗下部分公开募集证券投资基金更新产品资料概要的提示性公告</w:t>
            </w:r>
          </w:p>
        </w:tc>
        <w:tc>
          <w:tcPr>
            <w:tcW w:w="1399" w:type="dxa"/>
            <w:gridSpan w:val="2"/>
            <w:tcBorders>
              <w:top w:val="single" w:sz="4" w:space="0" w:color="auto"/>
              <w:left w:val="single" w:sz="4" w:space="0" w:color="auto"/>
              <w:bottom w:val="single" w:sz="4" w:space="0" w:color="auto"/>
              <w:right w:val="single" w:sz="4" w:space="0" w:color="auto"/>
            </w:tcBorders>
          </w:tcPr>
          <w:p w14:paraId="417F31F5" w14:textId="77777777" w:rsidR="009A7A59" w:rsidRDefault="00000000">
            <w:pPr>
              <w:jc w:val="left"/>
              <w:rPr>
                <w:color w:val="000000"/>
                <w:sz w:val="22"/>
                <w:szCs w:val="22"/>
              </w:rPr>
            </w:pPr>
            <w:r>
              <w:t>2024-06-27</w:t>
            </w:r>
          </w:p>
        </w:tc>
      </w:tr>
      <w:tr w:rsidR="009A7A59" w14:paraId="2AC67A4F"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39A1C443" w14:textId="77777777" w:rsidR="009A7A59" w:rsidRDefault="00000000">
            <w:pPr>
              <w:jc w:val="left"/>
              <w:rPr>
                <w:szCs w:val="21"/>
              </w:rPr>
            </w:pPr>
            <w:r>
              <w:rPr>
                <w:rFonts w:hint="eastAsia"/>
                <w:color w:val="000000"/>
                <w:sz w:val="22"/>
                <w:szCs w:val="22"/>
              </w:rPr>
              <w:t>9</w:t>
            </w:r>
          </w:p>
        </w:tc>
        <w:tc>
          <w:tcPr>
            <w:tcW w:w="6287" w:type="dxa"/>
            <w:tcBorders>
              <w:top w:val="single" w:sz="4" w:space="0" w:color="auto"/>
              <w:left w:val="single" w:sz="4" w:space="0" w:color="auto"/>
              <w:bottom w:val="single" w:sz="4" w:space="0" w:color="auto"/>
              <w:right w:val="single" w:sz="4" w:space="0" w:color="auto"/>
            </w:tcBorders>
          </w:tcPr>
          <w:p w14:paraId="0DF320E0" w14:textId="77777777" w:rsidR="009A7A59" w:rsidRDefault="00000000">
            <w:pPr>
              <w:jc w:val="left"/>
              <w:rPr>
                <w:color w:val="000000"/>
                <w:sz w:val="22"/>
                <w:szCs w:val="22"/>
              </w:rPr>
            </w:pPr>
            <w:r>
              <w:rPr>
                <w:rFonts w:hint="eastAsia"/>
              </w:rPr>
              <w:t>富荣基金管理有限公司关于旗下基金新增深圳</w:t>
            </w:r>
            <w:proofErr w:type="gramStart"/>
            <w:r>
              <w:rPr>
                <w:rFonts w:hint="eastAsia"/>
              </w:rPr>
              <w:t>腾元基金</w:t>
            </w:r>
            <w:proofErr w:type="gramEnd"/>
            <w:r>
              <w:rPr>
                <w:rFonts w:hint="eastAsia"/>
              </w:rPr>
              <w:t>销售有限公司为销售机构、开通基金定期定额投资业务和基金转换业务并参加申购及定期定额投资申购费率优惠活动的公告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tcPr>
          <w:p w14:paraId="4340DF62" w14:textId="77777777" w:rsidR="009A7A59" w:rsidRDefault="00000000">
            <w:pPr>
              <w:jc w:val="left"/>
              <w:rPr>
                <w:color w:val="000000"/>
                <w:sz w:val="22"/>
                <w:szCs w:val="22"/>
              </w:rPr>
            </w:pPr>
            <w:r>
              <w:t>2024-06-28</w:t>
            </w:r>
          </w:p>
        </w:tc>
      </w:tr>
      <w:tr w:rsidR="009A7A59" w14:paraId="0982D6A9"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1B4EFC06" w14:textId="77777777" w:rsidR="009A7A59" w:rsidRDefault="00000000">
            <w:pPr>
              <w:jc w:val="left"/>
              <w:rPr>
                <w:szCs w:val="21"/>
              </w:rPr>
            </w:pPr>
            <w:r>
              <w:rPr>
                <w:rFonts w:hint="eastAsia"/>
                <w:color w:val="000000"/>
                <w:sz w:val="22"/>
                <w:szCs w:val="22"/>
              </w:rPr>
              <w:t>10</w:t>
            </w:r>
          </w:p>
        </w:tc>
        <w:tc>
          <w:tcPr>
            <w:tcW w:w="6287" w:type="dxa"/>
            <w:tcBorders>
              <w:top w:val="single" w:sz="4" w:space="0" w:color="auto"/>
              <w:left w:val="single" w:sz="4" w:space="0" w:color="auto"/>
              <w:bottom w:val="single" w:sz="4" w:space="0" w:color="auto"/>
              <w:right w:val="single" w:sz="4" w:space="0" w:color="auto"/>
            </w:tcBorders>
          </w:tcPr>
          <w:p w14:paraId="4027250E" w14:textId="77777777" w:rsidR="009A7A59" w:rsidRDefault="00000000">
            <w:pPr>
              <w:jc w:val="left"/>
              <w:rPr>
                <w:color w:val="000000"/>
                <w:sz w:val="22"/>
                <w:szCs w:val="22"/>
              </w:rPr>
            </w:pPr>
            <w:r>
              <w:rPr>
                <w:rFonts w:hint="eastAsia"/>
              </w:rPr>
              <w:t>富荣基金管理有限公司旗下全部基金</w:t>
            </w:r>
            <w:r>
              <w:rPr>
                <w:rFonts w:hint="eastAsia"/>
              </w:rPr>
              <w:t>2024</w:t>
            </w:r>
            <w:r>
              <w:rPr>
                <w:rFonts w:hint="eastAsia"/>
              </w:rPr>
              <w:t>年第</w:t>
            </w:r>
            <w:r>
              <w:rPr>
                <w:rFonts w:hint="eastAsia"/>
              </w:rPr>
              <w:t>2</w:t>
            </w:r>
            <w:r>
              <w:rPr>
                <w:rFonts w:hint="eastAsia"/>
              </w:rPr>
              <w:t>季度报告提示性公告</w:t>
            </w:r>
          </w:p>
        </w:tc>
        <w:tc>
          <w:tcPr>
            <w:tcW w:w="1399" w:type="dxa"/>
            <w:gridSpan w:val="2"/>
            <w:tcBorders>
              <w:top w:val="single" w:sz="4" w:space="0" w:color="auto"/>
              <w:left w:val="single" w:sz="4" w:space="0" w:color="auto"/>
              <w:bottom w:val="single" w:sz="4" w:space="0" w:color="auto"/>
              <w:right w:val="single" w:sz="4" w:space="0" w:color="auto"/>
            </w:tcBorders>
          </w:tcPr>
          <w:p w14:paraId="38C570BD" w14:textId="77777777" w:rsidR="009A7A59" w:rsidRDefault="00000000">
            <w:pPr>
              <w:jc w:val="left"/>
              <w:rPr>
                <w:color w:val="000000"/>
                <w:sz w:val="22"/>
                <w:szCs w:val="22"/>
              </w:rPr>
            </w:pPr>
            <w:r>
              <w:t>2024-07-19</w:t>
            </w:r>
          </w:p>
        </w:tc>
      </w:tr>
      <w:tr w:rsidR="009A7A59" w14:paraId="55E31449"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7B71B642" w14:textId="77777777" w:rsidR="009A7A59" w:rsidRDefault="00000000">
            <w:pPr>
              <w:jc w:val="left"/>
              <w:rPr>
                <w:szCs w:val="21"/>
              </w:rPr>
            </w:pPr>
            <w:r>
              <w:rPr>
                <w:rFonts w:hint="eastAsia"/>
                <w:color w:val="000000"/>
                <w:sz w:val="22"/>
                <w:szCs w:val="22"/>
              </w:rPr>
              <w:t>11</w:t>
            </w:r>
          </w:p>
        </w:tc>
        <w:tc>
          <w:tcPr>
            <w:tcW w:w="6287" w:type="dxa"/>
            <w:tcBorders>
              <w:top w:val="single" w:sz="4" w:space="0" w:color="auto"/>
              <w:left w:val="single" w:sz="4" w:space="0" w:color="auto"/>
              <w:bottom w:val="single" w:sz="4" w:space="0" w:color="auto"/>
              <w:right w:val="single" w:sz="4" w:space="0" w:color="auto"/>
            </w:tcBorders>
          </w:tcPr>
          <w:p w14:paraId="5469E9E7" w14:textId="77777777" w:rsidR="009A7A59" w:rsidRDefault="00000000">
            <w:pPr>
              <w:jc w:val="left"/>
              <w:rPr>
                <w:color w:val="000000"/>
                <w:sz w:val="22"/>
                <w:szCs w:val="22"/>
              </w:rPr>
            </w:pPr>
            <w:r>
              <w:rPr>
                <w:rFonts w:hint="eastAsia"/>
              </w:rPr>
              <w:t>富荣基金管理有限公司关于终止喜鹊财富基金销售有限公司办理旗下基金相关销售业务的公告</w:t>
            </w:r>
          </w:p>
        </w:tc>
        <w:tc>
          <w:tcPr>
            <w:tcW w:w="1399" w:type="dxa"/>
            <w:gridSpan w:val="2"/>
            <w:tcBorders>
              <w:top w:val="single" w:sz="4" w:space="0" w:color="auto"/>
              <w:left w:val="single" w:sz="4" w:space="0" w:color="auto"/>
              <w:bottom w:val="single" w:sz="4" w:space="0" w:color="auto"/>
              <w:right w:val="single" w:sz="4" w:space="0" w:color="auto"/>
            </w:tcBorders>
          </w:tcPr>
          <w:p w14:paraId="7E3F1A5B" w14:textId="77777777" w:rsidR="009A7A59" w:rsidRDefault="00000000">
            <w:pPr>
              <w:jc w:val="left"/>
              <w:rPr>
                <w:color w:val="000000"/>
                <w:sz w:val="22"/>
                <w:szCs w:val="22"/>
              </w:rPr>
            </w:pPr>
            <w:r>
              <w:t>2024-07-24</w:t>
            </w:r>
          </w:p>
        </w:tc>
      </w:tr>
      <w:tr w:rsidR="009A7A59" w14:paraId="5E945014"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038E1ED9" w14:textId="77777777" w:rsidR="009A7A59" w:rsidRDefault="00000000">
            <w:pPr>
              <w:jc w:val="left"/>
              <w:rPr>
                <w:szCs w:val="21"/>
              </w:rPr>
            </w:pPr>
            <w:r>
              <w:rPr>
                <w:rFonts w:hint="eastAsia"/>
                <w:color w:val="000000"/>
                <w:sz w:val="22"/>
                <w:szCs w:val="22"/>
              </w:rPr>
              <w:t>12</w:t>
            </w:r>
          </w:p>
        </w:tc>
        <w:tc>
          <w:tcPr>
            <w:tcW w:w="6287" w:type="dxa"/>
            <w:tcBorders>
              <w:top w:val="single" w:sz="4" w:space="0" w:color="auto"/>
              <w:left w:val="single" w:sz="4" w:space="0" w:color="auto"/>
              <w:bottom w:val="single" w:sz="4" w:space="0" w:color="auto"/>
              <w:right w:val="single" w:sz="4" w:space="0" w:color="auto"/>
            </w:tcBorders>
          </w:tcPr>
          <w:p w14:paraId="7E4214A3" w14:textId="77777777" w:rsidR="009A7A59" w:rsidRDefault="00000000">
            <w:pPr>
              <w:jc w:val="left"/>
              <w:rPr>
                <w:color w:val="000000"/>
                <w:sz w:val="22"/>
                <w:szCs w:val="22"/>
              </w:rPr>
            </w:pPr>
            <w:r>
              <w:rPr>
                <w:rFonts w:hint="eastAsia"/>
              </w:rPr>
              <w:t>富荣富</w:t>
            </w:r>
            <w:proofErr w:type="gramStart"/>
            <w:r>
              <w:rPr>
                <w:rFonts w:hint="eastAsia"/>
              </w:rPr>
              <w:t>兴纯债</w:t>
            </w:r>
            <w:proofErr w:type="gramEnd"/>
            <w:r>
              <w:rPr>
                <w:rFonts w:hint="eastAsia"/>
              </w:rPr>
              <w:t>债券型证券投资基金增加</w:t>
            </w:r>
            <w:r>
              <w:rPr>
                <w:rFonts w:hint="eastAsia"/>
              </w:rPr>
              <w:t>C</w:t>
            </w:r>
            <w:r>
              <w:rPr>
                <w:rFonts w:hint="eastAsia"/>
              </w:rPr>
              <w:t>类基金份额并修改基金合同及托管协议的公告</w:t>
            </w:r>
          </w:p>
        </w:tc>
        <w:tc>
          <w:tcPr>
            <w:tcW w:w="1399" w:type="dxa"/>
            <w:gridSpan w:val="2"/>
            <w:tcBorders>
              <w:top w:val="single" w:sz="4" w:space="0" w:color="auto"/>
              <w:left w:val="single" w:sz="4" w:space="0" w:color="auto"/>
              <w:bottom w:val="single" w:sz="4" w:space="0" w:color="auto"/>
              <w:right w:val="single" w:sz="4" w:space="0" w:color="auto"/>
            </w:tcBorders>
          </w:tcPr>
          <w:p w14:paraId="481EBF0E" w14:textId="77777777" w:rsidR="009A7A59" w:rsidRDefault="00000000">
            <w:pPr>
              <w:jc w:val="left"/>
              <w:rPr>
                <w:color w:val="000000"/>
                <w:sz w:val="22"/>
                <w:szCs w:val="22"/>
              </w:rPr>
            </w:pPr>
            <w:r>
              <w:t>2024-07-25</w:t>
            </w:r>
          </w:p>
        </w:tc>
      </w:tr>
      <w:tr w:rsidR="009A7A59" w14:paraId="6D221146"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7AD100DB" w14:textId="77777777" w:rsidR="009A7A59" w:rsidRDefault="00000000">
            <w:pPr>
              <w:jc w:val="left"/>
              <w:rPr>
                <w:szCs w:val="21"/>
              </w:rPr>
            </w:pPr>
            <w:r>
              <w:rPr>
                <w:rFonts w:hint="eastAsia"/>
                <w:color w:val="000000"/>
                <w:sz w:val="22"/>
                <w:szCs w:val="22"/>
              </w:rPr>
              <w:t>13</w:t>
            </w:r>
          </w:p>
        </w:tc>
        <w:tc>
          <w:tcPr>
            <w:tcW w:w="6287" w:type="dxa"/>
            <w:tcBorders>
              <w:top w:val="single" w:sz="4" w:space="0" w:color="auto"/>
              <w:left w:val="single" w:sz="4" w:space="0" w:color="auto"/>
              <w:bottom w:val="single" w:sz="4" w:space="0" w:color="auto"/>
              <w:right w:val="single" w:sz="4" w:space="0" w:color="auto"/>
            </w:tcBorders>
          </w:tcPr>
          <w:p w14:paraId="3F1AB97C" w14:textId="77777777" w:rsidR="009A7A59" w:rsidRDefault="00000000">
            <w:pPr>
              <w:jc w:val="left"/>
              <w:rPr>
                <w:color w:val="000000"/>
                <w:sz w:val="22"/>
                <w:szCs w:val="22"/>
              </w:rPr>
            </w:pPr>
            <w:r>
              <w:rPr>
                <w:rFonts w:hint="eastAsia"/>
              </w:rPr>
              <w:t>富荣富</w:t>
            </w:r>
            <w:proofErr w:type="gramStart"/>
            <w:r>
              <w:rPr>
                <w:rFonts w:hint="eastAsia"/>
              </w:rPr>
              <w:t>兴纯债</w:t>
            </w:r>
            <w:proofErr w:type="gramEnd"/>
            <w:r>
              <w:rPr>
                <w:rFonts w:hint="eastAsia"/>
              </w:rPr>
              <w:t>债券型证券投资基金</w:t>
            </w:r>
            <w:r>
              <w:rPr>
                <w:rFonts w:hint="eastAsia"/>
              </w:rPr>
              <w:t>C</w:t>
            </w:r>
            <w:r>
              <w:rPr>
                <w:rFonts w:hint="eastAsia"/>
              </w:rPr>
              <w:t>类基金份额开放日常申购、赎回、转换及定期定额投资业务的公告</w:t>
            </w:r>
          </w:p>
        </w:tc>
        <w:tc>
          <w:tcPr>
            <w:tcW w:w="1399" w:type="dxa"/>
            <w:gridSpan w:val="2"/>
            <w:tcBorders>
              <w:top w:val="single" w:sz="4" w:space="0" w:color="auto"/>
              <w:left w:val="single" w:sz="4" w:space="0" w:color="auto"/>
              <w:bottom w:val="single" w:sz="4" w:space="0" w:color="auto"/>
              <w:right w:val="single" w:sz="4" w:space="0" w:color="auto"/>
            </w:tcBorders>
          </w:tcPr>
          <w:p w14:paraId="7F4AA17C" w14:textId="77777777" w:rsidR="009A7A59" w:rsidRDefault="00000000">
            <w:pPr>
              <w:jc w:val="left"/>
              <w:rPr>
                <w:color w:val="000000"/>
                <w:sz w:val="22"/>
                <w:szCs w:val="22"/>
              </w:rPr>
            </w:pPr>
            <w:r>
              <w:t>2024-07-25</w:t>
            </w:r>
          </w:p>
        </w:tc>
      </w:tr>
      <w:tr w:rsidR="009A7A59" w14:paraId="75310F98"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4EFD94C1" w14:textId="77777777" w:rsidR="009A7A59" w:rsidRDefault="00000000">
            <w:pPr>
              <w:jc w:val="left"/>
              <w:rPr>
                <w:szCs w:val="21"/>
              </w:rPr>
            </w:pPr>
            <w:r>
              <w:rPr>
                <w:rFonts w:hint="eastAsia"/>
                <w:color w:val="000000"/>
                <w:sz w:val="22"/>
                <w:szCs w:val="22"/>
              </w:rPr>
              <w:t>14</w:t>
            </w:r>
          </w:p>
        </w:tc>
        <w:tc>
          <w:tcPr>
            <w:tcW w:w="6287" w:type="dxa"/>
            <w:tcBorders>
              <w:top w:val="single" w:sz="4" w:space="0" w:color="auto"/>
              <w:left w:val="single" w:sz="4" w:space="0" w:color="auto"/>
              <w:bottom w:val="single" w:sz="4" w:space="0" w:color="auto"/>
              <w:right w:val="single" w:sz="4" w:space="0" w:color="auto"/>
            </w:tcBorders>
          </w:tcPr>
          <w:p w14:paraId="7140805C" w14:textId="77777777" w:rsidR="009A7A59" w:rsidRDefault="00000000">
            <w:pPr>
              <w:jc w:val="left"/>
              <w:rPr>
                <w:color w:val="000000"/>
                <w:sz w:val="22"/>
                <w:szCs w:val="22"/>
              </w:rPr>
            </w:pPr>
            <w:r>
              <w:rPr>
                <w:rFonts w:hint="eastAsia"/>
              </w:rPr>
              <w:t>关于富荣富</w:t>
            </w:r>
            <w:proofErr w:type="gramStart"/>
            <w:r>
              <w:rPr>
                <w:rFonts w:hint="eastAsia"/>
              </w:rPr>
              <w:t>兴纯债</w:t>
            </w:r>
            <w:proofErr w:type="gramEnd"/>
            <w:r>
              <w:rPr>
                <w:rFonts w:hint="eastAsia"/>
              </w:rPr>
              <w:t>债券型证券投资基金开展销售服务费费率优惠活动的公告</w:t>
            </w:r>
          </w:p>
        </w:tc>
        <w:tc>
          <w:tcPr>
            <w:tcW w:w="1399" w:type="dxa"/>
            <w:gridSpan w:val="2"/>
            <w:tcBorders>
              <w:top w:val="single" w:sz="4" w:space="0" w:color="auto"/>
              <w:left w:val="single" w:sz="4" w:space="0" w:color="auto"/>
              <w:bottom w:val="single" w:sz="4" w:space="0" w:color="auto"/>
              <w:right w:val="single" w:sz="4" w:space="0" w:color="auto"/>
            </w:tcBorders>
          </w:tcPr>
          <w:p w14:paraId="528937DE" w14:textId="77777777" w:rsidR="009A7A59" w:rsidRDefault="00000000">
            <w:pPr>
              <w:jc w:val="left"/>
              <w:rPr>
                <w:color w:val="000000"/>
                <w:sz w:val="22"/>
                <w:szCs w:val="22"/>
              </w:rPr>
            </w:pPr>
            <w:r>
              <w:t>2024-07-25</w:t>
            </w:r>
          </w:p>
        </w:tc>
      </w:tr>
      <w:tr w:rsidR="009A7A59" w14:paraId="266C0FB2"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76303326" w14:textId="77777777" w:rsidR="009A7A59" w:rsidRDefault="00000000">
            <w:pPr>
              <w:jc w:val="left"/>
              <w:rPr>
                <w:szCs w:val="21"/>
              </w:rPr>
            </w:pPr>
            <w:r>
              <w:rPr>
                <w:rFonts w:hint="eastAsia"/>
                <w:color w:val="000000"/>
                <w:sz w:val="22"/>
                <w:szCs w:val="22"/>
              </w:rPr>
              <w:t>15</w:t>
            </w:r>
          </w:p>
        </w:tc>
        <w:tc>
          <w:tcPr>
            <w:tcW w:w="6287" w:type="dxa"/>
            <w:tcBorders>
              <w:top w:val="single" w:sz="4" w:space="0" w:color="auto"/>
              <w:left w:val="single" w:sz="4" w:space="0" w:color="auto"/>
              <w:bottom w:val="single" w:sz="4" w:space="0" w:color="auto"/>
              <w:right w:val="single" w:sz="4" w:space="0" w:color="auto"/>
            </w:tcBorders>
          </w:tcPr>
          <w:p w14:paraId="32273F9A" w14:textId="77777777" w:rsidR="009A7A59" w:rsidRDefault="00000000">
            <w:pPr>
              <w:jc w:val="left"/>
              <w:rPr>
                <w:color w:val="000000"/>
                <w:sz w:val="22"/>
                <w:szCs w:val="22"/>
              </w:rPr>
            </w:pPr>
            <w:r>
              <w:rPr>
                <w:rFonts w:hint="eastAsia"/>
              </w:rPr>
              <w:t>富荣基金管理有限公司关于旗下部分基金新增兴业银行股份有限公司为销售机构、开通基金定期定额投资业务和基金转换业务并参加申购及定期定额投资申购费率优惠活动的公告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tcPr>
          <w:p w14:paraId="26BFC818" w14:textId="77777777" w:rsidR="009A7A59" w:rsidRDefault="00000000">
            <w:pPr>
              <w:jc w:val="left"/>
              <w:rPr>
                <w:color w:val="000000"/>
                <w:sz w:val="22"/>
                <w:szCs w:val="22"/>
              </w:rPr>
            </w:pPr>
            <w:r>
              <w:t>2024-07-30</w:t>
            </w:r>
          </w:p>
        </w:tc>
      </w:tr>
      <w:tr w:rsidR="009A7A59" w14:paraId="3D8B8A04"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1AA2E460" w14:textId="77777777" w:rsidR="009A7A59" w:rsidRDefault="00000000">
            <w:pPr>
              <w:jc w:val="left"/>
              <w:rPr>
                <w:szCs w:val="21"/>
              </w:rPr>
            </w:pPr>
            <w:r>
              <w:rPr>
                <w:rFonts w:hint="eastAsia"/>
                <w:color w:val="000000"/>
                <w:sz w:val="22"/>
                <w:szCs w:val="22"/>
              </w:rPr>
              <w:t>16</w:t>
            </w:r>
          </w:p>
        </w:tc>
        <w:tc>
          <w:tcPr>
            <w:tcW w:w="6287" w:type="dxa"/>
            <w:tcBorders>
              <w:top w:val="single" w:sz="4" w:space="0" w:color="auto"/>
              <w:left w:val="single" w:sz="4" w:space="0" w:color="auto"/>
              <w:bottom w:val="single" w:sz="4" w:space="0" w:color="auto"/>
              <w:right w:val="single" w:sz="4" w:space="0" w:color="auto"/>
            </w:tcBorders>
          </w:tcPr>
          <w:p w14:paraId="76200001" w14:textId="77777777" w:rsidR="009A7A59" w:rsidRDefault="00000000">
            <w:pPr>
              <w:jc w:val="left"/>
              <w:rPr>
                <w:color w:val="000000"/>
                <w:sz w:val="22"/>
                <w:szCs w:val="22"/>
              </w:rPr>
            </w:pPr>
            <w:r>
              <w:rPr>
                <w:rFonts w:hint="eastAsia"/>
              </w:rPr>
              <w:t>富荣基金管理有限公司关于旗下部分基金新增山西证券股份有限公司为销售机构、开通基金定期定额投资业务和基金转换业务并参加申购及定期定额投资申购费率优惠活动的公告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tcPr>
          <w:p w14:paraId="44AD0AFE" w14:textId="77777777" w:rsidR="009A7A59" w:rsidRDefault="00000000">
            <w:pPr>
              <w:jc w:val="left"/>
              <w:rPr>
                <w:color w:val="000000"/>
                <w:sz w:val="22"/>
                <w:szCs w:val="22"/>
              </w:rPr>
            </w:pPr>
            <w:r>
              <w:t>2024-07-31</w:t>
            </w:r>
          </w:p>
        </w:tc>
      </w:tr>
      <w:tr w:rsidR="009A7A59" w14:paraId="1529CF0B"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2D3A89D4" w14:textId="77777777" w:rsidR="009A7A59" w:rsidRDefault="00000000">
            <w:pPr>
              <w:jc w:val="left"/>
              <w:rPr>
                <w:szCs w:val="21"/>
              </w:rPr>
            </w:pPr>
            <w:r>
              <w:rPr>
                <w:rFonts w:hint="eastAsia"/>
                <w:color w:val="000000"/>
                <w:sz w:val="22"/>
                <w:szCs w:val="22"/>
              </w:rPr>
              <w:t>17</w:t>
            </w:r>
          </w:p>
        </w:tc>
        <w:tc>
          <w:tcPr>
            <w:tcW w:w="6287" w:type="dxa"/>
            <w:tcBorders>
              <w:top w:val="single" w:sz="4" w:space="0" w:color="auto"/>
              <w:left w:val="single" w:sz="4" w:space="0" w:color="auto"/>
              <w:bottom w:val="single" w:sz="4" w:space="0" w:color="auto"/>
              <w:right w:val="single" w:sz="4" w:space="0" w:color="auto"/>
            </w:tcBorders>
          </w:tcPr>
          <w:p w14:paraId="39C663B5" w14:textId="77777777" w:rsidR="009A7A59" w:rsidRDefault="00000000">
            <w:pPr>
              <w:jc w:val="left"/>
              <w:rPr>
                <w:color w:val="000000"/>
                <w:sz w:val="22"/>
                <w:szCs w:val="22"/>
              </w:rPr>
            </w:pPr>
            <w:r>
              <w:rPr>
                <w:rFonts w:hint="eastAsia"/>
              </w:rPr>
              <w:t>富荣基金管理有限公司关于旗下基金</w:t>
            </w:r>
            <w:proofErr w:type="gramStart"/>
            <w:r>
              <w:rPr>
                <w:rFonts w:hint="eastAsia"/>
              </w:rPr>
              <w:t>新增洪泰财富</w:t>
            </w:r>
            <w:proofErr w:type="gramEnd"/>
            <w:r>
              <w:rPr>
                <w:rFonts w:hint="eastAsia"/>
              </w:rPr>
              <w:t>（青岛）基金销售有限责任公司为销售机构、开通基金定期定额投资业务和基金转换业务并参加申购及定期定额投资申购费率优惠活动的公告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tcPr>
          <w:p w14:paraId="0AEBDA7E" w14:textId="77777777" w:rsidR="009A7A59" w:rsidRDefault="00000000">
            <w:pPr>
              <w:jc w:val="left"/>
              <w:rPr>
                <w:color w:val="000000"/>
                <w:sz w:val="22"/>
                <w:szCs w:val="22"/>
              </w:rPr>
            </w:pPr>
            <w:r>
              <w:t>2024-08-08</w:t>
            </w:r>
          </w:p>
        </w:tc>
      </w:tr>
      <w:tr w:rsidR="009A7A59" w14:paraId="6FF51831"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7FF8A678" w14:textId="77777777" w:rsidR="009A7A59" w:rsidRDefault="00000000">
            <w:pPr>
              <w:jc w:val="left"/>
              <w:rPr>
                <w:szCs w:val="21"/>
              </w:rPr>
            </w:pPr>
            <w:r>
              <w:rPr>
                <w:rFonts w:hint="eastAsia"/>
                <w:color w:val="000000"/>
                <w:sz w:val="22"/>
                <w:szCs w:val="22"/>
              </w:rPr>
              <w:t>18</w:t>
            </w:r>
          </w:p>
        </w:tc>
        <w:tc>
          <w:tcPr>
            <w:tcW w:w="6287" w:type="dxa"/>
            <w:tcBorders>
              <w:top w:val="single" w:sz="4" w:space="0" w:color="auto"/>
              <w:left w:val="single" w:sz="4" w:space="0" w:color="auto"/>
              <w:bottom w:val="single" w:sz="4" w:space="0" w:color="auto"/>
              <w:right w:val="single" w:sz="4" w:space="0" w:color="auto"/>
            </w:tcBorders>
          </w:tcPr>
          <w:p w14:paraId="011742C2" w14:textId="77777777" w:rsidR="009A7A59" w:rsidRDefault="00000000">
            <w:pPr>
              <w:jc w:val="left"/>
              <w:rPr>
                <w:color w:val="000000"/>
                <w:sz w:val="22"/>
                <w:szCs w:val="22"/>
              </w:rPr>
            </w:pPr>
            <w:r>
              <w:rPr>
                <w:rFonts w:hint="eastAsia"/>
              </w:rPr>
              <w:t>富荣基金管理有限公司关于提醒投资者防范不法分子假冒本公司名义从事诈骗活动的公告</w:t>
            </w:r>
          </w:p>
        </w:tc>
        <w:tc>
          <w:tcPr>
            <w:tcW w:w="1399" w:type="dxa"/>
            <w:gridSpan w:val="2"/>
            <w:tcBorders>
              <w:top w:val="single" w:sz="4" w:space="0" w:color="auto"/>
              <w:left w:val="single" w:sz="4" w:space="0" w:color="auto"/>
              <w:bottom w:val="single" w:sz="4" w:space="0" w:color="auto"/>
              <w:right w:val="single" w:sz="4" w:space="0" w:color="auto"/>
            </w:tcBorders>
          </w:tcPr>
          <w:p w14:paraId="7468B503" w14:textId="77777777" w:rsidR="009A7A59" w:rsidRDefault="00000000">
            <w:pPr>
              <w:jc w:val="left"/>
              <w:rPr>
                <w:color w:val="000000"/>
                <w:sz w:val="22"/>
                <w:szCs w:val="22"/>
              </w:rPr>
            </w:pPr>
            <w:r>
              <w:t>2024-08-16</w:t>
            </w:r>
          </w:p>
        </w:tc>
      </w:tr>
      <w:tr w:rsidR="009A7A59" w14:paraId="1B015AAD"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28AE0EF5" w14:textId="77777777" w:rsidR="009A7A59" w:rsidRDefault="00000000">
            <w:pPr>
              <w:jc w:val="left"/>
              <w:rPr>
                <w:szCs w:val="21"/>
              </w:rPr>
            </w:pPr>
            <w:r>
              <w:rPr>
                <w:rFonts w:hint="eastAsia"/>
                <w:color w:val="000000"/>
                <w:sz w:val="22"/>
                <w:szCs w:val="22"/>
              </w:rPr>
              <w:t>19</w:t>
            </w:r>
          </w:p>
        </w:tc>
        <w:tc>
          <w:tcPr>
            <w:tcW w:w="6287" w:type="dxa"/>
            <w:tcBorders>
              <w:top w:val="single" w:sz="4" w:space="0" w:color="auto"/>
              <w:left w:val="single" w:sz="4" w:space="0" w:color="auto"/>
              <w:bottom w:val="single" w:sz="4" w:space="0" w:color="auto"/>
              <w:right w:val="single" w:sz="4" w:space="0" w:color="auto"/>
            </w:tcBorders>
          </w:tcPr>
          <w:p w14:paraId="388089EC" w14:textId="77777777" w:rsidR="009A7A59" w:rsidRDefault="00000000">
            <w:pPr>
              <w:jc w:val="left"/>
              <w:rPr>
                <w:color w:val="000000"/>
                <w:sz w:val="22"/>
                <w:szCs w:val="22"/>
              </w:rPr>
            </w:pPr>
            <w:r>
              <w:rPr>
                <w:rFonts w:hint="eastAsia"/>
              </w:rPr>
              <w:t>富荣基金管理有限公司关于终止北京中</w:t>
            </w:r>
            <w:proofErr w:type="gramStart"/>
            <w:r>
              <w:rPr>
                <w:rFonts w:hint="eastAsia"/>
              </w:rPr>
              <w:t>植基金</w:t>
            </w:r>
            <w:proofErr w:type="gramEnd"/>
            <w:r>
              <w:rPr>
                <w:rFonts w:hint="eastAsia"/>
              </w:rPr>
              <w:t>销售有限公司办理旗下基金相关销售业务的公告</w:t>
            </w:r>
          </w:p>
        </w:tc>
        <w:tc>
          <w:tcPr>
            <w:tcW w:w="1399" w:type="dxa"/>
            <w:gridSpan w:val="2"/>
            <w:tcBorders>
              <w:top w:val="single" w:sz="4" w:space="0" w:color="auto"/>
              <w:left w:val="single" w:sz="4" w:space="0" w:color="auto"/>
              <w:bottom w:val="single" w:sz="4" w:space="0" w:color="auto"/>
              <w:right w:val="single" w:sz="4" w:space="0" w:color="auto"/>
            </w:tcBorders>
          </w:tcPr>
          <w:p w14:paraId="3637F010" w14:textId="77777777" w:rsidR="009A7A59" w:rsidRDefault="00000000">
            <w:pPr>
              <w:jc w:val="left"/>
              <w:rPr>
                <w:color w:val="000000"/>
                <w:sz w:val="22"/>
                <w:szCs w:val="22"/>
              </w:rPr>
            </w:pPr>
            <w:r>
              <w:t>2024-08-28</w:t>
            </w:r>
          </w:p>
        </w:tc>
      </w:tr>
      <w:tr w:rsidR="009A7A59" w14:paraId="70E117B7"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1E004F8E" w14:textId="77777777" w:rsidR="009A7A59" w:rsidRDefault="00000000">
            <w:pPr>
              <w:jc w:val="left"/>
              <w:rPr>
                <w:szCs w:val="21"/>
              </w:rPr>
            </w:pPr>
            <w:r>
              <w:rPr>
                <w:rFonts w:hint="eastAsia"/>
                <w:color w:val="000000"/>
                <w:sz w:val="22"/>
                <w:szCs w:val="22"/>
              </w:rPr>
              <w:t>20</w:t>
            </w:r>
          </w:p>
        </w:tc>
        <w:tc>
          <w:tcPr>
            <w:tcW w:w="6287" w:type="dxa"/>
            <w:tcBorders>
              <w:top w:val="single" w:sz="4" w:space="0" w:color="auto"/>
              <w:left w:val="single" w:sz="4" w:space="0" w:color="auto"/>
              <w:bottom w:val="single" w:sz="4" w:space="0" w:color="auto"/>
              <w:right w:val="single" w:sz="4" w:space="0" w:color="auto"/>
            </w:tcBorders>
          </w:tcPr>
          <w:p w14:paraId="0CF8B09D" w14:textId="77777777" w:rsidR="009A7A59" w:rsidRDefault="00000000">
            <w:pPr>
              <w:jc w:val="left"/>
              <w:rPr>
                <w:color w:val="000000"/>
                <w:sz w:val="22"/>
                <w:szCs w:val="22"/>
              </w:rPr>
            </w:pPr>
            <w:r>
              <w:rPr>
                <w:rFonts w:hint="eastAsia"/>
              </w:rPr>
              <w:t>富荣基金管理有限公司旗下全部基金</w:t>
            </w:r>
            <w:r>
              <w:rPr>
                <w:rFonts w:hint="eastAsia"/>
              </w:rPr>
              <w:t>2024</w:t>
            </w:r>
            <w:r>
              <w:rPr>
                <w:rFonts w:hint="eastAsia"/>
              </w:rPr>
              <w:t>年中期报告提示性公告</w:t>
            </w:r>
          </w:p>
        </w:tc>
        <w:tc>
          <w:tcPr>
            <w:tcW w:w="1399" w:type="dxa"/>
            <w:gridSpan w:val="2"/>
            <w:tcBorders>
              <w:top w:val="single" w:sz="4" w:space="0" w:color="auto"/>
              <w:left w:val="single" w:sz="4" w:space="0" w:color="auto"/>
              <w:bottom w:val="single" w:sz="4" w:space="0" w:color="auto"/>
              <w:right w:val="single" w:sz="4" w:space="0" w:color="auto"/>
            </w:tcBorders>
          </w:tcPr>
          <w:p w14:paraId="3B9C2916" w14:textId="77777777" w:rsidR="009A7A59" w:rsidRDefault="00000000">
            <w:pPr>
              <w:jc w:val="left"/>
              <w:rPr>
                <w:color w:val="000000"/>
                <w:sz w:val="22"/>
                <w:szCs w:val="22"/>
              </w:rPr>
            </w:pPr>
            <w:r>
              <w:t>2024-08-31</w:t>
            </w:r>
          </w:p>
        </w:tc>
      </w:tr>
      <w:tr w:rsidR="009A7A59" w14:paraId="612760FD"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0657C8D0" w14:textId="77777777" w:rsidR="009A7A59" w:rsidRDefault="00000000">
            <w:pPr>
              <w:jc w:val="left"/>
              <w:rPr>
                <w:szCs w:val="21"/>
              </w:rPr>
            </w:pPr>
            <w:r>
              <w:rPr>
                <w:rFonts w:hint="eastAsia"/>
                <w:color w:val="000000"/>
                <w:sz w:val="22"/>
                <w:szCs w:val="22"/>
              </w:rPr>
              <w:t>21</w:t>
            </w:r>
          </w:p>
        </w:tc>
        <w:tc>
          <w:tcPr>
            <w:tcW w:w="6287" w:type="dxa"/>
            <w:tcBorders>
              <w:top w:val="single" w:sz="4" w:space="0" w:color="auto"/>
              <w:left w:val="single" w:sz="4" w:space="0" w:color="auto"/>
              <w:bottom w:val="single" w:sz="4" w:space="0" w:color="auto"/>
              <w:right w:val="single" w:sz="4" w:space="0" w:color="auto"/>
            </w:tcBorders>
          </w:tcPr>
          <w:p w14:paraId="70BF7474" w14:textId="77777777" w:rsidR="009A7A59" w:rsidRDefault="00000000">
            <w:pPr>
              <w:jc w:val="left"/>
              <w:rPr>
                <w:color w:val="000000"/>
                <w:sz w:val="22"/>
                <w:szCs w:val="22"/>
              </w:rPr>
            </w:pPr>
            <w:r>
              <w:rPr>
                <w:rFonts w:hint="eastAsia"/>
              </w:rPr>
              <w:t>富荣基金管理有限公司旗下全部基金</w:t>
            </w:r>
            <w:r>
              <w:rPr>
                <w:rFonts w:hint="eastAsia"/>
              </w:rPr>
              <w:t>2024</w:t>
            </w:r>
            <w:r>
              <w:rPr>
                <w:rFonts w:hint="eastAsia"/>
              </w:rPr>
              <w:t>年第</w:t>
            </w:r>
            <w:r>
              <w:rPr>
                <w:rFonts w:hint="eastAsia"/>
              </w:rPr>
              <w:t>3</w:t>
            </w:r>
            <w:r>
              <w:rPr>
                <w:rFonts w:hint="eastAsia"/>
              </w:rPr>
              <w:t>季度报告提示性公告</w:t>
            </w:r>
          </w:p>
        </w:tc>
        <w:tc>
          <w:tcPr>
            <w:tcW w:w="1399" w:type="dxa"/>
            <w:gridSpan w:val="2"/>
            <w:tcBorders>
              <w:top w:val="single" w:sz="4" w:space="0" w:color="auto"/>
              <w:left w:val="single" w:sz="4" w:space="0" w:color="auto"/>
              <w:bottom w:val="single" w:sz="4" w:space="0" w:color="auto"/>
              <w:right w:val="single" w:sz="4" w:space="0" w:color="auto"/>
            </w:tcBorders>
          </w:tcPr>
          <w:p w14:paraId="7BE37C60" w14:textId="77777777" w:rsidR="009A7A59" w:rsidRDefault="00000000">
            <w:pPr>
              <w:jc w:val="left"/>
              <w:rPr>
                <w:color w:val="000000"/>
                <w:sz w:val="22"/>
                <w:szCs w:val="22"/>
              </w:rPr>
            </w:pPr>
            <w:r>
              <w:t>2024-10-25</w:t>
            </w:r>
          </w:p>
        </w:tc>
      </w:tr>
      <w:tr w:rsidR="009A7A59" w14:paraId="40E530DC"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3EC0BC53" w14:textId="77777777" w:rsidR="009A7A59" w:rsidRDefault="00000000">
            <w:pPr>
              <w:jc w:val="left"/>
              <w:rPr>
                <w:szCs w:val="21"/>
              </w:rPr>
            </w:pPr>
            <w:r>
              <w:rPr>
                <w:rFonts w:hint="eastAsia"/>
                <w:color w:val="000000"/>
                <w:sz w:val="22"/>
                <w:szCs w:val="22"/>
              </w:rPr>
              <w:lastRenderedPageBreak/>
              <w:t>22</w:t>
            </w:r>
          </w:p>
        </w:tc>
        <w:tc>
          <w:tcPr>
            <w:tcW w:w="6287" w:type="dxa"/>
            <w:tcBorders>
              <w:top w:val="single" w:sz="4" w:space="0" w:color="auto"/>
              <w:left w:val="single" w:sz="4" w:space="0" w:color="auto"/>
              <w:bottom w:val="single" w:sz="4" w:space="0" w:color="auto"/>
              <w:right w:val="single" w:sz="4" w:space="0" w:color="auto"/>
            </w:tcBorders>
          </w:tcPr>
          <w:p w14:paraId="0305A402" w14:textId="77777777" w:rsidR="009A7A59" w:rsidRDefault="00000000">
            <w:pPr>
              <w:jc w:val="left"/>
              <w:rPr>
                <w:color w:val="000000"/>
                <w:sz w:val="22"/>
                <w:szCs w:val="22"/>
              </w:rPr>
            </w:pPr>
            <w:r>
              <w:rPr>
                <w:rFonts w:hint="eastAsia"/>
              </w:rPr>
              <w:t>富荣基金管理有限公司高级管理人员变更公告</w:t>
            </w:r>
          </w:p>
        </w:tc>
        <w:tc>
          <w:tcPr>
            <w:tcW w:w="1399" w:type="dxa"/>
            <w:gridSpan w:val="2"/>
            <w:tcBorders>
              <w:top w:val="single" w:sz="4" w:space="0" w:color="auto"/>
              <w:left w:val="single" w:sz="4" w:space="0" w:color="auto"/>
              <w:bottom w:val="single" w:sz="4" w:space="0" w:color="auto"/>
              <w:right w:val="single" w:sz="4" w:space="0" w:color="auto"/>
            </w:tcBorders>
          </w:tcPr>
          <w:p w14:paraId="0A718AC4" w14:textId="77777777" w:rsidR="009A7A59" w:rsidRDefault="00000000">
            <w:pPr>
              <w:jc w:val="left"/>
              <w:rPr>
                <w:color w:val="000000"/>
                <w:sz w:val="22"/>
                <w:szCs w:val="22"/>
              </w:rPr>
            </w:pPr>
            <w:r>
              <w:t>2024-11-07</w:t>
            </w:r>
          </w:p>
        </w:tc>
      </w:tr>
      <w:tr w:rsidR="009A7A59" w14:paraId="391BA773"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33904679" w14:textId="77777777" w:rsidR="009A7A59" w:rsidRDefault="00000000">
            <w:pPr>
              <w:jc w:val="left"/>
              <w:rPr>
                <w:szCs w:val="21"/>
              </w:rPr>
            </w:pPr>
            <w:r>
              <w:rPr>
                <w:rFonts w:hint="eastAsia"/>
                <w:color w:val="000000"/>
                <w:sz w:val="22"/>
                <w:szCs w:val="22"/>
              </w:rPr>
              <w:t>23</w:t>
            </w:r>
          </w:p>
        </w:tc>
        <w:tc>
          <w:tcPr>
            <w:tcW w:w="6287" w:type="dxa"/>
            <w:tcBorders>
              <w:top w:val="single" w:sz="4" w:space="0" w:color="auto"/>
              <w:left w:val="single" w:sz="4" w:space="0" w:color="auto"/>
              <w:bottom w:val="single" w:sz="4" w:space="0" w:color="auto"/>
              <w:right w:val="single" w:sz="4" w:space="0" w:color="auto"/>
            </w:tcBorders>
          </w:tcPr>
          <w:p w14:paraId="40EC635A" w14:textId="77777777" w:rsidR="009A7A59" w:rsidRDefault="00000000">
            <w:pPr>
              <w:jc w:val="left"/>
              <w:rPr>
                <w:color w:val="000000"/>
                <w:sz w:val="22"/>
                <w:szCs w:val="22"/>
              </w:rPr>
            </w:pPr>
            <w:r>
              <w:rPr>
                <w:rFonts w:hint="eastAsia"/>
              </w:rPr>
              <w:t>富荣基金管理有限公司关于旗下部分基金新</w:t>
            </w:r>
            <w:proofErr w:type="gramStart"/>
            <w:r>
              <w:rPr>
                <w:rFonts w:hint="eastAsia"/>
              </w:rPr>
              <w:t>增广发</w:t>
            </w:r>
            <w:proofErr w:type="gramEnd"/>
            <w:r>
              <w:rPr>
                <w:rFonts w:hint="eastAsia"/>
              </w:rPr>
              <w:t>期货有限公司为销售机构、开通基金定期定额投资业务和基金转换业务并参加申购及定期定额投资申购费率优惠活动的公告</w:t>
            </w:r>
          </w:p>
        </w:tc>
        <w:tc>
          <w:tcPr>
            <w:tcW w:w="1399" w:type="dxa"/>
            <w:gridSpan w:val="2"/>
            <w:tcBorders>
              <w:top w:val="single" w:sz="4" w:space="0" w:color="auto"/>
              <w:left w:val="single" w:sz="4" w:space="0" w:color="auto"/>
              <w:bottom w:val="single" w:sz="4" w:space="0" w:color="auto"/>
              <w:right w:val="single" w:sz="4" w:space="0" w:color="auto"/>
            </w:tcBorders>
          </w:tcPr>
          <w:p w14:paraId="47AC53E7" w14:textId="77777777" w:rsidR="009A7A59" w:rsidRDefault="00000000">
            <w:pPr>
              <w:jc w:val="left"/>
              <w:rPr>
                <w:color w:val="000000"/>
                <w:sz w:val="22"/>
                <w:szCs w:val="22"/>
              </w:rPr>
            </w:pPr>
            <w:r>
              <w:t>2024-12-02</w:t>
            </w:r>
          </w:p>
        </w:tc>
      </w:tr>
      <w:tr w:rsidR="009A7A59" w14:paraId="46E56FC1" w14:textId="77777777">
        <w:trPr>
          <w:trHeight w:val="386"/>
        </w:trPr>
        <w:tc>
          <w:tcPr>
            <w:tcW w:w="708" w:type="dxa"/>
            <w:gridSpan w:val="2"/>
            <w:tcBorders>
              <w:top w:val="single" w:sz="4" w:space="0" w:color="auto"/>
              <w:left w:val="single" w:sz="4" w:space="0" w:color="auto"/>
              <w:bottom w:val="single" w:sz="4" w:space="0" w:color="auto"/>
              <w:right w:val="single" w:sz="4" w:space="0" w:color="auto"/>
            </w:tcBorders>
          </w:tcPr>
          <w:p w14:paraId="74F3BB25" w14:textId="77777777" w:rsidR="009A7A59" w:rsidRDefault="00000000">
            <w:pPr>
              <w:jc w:val="left"/>
              <w:rPr>
                <w:szCs w:val="21"/>
              </w:rPr>
            </w:pPr>
            <w:r>
              <w:rPr>
                <w:rFonts w:hint="eastAsia"/>
                <w:color w:val="000000"/>
                <w:sz w:val="22"/>
                <w:szCs w:val="22"/>
              </w:rPr>
              <w:t>24</w:t>
            </w:r>
          </w:p>
        </w:tc>
        <w:tc>
          <w:tcPr>
            <w:tcW w:w="6287" w:type="dxa"/>
            <w:tcBorders>
              <w:top w:val="single" w:sz="4" w:space="0" w:color="auto"/>
              <w:left w:val="single" w:sz="4" w:space="0" w:color="auto"/>
              <w:bottom w:val="single" w:sz="4" w:space="0" w:color="auto"/>
              <w:right w:val="single" w:sz="4" w:space="0" w:color="auto"/>
            </w:tcBorders>
          </w:tcPr>
          <w:p w14:paraId="455F6883" w14:textId="77777777" w:rsidR="009A7A59" w:rsidRDefault="00000000">
            <w:pPr>
              <w:jc w:val="left"/>
              <w:rPr>
                <w:color w:val="000000"/>
                <w:sz w:val="22"/>
                <w:szCs w:val="22"/>
              </w:rPr>
            </w:pPr>
            <w:r>
              <w:rPr>
                <w:rFonts w:hint="eastAsia"/>
              </w:rPr>
              <w:t>富荣基金管理有限公司基金行业高级管理人员变更公告</w:t>
            </w:r>
          </w:p>
        </w:tc>
        <w:tc>
          <w:tcPr>
            <w:tcW w:w="1399" w:type="dxa"/>
            <w:gridSpan w:val="2"/>
            <w:tcBorders>
              <w:top w:val="single" w:sz="4" w:space="0" w:color="auto"/>
              <w:left w:val="single" w:sz="4" w:space="0" w:color="auto"/>
              <w:bottom w:val="single" w:sz="4" w:space="0" w:color="auto"/>
              <w:right w:val="single" w:sz="4" w:space="0" w:color="auto"/>
            </w:tcBorders>
          </w:tcPr>
          <w:p w14:paraId="78393CFB" w14:textId="77777777" w:rsidR="009A7A59" w:rsidRDefault="00000000">
            <w:pPr>
              <w:jc w:val="left"/>
              <w:rPr>
                <w:color w:val="000000"/>
                <w:sz w:val="22"/>
                <w:szCs w:val="22"/>
              </w:rPr>
            </w:pPr>
            <w:r>
              <w:t>2024-12-03</w:t>
            </w:r>
          </w:p>
        </w:tc>
      </w:tr>
      <w:tr w:rsidR="009A7A59" w14:paraId="79678224" w14:textId="77777777">
        <w:trPr>
          <w:gridBefore w:val="1"/>
          <w:gridAfter w:val="1"/>
          <w:wBefore w:w="6" w:type="dxa"/>
          <w:wAfter w:w="30" w:type="dxa"/>
          <w:trHeight w:val="386"/>
        </w:trPr>
        <w:tc>
          <w:tcPr>
            <w:tcW w:w="702" w:type="dxa"/>
            <w:tcBorders>
              <w:top w:val="single" w:sz="4" w:space="0" w:color="auto"/>
              <w:left w:val="single" w:sz="4" w:space="0" w:color="auto"/>
              <w:bottom w:val="single" w:sz="4" w:space="0" w:color="auto"/>
              <w:right w:val="single" w:sz="4" w:space="0" w:color="auto"/>
            </w:tcBorders>
          </w:tcPr>
          <w:p w14:paraId="0D200602" w14:textId="77777777" w:rsidR="009A7A59" w:rsidRDefault="00000000">
            <w:pPr>
              <w:jc w:val="left"/>
              <w:rPr>
                <w:color w:val="000000"/>
                <w:sz w:val="22"/>
                <w:szCs w:val="22"/>
              </w:rPr>
            </w:pPr>
            <w:r>
              <w:rPr>
                <w:rFonts w:hint="eastAsia"/>
                <w:color w:val="000000"/>
                <w:sz w:val="22"/>
                <w:szCs w:val="22"/>
              </w:rPr>
              <w:t>25</w:t>
            </w:r>
          </w:p>
        </w:tc>
        <w:tc>
          <w:tcPr>
            <w:tcW w:w="6287" w:type="dxa"/>
            <w:tcBorders>
              <w:top w:val="single" w:sz="4" w:space="0" w:color="auto"/>
              <w:left w:val="single" w:sz="4" w:space="0" w:color="auto"/>
              <w:bottom w:val="single" w:sz="4" w:space="0" w:color="auto"/>
              <w:right w:val="single" w:sz="4" w:space="0" w:color="auto"/>
            </w:tcBorders>
          </w:tcPr>
          <w:p w14:paraId="2093377F" w14:textId="77777777" w:rsidR="009A7A59" w:rsidRDefault="00000000">
            <w:pPr>
              <w:jc w:val="left"/>
            </w:pPr>
            <w:r>
              <w:rPr>
                <w:rFonts w:hint="eastAsia"/>
              </w:rPr>
              <w:t>富荣基金管理有限公司基金行业高级管理人员变更公告</w:t>
            </w:r>
          </w:p>
        </w:tc>
        <w:tc>
          <w:tcPr>
            <w:tcW w:w="1369" w:type="dxa"/>
            <w:tcBorders>
              <w:top w:val="single" w:sz="4" w:space="0" w:color="auto"/>
              <w:left w:val="single" w:sz="4" w:space="0" w:color="auto"/>
              <w:bottom w:val="single" w:sz="4" w:space="0" w:color="auto"/>
              <w:right w:val="single" w:sz="4" w:space="0" w:color="auto"/>
            </w:tcBorders>
          </w:tcPr>
          <w:p w14:paraId="4AC4C287" w14:textId="77777777" w:rsidR="009A7A59" w:rsidRDefault="00000000">
            <w:pPr>
              <w:jc w:val="left"/>
            </w:pPr>
            <w:r>
              <w:t>2024-12-03</w:t>
            </w:r>
          </w:p>
        </w:tc>
      </w:tr>
      <w:tr w:rsidR="009A7A59" w14:paraId="4845774A" w14:textId="77777777">
        <w:trPr>
          <w:gridBefore w:val="1"/>
          <w:gridAfter w:val="1"/>
          <w:wBefore w:w="6" w:type="dxa"/>
          <w:wAfter w:w="30" w:type="dxa"/>
          <w:trHeight w:val="386"/>
        </w:trPr>
        <w:tc>
          <w:tcPr>
            <w:tcW w:w="702" w:type="dxa"/>
            <w:tcBorders>
              <w:top w:val="single" w:sz="4" w:space="0" w:color="auto"/>
              <w:left w:val="single" w:sz="4" w:space="0" w:color="auto"/>
              <w:bottom w:val="single" w:sz="4" w:space="0" w:color="auto"/>
              <w:right w:val="single" w:sz="4" w:space="0" w:color="auto"/>
            </w:tcBorders>
          </w:tcPr>
          <w:p w14:paraId="0E7CC920" w14:textId="77777777" w:rsidR="009A7A59" w:rsidRDefault="00000000">
            <w:pPr>
              <w:jc w:val="left"/>
              <w:rPr>
                <w:color w:val="000000"/>
                <w:sz w:val="22"/>
                <w:szCs w:val="22"/>
              </w:rPr>
            </w:pPr>
            <w:r>
              <w:rPr>
                <w:rFonts w:hint="eastAsia"/>
                <w:color w:val="000000"/>
                <w:sz w:val="22"/>
                <w:szCs w:val="22"/>
              </w:rPr>
              <w:t>26</w:t>
            </w:r>
          </w:p>
        </w:tc>
        <w:tc>
          <w:tcPr>
            <w:tcW w:w="6287" w:type="dxa"/>
            <w:tcBorders>
              <w:top w:val="single" w:sz="4" w:space="0" w:color="auto"/>
              <w:left w:val="single" w:sz="4" w:space="0" w:color="auto"/>
              <w:bottom w:val="single" w:sz="4" w:space="0" w:color="auto"/>
              <w:right w:val="single" w:sz="4" w:space="0" w:color="auto"/>
            </w:tcBorders>
          </w:tcPr>
          <w:p w14:paraId="643C8419" w14:textId="77777777" w:rsidR="009A7A59" w:rsidRDefault="00000000">
            <w:pPr>
              <w:jc w:val="left"/>
            </w:pPr>
            <w:r>
              <w:rPr>
                <w:rFonts w:hint="eastAsia"/>
              </w:rPr>
              <w:t>富荣基金管理有限公司旗下全部基金</w:t>
            </w:r>
            <w:r>
              <w:rPr>
                <w:rFonts w:hint="eastAsia"/>
              </w:rPr>
              <w:t>2024</w:t>
            </w:r>
            <w:r>
              <w:rPr>
                <w:rFonts w:hint="eastAsia"/>
              </w:rPr>
              <w:t>年第</w:t>
            </w:r>
            <w:r>
              <w:rPr>
                <w:rFonts w:hint="eastAsia"/>
              </w:rPr>
              <w:t>4</w:t>
            </w:r>
            <w:r>
              <w:rPr>
                <w:rFonts w:hint="eastAsia"/>
              </w:rPr>
              <w:t>季度报告提示性公告</w:t>
            </w:r>
          </w:p>
        </w:tc>
        <w:tc>
          <w:tcPr>
            <w:tcW w:w="1369" w:type="dxa"/>
            <w:tcBorders>
              <w:top w:val="single" w:sz="4" w:space="0" w:color="auto"/>
              <w:left w:val="single" w:sz="4" w:space="0" w:color="auto"/>
              <w:bottom w:val="single" w:sz="4" w:space="0" w:color="auto"/>
              <w:right w:val="single" w:sz="4" w:space="0" w:color="auto"/>
            </w:tcBorders>
          </w:tcPr>
          <w:p w14:paraId="00A4AB1F" w14:textId="77777777" w:rsidR="009A7A59" w:rsidRDefault="00000000">
            <w:pPr>
              <w:jc w:val="left"/>
            </w:pPr>
            <w:r>
              <w:t>2025-01-22</w:t>
            </w:r>
          </w:p>
        </w:tc>
      </w:tr>
    </w:tbl>
    <w:p w14:paraId="43A1DF73" w14:textId="77777777" w:rsidR="009A7A59" w:rsidRDefault="009A7A59">
      <w:pPr>
        <w:ind w:firstLine="484"/>
        <w:jc w:val="left"/>
        <w:rPr>
          <w:b/>
          <w:bCs/>
          <w:kern w:val="44"/>
          <w:sz w:val="24"/>
          <w:szCs w:val="44"/>
        </w:rPr>
        <w:sectPr w:rsidR="009A7A59">
          <w:headerReference w:type="first" r:id="rId49"/>
          <w:pgSz w:w="11906" w:h="16838"/>
          <w:pgMar w:top="1440" w:right="1800" w:bottom="1440" w:left="1800" w:header="851" w:footer="992" w:gutter="0"/>
          <w:cols w:space="720"/>
          <w:titlePg/>
          <w:docGrid w:linePitch="312"/>
        </w:sectPr>
      </w:pPr>
    </w:p>
    <w:p w14:paraId="340616E5" w14:textId="77777777" w:rsidR="009A7A59" w:rsidRDefault="00000000">
      <w:pPr>
        <w:pStyle w:val="11"/>
        <w:snapToGrid w:val="0"/>
        <w:spacing w:before="0" w:after="0" w:line="360" w:lineRule="auto"/>
        <w:rPr>
          <w:rFonts w:ascii="Arial Unicode MS" w:eastAsia="宋体" w:hAnsi="Arial Unicode MS" w:cs="Arial" w:hint="eastAsia"/>
          <w:b/>
          <w:bCs/>
          <w:sz w:val="28"/>
          <w:szCs w:val="28"/>
        </w:rPr>
      </w:pPr>
      <w:bookmarkStart w:id="168" w:name="_Toc6367645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1"/>
      <w:bookmarkEnd w:id="162"/>
      <w:bookmarkEnd w:id="163"/>
      <w:bookmarkEnd w:id="164"/>
      <w:bookmarkEnd w:id="165"/>
      <w:bookmarkEnd w:id="166"/>
      <w:bookmarkEnd w:id="168"/>
    </w:p>
    <w:p w14:paraId="68A91A0B" w14:textId="77777777" w:rsidR="009A7A59" w:rsidRDefault="009A7A59"/>
    <w:p w14:paraId="3A590372" w14:textId="77777777" w:rsidR="009A7A59" w:rsidRDefault="00000000">
      <w:pPr>
        <w:widowControl/>
        <w:snapToGrid w:val="0"/>
        <w:spacing w:line="360" w:lineRule="auto"/>
        <w:ind w:firstLineChars="200" w:firstLine="420"/>
        <w:rPr>
          <w:rFonts w:ascii="Arial Unicode MS" w:hAnsi="Arial Unicode MS" w:cs="Arial" w:hint="eastAsia"/>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03E5F207" w14:textId="77777777" w:rsidR="009A7A59" w:rsidRDefault="00000000">
      <w:pPr>
        <w:widowControl/>
        <w:snapToGrid w:val="0"/>
        <w:spacing w:line="360" w:lineRule="auto"/>
        <w:ind w:firstLineChars="200" w:firstLine="420"/>
        <w:rPr>
          <w:rFonts w:ascii="Arial Unicode MS" w:hAnsi="Arial Unicode MS" w:cs="Arial" w:hint="eastAsia"/>
          <w:kern w:val="0"/>
          <w:szCs w:val="21"/>
        </w:rPr>
        <w:sectPr w:rsidR="009A7A59">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14:paraId="2782A034" w14:textId="77777777" w:rsidR="009A7A59" w:rsidRDefault="00000000">
      <w:pPr>
        <w:pStyle w:val="11"/>
        <w:snapToGrid w:val="0"/>
        <w:spacing w:before="0" w:after="0" w:line="360" w:lineRule="auto"/>
        <w:ind w:firstLineChars="150" w:firstLine="422"/>
        <w:rPr>
          <w:rFonts w:ascii="Arial Unicode MS" w:eastAsia="宋体" w:hAnsi="Arial Unicode MS" w:cs="Arial" w:hint="eastAsia"/>
          <w:b/>
          <w:bCs/>
          <w:sz w:val="28"/>
          <w:szCs w:val="28"/>
        </w:rPr>
      </w:pPr>
      <w:bookmarkStart w:id="169" w:name="_Toc335232710"/>
      <w:bookmarkStart w:id="170" w:name="_Toc214873623"/>
      <w:bookmarkStart w:id="171" w:name="_Toc530223199"/>
      <w:bookmarkStart w:id="172" w:name="_Toc63676459"/>
      <w:bookmarkStart w:id="173" w:name="_Toc317088167"/>
      <w:bookmarkStart w:id="174" w:name="_Toc317088556"/>
      <w:bookmarkStart w:id="175" w:name="_Toc320887661"/>
      <w:bookmarkEnd w:id="16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备查文件</w:t>
      </w:r>
      <w:bookmarkEnd w:id="169"/>
      <w:bookmarkEnd w:id="170"/>
      <w:bookmarkEnd w:id="171"/>
      <w:bookmarkEnd w:id="172"/>
      <w:bookmarkEnd w:id="173"/>
      <w:bookmarkEnd w:id="174"/>
      <w:bookmarkEnd w:id="175"/>
    </w:p>
    <w:p w14:paraId="5948C46E" w14:textId="77777777" w:rsidR="009A7A59" w:rsidRDefault="009A7A59">
      <w:pPr>
        <w:ind w:firstLine="315"/>
      </w:pPr>
    </w:p>
    <w:p w14:paraId="57A48C1F"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以下备查文件存放在基金管理人的办公场所，在办公时间可供免费查阅。</w:t>
      </w:r>
    </w:p>
    <w:p w14:paraId="5EA06B22"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（一）中国证监会</w:t>
      </w:r>
      <w:r>
        <w:rPr>
          <w:rFonts w:ascii="Arial Unicode MS" w:hAnsi="Arial Unicode MS" w:cs="Arial" w:hint="eastAsia"/>
          <w:szCs w:val="21"/>
        </w:rPr>
        <w:t>准予</w:t>
      </w:r>
      <w:r>
        <w:rPr>
          <w:rFonts w:ascii="Arial Unicode MS" w:hAnsi="Arial Unicode MS" w:cs="Arial"/>
          <w:szCs w:val="21"/>
        </w:rPr>
        <w:t>富荣富</w:t>
      </w:r>
      <w:proofErr w:type="gramStart"/>
      <w:r>
        <w:rPr>
          <w:rFonts w:ascii="Arial Unicode MS" w:hAnsi="Arial Unicode MS" w:cs="Arial"/>
          <w:szCs w:val="21"/>
        </w:rPr>
        <w:t>兴纯债</w:t>
      </w:r>
      <w:proofErr w:type="gramEnd"/>
      <w:r>
        <w:rPr>
          <w:rFonts w:ascii="Arial Unicode MS" w:hAnsi="Arial Unicode MS" w:cs="Arial"/>
          <w:szCs w:val="21"/>
        </w:rPr>
        <w:t>债券型证券投资基金</w:t>
      </w:r>
      <w:r>
        <w:rPr>
          <w:rFonts w:ascii="Arial Unicode MS" w:hAnsi="Arial Unicode MS" w:cs="Arial" w:hint="eastAsia"/>
          <w:szCs w:val="21"/>
        </w:rPr>
        <w:t>变更注册</w:t>
      </w:r>
      <w:r>
        <w:rPr>
          <w:rFonts w:ascii="Arial Unicode MS" w:hAnsi="Arial Unicode MS" w:cs="Arial"/>
          <w:szCs w:val="21"/>
        </w:rPr>
        <w:t>的文件</w:t>
      </w:r>
    </w:p>
    <w:p w14:paraId="4B3AEA71"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（二）《富荣富兴纯债债券型证券投资基金基金合同》</w:t>
      </w:r>
    </w:p>
    <w:p w14:paraId="2E40CAE4"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三</w:t>
      </w:r>
      <w:r>
        <w:rPr>
          <w:rFonts w:ascii="Arial Unicode MS" w:hAnsi="Arial Unicode MS" w:cs="Arial"/>
          <w:szCs w:val="21"/>
        </w:rPr>
        <w:t>）《富荣富兴纯债债券型证券投资基金托管协议》</w:t>
      </w:r>
    </w:p>
    <w:p w14:paraId="06B45E81"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四</w:t>
      </w:r>
      <w:r>
        <w:rPr>
          <w:rFonts w:ascii="Arial Unicode MS" w:hAnsi="Arial Unicode MS" w:cs="Arial"/>
          <w:szCs w:val="21"/>
        </w:rPr>
        <w:t>）基金管理人业务资格批件、营业执照</w:t>
      </w:r>
    </w:p>
    <w:p w14:paraId="509A2DE4"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五</w:t>
      </w:r>
      <w:r>
        <w:rPr>
          <w:rFonts w:ascii="Arial Unicode MS" w:hAnsi="Arial Unicode MS" w:cs="Arial"/>
          <w:szCs w:val="21"/>
        </w:rPr>
        <w:t>）基金托管人业务资格批件、营业执照</w:t>
      </w:r>
    </w:p>
    <w:p w14:paraId="45DF520E"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szCs w:val="21"/>
        </w:rPr>
        <w:t>（</w:t>
      </w:r>
      <w:r>
        <w:rPr>
          <w:rFonts w:ascii="Arial Unicode MS" w:hAnsi="Arial Unicode MS" w:cs="Arial" w:hint="eastAsia"/>
          <w:szCs w:val="21"/>
        </w:rPr>
        <w:t>六</w:t>
      </w:r>
      <w:r>
        <w:rPr>
          <w:rFonts w:ascii="Arial Unicode MS" w:hAnsi="Arial Unicode MS" w:cs="Arial"/>
          <w:szCs w:val="21"/>
        </w:rPr>
        <w:t>）关于申请富荣富</w:t>
      </w:r>
      <w:proofErr w:type="gramStart"/>
      <w:r>
        <w:rPr>
          <w:rFonts w:ascii="Arial Unicode MS" w:hAnsi="Arial Unicode MS" w:cs="Arial"/>
          <w:szCs w:val="21"/>
        </w:rPr>
        <w:t>兴纯债</w:t>
      </w:r>
      <w:proofErr w:type="gramEnd"/>
      <w:r>
        <w:rPr>
          <w:rFonts w:ascii="Arial Unicode MS" w:hAnsi="Arial Unicode MS" w:cs="Arial"/>
          <w:szCs w:val="21"/>
        </w:rPr>
        <w:t>债券型证券投资基金</w:t>
      </w:r>
      <w:r>
        <w:rPr>
          <w:rFonts w:ascii="Arial Unicode MS" w:hAnsi="Arial Unicode MS" w:cs="Arial" w:hint="eastAsia"/>
          <w:szCs w:val="21"/>
        </w:rPr>
        <w:t>变更注册</w:t>
      </w:r>
      <w:r>
        <w:rPr>
          <w:rFonts w:ascii="Arial Unicode MS" w:hAnsi="Arial Unicode MS" w:cs="Arial"/>
          <w:szCs w:val="21"/>
        </w:rPr>
        <w:t>之法律意见书</w:t>
      </w:r>
    </w:p>
    <w:p w14:paraId="235BAED7"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szCs w:val="21"/>
        </w:rPr>
      </w:pPr>
      <w:r>
        <w:rPr>
          <w:rFonts w:ascii="Arial Unicode MS" w:hAnsi="Arial Unicode MS" w:cs="Arial" w:hint="eastAsia"/>
          <w:szCs w:val="21"/>
        </w:rPr>
        <w:t>（七）中国证监会要求的其他文件</w:t>
      </w:r>
    </w:p>
    <w:p w14:paraId="0F4F3A16" w14:textId="77777777" w:rsidR="009A7A59" w:rsidRDefault="00000000">
      <w:pPr>
        <w:autoSpaceDE w:val="0"/>
        <w:autoSpaceDN w:val="0"/>
        <w:adjustRightInd w:val="0"/>
        <w:snapToGrid w:val="0"/>
        <w:spacing w:line="360" w:lineRule="auto"/>
        <w:ind w:firstLineChars="200" w:firstLine="420"/>
        <w:rPr>
          <w:rFonts w:ascii="Arial Unicode MS" w:hAnsi="Arial Unicode MS" w:cs="Arial" w:hint="eastAsia"/>
          <w:kern w:val="0"/>
          <w:szCs w:val="21"/>
        </w:rPr>
      </w:pPr>
      <w:r>
        <w:rPr>
          <w:rFonts w:ascii="Arial Unicode MS" w:hAnsi="Arial Unicode MS" w:cs="Arial"/>
          <w:szCs w:val="21"/>
        </w:rPr>
        <w:t>查阅方式：投资者可在营业时间免费查阅，也可按工本费购买复印件。</w:t>
      </w:r>
    </w:p>
    <w:p w14:paraId="6D741882" w14:textId="77777777" w:rsidR="009A7A59" w:rsidRDefault="009A7A59">
      <w:pPr>
        <w:spacing w:line="360" w:lineRule="auto"/>
        <w:jc w:val="right"/>
        <w:rPr>
          <w:rFonts w:ascii="Arial Unicode MS" w:hAnsi="Arial Unicode MS" w:cs="Arial" w:hint="eastAsia"/>
          <w:b/>
          <w:szCs w:val="21"/>
        </w:rPr>
      </w:pPr>
    </w:p>
    <w:p w14:paraId="19DD2E1D" w14:textId="77777777" w:rsidR="009A7A59" w:rsidRDefault="009A7A59">
      <w:pPr>
        <w:spacing w:line="360" w:lineRule="auto"/>
        <w:jc w:val="right"/>
        <w:rPr>
          <w:rFonts w:ascii="Arial Unicode MS" w:hAnsi="Arial Unicode MS" w:cs="Arial" w:hint="eastAsia"/>
          <w:b/>
          <w:szCs w:val="21"/>
        </w:rPr>
      </w:pPr>
    </w:p>
    <w:p w14:paraId="553EBDD0" w14:textId="77777777" w:rsidR="009A7A59" w:rsidRDefault="009A7A59">
      <w:pPr>
        <w:rPr>
          <w:rFonts w:ascii="Arial Unicode MS" w:hAnsi="Arial Unicode MS" w:cs="Arial" w:hint="eastAsia"/>
          <w:szCs w:val="21"/>
        </w:rPr>
      </w:pPr>
    </w:p>
    <w:p w14:paraId="6304C601" w14:textId="77777777" w:rsidR="009A7A59" w:rsidRDefault="009A7A59">
      <w:pPr>
        <w:rPr>
          <w:rFonts w:ascii="Arial Unicode MS" w:hAnsi="Arial Unicode MS" w:cs="Arial" w:hint="eastAsia"/>
          <w:szCs w:val="21"/>
        </w:rPr>
      </w:pPr>
    </w:p>
    <w:p w14:paraId="492CEE5A" w14:textId="77777777" w:rsidR="009A7A59" w:rsidRDefault="009A7A59">
      <w:pPr>
        <w:rPr>
          <w:rFonts w:ascii="Arial Unicode MS" w:hAnsi="Arial Unicode MS" w:cs="Arial" w:hint="eastAsia"/>
          <w:szCs w:val="21"/>
        </w:rPr>
      </w:pPr>
    </w:p>
    <w:p w14:paraId="5BC0D24D" w14:textId="77777777" w:rsidR="009A7A59" w:rsidRDefault="00000000">
      <w:pPr>
        <w:tabs>
          <w:tab w:val="left" w:pos="5760"/>
        </w:tabs>
        <w:rPr>
          <w:rFonts w:ascii="宋体" w:hAnsi="宋体" w:cs="Arial" w:hint="eastAsia"/>
          <w:szCs w:val="21"/>
        </w:rPr>
      </w:pPr>
      <w:r>
        <w:rPr>
          <w:rFonts w:ascii="Arial Unicode MS" w:hAnsi="Arial Unicode MS" w:cs="Arial"/>
          <w:szCs w:val="21"/>
        </w:rPr>
        <w:tab/>
      </w:r>
      <w:r>
        <w:rPr>
          <w:rFonts w:ascii="宋体" w:hAnsi="宋体" w:cs="Arial" w:hint="eastAsia"/>
          <w:szCs w:val="21"/>
        </w:rPr>
        <w:t>富荣基金管理有限公司</w:t>
      </w:r>
    </w:p>
    <w:p w14:paraId="0F50CB7D" w14:textId="77777777" w:rsidR="009A7A59" w:rsidRDefault="009A7A59">
      <w:pPr>
        <w:tabs>
          <w:tab w:val="left" w:pos="5760"/>
        </w:tabs>
        <w:rPr>
          <w:rFonts w:ascii="宋体" w:hAnsi="宋体" w:cs="Arial" w:hint="eastAsia"/>
          <w:szCs w:val="21"/>
        </w:rPr>
      </w:pPr>
    </w:p>
    <w:p w14:paraId="299B2306" w14:textId="1830E316" w:rsidR="009A7A59" w:rsidRDefault="00000000">
      <w:pPr>
        <w:tabs>
          <w:tab w:val="left" w:pos="6045"/>
        </w:tabs>
        <w:ind w:firstLineChars="2850" w:firstLine="5985"/>
        <w:jc w:val="left"/>
        <w:rPr>
          <w:rFonts w:ascii="宋体" w:hAnsi="宋体" w:cs="Arial" w:hint="eastAsia"/>
          <w:szCs w:val="21"/>
        </w:rPr>
      </w:pPr>
      <w:r>
        <w:rPr>
          <w:rFonts w:ascii="宋体" w:hAnsi="宋体" w:cs="Arial" w:hint="eastAsia"/>
          <w:szCs w:val="21"/>
        </w:rPr>
        <w:t>20</w:t>
      </w:r>
      <w:r>
        <w:rPr>
          <w:rFonts w:ascii="宋体" w:hAnsi="宋体" w:cs="Arial"/>
          <w:szCs w:val="21"/>
        </w:rPr>
        <w:t>2</w:t>
      </w:r>
      <w:r>
        <w:rPr>
          <w:rFonts w:ascii="宋体" w:hAnsi="宋体" w:cs="Arial" w:hint="eastAsia"/>
          <w:szCs w:val="21"/>
        </w:rPr>
        <w:t>5年8月7日</w:t>
      </w:r>
    </w:p>
    <w:sectPr w:rsidR="009A7A59">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FF127A" w14:textId="77777777" w:rsidR="00025B55" w:rsidRDefault="00025B55">
      <w:r>
        <w:separator/>
      </w:r>
    </w:p>
  </w:endnote>
  <w:endnote w:type="continuationSeparator" w:id="0">
    <w:p w14:paraId="5722FC65" w14:textId="77777777" w:rsidR="00025B55" w:rsidRDefault="00025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fixed"/>
    <w:sig w:usb0="00000001" w:usb1="080E0000" w:usb2="00000010" w:usb3="00000000" w:csb0="00040000" w:csb1="00000000"/>
  </w:font>
  <w:font w:name="@楷体_GB2312">
    <w:altName w:val="宋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ˎ̥">
    <w:altName w:val="Times New Roman"/>
    <w:charset w:val="00"/>
    <w:family w:val="roman"/>
    <w:pitch w:val="default"/>
  </w:font>
  <w:font w:name="Helvetica">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60AB" w14:textId="77777777" w:rsidR="009A7A59" w:rsidRDefault="009A7A59">
    <w:pPr>
      <w:pStyle w:val="af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B2322" w14:textId="77777777" w:rsidR="009A7A59" w:rsidRDefault="009A7A59">
    <w:pPr>
      <w:pStyle w:val="af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AFDDA" w14:textId="77777777" w:rsidR="009A7A59" w:rsidRDefault="009A7A59">
    <w:pPr>
      <w:pStyle w:val="af7"/>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37C1A" w14:textId="77777777" w:rsidR="009A7A59" w:rsidRDefault="00000000">
    <w:pPr>
      <w:pStyle w:val="af7"/>
      <w:jc w:val="center"/>
    </w:pPr>
    <w:r>
      <w:fldChar w:fldCharType="begin"/>
    </w:r>
    <w:r>
      <w:instrText xml:space="preserve"> PAGE   \* MERGEFORMAT </w:instrText>
    </w:r>
    <w:r>
      <w:fldChar w:fldCharType="separate"/>
    </w:r>
    <w:r>
      <w:rPr>
        <w:lang w:val="zh-CN"/>
      </w:rPr>
      <w:t>3</w:t>
    </w:r>
    <w:r>
      <w:fldChar w:fldCharType="end"/>
    </w:r>
  </w:p>
  <w:p w14:paraId="7C7CB9E6" w14:textId="77777777" w:rsidR="009A7A59" w:rsidRDefault="009A7A59">
    <w:pPr>
      <w:pStyle w:val="af7"/>
      <w:jc w:val="center"/>
      <w:rPr>
        <w:rFonts w:ascii="Arial" w:hAnsi="Arial" w:cs="Arial"/>
        <w:sz w:val="2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7C1B2" w14:textId="77777777" w:rsidR="009A7A59" w:rsidRDefault="00000000">
    <w:pPr>
      <w:pStyle w:val="af7"/>
      <w:jc w:val="center"/>
    </w:pPr>
    <w:r>
      <w:fldChar w:fldCharType="begin"/>
    </w:r>
    <w:r>
      <w:instrText xml:space="preserve"> PAGE   \* MERGEFORMAT </w:instrText>
    </w:r>
    <w:r>
      <w:fldChar w:fldCharType="separate"/>
    </w:r>
    <w:r>
      <w:rPr>
        <w:lang w:val="zh-CN"/>
      </w:rPr>
      <w:t>1</w:t>
    </w:r>
    <w:r>
      <w:fldChar w:fldCharType="end"/>
    </w:r>
  </w:p>
  <w:p w14:paraId="048EBD48" w14:textId="77777777" w:rsidR="009A7A59" w:rsidRDefault="009A7A59">
    <w:pPr>
      <w:pStyle w:val="af7"/>
      <w:jc w:val="center"/>
      <w:rPr>
        <w:rFonts w:ascii="Arial" w:hAnsi="Arial" w:cs="Arial"/>
        <w:sz w:val="21"/>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6748B" w14:textId="77777777" w:rsidR="009A7A59" w:rsidRDefault="00000000">
    <w:pPr>
      <w:pStyle w:val="af7"/>
      <w:jc w:val="center"/>
    </w:pPr>
    <w:r>
      <w:fldChar w:fldCharType="begin"/>
    </w:r>
    <w:r>
      <w:instrText xml:space="preserve"> PAGE   \* MERGEFORMAT </w:instrText>
    </w:r>
    <w:r>
      <w:fldChar w:fldCharType="separate"/>
    </w:r>
    <w:r>
      <w:rPr>
        <w:lang w:val="zh-CN"/>
      </w:rPr>
      <w:t>1</w:t>
    </w:r>
    <w:r>
      <w:rPr>
        <w:lang w:val="zh-CN"/>
      </w:rPr>
      <w:t>4</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4F8D1" w14:textId="77777777" w:rsidR="009A7A59" w:rsidRDefault="00000000">
    <w:pPr>
      <w:pStyle w:val="af7"/>
      <w:jc w:val="center"/>
      <w:rPr>
        <w:rFonts w:ascii="Arial" w:hAnsi="Arial" w:cs="Arial"/>
        <w:sz w:val="21"/>
        <w:szCs w:val="21"/>
      </w:rPr>
    </w:pPr>
    <w:r>
      <w:rPr>
        <w:rStyle w:val="aff8"/>
        <w:rFonts w:ascii="Arial" w:hAnsi="Arial" w:cs="Arial"/>
        <w:sz w:val="21"/>
        <w:szCs w:val="21"/>
      </w:rPr>
      <w:fldChar w:fldCharType="begin"/>
    </w:r>
    <w:r>
      <w:rPr>
        <w:rStyle w:val="aff8"/>
        <w:rFonts w:ascii="Arial" w:hAnsi="Arial" w:cs="Arial"/>
        <w:sz w:val="21"/>
        <w:szCs w:val="21"/>
      </w:rPr>
      <w:instrText xml:space="preserve"> PAGE </w:instrText>
    </w:r>
    <w:r>
      <w:rPr>
        <w:rStyle w:val="aff8"/>
        <w:rFonts w:ascii="Arial" w:hAnsi="Arial" w:cs="Arial"/>
        <w:sz w:val="21"/>
        <w:szCs w:val="21"/>
      </w:rPr>
      <w:fldChar w:fldCharType="separate"/>
    </w:r>
    <w:r>
      <w:rPr>
        <w:rStyle w:val="aff8"/>
        <w:rFonts w:ascii="Arial" w:hAnsi="Arial" w:cs="Arial"/>
        <w:sz w:val="21"/>
        <w:szCs w:val="21"/>
      </w:rPr>
      <w:t>89</w:t>
    </w:r>
    <w:r>
      <w:rPr>
        <w:rStyle w:val="aff8"/>
        <w:rFonts w:ascii="Arial" w:hAnsi="Arial" w:cs="Arial"/>
        <w:sz w:val="21"/>
        <w:szCs w:val="21"/>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D5542" w14:textId="77777777" w:rsidR="009A7A59" w:rsidRDefault="00000000">
    <w:pPr>
      <w:pStyle w:val="af7"/>
      <w:jc w:val="center"/>
    </w:pPr>
    <w:r>
      <w:fldChar w:fldCharType="begin"/>
    </w:r>
    <w:r>
      <w:instrText xml:space="preserve"> PAGE   \* MERGEFORMAT </w:instrText>
    </w:r>
    <w:r>
      <w:fldChar w:fldCharType="separate"/>
    </w:r>
    <w:r>
      <w:rPr>
        <w:lang w:val="zh-CN"/>
      </w:rPr>
      <w:t>4</w:t>
    </w:r>
    <w:r>
      <w:fldChar w:fldCharType="end"/>
    </w:r>
  </w:p>
  <w:p w14:paraId="0B4C7ADB" w14:textId="77777777" w:rsidR="009A7A59" w:rsidRDefault="009A7A59">
    <w:pPr>
      <w:pStyle w:val="af7"/>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60075" w14:textId="77777777" w:rsidR="009A7A59" w:rsidRDefault="00000000">
    <w:pPr>
      <w:pStyle w:val="af7"/>
      <w:jc w:val="center"/>
    </w:pPr>
    <w:r>
      <w:fldChar w:fldCharType="begin"/>
    </w:r>
    <w:r>
      <w:instrText xml:space="preserve"> PAGE   \* MERGEFORMAT </w:instrText>
    </w:r>
    <w:r>
      <w:fldChar w:fldCharType="separate"/>
    </w:r>
    <w:r>
      <w:rPr>
        <w:lang w:val="zh-CN"/>
      </w:rPr>
      <w:t>113</w:t>
    </w:r>
    <w:r>
      <w:fldChar w:fldCharType="end"/>
    </w:r>
  </w:p>
  <w:p w14:paraId="6DEC3C5A" w14:textId="77777777" w:rsidR="009A7A59" w:rsidRDefault="009A7A59">
    <w:pPr>
      <w:pStyle w:val="af7"/>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DE259" w14:textId="77777777" w:rsidR="009A7A59" w:rsidRDefault="00000000">
    <w:pPr>
      <w:pStyle w:val="af7"/>
      <w:jc w:val="center"/>
    </w:pPr>
    <w:r>
      <w:fldChar w:fldCharType="begin"/>
    </w:r>
    <w:r>
      <w:instrText>PAGE   \* MERGEFORMAT</w:instrText>
    </w:r>
    <w:r>
      <w:fldChar w:fldCharType="separate"/>
    </w:r>
    <w:r>
      <w:rPr>
        <w:lang w:val="zh-CN"/>
      </w:rPr>
      <w:t>11</w:t>
    </w:r>
    <w:r>
      <w:rPr>
        <w:lang w:val="zh-CN"/>
      </w:rPr>
      <w:t>5</w:t>
    </w:r>
    <w:r>
      <w:fldChar w:fldCharType="end"/>
    </w:r>
  </w:p>
  <w:p w14:paraId="0A016F1D" w14:textId="77777777" w:rsidR="009A7A59" w:rsidRDefault="009A7A59">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ADA4E1" w14:textId="77777777" w:rsidR="00025B55" w:rsidRDefault="00025B55">
      <w:r>
        <w:separator/>
      </w:r>
    </w:p>
  </w:footnote>
  <w:footnote w:type="continuationSeparator" w:id="0">
    <w:p w14:paraId="159FC547" w14:textId="77777777" w:rsidR="00025B55" w:rsidRDefault="00025B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DC3C6" w14:textId="77777777" w:rsidR="009A7A59" w:rsidRDefault="009A7A59">
    <w:pPr>
      <w:pStyle w:val="a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41913" w14:textId="2684871B" w:rsidR="009A7A59" w:rsidRDefault="00000000">
    <w:pPr>
      <w:pStyle w:val="af9"/>
      <w:jc w:val="both"/>
    </w:pPr>
    <w:r>
      <w:rPr>
        <w:rFonts w:hint="eastAsia"/>
      </w:rPr>
      <w:t>富荣富</w:t>
    </w:r>
    <w:proofErr w:type="gramStart"/>
    <w:r>
      <w:rPr>
        <w:rFonts w:hint="eastAsia"/>
      </w:rPr>
      <w:t>兴纯债</w:t>
    </w:r>
    <w:proofErr w:type="gramEnd"/>
    <w:r>
      <w:rPr>
        <w:rFonts w:hint="eastAsia"/>
      </w:rPr>
      <w:t>债券型证券投资基金更新的招募说明书（</w:t>
    </w:r>
    <w:r>
      <w:rPr>
        <w:rFonts w:hint="eastAsia"/>
      </w:rPr>
      <w:t>2025</w:t>
    </w:r>
    <w:r>
      <w:rPr>
        <w:rFonts w:hint="eastAsia"/>
      </w:rPr>
      <w:t>年第</w:t>
    </w:r>
    <w:r>
      <w:rPr>
        <w:rFonts w:hint="eastAsia"/>
      </w:rPr>
      <w:t>4</w:t>
    </w:r>
    <w:r>
      <w:rPr>
        <w:rFonts w:hint="eastAsia"/>
      </w:rPr>
      <w:t>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279C3" w14:textId="77777777" w:rsidR="009A7A59" w:rsidRDefault="009A7A59">
    <w:pPr>
      <w:pStyle w:val="af9"/>
      <w:pBdr>
        <w:bottom w:val="none" w:sz="0" w:space="0" w:color="auto"/>
      </w:pBd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C17B4" w14:textId="453FCE8E" w:rsidR="009A7A59" w:rsidRDefault="00000000">
    <w:pPr>
      <w:pStyle w:val="af9"/>
      <w:jc w:val="left"/>
    </w:pPr>
    <w:r>
      <w:rPr>
        <w:rFonts w:hint="eastAsia"/>
      </w:rPr>
      <w:t>富荣富</w:t>
    </w:r>
    <w:proofErr w:type="gramStart"/>
    <w:r>
      <w:rPr>
        <w:rFonts w:hint="eastAsia"/>
      </w:rPr>
      <w:t>兴纯债</w:t>
    </w:r>
    <w:proofErr w:type="gramEnd"/>
    <w:r>
      <w:rPr>
        <w:rFonts w:hint="eastAsia"/>
      </w:rPr>
      <w:t>债券型证券投资基金更新的招募说明书（</w:t>
    </w:r>
    <w:r>
      <w:rPr>
        <w:rFonts w:hint="eastAsia"/>
      </w:rPr>
      <w:t>2025</w:t>
    </w:r>
    <w:r>
      <w:rPr>
        <w:rFonts w:hint="eastAsia"/>
      </w:rPr>
      <w:t>年第</w:t>
    </w:r>
    <w:r>
      <w:rPr>
        <w:rFonts w:hint="eastAsia"/>
      </w:rPr>
      <w:t>4</w:t>
    </w:r>
    <w:r>
      <w:rPr>
        <w:rFonts w:hint="eastAsia"/>
      </w:rPr>
      <w:t>号）</w:t>
    </w:r>
    <w:r>
      <w:rPr>
        <w:rFonts w:hint="eastAsia"/>
      </w:rPr>
      <w:t xml:space="preserve">             </w:t>
    </w:r>
    <w:r>
      <w:t xml:space="preserve">                              </w:t>
    </w:r>
  </w:p>
  <w:p w14:paraId="3F764CBA" w14:textId="77777777" w:rsidR="009A7A59" w:rsidRDefault="009A7A59"/>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83185" w14:textId="3466D8F6" w:rsidR="009A7A59" w:rsidRDefault="00000000">
    <w:pPr>
      <w:pBdr>
        <w:bottom w:val="single" w:sz="4" w:space="1" w:color="auto"/>
      </w:pBdr>
      <w:rPr>
        <w:sz w:val="18"/>
        <w:szCs w:val="18"/>
      </w:rPr>
    </w:pPr>
    <w:r>
      <w:rPr>
        <w:rFonts w:hint="eastAsia"/>
        <w:sz w:val="18"/>
        <w:szCs w:val="18"/>
      </w:rPr>
      <w:t>富荣富</w:t>
    </w:r>
    <w:proofErr w:type="gramStart"/>
    <w:r>
      <w:rPr>
        <w:rFonts w:hint="eastAsia"/>
        <w:sz w:val="18"/>
        <w:szCs w:val="18"/>
      </w:rPr>
      <w:t>兴纯债</w:t>
    </w:r>
    <w:proofErr w:type="gramEnd"/>
    <w:r>
      <w:rPr>
        <w:rFonts w:hint="eastAsia"/>
        <w:sz w:val="18"/>
        <w:szCs w:val="18"/>
      </w:rPr>
      <w:t>债券型证券投资基金更新的招募说明书（</w:t>
    </w:r>
    <w:r>
      <w:rPr>
        <w:rFonts w:hint="eastAsia"/>
        <w:sz w:val="18"/>
        <w:szCs w:val="18"/>
      </w:rPr>
      <w:t>2025</w:t>
    </w:r>
    <w:r>
      <w:rPr>
        <w:rFonts w:hint="eastAsia"/>
        <w:sz w:val="18"/>
        <w:szCs w:val="18"/>
      </w:rPr>
      <w:t>年第</w:t>
    </w:r>
    <w:r>
      <w:rPr>
        <w:rFonts w:hint="eastAsia"/>
        <w:sz w:val="18"/>
        <w:szCs w:val="18"/>
      </w:rPr>
      <w:t>4</w:t>
    </w:r>
    <w:r>
      <w:rPr>
        <w:rFonts w:hint="eastAsia"/>
        <w:sz w:val="18"/>
        <w:szCs w:val="18"/>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CD5C354"/>
    <w:multiLevelType w:val="singleLevel"/>
    <w:tmpl w:val="ECD5C354"/>
    <w:lvl w:ilvl="0">
      <w:start w:val="3"/>
      <w:numFmt w:val="chineseCounting"/>
      <w:suff w:val="nothing"/>
      <w:lvlText w:val="%1、"/>
      <w:lvlJc w:val="left"/>
      <w:rPr>
        <w:rFonts w:hint="eastAsia"/>
      </w:rPr>
    </w:lvl>
  </w:abstractNum>
  <w:abstractNum w:abstractNumId="1" w15:restartNumberingAfterBreak="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4" w15:restartNumberingAfterBreak="0">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5" w15:restartNumberingAfterBreak="0">
    <w:nsid w:val="7F215802"/>
    <w:multiLevelType w:val="multilevel"/>
    <w:tmpl w:val="7F215802"/>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915508094">
    <w:abstractNumId w:val="3"/>
  </w:num>
  <w:num w:numId="2" w16cid:durableId="1561407649">
    <w:abstractNumId w:val="1"/>
  </w:num>
  <w:num w:numId="3" w16cid:durableId="1518152083">
    <w:abstractNumId w:val="2"/>
  </w:num>
  <w:num w:numId="4" w16cid:durableId="65152556">
    <w:abstractNumId w:val="4"/>
  </w:num>
  <w:num w:numId="5" w16cid:durableId="403382410">
    <w:abstractNumId w:val="0"/>
  </w:num>
  <w:num w:numId="6" w16cid:durableId="19898224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2BE9"/>
    <w:rsid w:val="000009A3"/>
    <w:rsid w:val="00001115"/>
    <w:rsid w:val="000011E4"/>
    <w:rsid w:val="00002979"/>
    <w:rsid w:val="00004804"/>
    <w:rsid w:val="00005B19"/>
    <w:rsid w:val="00005F84"/>
    <w:rsid w:val="00005F8E"/>
    <w:rsid w:val="0000670B"/>
    <w:rsid w:val="00007741"/>
    <w:rsid w:val="00010FF4"/>
    <w:rsid w:val="000118B7"/>
    <w:rsid w:val="000124E4"/>
    <w:rsid w:val="00012F8D"/>
    <w:rsid w:val="00014B1E"/>
    <w:rsid w:val="00015648"/>
    <w:rsid w:val="00016241"/>
    <w:rsid w:val="00016968"/>
    <w:rsid w:val="00017120"/>
    <w:rsid w:val="00017691"/>
    <w:rsid w:val="000177F3"/>
    <w:rsid w:val="00017A0C"/>
    <w:rsid w:val="00020CDF"/>
    <w:rsid w:val="00021549"/>
    <w:rsid w:val="0002185B"/>
    <w:rsid w:val="00022621"/>
    <w:rsid w:val="000230D8"/>
    <w:rsid w:val="00023946"/>
    <w:rsid w:val="000248F5"/>
    <w:rsid w:val="00025436"/>
    <w:rsid w:val="00025B1A"/>
    <w:rsid w:val="00025B55"/>
    <w:rsid w:val="000269B7"/>
    <w:rsid w:val="000275A0"/>
    <w:rsid w:val="00027E1B"/>
    <w:rsid w:val="00030B33"/>
    <w:rsid w:val="00034BDA"/>
    <w:rsid w:val="00035603"/>
    <w:rsid w:val="0004048E"/>
    <w:rsid w:val="000410B3"/>
    <w:rsid w:val="00041294"/>
    <w:rsid w:val="00042559"/>
    <w:rsid w:val="0004334D"/>
    <w:rsid w:val="00044F2F"/>
    <w:rsid w:val="00045C27"/>
    <w:rsid w:val="00047255"/>
    <w:rsid w:val="00047BCA"/>
    <w:rsid w:val="0005060B"/>
    <w:rsid w:val="0005125E"/>
    <w:rsid w:val="000530C8"/>
    <w:rsid w:val="000565D7"/>
    <w:rsid w:val="000574F9"/>
    <w:rsid w:val="00057908"/>
    <w:rsid w:val="00057A8C"/>
    <w:rsid w:val="00060B21"/>
    <w:rsid w:val="00060F29"/>
    <w:rsid w:val="00061060"/>
    <w:rsid w:val="000613B4"/>
    <w:rsid w:val="00062602"/>
    <w:rsid w:val="0006296A"/>
    <w:rsid w:val="000635C2"/>
    <w:rsid w:val="000647BF"/>
    <w:rsid w:val="00064807"/>
    <w:rsid w:val="000649CA"/>
    <w:rsid w:val="0006518B"/>
    <w:rsid w:val="000653BA"/>
    <w:rsid w:val="000656E0"/>
    <w:rsid w:val="00066148"/>
    <w:rsid w:val="00066685"/>
    <w:rsid w:val="00070220"/>
    <w:rsid w:val="00071D4E"/>
    <w:rsid w:val="000724FF"/>
    <w:rsid w:val="000726D5"/>
    <w:rsid w:val="00072C64"/>
    <w:rsid w:val="000739FF"/>
    <w:rsid w:val="000767A0"/>
    <w:rsid w:val="00076FB8"/>
    <w:rsid w:val="00081796"/>
    <w:rsid w:val="0008195C"/>
    <w:rsid w:val="00082203"/>
    <w:rsid w:val="000823B6"/>
    <w:rsid w:val="00082507"/>
    <w:rsid w:val="00082F38"/>
    <w:rsid w:val="000863CC"/>
    <w:rsid w:val="00086635"/>
    <w:rsid w:val="00086A37"/>
    <w:rsid w:val="00086E93"/>
    <w:rsid w:val="00090DEF"/>
    <w:rsid w:val="0009161B"/>
    <w:rsid w:val="0009175C"/>
    <w:rsid w:val="000925A8"/>
    <w:rsid w:val="0009270F"/>
    <w:rsid w:val="000945FF"/>
    <w:rsid w:val="000959CB"/>
    <w:rsid w:val="0009624C"/>
    <w:rsid w:val="0009748F"/>
    <w:rsid w:val="0009794A"/>
    <w:rsid w:val="00097DFC"/>
    <w:rsid w:val="000A11E3"/>
    <w:rsid w:val="000A1224"/>
    <w:rsid w:val="000A13D2"/>
    <w:rsid w:val="000A19F0"/>
    <w:rsid w:val="000A26E3"/>
    <w:rsid w:val="000A27DB"/>
    <w:rsid w:val="000A2C3D"/>
    <w:rsid w:val="000A49CB"/>
    <w:rsid w:val="000A5C0A"/>
    <w:rsid w:val="000A62A4"/>
    <w:rsid w:val="000A688D"/>
    <w:rsid w:val="000A6EDE"/>
    <w:rsid w:val="000A7748"/>
    <w:rsid w:val="000A7D4A"/>
    <w:rsid w:val="000B00C6"/>
    <w:rsid w:val="000B0134"/>
    <w:rsid w:val="000B0408"/>
    <w:rsid w:val="000B0E60"/>
    <w:rsid w:val="000B1D0F"/>
    <w:rsid w:val="000B26DB"/>
    <w:rsid w:val="000B3BBB"/>
    <w:rsid w:val="000B4FF9"/>
    <w:rsid w:val="000B5BAA"/>
    <w:rsid w:val="000B699E"/>
    <w:rsid w:val="000B69B6"/>
    <w:rsid w:val="000B741C"/>
    <w:rsid w:val="000B743E"/>
    <w:rsid w:val="000B7ACD"/>
    <w:rsid w:val="000B7D56"/>
    <w:rsid w:val="000C3479"/>
    <w:rsid w:val="000C35FD"/>
    <w:rsid w:val="000C361C"/>
    <w:rsid w:val="000C376A"/>
    <w:rsid w:val="000C4279"/>
    <w:rsid w:val="000C46DF"/>
    <w:rsid w:val="000C4BFD"/>
    <w:rsid w:val="000C5118"/>
    <w:rsid w:val="000C59F0"/>
    <w:rsid w:val="000C78B5"/>
    <w:rsid w:val="000C7A58"/>
    <w:rsid w:val="000C7A9E"/>
    <w:rsid w:val="000C7BA8"/>
    <w:rsid w:val="000D0203"/>
    <w:rsid w:val="000D087F"/>
    <w:rsid w:val="000D0CF9"/>
    <w:rsid w:val="000D1F2C"/>
    <w:rsid w:val="000D27C6"/>
    <w:rsid w:val="000D3394"/>
    <w:rsid w:val="000D40D0"/>
    <w:rsid w:val="000D4F6A"/>
    <w:rsid w:val="000D53EF"/>
    <w:rsid w:val="000D5DC2"/>
    <w:rsid w:val="000D71DD"/>
    <w:rsid w:val="000D78D8"/>
    <w:rsid w:val="000E0060"/>
    <w:rsid w:val="000E05FF"/>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0D10"/>
    <w:rsid w:val="001013DC"/>
    <w:rsid w:val="001019E8"/>
    <w:rsid w:val="001028C0"/>
    <w:rsid w:val="001034FE"/>
    <w:rsid w:val="00103958"/>
    <w:rsid w:val="00105770"/>
    <w:rsid w:val="00105ACE"/>
    <w:rsid w:val="00105E5F"/>
    <w:rsid w:val="00105EA2"/>
    <w:rsid w:val="00106937"/>
    <w:rsid w:val="00106A07"/>
    <w:rsid w:val="00107608"/>
    <w:rsid w:val="0010793C"/>
    <w:rsid w:val="00110203"/>
    <w:rsid w:val="00110F71"/>
    <w:rsid w:val="0011138F"/>
    <w:rsid w:val="001113D8"/>
    <w:rsid w:val="00111506"/>
    <w:rsid w:val="00111C83"/>
    <w:rsid w:val="001126F5"/>
    <w:rsid w:val="00112F53"/>
    <w:rsid w:val="001145B4"/>
    <w:rsid w:val="001159F7"/>
    <w:rsid w:val="00121044"/>
    <w:rsid w:val="00121A24"/>
    <w:rsid w:val="00121C44"/>
    <w:rsid w:val="00122F78"/>
    <w:rsid w:val="00124B39"/>
    <w:rsid w:val="001250EA"/>
    <w:rsid w:val="00125CEE"/>
    <w:rsid w:val="001267BA"/>
    <w:rsid w:val="00126C62"/>
    <w:rsid w:val="001278E3"/>
    <w:rsid w:val="001305DF"/>
    <w:rsid w:val="00130A79"/>
    <w:rsid w:val="0013242A"/>
    <w:rsid w:val="001333C0"/>
    <w:rsid w:val="001348B3"/>
    <w:rsid w:val="00135E0F"/>
    <w:rsid w:val="00136938"/>
    <w:rsid w:val="001400DB"/>
    <w:rsid w:val="00143E61"/>
    <w:rsid w:val="00145579"/>
    <w:rsid w:val="00145BD4"/>
    <w:rsid w:val="00146396"/>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6609"/>
    <w:rsid w:val="00167621"/>
    <w:rsid w:val="00170A4E"/>
    <w:rsid w:val="00170CE8"/>
    <w:rsid w:val="00171C95"/>
    <w:rsid w:val="00171D69"/>
    <w:rsid w:val="00172158"/>
    <w:rsid w:val="0017297B"/>
    <w:rsid w:val="00173541"/>
    <w:rsid w:val="001737A0"/>
    <w:rsid w:val="00173F90"/>
    <w:rsid w:val="001754BD"/>
    <w:rsid w:val="001768E4"/>
    <w:rsid w:val="00176AED"/>
    <w:rsid w:val="001773BF"/>
    <w:rsid w:val="001774EC"/>
    <w:rsid w:val="00180E22"/>
    <w:rsid w:val="00180EA6"/>
    <w:rsid w:val="00181904"/>
    <w:rsid w:val="00182843"/>
    <w:rsid w:val="0018336E"/>
    <w:rsid w:val="00183E84"/>
    <w:rsid w:val="0018538D"/>
    <w:rsid w:val="00185B77"/>
    <w:rsid w:val="0018604F"/>
    <w:rsid w:val="0018608E"/>
    <w:rsid w:val="001860B7"/>
    <w:rsid w:val="00186FFC"/>
    <w:rsid w:val="00187EE2"/>
    <w:rsid w:val="0019005D"/>
    <w:rsid w:val="0019075E"/>
    <w:rsid w:val="001911A9"/>
    <w:rsid w:val="001913E3"/>
    <w:rsid w:val="0019160C"/>
    <w:rsid w:val="00191655"/>
    <w:rsid w:val="0019397A"/>
    <w:rsid w:val="001939F8"/>
    <w:rsid w:val="001949EB"/>
    <w:rsid w:val="00195224"/>
    <w:rsid w:val="00195511"/>
    <w:rsid w:val="00196047"/>
    <w:rsid w:val="001962FF"/>
    <w:rsid w:val="0019671E"/>
    <w:rsid w:val="00196FBE"/>
    <w:rsid w:val="00197064"/>
    <w:rsid w:val="001975F2"/>
    <w:rsid w:val="001A0310"/>
    <w:rsid w:val="001A047C"/>
    <w:rsid w:val="001A0A48"/>
    <w:rsid w:val="001A158D"/>
    <w:rsid w:val="001A2001"/>
    <w:rsid w:val="001A2B0D"/>
    <w:rsid w:val="001A2C46"/>
    <w:rsid w:val="001A3320"/>
    <w:rsid w:val="001A3560"/>
    <w:rsid w:val="001A3E92"/>
    <w:rsid w:val="001A4BB2"/>
    <w:rsid w:val="001A5B53"/>
    <w:rsid w:val="001A5B67"/>
    <w:rsid w:val="001A5BF5"/>
    <w:rsid w:val="001A5D8E"/>
    <w:rsid w:val="001A728B"/>
    <w:rsid w:val="001A7ED4"/>
    <w:rsid w:val="001B18A6"/>
    <w:rsid w:val="001B1AFD"/>
    <w:rsid w:val="001B1B39"/>
    <w:rsid w:val="001B2BE1"/>
    <w:rsid w:val="001B4541"/>
    <w:rsid w:val="001B4FAD"/>
    <w:rsid w:val="001B5077"/>
    <w:rsid w:val="001B54E7"/>
    <w:rsid w:val="001B6291"/>
    <w:rsid w:val="001C2E5E"/>
    <w:rsid w:val="001C4B8E"/>
    <w:rsid w:val="001C4D51"/>
    <w:rsid w:val="001C54B9"/>
    <w:rsid w:val="001C553B"/>
    <w:rsid w:val="001C634E"/>
    <w:rsid w:val="001C6D1C"/>
    <w:rsid w:val="001C71C1"/>
    <w:rsid w:val="001C71C9"/>
    <w:rsid w:val="001C797A"/>
    <w:rsid w:val="001D083D"/>
    <w:rsid w:val="001D099C"/>
    <w:rsid w:val="001D0B03"/>
    <w:rsid w:val="001D10F2"/>
    <w:rsid w:val="001D1997"/>
    <w:rsid w:val="001D1D1E"/>
    <w:rsid w:val="001D24D8"/>
    <w:rsid w:val="001D2FAD"/>
    <w:rsid w:val="001D4C4A"/>
    <w:rsid w:val="001D6C21"/>
    <w:rsid w:val="001E1153"/>
    <w:rsid w:val="001E1F17"/>
    <w:rsid w:val="001E22A5"/>
    <w:rsid w:val="001F0179"/>
    <w:rsid w:val="001F07FE"/>
    <w:rsid w:val="001F2467"/>
    <w:rsid w:val="001F2953"/>
    <w:rsid w:val="001F37C4"/>
    <w:rsid w:val="001F4103"/>
    <w:rsid w:val="001F56C7"/>
    <w:rsid w:val="001F6342"/>
    <w:rsid w:val="001F65D7"/>
    <w:rsid w:val="001F7E62"/>
    <w:rsid w:val="002009EC"/>
    <w:rsid w:val="002020EF"/>
    <w:rsid w:val="002021A7"/>
    <w:rsid w:val="00202250"/>
    <w:rsid w:val="002026FF"/>
    <w:rsid w:val="00202F67"/>
    <w:rsid w:val="00205673"/>
    <w:rsid w:val="002056FC"/>
    <w:rsid w:val="00205BE3"/>
    <w:rsid w:val="00210173"/>
    <w:rsid w:val="00212051"/>
    <w:rsid w:val="002125BF"/>
    <w:rsid w:val="0021267F"/>
    <w:rsid w:val="00212BCA"/>
    <w:rsid w:val="0021351B"/>
    <w:rsid w:val="00213977"/>
    <w:rsid w:val="00215426"/>
    <w:rsid w:val="00215434"/>
    <w:rsid w:val="00216E00"/>
    <w:rsid w:val="00217DB3"/>
    <w:rsid w:val="00217ED0"/>
    <w:rsid w:val="00220DC5"/>
    <w:rsid w:val="002214FF"/>
    <w:rsid w:val="00221B33"/>
    <w:rsid w:val="00223D50"/>
    <w:rsid w:val="00223DCB"/>
    <w:rsid w:val="002246BF"/>
    <w:rsid w:val="00224E6D"/>
    <w:rsid w:val="00225865"/>
    <w:rsid w:val="00225CD1"/>
    <w:rsid w:val="00226DBA"/>
    <w:rsid w:val="00232621"/>
    <w:rsid w:val="002330BB"/>
    <w:rsid w:val="002349AC"/>
    <w:rsid w:val="00235796"/>
    <w:rsid w:val="002357EB"/>
    <w:rsid w:val="00236A5F"/>
    <w:rsid w:val="00237009"/>
    <w:rsid w:val="002376B3"/>
    <w:rsid w:val="00240D4C"/>
    <w:rsid w:val="00240E81"/>
    <w:rsid w:val="00241335"/>
    <w:rsid w:val="00241612"/>
    <w:rsid w:val="00243B12"/>
    <w:rsid w:val="00245246"/>
    <w:rsid w:val="0024541D"/>
    <w:rsid w:val="00245B4A"/>
    <w:rsid w:val="002463A3"/>
    <w:rsid w:val="002471FB"/>
    <w:rsid w:val="00247477"/>
    <w:rsid w:val="00247D49"/>
    <w:rsid w:val="00250769"/>
    <w:rsid w:val="0025087F"/>
    <w:rsid w:val="00250A4F"/>
    <w:rsid w:val="00251860"/>
    <w:rsid w:val="00251C22"/>
    <w:rsid w:val="00251D29"/>
    <w:rsid w:val="00253DBB"/>
    <w:rsid w:val="00253FB9"/>
    <w:rsid w:val="0025462E"/>
    <w:rsid w:val="00254671"/>
    <w:rsid w:val="00254C0F"/>
    <w:rsid w:val="002550DF"/>
    <w:rsid w:val="002552BC"/>
    <w:rsid w:val="002552CB"/>
    <w:rsid w:val="00255E4D"/>
    <w:rsid w:val="00256CE7"/>
    <w:rsid w:val="0026104F"/>
    <w:rsid w:val="002627F4"/>
    <w:rsid w:val="00262BB6"/>
    <w:rsid w:val="00263479"/>
    <w:rsid w:val="00263902"/>
    <w:rsid w:val="002642F6"/>
    <w:rsid w:val="002644DA"/>
    <w:rsid w:val="00264CE3"/>
    <w:rsid w:val="00264E0A"/>
    <w:rsid w:val="0026571B"/>
    <w:rsid w:val="00265E3D"/>
    <w:rsid w:val="00266799"/>
    <w:rsid w:val="0026714D"/>
    <w:rsid w:val="00267198"/>
    <w:rsid w:val="00270BD0"/>
    <w:rsid w:val="00270D38"/>
    <w:rsid w:val="0027208E"/>
    <w:rsid w:val="0027331C"/>
    <w:rsid w:val="0027449D"/>
    <w:rsid w:val="00274699"/>
    <w:rsid w:val="00274F0D"/>
    <w:rsid w:val="0028018C"/>
    <w:rsid w:val="002803F7"/>
    <w:rsid w:val="00282C9A"/>
    <w:rsid w:val="00283202"/>
    <w:rsid w:val="00283552"/>
    <w:rsid w:val="00283E47"/>
    <w:rsid w:val="002840C3"/>
    <w:rsid w:val="00284369"/>
    <w:rsid w:val="002846D1"/>
    <w:rsid w:val="0028799D"/>
    <w:rsid w:val="00287B75"/>
    <w:rsid w:val="00290C74"/>
    <w:rsid w:val="00290FAA"/>
    <w:rsid w:val="00293F5B"/>
    <w:rsid w:val="00294301"/>
    <w:rsid w:val="002946EC"/>
    <w:rsid w:val="002950D6"/>
    <w:rsid w:val="0029529E"/>
    <w:rsid w:val="00295DCD"/>
    <w:rsid w:val="00296F3D"/>
    <w:rsid w:val="002978B9"/>
    <w:rsid w:val="00297916"/>
    <w:rsid w:val="00297BCB"/>
    <w:rsid w:val="002A1933"/>
    <w:rsid w:val="002A2EFD"/>
    <w:rsid w:val="002A32B6"/>
    <w:rsid w:val="002A39A3"/>
    <w:rsid w:val="002A4740"/>
    <w:rsid w:val="002A5D85"/>
    <w:rsid w:val="002A774A"/>
    <w:rsid w:val="002B0449"/>
    <w:rsid w:val="002B0463"/>
    <w:rsid w:val="002B070C"/>
    <w:rsid w:val="002B246B"/>
    <w:rsid w:val="002B258E"/>
    <w:rsid w:val="002B3E37"/>
    <w:rsid w:val="002B3F8C"/>
    <w:rsid w:val="002B4C0E"/>
    <w:rsid w:val="002B4D2F"/>
    <w:rsid w:val="002B5171"/>
    <w:rsid w:val="002B58EC"/>
    <w:rsid w:val="002B5FD1"/>
    <w:rsid w:val="002B68D4"/>
    <w:rsid w:val="002B75F2"/>
    <w:rsid w:val="002C0710"/>
    <w:rsid w:val="002C2B2E"/>
    <w:rsid w:val="002C3097"/>
    <w:rsid w:val="002C5822"/>
    <w:rsid w:val="002C63C9"/>
    <w:rsid w:val="002C6AB4"/>
    <w:rsid w:val="002C6DAB"/>
    <w:rsid w:val="002D0B16"/>
    <w:rsid w:val="002D0DC4"/>
    <w:rsid w:val="002D11EA"/>
    <w:rsid w:val="002D1F8B"/>
    <w:rsid w:val="002D4342"/>
    <w:rsid w:val="002D534E"/>
    <w:rsid w:val="002D53B4"/>
    <w:rsid w:val="002D53E4"/>
    <w:rsid w:val="002D553A"/>
    <w:rsid w:val="002E0549"/>
    <w:rsid w:val="002E10E4"/>
    <w:rsid w:val="002E39AF"/>
    <w:rsid w:val="002E49AC"/>
    <w:rsid w:val="002E53F9"/>
    <w:rsid w:val="002E5BE6"/>
    <w:rsid w:val="002E6630"/>
    <w:rsid w:val="002E7B9F"/>
    <w:rsid w:val="002F0AAC"/>
    <w:rsid w:val="002F207D"/>
    <w:rsid w:val="002F2488"/>
    <w:rsid w:val="002F38F8"/>
    <w:rsid w:val="002F46BA"/>
    <w:rsid w:val="002F630F"/>
    <w:rsid w:val="002F6CD1"/>
    <w:rsid w:val="002F7487"/>
    <w:rsid w:val="002F771F"/>
    <w:rsid w:val="00302C06"/>
    <w:rsid w:val="00304633"/>
    <w:rsid w:val="00304714"/>
    <w:rsid w:val="00306F17"/>
    <w:rsid w:val="003070EF"/>
    <w:rsid w:val="0031017E"/>
    <w:rsid w:val="003105BD"/>
    <w:rsid w:val="0031377C"/>
    <w:rsid w:val="00316126"/>
    <w:rsid w:val="00316539"/>
    <w:rsid w:val="00317B96"/>
    <w:rsid w:val="00321B3D"/>
    <w:rsid w:val="00322AC5"/>
    <w:rsid w:val="00322E78"/>
    <w:rsid w:val="00323478"/>
    <w:rsid w:val="00323965"/>
    <w:rsid w:val="003244D4"/>
    <w:rsid w:val="003245C1"/>
    <w:rsid w:val="00325CA3"/>
    <w:rsid w:val="00326E24"/>
    <w:rsid w:val="00327166"/>
    <w:rsid w:val="0033084F"/>
    <w:rsid w:val="0033116B"/>
    <w:rsid w:val="00331A4D"/>
    <w:rsid w:val="00332CF5"/>
    <w:rsid w:val="0033359F"/>
    <w:rsid w:val="003339E1"/>
    <w:rsid w:val="00333C4B"/>
    <w:rsid w:val="00336BC6"/>
    <w:rsid w:val="003407D1"/>
    <w:rsid w:val="00340B29"/>
    <w:rsid w:val="00341DA2"/>
    <w:rsid w:val="003455CF"/>
    <w:rsid w:val="003464D7"/>
    <w:rsid w:val="003469A9"/>
    <w:rsid w:val="00347BC6"/>
    <w:rsid w:val="00350153"/>
    <w:rsid w:val="00350C38"/>
    <w:rsid w:val="00350F96"/>
    <w:rsid w:val="00351124"/>
    <w:rsid w:val="00351DB0"/>
    <w:rsid w:val="00353399"/>
    <w:rsid w:val="00357495"/>
    <w:rsid w:val="003578C4"/>
    <w:rsid w:val="00360141"/>
    <w:rsid w:val="003606BC"/>
    <w:rsid w:val="00360E8F"/>
    <w:rsid w:val="0036178E"/>
    <w:rsid w:val="00361BE5"/>
    <w:rsid w:val="003620A3"/>
    <w:rsid w:val="00362599"/>
    <w:rsid w:val="00363733"/>
    <w:rsid w:val="00364072"/>
    <w:rsid w:val="00364DE9"/>
    <w:rsid w:val="00365165"/>
    <w:rsid w:val="00366928"/>
    <w:rsid w:val="00367CBC"/>
    <w:rsid w:val="00371647"/>
    <w:rsid w:val="003720E3"/>
    <w:rsid w:val="003727FC"/>
    <w:rsid w:val="00372F95"/>
    <w:rsid w:val="00373467"/>
    <w:rsid w:val="003748C8"/>
    <w:rsid w:val="003748E6"/>
    <w:rsid w:val="00374F0E"/>
    <w:rsid w:val="00375262"/>
    <w:rsid w:val="00377F3F"/>
    <w:rsid w:val="00381328"/>
    <w:rsid w:val="00381786"/>
    <w:rsid w:val="00381D0B"/>
    <w:rsid w:val="00382EEF"/>
    <w:rsid w:val="00384A5F"/>
    <w:rsid w:val="003851B3"/>
    <w:rsid w:val="00385444"/>
    <w:rsid w:val="003874AC"/>
    <w:rsid w:val="00387B0C"/>
    <w:rsid w:val="003901AA"/>
    <w:rsid w:val="003909C4"/>
    <w:rsid w:val="00390C99"/>
    <w:rsid w:val="0039278F"/>
    <w:rsid w:val="00393395"/>
    <w:rsid w:val="00393F7D"/>
    <w:rsid w:val="00393F8E"/>
    <w:rsid w:val="003945A2"/>
    <w:rsid w:val="00395461"/>
    <w:rsid w:val="00395DCF"/>
    <w:rsid w:val="003A111B"/>
    <w:rsid w:val="003A11B8"/>
    <w:rsid w:val="003A22CC"/>
    <w:rsid w:val="003A2D38"/>
    <w:rsid w:val="003A2F65"/>
    <w:rsid w:val="003A373F"/>
    <w:rsid w:val="003A4942"/>
    <w:rsid w:val="003A4A82"/>
    <w:rsid w:val="003A4CEC"/>
    <w:rsid w:val="003A51F6"/>
    <w:rsid w:val="003A5364"/>
    <w:rsid w:val="003A564C"/>
    <w:rsid w:val="003A72E2"/>
    <w:rsid w:val="003B0189"/>
    <w:rsid w:val="003B01A4"/>
    <w:rsid w:val="003B08AF"/>
    <w:rsid w:val="003B0D9E"/>
    <w:rsid w:val="003B11CE"/>
    <w:rsid w:val="003B166B"/>
    <w:rsid w:val="003B2190"/>
    <w:rsid w:val="003B330F"/>
    <w:rsid w:val="003B34A5"/>
    <w:rsid w:val="003B5571"/>
    <w:rsid w:val="003B5B6A"/>
    <w:rsid w:val="003B67E5"/>
    <w:rsid w:val="003B748B"/>
    <w:rsid w:val="003B752E"/>
    <w:rsid w:val="003B75A5"/>
    <w:rsid w:val="003C0123"/>
    <w:rsid w:val="003C0526"/>
    <w:rsid w:val="003C07D1"/>
    <w:rsid w:val="003C0C7C"/>
    <w:rsid w:val="003C185C"/>
    <w:rsid w:val="003C3DE8"/>
    <w:rsid w:val="003C3FCC"/>
    <w:rsid w:val="003C4396"/>
    <w:rsid w:val="003C4743"/>
    <w:rsid w:val="003C5C83"/>
    <w:rsid w:val="003C62EB"/>
    <w:rsid w:val="003D059F"/>
    <w:rsid w:val="003D06F8"/>
    <w:rsid w:val="003D0F11"/>
    <w:rsid w:val="003D768C"/>
    <w:rsid w:val="003E1E24"/>
    <w:rsid w:val="003E395F"/>
    <w:rsid w:val="003E3A93"/>
    <w:rsid w:val="003E4D43"/>
    <w:rsid w:val="003E604C"/>
    <w:rsid w:val="003F0026"/>
    <w:rsid w:val="003F0B41"/>
    <w:rsid w:val="003F2662"/>
    <w:rsid w:val="003F3947"/>
    <w:rsid w:val="003F7B71"/>
    <w:rsid w:val="00401D72"/>
    <w:rsid w:val="00403304"/>
    <w:rsid w:val="00405290"/>
    <w:rsid w:val="00407594"/>
    <w:rsid w:val="004077A8"/>
    <w:rsid w:val="004078AC"/>
    <w:rsid w:val="00407A0E"/>
    <w:rsid w:val="00411A60"/>
    <w:rsid w:val="004120C0"/>
    <w:rsid w:val="00412CEC"/>
    <w:rsid w:val="00413D7E"/>
    <w:rsid w:val="0041532B"/>
    <w:rsid w:val="00415424"/>
    <w:rsid w:val="004155D6"/>
    <w:rsid w:val="004158F4"/>
    <w:rsid w:val="004168BA"/>
    <w:rsid w:val="00417173"/>
    <w:rsid w:val="0041786D"/>
    <w:rsid w:val="0042027C"/>
    <w:rsid w:val="0042072A"/>
    <w:rsid w:val="0042095D"/>
    <w:rsid w:val="00420982"/>
    <w:rsid w:val="0042228E"/>
    <w:rsid w:val="004225D1"/>
    <w:rsid w:val="00423361"/>
    <w:rsid w:val="00424E70"/>
    <w:rsid w:val="00425B70"/>
    <w:rsid w:val="00425E89"/>
    <w:rsid w:val="004272A0"/>
    <w:rsid w:val="00427335"/>
    <w:rsid w:val="004304EC"/>
    <w:rsid w:val="00432314"/>
    <w:rsid w:val="0043413E"/>
    <w:rsid w:val="0043510F"/>
    <w:rsid w:val="00436B26"/>
    <w:rsid w:val="00437238"/>
    <w:rsid w:val="004376C3"/>
    <w:rsid w:val="004404D5"/>
    <w:rsid w:val="004409C4"/>
    <w:rsid w:val="00440AC3"/>
    <w:rsid w:val="00440CD3"/>
    <w:rsid w:val="00443034"/>
    <w:rsid w:val="00443B4B"/>
    <w:rsid w:val="00443EF7"/>
    <w:rsid w:val="00445271"/>
    <w:rsid w:val="0044730D"/>
    <w:rsid w:val="004508AF"/>
    <w:rsid w:val="00450DA3"/>
    <w:rsid w:val="004511C2"/>
    <w:rsid w:val="00451FDC"/>
    <w:rsid w:val="004527DF"/>
    <w:rsid w:val="00453113"/>
    <w:rsid w:val="0045344B"/>
    <w:rsid w:val="00456225"/>
    <w:rsid w:val="004567D9"/>
    <w:rsid w:val="00457FC1"/>
    <w:rsid w:val="00460ACC"/>
    <w:rsid w:val="004628CF"/>
    <w:rsid w:val="00462C61"/>
    <w:rsid w:val="00462DE1"/>
    <w:rsid w:val="00464147"/>
    <w:rsid w:val="004645F4"/>
    <w:rsid w:val="004648A3"/>
    <w:rsid w:val="00464C7A"/>
    <w:rsid w:val="0046658A"/>
    <w:rsid w:val="00467037"/>
    <w:rsid w:val="004676ED"/>
    <w:rsid w:val="004717DC"/>
    <w:rsid w:val="00476567"/>
    <w:rsid w:val="004772D0"/>
    <w:rsid w:val="00477523"/>
    <w:rsid w:val="00481D46"/>
    <w:rsid w:val="00484811"/>
    <w:rsid w:val="00484CD7"/>
    <w:rsid w:val="004861B4"/>
    <w:rsid w:val="00487B59"/>
    <w:rsid w:val="00491305"/>
    <w:rsid w:val="00491F2E"/>
    <w:rsid w:val="00492608"/>
    <w:rsid w:val="00494084"/>
    <w:rsid w:val="00494834"/>
    <w:rsid w:val="004950AA"/>
    <w:rsid w:val="00496C01"/>
    <w:rsid w:val="004A37D9"/>
    <w:rsid w:val="004A4092"/>
    <w:rsid w:val="004A41F4"/>
    <w:rsid w:val="004A4EB2"/>
    <w:rsid w:val="004A54C0"/>
    <w:rsid w:val="004B2132"/>
    <w:rsid w:val="004B4490"/>
    <w:rsid w:val="004B50B2"/>
    <w:rsid w:val="004B5154"/>
    <w:rsid w:val="004B5BB5"/>
    <w:rsid w:val="004B6450"/>
    <w:rsid w:val="004B7E6C"/>
    <w:rsid w:val="004B7EC2"/>
    <w:rsid w:val="004B7FC8"/>
    <w:rsid w:val="004C1520"/>
    <w:rsid w:val="004C22FD"/>
    <w:rsid w:val="004C266C"/>
    <w:rsid w:val="004C3E36"/>
    <w:rsid w:val="004C4ED8"/>
    <w:rsid w:val="004C5082"/>
    <w:rsid w:val="004C6474"/>
    <w:rsid w:val="004C70C9"/>
    <w:rsid w:val="004C71F7"/>
    <w:rsid w:val="004C795C"/>
    <w:rsid w:val="004C7C8A"/>
    <w:rsid w:val="004D101D"/>
    <w:rsid w:val="004D1FB8"/>
    <w:rsid w:val="004D236C"/>
    <w:rsid w:val="004D26D5"/>
    <w:rsid w:val="004D378B"/>
    <w:rsid w:val="004D6DD0"/>
    <w:rsid w:val="004E0A8B"/>
    <w:rsid w:val="004E15CD"/>
    <w:rsid w:val="004E1FBF"/>
    <w:rsid w:val="004E32A4"/>
    <w:rsid w:val="004E350F"/>
    <w:rsid w:val="004E5D54"/>
    <w:rsid w:val="004E5EB1"/>
    <w:rsid w:val="004E6C04"/>
    <w:rsid w:val="004E7060"/>
    <w:rsid w:val="004F004F"/>
    <w:rsid w:val="004F05E2"/>
    <w:rsid w:val="004F1824"/>
    <w:rsid w:val="004F1D8D"/>
    <w:rsid w:val="004F2450"/>
    <w:rsid w:val="004F3C21"/>
    <w:rsid w:val="004F432D"/>
    <w:rsid w:val="004F437B"/>
    <w:rsid w:val="004F4750"/>
    <w:rsid w:val="004F5102"/>
    <w:rsid w:val="004F5EFA"/>
    <w:rsid w:val="004F6180"/>
    <w:rsid w:val="004F6E5F"/>
    <w:rsid w:val="004F6EBB"/>
    <w:rsid w:val="004F768E"/>
    <w:rsid w:val="00501959"/>
    <w:rsid w:val="0050198D"/>
    <w:rsid w:val="00502F3F"/>
    <w:rsid w:val="00505125"/>
    <w:rsid w:val="00505440"/>
    <w:rsid w:val="0050592E"/>
    <w:rsid w:val="0050769F"/>
    <w:rsid w:val="005078EF"/>
    <w:rsid w:val="00510F8F"/>
    <w:rsid w:val="00511122"/>
    <w:rsid w:val="00512653"/>
    <w:rsid w:val="00512AF1"/>
    <w:rsid w:val="0051310F"/>
    <w:rsid w:val="0051350C"/>
    <w:rsid w:val="00513FE8"/>
    <w:rsid w:val="0051457F"/>
    <w:rsid w:val="00514876"/>
    <w:rsid w:val="00515F2D"/>
    <w:rsid w:val="00517897"/>
    <w:rsid w:val="00520D5E"/>
    <w:rsid w:val="0052250D"/>
    <w:rsid w:val="00522BBC"/>
    <w:rsid w:val="0052367D"/>
    <w:rsid w:val="005243E7"/>
    <w:rsid w:val="00524472"/>
    <w:rsid w:val="0052461E"/>
    <w:rsid w:val="00525F31"/>
    <w:rsid w:val="0052680A"/>
    <w:rsid w:val="005268DB"/>
    <w:rsid w:val="00527261"/>
    <w:rsid w:val="00530190"/>
    <w:rsid w:val="005315C9"/>
    <w:rsid w:val="00532E9B"/>
    <w:rsid w:val="00533C7B"/>
    <w:rsid w:val="0053490B"/>
    <w:rsid w:val="0054176B"/>
    <w:rsid w:val="00542F8B"/>
    <w:rsid w:val="00543D73"/>
    <w:rsid w:val="00543ED8"/>
    <w:rsid w:val="0054420E"/>
    <w:rsid w:val="00545203"/>
    <w:rsid w:val="00546B4F"/>
    <w:rsid w:val="00546F04"/>
    <w:rsid w:val="00547D1F"/>
    <w:rsid w:val="005529CC"/>
    <w:rsid w:val="00552E0F"/>
    <w:rsid w:val="00554138"/>
    <w:rsid w:val="00555263"/>
    <w:rsid w:val="00555F1A"/>
    <w:rsid w:val="005560E0"/>
    <w:rsid w:val="005563FD"/>
    <w:rsid w:val="00556F24"/>
    <w:rsid w:val="00560746"/>
    <w:rsid w:val="00560E93"/>
    <w:rsid w:val="0056112F"/>
    <w:rsid w:val="005617DF"/>
    <w:rsid w:val="00561CBE"/>
    <w:rsid w:val="00562072"/>
    <w:rsid w:val="00563C23"/>
    <w:rsid w:val="00564445"/>
    <w:rsid w:val="00564E5F"/>
    <w:rsid w:val="00566295"/>
    <w:rsid w:val="00566FBA"/>
    <w:rsid w:val="0056754C"/>
    <w:rsid w:val="00567A20"/>
    <w:rsid w:val="005706C1"/>
    <w:rsid w:val="00570AA4"/>
    <w:rsid w:val="00572C6E"/>
    <w:rsid w:val="00572EF8"/>
    <w:rsid w:val="0057361D"/>
    <w:rsid w:val="00574A0E"/>
    <w:rsid w:val="0057565A"/>
    <w:rsid w:val="00575AB2"/>
    <w:rsid w:val="00575ADA"/>
    <w:rsid w:val="0057731C"/>
    <w:rsid w:val="00577A88"/>
    <w:rsid w:val="005800FB"/>
    <w:rsid w:val="00580D74"/>
    <w:rsid w:val="00580E4D"/>
    <w:rsid w:val="00582714"/>
    <w:rsid w:val="005827B9"/>
    <w:rsid w:val="0058368D"/>
    <w:rsid w:val="00584756"/>
    <w:rsid w:val="005849BB"/>
    <w:rsid w:val="005852CE"/>
    <w:rsid w:val="00590470"/>
    <w:rsid w:val="005906BA"/>
    <w:rsid w:val="00591268"/>
    <w:rsid w:val="00591B7D"/>
    <w:rsid w:val="005926DC"/>
    <w:rsid w:val="00596F98"/>
    <w:rsid w:val="005A0911"/>
    <w:rsid w:val="005A0BD1"/>
    <w:rsid w:val="005A1AF6"/>
    <w:rsid w:val="005A4801"/>
    <w:rsid w:val="005A525D"/>
    <w:rsid w:val="005A5F8B"/>
    <w:rsid w:val="005A618A"/>
    <w:rsid w:val="005A66AB"/>
    <w:rsid w:val="005A6969"/>
    <w:rsid w:val="005A6C81"/>
    <w:rsid w:val="005A77E9"/>
    <w:rsid w:val="005A7918"/>
    <w:rsid w:val="005B0385"/>
    <w:rsid w:val="005B1CCC"/>
    <w:rsid w:val="005B2501"/>
    <w:rsid w:val="005B3325"/>
    <w:rsid w:val="005B5BA1"/>
    <w:rsid w:val="005B70B3"/>
    <w:rsid w:val="005B7730"/>
    <w:rsid w:val="005C0338"/>
    <w:rsid w:val="005C12F1"/>
    <w:rsid w:val="005C1985"/>
    <w:rsid w:val="005C2A9A"/>
    <w:rsid w:val="005C2EF6"/>
    <w:rsid w:val="005C4D83"/>
    <w:rsid w:val="005C6C38"/>
    <w:rsid w:val="005C7472"/>
    <w:rsid w:val="005C7637"/>
    <w:rsid w:val="005C7CD8"/>
    <w:rsid w:val="005D1600"/>
    <w:rsid w:val="005D250A"/>
    <w:rsid w:val="005D4272"/>
    <w:rsid w:val="005D4375"/>
    <w:rsid w:val="005D581C"/>
    <w:rsid w:val="005D6DD6"/>
    <w:rsid w:val="005D7D14"/>
    <w:rsid w:val="005E105C"/>
    <w:rsid w:val="005E1AB8"/>
    <w:rsid w:val="005E3972"/>
    <w:rsid w:val="005E3A0C"/>
    <w:rsid w:val="005E43CE"/>
    <w:rsid w:val="005E52CE"/>
    <w:rsid w:val="005E560D"/>
    <w:rsid w:val="005E5737"/>
    <w:rsid w:val="005E6930"/>
    <w:rsid w:val="005E7DBF"/>
    <w:rsid w:val="005F0AE6"/>
    <w:rsid w:val="005F1C46"/>
    <w:rsid w:val="005F48BA"/>
    <w:rsid w:val="005F4903"/>
    <w:rsid w:val="005F5483"/>
    <w:rsid w:val="005F60E5"/>
    <w:rsid w:val="005F76A6"/>
    <w:rsid w:val="005F7E1C"/>
    <w:rsid w:val="00600149"/>
    <w:rsid w:val="0060057A"/>
    <w:rsid w:val="00601AAE"/>
    <w:rsid w:val="00603847"/>
    <w:rsid w:val="0060626F"/>
    <w:rsid w:val="006063AF"/>
    <w:rsid w:val="00606F94"/>
    <w:rsid w:val="00607458"/>
    <w:rsid w:val="00610687"/>
    <w:rsid w:val="00611642"/>
    <w:rsid w:val="006116E5"/>
    <w:rsid w:val="0061312B"/>
    <w:rsid w:val="00613600"/>
    <w:rsid w:val="006138A2"/>
    <w:rsid w:val="00613C83"/>
    <w:rsid w:val="00616063"/>
    <w:rsid w:val="00616D38"/>
    <w:rsid w:val="00617907"/>
    <w:rsid w:val="006204FA"/>
    <w:rsid w:val="00622A51"/>
    <w:rsid w:val="00622BD5"/>
    <w:rsid w:val="006234FB"/>
    <w:rsid w:val="00624576"/>
    <w:rsid w:val="006245EA"/>
    <w:rsid w:val="006261B2"/>
    <w:rsid w:val="00627020"/>
    <w:rsid w:val="00627BAC"/>
    <w:rsid w:val="00630EAE"/>
    <w:rsid w:val="00631D96"/>
    <w:rsid w:val="00633597"/>
    <w:rsid w:val="006359C2"/>
    <w:rsid w:val="00636906"/>
    <w:rsid w:val="00637644"/>
    <w:rsid w:val="0064004E"/>
    <w:rsid w:val="006410D4"/>
    <w:rsid w:val="006412AE"/>
    <w:rsid w:val="0064141B"/>
    <w:rsid w:val="006415F1"/>
    <w:rsid w:val="00641A8F"/>
    <w:rsid w:val="00642BEA"/>
    <w:rsid w:val="0064435C"/>
    <w:rsid w:val="006446B6"/>
    <w:rsid w:val="00645764"/>
    <w:rsid w:val="00646533"/>
    <w:rsid w:val="006470CD"/>
    <w:rsid w:val="0064732A"/>
    <w:rsid w:val="00647F4B"/>
    <w:rsid w:val="00650490"/>
    <w:rsid w:val="00650522"/>
    <w:rsid w:val="006510F3"/>
    <w:rsid w:val="00651534"/>
    <w:rsid w:val="00651788"/>
    <w:rsid w:val="00651D2F"/>
    <w:rsid w:val="00654415"/>
    <w:rsid w:val="0065445E"/>
    <w:rsid w:val="0065449A"/>
    <w:rsid w:val="00654A27"/>
    <w:rsid w:val="00654D40"/>
    <w:rsid w:val="006554D7"/>
    <w:rsid w:val="00655C59"/>
    <w:rsid w:val="00655D42"/>
    <w:rsid w:val="006560A9"/>
    <w:rsid w:val="00660241"/>
    <w:rsid w:val="0066148F"/>
    <w:rsid w:val="00662937"/>
    <w:rsid w:val="00662940"/>
    <w:rsid w:val="00662B09"/>
    <w:rsid w:val="006637FB"/>
    <w:rsid w:val="00663F9F"/>
    <w:rsid w:val="00664B8D"/>
    <w:rsid w:val="006650B7"/>
    <w:rsid w:val="006650DC"/>
    <w:rsid w:val="00667995"/>
    <w:rsid w:val="00670187"/>
    <w:rsid w:val="00670566"/>
    <w:rsid w:val="00671A71"/>
    <w:rsid w:val="00672D0A"/>
    <w:rsid w:val="00674843"/>
    <w:rsid w:val="00675743"/>
    <w:rsid w:val="006759CA"/>
    <w:rsid w:val="00676461"/>
    <w:rsid w:val="00676D3F"/>
    <w:rsid w:val="006802F6"/>
    <w:rsid w:val="0068067F"/>
    <w:rsid w:val="00681309"/>
    <w:rsid w:val="006816AB"/>
    <w:rsid w:val="00681A31"/>
    <w:rsid w:val="00684442"/>
    <w:rsid w:val="00685AA5"/>
    <w:rsid w:val="00686D94"/>
    <w:rsid w:val="0068763B"/>
    <w:rsid w:val="00687E87"/>
    <w:rsid w:val="00687FC1"/>
    <w:rsid w:val="00691EE9"/>
    <w:rsid w:val="006920EC"/>
    <w:rsid w:val="00693364"/>
    <w:rsid w:val="0069394C"/>
    <w:rsid w:val="006954C0"/>
    <w:rsid w:val="00695754"/>
    <w:rsid w:val="0069645B"/>
    <w:rsid w:val="0069694C"/>
    <w:rsid w:val="0069736B"/>
    <w:rsid w:val="006A043A"/>
    <w:rsid w:val="006A1B31"/>
    <w:rsid w:val="006A2360"/>
    <w:rsid w:val="006A457C"/>
    <w:rsid w:val="006A75BF"/>
    <w:rsid w:val="006A792A"/>
    <w:rsid w:val="006B1D92"/>
    <w:rsid w:val="006B2775"/>
    <w:rsid w:val="006B2E9C"/>
    <w:rsid w:val="006B518D"/>
    <w:rsid w:val="006B7087"/>
    <w:rsid w:val="006B7907"/>
    <w:rsid w:val="006C03CA"/>
    <w:rsid w:val="006C0490"/>
    <w:rsid w:val="006C1C9C"/>
    <w:rsid w:val="006C2532"/>
    <w:rsid w:val="006C2CA0"/>
    <w:rsid w:val="006C2E1F"/>
    <w:rsid w:val="006C31C1"/>
    <w:rsid w:val="006C4271"/>
    <w:rsid w:val="006C5E7C"/>
    <w:rsid w:val="006D236F"/>
    <w:rsid w:val="006D4311"/>
    <w:rsid w:val="006D56A2"/>
    <w:rsid w:val="006D632C"/>
    <w:rsid w:val="006D7F11"/>
    <w:rsid w:val="006E0F70"/>
    <w:rsid w:val="006E1DCB"/>
    <w:rsid w:val="006E3DF3"/>
    <w:rsid w:val="006E3E3D"/>
    <w:rsid w:val="006E3E3E"/>
    <w:rsid w:val="006E4CA3"/>
    <w:rsid w:val="006E57B2"/>
    <w:rsid w:val="006E6711"/>
    <w:rsid w:val="006E6C26"/>
    <w:rsid w:val="006E755D"/>
    <w:rsid w:val="006E766F"/>
    <w:rsid w:val="006F130A"/>
    <w:rsid w:val="006F16A7"/>
    <w:rsid w:val="006F179D"/>
    <w:rsid w:val="006F1B5E"/>
    <w:rsid w:val="006F215F"/>
    <w:rsid w:val="006F2515"/>
    <w:rsid w:val="006F3104"/>
    <w:rsid w:val="006F7163"/>
    <w:rsid w:val="006F77A1"/>
    <w:rsid w:val="006F7F3B"/>
    <w:rsid w:val="00700BFB"/>
    <w:rsid w:val="00701F43"/>
    <w:rsid w:val="00702D8E"/>
    <w:rsid w:val="007036BC"/>
    <w:rsid w:val="00703730"/>
    <w:rsid w:val="007057C5"/>
    <w:rsid w:val="007057DF"/>
    <w:rsid w:val="00705F8E"/>
    <w:rsid w:val="007065AB"/>
    <w:rsid w:val="0070670E"/>
    <w:rsid w:val="00706E86"/>
    <w:rsid w:val="0070710D"/>
    <w:rsid w:val="0071132D"/>
    <w:rsid w:val="0071165D"/>
    <w:rsid w:val="007117B6"/>
    <w:rsid w:val="00711BD9"/>
    <w:rsid w:val="00711F19"/>
    <w:rsid w:val="00712D5B"/>
    <w:rsid w:val="00712E3A"/>
    <w:rsid w:val="00713B0C"/>
    <w:rsid w:val="007144E3"/>
    <w:rsid w:val="00714D72"/>
    <w:rsid w:val="0072239C"/>
    <w:rsid w:val="00722C4E"/>
    <w:rsid w:val="007246C3"/>
    <w:rsid w:val="007257EE"/>
    <w:rsid w:val="0072582D"/>
    <w:rsid w:val="007258CF"/>
    <w:rsid w:val="00726199"/>
    <w:rsid w:val="00726520"/>
    <w:rsid w:val="0072708B"/>
    <w:rsid w:val="007301B9"/>
    <w:rsid w:val="00730FE0"/>
    <w:rsid w:val="00731226"/>
    <w:rsid w:val="007314EC"/>
    <w:rsid w:val="00731E96"/>
    <w:rsid w:val="00731F99"/>
    <w:rsid w:val="007320DC"/>
    <w:rsid w:val="0073303E"/>
    <w:rsid w:val="007347C0"/>
    <w:rsid w:val="0073504C"/>
    <w:rsid w:val="00735E81"/>
    <w:rsid w:val="007369FF"/>
    <w:rsid w:val="00736C96"/>
    <w:rsid w:val="00737BD0"/>
    <w:rsid w:val="00737EA8"/>
    <w:rsid w:val="00740225"/>
    <w:rsid w:val="00741079"/>
    <w:rsid w:val="00741DAC"/>
    <w:rsid w:val="007430E4"/>
    <w:rsid w:val="007437D2"/>
    <w:rsid w:val="00744BBC"/>
    <w:rsid w:val="00746633"/>
    <w:rsid w:val="0074676B"/>
    <w:rsid w:val="00746D4D"/>
    <w:rsid w:val="007473AE"/>
    <w:rsid w:val="0074742D"/>
    <w:rsid w:val="00747D8C"/>
    <w:rsid w:val="0075017C"/>
    <w:rsid w:val="00750C91"/>
    <w:rsid w:val="00751805"/>
    <w:rsid w:val="00751CE2"/>
    <w:rsid w:val="00751D96"/>
    <w:rsid w:val="00753778"/>
    <w:rsid w:val="00754C20"/>
    <w:rsid w:val="007552D4"/>
    <w:rsid w:val="00755FB1"/>
    <w:rsid w:val="00756648"/>
    <w:rsid w:val="0075683C"/>
    <w:rsid w:val="00756C2F"/>
    <w:rsid w:val="0075793D"/>
    <w:rsid w:val="007618B7"/>
    <w:rsid w:val="00762A01"/>
    <w:rsid w:val="007646FA"/>
    <w:rsid w:val="00765CEC"/>
    <w:rsid w:val="00765D11"/>
    <w:rsid w:val="00766295"/>
    <w:rsid w:val="00766598"/>
    <w:rsid w:val="00773F45"/>
    <w:rsid w:val="00774A7C"/>
    <w:rsid w:val="00774B11"/>
    <w:rsid w:val="00776C92"/>
    <w:rsid w:val="007776EB"/>
    <w:rsid w:val="00777F22"/>
    <w:rsid w:val="007804FD"/>
    <w:rsid w:val="00780AF1"/>
    <w:rsid w:val="007815B9"/>
    <w:rsid w:val="007825A3"/>
    <w:rsid w:val="00782726"/>
    <w:rsid w:val="00782AC1"/>
    <w:rsid w:val="00782D06"/>
    <w:rsid w:val="00782F98"/>
    <w:rsid w:val="007830F2"/>
    <w:rsid w:val="00783804"/>
    <w:rsid w:val="00783B2A"/>
    <w:rsid w:val="00785003"/>
    <w:rsid w:val="007851C3"/>
    <w:rsid w:val="007854E9"/>
    <w:rsid w:val="0078565F"/>
    <w:rsid w:val="00787740"/>
    <w:rsid w:val="007902B6"/>
    <w:rsid w:val="007908E9"/>
    <w:rsid w:val="0079168E"/>
    <w:rsid w:val="00792F0D"/>
    <w:rsid w:val="00793716"/>
    <w:rsid w:val="00793917"/>
    <w:rsid w:val="00794E8C"/>
    <w:rsid w:val="007951C3"/>
    <w:rsid w:val="00795BB8"/>
    <w:rsid w:val="0079693A"/>
    <w:rsid w:val="00796CB0"/>
    <w:rsid w:val="00796D36"/>
    <w:rsid w:val="007A2638"/>
    <w:rsid w:val="007A27B1"/>
    <w:rsid w:val="007A2BE9"/>
    <w:rsid w:val="007A3F97"/>
    <w:rsid w:val="007A401C"/>
    <w:rsid w:val="007A4C93"/>
    <w:rsid w:val="007A4DC9"/>
    <w:rsid w:val="007A4FBE"/>
    <w:rsid w:val="007A54EE"/>
    <w:rsid w:val="007A5BC8"/>
    <w:rsid w:val="007A668A"/>
    <w:rsid w:val="007B0F93"/>
    <w:rsid w:val="007B1673"/>
    <w:rsid w:val="007B1922"/>
    <w:rsid w:val="007B1AD2"/>
    <w:rsid w:val="007B1C48"/>
    <w:rsid w:val="007B1C62"/>
    <w:rsid w:val="007B2745"/>
    <w:rsid w:val="007B2913"/>
    <w:rsid w:val="007B2973"/>
    <w:rsid w:val="007B37E0"/>
    <w:rsid w:val="007B3C6C"/>
    <w:rsid w:val="007B4526"/>
    <w:rsid w:val="007B48DC"/>
    <w:rsid w:val="007B58A1"/>
    <w:rsid w:val="007B6A02"/>
    <w:rsid w:val="007B6C1F"/>
    <w:rsid w:val="007B71E3"/>
    <w:rsid w:val="007C1232"/>
    <w:rsid w:val="007C3E13"/>
    <w:rsid w:val="007C5745"/>
    <w:rsid w:val="007C5CFB"/>
    <w:rsid w:val="007C6448"/>
    <w:rsid w:val="007C72B5"/>
    <w:rsid w:val="007D0270"/>
    <w:rsid w:val="007D20FF"/>
    <w:rsid w:val="007D26D7"/>
    <w:rsid w:val="007D4099"/>
    <w:rsid w:val="007D428C"/>
    <w:rsid w:val="007D5E6B"/>
    <w:rsid w:val="007D6B9A"/>
    <w:rsid w:val="007D6C8C"/>
    <w:rsid w:val="007D73DD"/>
    <w:rsid w:val="007D7AAB"/>
    <w:rsid w:val="007E0316"/>
    <w:rsid w:val="007E1220"/>
    <w:rsid w:val="007E3D6A"/>
    <w:rsid w:val="007E44BA"/>
    <w:rsid w:val="007E5F81"/>
    <w:rsid w:val="007E6B98"/>
    <w:rsid w:val="007F0055"/>
    <w:rsid w:val="007F0063"/>
    <w:rsid w:val="007F0E57"/>
    <w:rsid w:val="007F15CB"/>
    <w:rsid w:val="007F18B1"/>
    <w:rsid w:val="007F1E7B"/>
    <w:rsid w:val="007F355C"/>
    <w:rsid w:val="007F35E5"/>
    <w:rsid w:val="007F38F5"/>
    <w:rsid w:val="007F3CED"/>
    <w:rsid w:val="007F49AB"/>
    <w:rsid w:val="007F51D6"/>
    <w:rsid w:val="007F52C0"/>
    <w:rsid w:val="007F58D6"/>
    <w:rsid w:val="007F6471"/>
    <w:rsid w:val="007F67E4"/>
    <w:rsid w:val="007F7C2A"/>
    <w:rsid w:val="008000C2"/>
    <w:rsid w:val="00800277"/>
    <w:rsid w:val="00800754"/>
    <w:rsid w:val="00800A3D"/>
    <w:rsid w:val="00800B32"/>
    <w:rsid w:val="00800C75"/>
    <w:rsid w:val="00802EB9"/>
    <w:rsid w:val="00802EF3"/>
    <w:rsid w:val="00805B51"/>
    <w:rsid w:val="00805F4E"/>
    <w:rsid w:val="00807548"/>
    <w:rsid w:val="008078B5"/>
    <w:rsid w:val="00810AA3"/>
    <w:rsid w:val="008111E8"/>
    <w:rsid w:val="00811931"/>
    <w:rsid w:val="00812613"/>
    <w:rsid w:val="008145C8"/>
    <w:rsid w:val="00814A07"/>
    <w:rsid w:val="0081515A"/>
    <w:rsid w:val="008166F2"/>
    <w:rsid w:val="008219B1"/>
    <w:rsid w:val="00823D82"/>
    <w:rsid w:val="00823EFF"/>
    <w:rsid w:val="00824432"/>
    <w:rsid w:val="008245BA"/>
    <w:rsid w:val="008262B9"/>
    <w:rsid w:val="00830547"/>
    <w:rsid w:val="00832D4E"/>
    <w:rsid w:val="00833B7B"/>
    <w:rsid w:val="00834169"/>
    <w:rsid w:val="0083480D"/>
    <w:rsid w:val="00834EC2"/>
    <w:rsid w:val="00836195"/>
    <w:rsid w:val="008407DA"/>
    <w:rsid w:val="00840938"/>
    <w:rsid w:val="00840DFA"/>
    <w:rsid w:val="00841BAB"/>
    <w:rsid w:val="00844C0D"/>
    <w:rsid w:val="00845BEC"/>
    <w:rsid w:val="008463ED"/>
    <w:rsid w:val="00846A44"/>
    <w:rsid w:val="00846B97"/>
    <w:rsid w:val="00846DCD"/>
    <w:rsid w:val="00846E3A"/>
    <w:rsid w:val="00846E52"/>
    <w:rsid w:val="008477D7"/>
    <w:rsid w:val="0085160F"/>
    <w:rsid w:val="00852C23"/>
    <w:rsid w:val="00856CB7"/>
    <w:rsid w:val="00857A66"/>
    <w:rsid w:val="00857B6B"/>
    <w:rsid w:val="0086002D"/>
    <w:rsid w:val="008624ED"/>
    <w:rsid w:val="008625F2"/>
    <w:rsid w:val="00863E7D"/>
    <w:rsid w:val="00866B20"/>
    <w:rsid w:val="0086761C"/>
    <w:rsid w:val="008679A0"/>
    <w:rsid w:val="00871EB4"/>
    <w:rsid w:val="00873618"/>
    <w:rsid w:val="0087368E"/>
    <w:rsid w:val="00874191"/>
    <w:rsid w:val="008749D8"/>
    <w:rsid w:val="00874B94"/>
    <w:rsid w:val="00874E7F"/>
    <w:rsid w:val="008754E6"/>
    <w:rsid w:val="00876B28"/>
    <w:rsid w:val="00877445"/>
    <w:rsid w:val="00880FDD"/>
    <w:rsid w:val="0088109E"/>
    <w:rsid w:val="00882ECA"/>
    <w:rsid w:val="00882F12"/>
    <w:rsid w:val="00883215"/>
    <w:rsid w:val="00883B57"/>
    <w:rsid w:val="008849CD"/>
    <w:rsid w:val="00886B20"/>
    <w:rsid w:val="00886B73"/>
    <w:rsid w:val="00887A3D"/>
    <w:rsid w:val="008900A9"/>
    <w:rsid w:val="00890807"/>
    <w:rsid w:val="00893604"/>
    <w:rsid w:val="008957A7"/>
    <w:rsid w:val="00895EA3"/>
    <w:rsid w:val="00896239"/>
    <w:rsid w:val="0089775D"/>
    <w:rsid w:val="008979BF"/>
    <w:rsid w:val="00897D29"/>
    <w:rsid w:val="008A004A"/>
    <w:rsid w:val="008A0242"/>
    <w:rsid w:val="008A4351"/>
    <w:rsid w:val="008A44B7"/>
    <w:rsid w:val="008A533B"/>
    <w:rsid w:val="008A579D"/>
    <w:rsid w:val="008A6261"/>
    <w:rsid w:val="008A6289"/>
    <w:rsid w:val="008A7021"/>
    <w:rsid w:val="008A7BBE"/>
    <w:rsid w:val="008B029F"/>
    <w:rsid w:val="008B0BF0"/>
    <w:rsid w:val="008B347C"/>
    <w:rsid w:val="008B4208"/>
    <w:rsid w:val="008B577A"/>
    <w:rsid w:val="008B7A0D"/>
    <w:rsid w:val="008B7D69"/>
    <w:rsid w:val="008C01BD"/>
    <w:rsid w:val="008C2EBF"/>
    <w:rsid w:val="008C35BF"/>
    <w:rsid w:val="008C55FB"/>
    <w:rsid w:val="008C6195"/>
    <w:rsid w:val="008C6812"/>
    <w:rsid w:val="008C7734"/>
    <w:rsid w:val="008D0A33"/>
    <w:rsid w:val="008D11EF"/>
    <w:rsid w:val="008D1D2E"/>
    <w:rsid w:val="008D3435"/>
    <w:rsid w:val="008D4E5C"/>
    <w:rsid w:val="008D5931"/>
    <w:rsid w:val="008D7539"/>
    <w:rsid w:val="008E0618"/>
    <w:rsid w:val="008E073C"/>
    <w:rsid w:val="008E491E"/>
    <w:rsid w:val="008E527A"/>
    <w:rsid w:val="008E5F33"/>
    <w:rsid w:val="008E7728"/>
    <w:rsid w:val="008F0FC8"/>
    <w:rsid w:val="008F1BD4"/>
    <w:rsid w:val="008F25C3"/>
    <w:rsid w:val="008F2CF1"/>
    <w:rsid w:val="008F36FC"/>
    <w:rsid w:val="008F3C26"/>
    <w:rsid w:val="008F425C"/>
    <w:rsid w:val="008F557A"/>
    <w:rsid w:val="008F6DC6"/>
    <w:rsid w:val="008F740F"/>
    <w:rsid w:val="00900647"/>
    <w:rsid w:val="00901244"/>
    <w:rsid w:val="0090435D"/>
    <w:rsid w:val="009045FD"/>
    <w:rsid w:val="00904918"/>
    <w:rsid w:val="00904BD0"/>
    <w:rsid w:val="009060AB"/>
    <w:rsid w:val="0090649B"/>
    <w:rsid w:val="00906EC5"/>
    <w:rsid w:val="00907434"/>
    <w:rsid w:val="009076E3"/>
    <w:rsid w:val="00910886"/>
    <w:rsid w:val="00911DD9"/>
    <w:rsid w:val="00912E51"/>
    <w:rsid w:val="00913175"/>
    <w:rsid w:val="009131FF"/>
    <w:rsid w:val="009137F7"/>
    <w:rsid w:val="0091383B"/>
    <w:rsid w:val="00915564"/>
    <w:rsid w:val="00916A83"/>
    <w:rsid w:val="00920350"/>
    <w:rsid w:val="00920874"/>
    <w:rsid w:val="00920C7B"/>
    <w:rsid w:val="009222B2"/>
    <w:rsid w:val="0092268D"/>
    <w:rsid w:val="009226FB"/>
    <w:rsid w:val="009235BC"/>
    <w:rsid w:val="00923943"/>
    <w:rsid w:val="00923B1C"/>
    <w:rsid w:val="00923B6D"/>
    <w:rsid w:val="0092551C"/>
    <w:rsid w:val="00926F3D"/>
    <w:rsid w:val="00930634"/>
    <w:rsid w:val="00931E3C"/>
    <w:rsid w:val="00932572"/>
    <w:rsid w:val="00932612"/>
    <w:rsid w:val="0093341A"/>
    <w:rsid w:val="009355F1"/>
    <w:rsid w:val="00935959"/>
    <w:rsid w:val="009360A4"/>
    <w:rsid w:val="00940691"/>
    <w:rsid w:val="00940F0F"/>
    <w:rsid w:val="00941F56"/>
    <w:rsid w:val="00943CD7"/>
    <w:rsid w:val="00943FD1"/>
    <w:rsid w:val="0094421B"/>
    <w:rsid w:val="009464F5"/>
    <w:rsid w:val="009465EB"/>
    <w:rsid w:val="0094663D"/>
    <w:rsid w:val="00946E44"/>
    <w:rsid w:val="009513CF"/>
    <w:rsid w:val="009546D1"/>
    <w:rsid w:val="009547BA"/>
    <w:rsid w:val="00955621"/>
    <w:rsid w:val="00956674"/>
    <w:rsid w:val="0095668A"/>
    <w:rsid w:val="009575A6"/>
    <w:rsid w:val="00957650"/>
    <w:rsid w:val="00957658"/>
    <w:rsid w:val="00960B96"/>
    <w:rsid w:val="00961EC0"/>
    <w:rsid w:val="00962187"/>
    <w:rsid w:val="00962658"/>
    <w:rsid w:val="009629A2"/>
    <w:rsid w:val="0096318E"/>
    <w:rsid w:val="00963924"/>
    <w:rsid w:val="009639D2"/>
    <w:rsid w:val="00964604"/>
    <w:rsid w:val="009649CB"/>
    <w:rsid w:val="00970C42"/>
    <w:rsid w:val="00971660"/>
    <w:rsid w:val="0097180B"/>
    <w:rsid w:val="00972A7A"/>
    <w:rsid w:val="009744C8"/>
    <w:rsid w:val="00975F1C"/>
    <w:rsid w:val="00977079"/>
    <w:rsid w:val="00980698"/>
    <w:rsid w:val="00981B98"/>
    <w:rsid w:val="0098201B"/>
    <w:rsid w:val="00982F57"/>
    <w:rsid w:val="009830B4"/>
    <w:rsid w:val="00984A20"/>
    <w:rsid w:val="00984A3A"/>
    <w:rsid w:val="009862C7"/>
    <w:rsid w:val="00986847"/>
    <w:rsid w:val="00986C67"/>
    <w:rsid w:val="009875A4"/>
    <w:rsid w:val="00987CA1"/>
    <w:rsid w:val="00990F7B"/>
    <w:rsid w:val="00990F95"/>
    <w:rsid w:val="00991EC0"/>
    <w:rsid w:val="00992154"/>
    <w:rsid w:val="00993F74"/>
    <w:rsid w:val="00994CDE"/>
    <w:rsid w:val="009951EE"/>
    <w:rsid w:val="0099579D"/>
    <w:rsid w:val="009964E3"/>
    <w:rsid w:val="009969AD"/>
    <w:rsid w:val="00997D1D"/>
    <w:rsid w:val="00997E4E"/>
    <w:rsid w:val="009A00D4"/>
    <w:rsid w:val="009A027B"/>
    <w:rsid w:val="009A2D57"/>
    <w:rsid w:val="009A2F4A"/>
    <w:rsid w:val="009A30B1"/>
    <w:rsid w:val="009A349F"/>
    <w:rsid w:val="009A4346"/>
    <w:rsid w:val="009A4E46"/>
    <w:rsid w:val="009A4ED4"/>
    <w:rsid w:val="009A549A"/>
    <w:rsid w:val="009A593B"/>
    <w:rsid w:val="009A5CFE"/>
    <w:rsid w:val="009A5FDE"/>
    <w:rsid w:val="009A63D9"/>
    <w:rsid w:val="009A7A16"/>
    <w:rsid w:val="009A7A59"/>
    <w:rsid w:val="009B0A40"/>
    <w:rsid w:val="009B106D"/>
    <w:rsid w:val="009B1812"/>
    <w:rsid w:val="009B1CA4"/>
    <w:rsid w:val="009B2463"/>
    <w:rsid w:val="009B2DF8"/>
    <w:rsid w:val="009B3B51"/>
    <w:rsid w:val="009B436D"/>
    <w:rsid w:val="009B5657"/>
    <w:rsid w:val="009B72CE"/>
    <w:rsid w:val="009B79AA"/>
    <w:rsid w:val="009C0580"/>
    <w:rsid w:val="009C25D7"/>
    <w:rsid w:val="009C3853"/>
    <w:rsid w:val="009C3D94"/>
    <w:rsid w:val="009C55DF"/>
    <w:rsid w:val="009C66BE"/>
    <w:rsid w:val="009C6C09"/>
    <w:rsid w:val="009D0CE5"/>
    <w:rsid w:val="009D0D39"/>
    <w:rsid w:val="009D1098"/>
    <w:rsid w:val="009D2473"/>
    <w:rsid w:val="009D3AE8"/>
    <w:rsid w:val="009D3F89"/>
    <w:rsid w:val="009D55A1"/>
    <w:rsid w:val="009D6EC0"/>
    <w:rsid w:val="009D7218"/>
    <w:rsid w:val="009E00F5"/>
    <w:rsid w:val="009E10FA"/>
    <w:rsid w:val="009E2912"/>
    <w:rsid w:val="009E37B5"/>
    <w:rsid w:val="009E449C"/>
    <w:rsid w:val="009E64D1"/>
    <w:rsid w:val="009E702D"/>
    <w:rsid w:val="009F033C"/>
    <w:rsid w:val="009F17D3"/>
    <w:rsid w:val="009F1DA1"/>
    <w:rsid w:val="009F26D8"/>
    <w:rsid w:val="009F4135"/>
    <w:rsid w:val="009F5A23"/>
    <w:rsid w:val="009F6138"/>
    <w:rsid w:val="009F677C"/>
    <w:rsid w:val="009F76C0"/>
    <w:rsid w:val="009F76F3"/>
    <w:rsid w:val="00A003D2"/>
    <w:rsid w:val="00A00E22"/>
    <w:rsid w:val="00A01050"/>
    <w:rsid w:val="00A025D8"/>
    <w:rsid w:val="00A02EF9"/>
    <w:rsid w:val="00A03175"/>
    <w:rsid w:val="00A03BD7"/>
    <w:rsid w:val="00A03C23"/>
    <w:rsid w:val="00A06211"/>
    <w:rsid w:val="00A06EFA"/>
    <w:rsid w:val="00A070A4"/>
    <w:rsid w:val="00A1072F"/>
    <w:rsid w:val="00A12A29"/>
    <w:rsid w:val="00A12DB8"/>
    <w:rsid w:val="00A166E6"/>
    <w:rsid w:val="00A1717F"/>
    <w:rsid w:val="00A201E1"/>
    <w:rsid w:val="00A21490"/>
    <w:rsid w:val="00A2192E"/>
    <w:rsid w:val="00A23400"/>
    <w:rsid w:val="00A23B5F"/>
    <w:rsid w:val="00A23D7E"/>
    <w:rsid w:val="00A2416A"/>
    <w:rsid w:val="00A26D1A"/>
    <w:rsid w:val="00A26FAE"/>
    <w:rsid w:val="00A304EF"/>
    <w:rsid w:val="00A310A3"/>
    <w:rsid w:val="00A31433"/>
    <w:rsid w:val="00A31B4E"/>
    <w:rsid w:val="00A33EE1"/>
    <w:rsid w:val="00A34AAD"/>
    <w:rsid w:val="00A352E5"/>
    <w:rsid w:val="00A35D56"/>
    <w:rsid w:val="00A36433"/>
    <w:rsid w:val="00A36AD7"/>
    <w:rsid w:val="00A4036B"/>
    <w:rsid w:val="00A40836"/>
    <w:rsid w:val="00A40964"/>
    <w:rsid w:val="00A4140B"/>
    <w:rsid w:val="00A417E3"/>
    <w:rsid w:val="00A418D1"/>
    <w:rsid w:val="00A43F68"/>
    <w:rsid w:val="00A45294"/>
    <w:rsid w:val="00A464F4"/>
    <w:rsid w:val="00A46BDF"/>
    <w:rsid w:val="00A47350"/>
    <w:rsid w:val="00A47581"/>
    <w:rsid w:val="00A501D9"/>
    <w:rsid w:val="00A502B6"/>
    <w:rsid w:val="00A51CAF"/>
    <w:rsid w:val="00A51F43"/>
    <w:rsid w:val="00A52480"/>
    <w:rsid w:val="00A5376B"/>
    <w:rsid w:val="00A54C46"/>
    <w:rsid w:val="00A553F2"/>
    <w:rsid w:val="00A560B1"/>
    <w:rsid w:val="00A566F4"/>
    <w:rsid w:val="00A56AB9"/>
    <w:rsid w:val="00A56B67"/>
    <w:rsid w:val="00A6116C"/>
    <w:rsid w:val="00A61E73"/>
    <w:rsid w:val="00A62264"/>
    <w:rsid w:val="00A62DA3"/>
    <w:rsid w:val="00A64A8A"/>
    <w:rsid w:val="00A64F64"/>
    <w:rsid w:val="00A64F7C"/>
    <w:rsid w:val="00A65428"/>
    <w:rsid w:val="00A6605D"/>
    <w:rsid w:val="00A669AA"/>
    <w:rsid w:val="00A67312"/>
    <w:rsid w:val="00A70611"/>
    <w:rsid w:val="00A7181D"/>
    <w:rsid w:val="00A725C1"/>
    <w:rsid w:val="00A7264B"/>
    <w:rsid w:val="00A73D4F"/>
    <w:rsid w:val="00A741E7"/>
    <w:rsid w:val="00A75BDF"/>
    <w:rsid w:val="00A75CEC"/>
    <w:rsid w:val="00A7610B"/>
    <w:rsid w:val="00A7640C"/>
    <w:rsid w:val="00A7760D"/>
    <w:rsid w:val="00A77C50"/>
    <w:rsid w:val="00A77D9D"/>
    <w:rsid w:val="00A81CCE"/>
    <w:rsid w:val="00A83B38"/>
    <w:rsid w:val="00A85495"/>
    <w:rsid w:val="00A8576C"/>
    <w:rsid w:val="00A859AF"/>
    <w:rsid w:val="00A86C5B"/>
    <w:rsid w:val="00A86DE3"/>
    <w:rsid w:val="00A9029A"/>
    <w:rsid w:val="00A90C0D"/>
    <w:rsid w:val="00A92D8C"/>
    <w:rsid w:val="00A92F1B"/>
    <w:rsid w:val="00A934A5"/>
    <w:rsid w:val="00A95573"/>
    <w:rsid w:val="00A95F30"/>
    <w:rsid w:val="00A96139"/>
    <w:rsid w:val="00A9680F"/>
    <w:rsid w:val="00A96BD9"/>
    <w:rsid w:val="00A97ED3"/>
    <w:rsid w:val="00AA0B2B"/>
    <w:rsid w:val="00AA1774"/>
    <w:rsid w:val="00AA1F8E"/>
    <w:rsid w:val="00AA208C"/>
    <w:rsid w:val="00AA2462"/>
    <w:rsid w:val="00AA25E7"/>
    <w:rsid w:val="00AA2EFF"/>
    <w:rsid w:val="00AA3652"/>
    <w:rsid w:val="00AA3F28"/>
    <w:rsid w:val="00AA51CC"/>
    <w:rsid w:val="00AA56EB"/>
    <w:rsid w:val="00AA5AD2"/>
    <w:rsid w:val="00AA5D91"/>
    <w:rsid w:val="00AA6948"/>
    <w:rsid w:val="00AA6C33"/>
    <w:rsid w:val="00AA7511"/>
    <w:rsid w:val="00AA7603"/>
    <w:rsid w:val="00AB0928"/>
    <w:rsid w:val="00AB1187"/>
    <w:rsid w:val="00AB127D"/>
    <w:rsid w:val="00AB1D12"/>
    <w:rsid w:val="00AB2458"/>
    <w:rsid w:val="00AB29C7"/>
    <w:rsid w:val="00AB3DAE"/>
    <w:rsid w:val="00AB4B1A"/>
    <w:rsid w:val="00AB4BB3"/>
    <w:rsid w:val="00AB4E43"/>
    <w:rsid w:val="00AB5472"/>
    <w:rsid w:val="00AB5748"/>
    <w:rsid w:val="00AB789F"/>
    <w:rsid w:val="00AC051B"/>
    <w:rsid w:val="00AC09F5"/>
    <w:rsid w:val="00AC0C60"/>
    <w:rsid w:val="00AC13F8"/>
    <w:rsid w:val="00AC225F"/>
    <w:rsid w:val="00AC31EC"/>
    <w:rsid w:val="00AC4F67"/>
    <w:rsid w:val="00AC51BF"/>
    <w:rsid w:val="00AC5278"/>
    <w:rsid w:val="00AC7D3E"/>
    <w:rsid w:val="00AD0931"/>
    <w:rsid w:val="00AD175D"/>
    <w:rsid w:val="00AD17BA"/>
    <w:rsid w:val="00AD219E"/>
    <w:rsid w:val="00AD4F9D"/>
    <w:rsid w:val="00AD5D81"/>
    <w:rsid w:val="00AD5ECF"/>
    <w:rsid w:val="00AD5F74"/>
    <w:rsid w:val="00AD6B25"/>
    <w:rsid w:val="00AD7B66"/>
    <w:rsid w:val="00AE3FE5"/>
    <w:rsid w:val="00AE4124"/>
    <w:rsid w:val="00AE4C2A"/>
    <w:rsid w:val="00AE5706"/>
    <w:rsid w:val="00AE61C3"/>
    <w:rsid w:val="00AE6F73"/>
    <w:rsid w:val="00AE73C2"/>
    <w:rsid w:val="00AE77D9"/>
    <w:rsid w:val="00AE7F31"/>
    <w:rsid w:val="00AF06E5"/>
    <w:rsid w:val="00AF0CF8"/>
    <w:rsid w:val="00AF0E0F"/>
    <w:rsid w:val="00AF1938"/>
    <w:rsid w:val="00AF25F4"/>
    <w:rsid w:val="00AF2738"/>
    <w:rsid w:val="00AF2819"/>
    <w:rsid w:val="00AF57FB"/>
    <w:rsid w:val="00AF5C50"/>
    <w:rsid w:val="00AF621B"/>
    <w:rsid w:val="00AF6922"/>
    <w:rsid w:val="00B00F02"/>
    <w:rsid w:val="00B00F36"/>
    <w:rsid w:val="00B01BBE"/>
    <w:rsid w:val="00B01D70"/>
    <w:rsid w:val="00B02B78"/>
    <w:rsid w:val="00B02D6B"/>
    <w:rsid w:val="00B07CA4"/>
    <w:rsid w:val="00B102E8"/>
    <w:rsid w:val="00B12FED"/>
    <w:rsid w:val="00B13C1F"/>
    <w:rsid w:val="00B146DC"/>
    <w:rsid w:val="00B149C3"/>
    <w:rsid w:val="00B14C44"/>
    <w:rsid w:val="00B14FD9"/>
    <w:rsid w:val="00B16DB9"/>
    <w:rsid w:val="00B170A4"/>
    <w:rsid w:val="00B17232"/>
    <w:rsid w:val="00B17497"/>
    <w:rsid w:val="00B17638"/>
    <w:rsid w:val="00B1768D"/>
    <w:rsid w:val="00B20E19"/>
    <w:rsid w:val="00B20F1A"/>
    <w:rsid w:val="00B21BD1"/>
    <w:rsid w:val="00B225A9"/>
    <w:rsid w:val="00B231CC"/>
    <w:rsid w:val="00B237E6"/>
    <w:rsid w:val="00B24877"/>
    <w:rsid w:val="00B249F4"/>
    <w:rsid w:val="00B25766"/>
    <w:rsid w:val="00B26ADA"/>
    <w:rsid w:val="00B274F5"/>
    <w:rsid w:val="00B3070F"/>
    <w:rsid w:val="00B30811"/>
    <w:rsid w:val="00B324ED"/>
    <w:rsid w:val="00B35885"/>
    <w:rsid w:val="00B35E82"/>
    <w:rsid w:val="00B36404"/>
    <w:rsid w:val="00B364D1"/>
    <w:rsid w:val="00B36827"/>
    <w:rsid w:val="00B3769A"/>
    <w:rsid w:val="00B3792D"/>
    <w:rsid w:val="00B40E79"/>
    <w:rsid w:val="00B41E5A"/>
    <w:rsid w:val="00B41F5A"/>
    <w:rsid w:val="00B4217C"/>
    <w:rsid w:val="00B42A97"/>
    <w:rsid w:val="00B43269"/>
    <w:rsid w:val="00B46191"/>
    <w:rsid w:val="00B47762"/>
    <w:rsid w:val="00B54B0D"/>
    <w:rsid w:val="00B56854"/>
    <w:rsid w:val="00B57F00"/>
    <w:rsid w:val="00B6009F"/>
    <w:rsid w:val="00B6477D"/>
    <w:rsid w:val="00B65FF2"/>
    <w:rsid w:val="00B675DD"/>
    <w:rsid w:val="00B67BA2"/>
    <w:rsid w:val="00B67F5C"/>
    <w:rsid w:val="00B703C3"/>
    <w:rsid w:val="00B70E81"/>
    <w:rsid w:val="00B71203"/>
    <w:rsid w:val="00B7225C"/>
    <w:rsid w:val="00B73216"/>
    <w:rsid w:val="00B7424B"/>
    <w:rsid w:val="00B74A8D"/>
    <w:rsid w:val="00B74ABD"/>
    <w:rsid w:val="00B754FE"/>
    <w:rsid w:val="00B75D33"/>
    <w:rsid w:val="00B76180"/>
    <w:rsid w:val="00B76341"/>
    <w:rsid w:val="00B77298"/>
    <w:rsid w:val="00B77F1E"/>
    <w:rsid w:val="00B77FAA"/>
    <w:rsid w:val="00B81292"/>
    <w:rsid w:val="00B824D2"/>
    <w:rsid w:val="00B826AB"/>
    <w:rsid w:val="00B8276E"/>
    <w:rsid w:val="00B83096"/>
    <w:rsid w:val="00B83F19"/>
    <w:rsid w:val="00B8450C"/>
    <w:rsid w:val="00B87CC6"/>
    <w:rsid w:val="00B91455"/>
    <w:rsid w:val="00B91B67"/>
    <w:rsid w:val="00B9218E"/>
    <w:rsid w:val="00B944EF"/>
    <w:rsid w:val="00B94EA0"/>
    <w:rsid w:val="00B97216"/>
    <w:rsid w:val="00B9796F"/>
    <w:rsid w:val="00BA01CD"/>
    <w:rsid w:val="00BA0520"/>
    <w:rsid w:val="00BA2D7F"/>
    <w:rsid w:val="00BA36EF"/>
    <w:rsid w:val="00BA43FB"/>
    <w:rsid w:val="00BA642D"/>
    <w:rsid w:val="00BB086F"/>
    <w:rsid w:val="00BB149D"/>
    <w:rsid w:val="00BB31F9"/>
    <w:rsid w:val="00BB3B37"/>
    <w:rsid w:val="00BB48BB"/>
    <w:rsid w:val="00BB4A73"/>
    <w:rsid w:val="00BB4F95"/>
    <w:rsid w:val="00BB6D06"/>
    <w:rsid w:val="00BB7B2D"/>
    <w:rsid w:val="00BC0AD3"/>
    <w:rsid w:val="00BC1694"/>
    <w:rsid w:val="00BC2134"/>
    <w:rsid w:val="00BC2B83"/>
    <w:rsid w:val="00BC3073"/>
    <w:rsid w:val="00BC332F"/>
    <w:rsid w:val="00BC34E4"/>
    <w:rsid w:val="00BC3D82"/>
    <w:rsid w:val="00BC3ECE"/>
    <w:rsid w:val="00BC5563"/>
    <w:rsid w:val="00BC578C"/>
    <w:rsid w:val="00BC5AB2"/>
    <w:rsid w:val="00BC6003"/>
    <w:rsid w:val="00BC6FD4"/>
    <w:rsid w:val="00BC75F6"/>
    <w:rsid w:val="00BD0436"/>
    <w:rsid w:val="00BD0731"/>
    <w:rsid w:val="00BD597E"/>
    <w:rsid w:val="00BE21AC"/>
    <w:rsid w:val="00BE3173"/>
    <w:rsid w:val="00BE3A3B"/>
    <w:rsid w:val="00BE4DA4"/>
    <w:rsid w:val="00BE5FBF"/>
    <w:rsid w:val="00BE6733"/>
    <w:rsid w:val="00BE71DA"/>
    <w:rsid w:val="00BE71F3"/>
    <w:rsid w:val="00BE774A"/>
    <w:rsid w:val="00BE7B78"/>
    <w:rsid w:val="00BE7C89"/>
    <w:rsid w:val="00BF04F7"/>
    <w:rsid w:val="00BF0641"/>
    <w:rsid w:val="00BF1431"/>
    <w:rsid w:val="00BF37A8"/>
    <w:rsid w:val="00BF4B52"/>
    <w:rsid w:val="00BF5B4A"/>
    <w:rsid w:val="00BF67FD"/>
    <w:rsid w:val="00C00D52"/>
    <w:rsid w:val="00C01142"/>
    <w:rsid w:val="00C0162A"/>
    <w:rsid w:val="00C01A9C"/>
    <w:rsid w:val="00C01FBA"/>
    <w:rsid w:val="00C01FE7"/>
    <w:rsid w:val="00C02B69"/>
    <w:rsid w:val="00C034E4"/>
    <w:rsid w:val="00C03902"/>
    <w:rsid w:val="00C03F94"/>
    <w:rsid w:val="00C05F18"/>
    <w:rsid w:val="00C066E2"/>
    <w:rsid w:val="00C07799"/>
    <w:rsid w:val="00C10A47"/>
    <w:rsid w:val="00C10A9C"/>
    <w:rsid w:val="00C1108C"/>
    <w:rsid w:val="00C12814"/>
    <w:rsid w:val="00C14120"/>
    <w:rsid w:val="00C1427D"/>
    <w:rsid w:val="00C15F0E"/>
    <w:rsid w:val="00C16611"/>
    <w:rsid w:val="00C166CB"/>
    <w:rsid w:val="00C1693A"/>
    <w:rsid w:val="00C20167"/>
    <w:rsid w:val="00C20DB5"/>
    <w:rsid w:val="00C23E3F"/>
    <w:rsid w:val="00C25490"/>
    <w:rsid w:val="00C2553C"/>
    <w:rsid w:val="00C25573"/>
    <w:rsid w:val="00C255E5"/>
    <w:rsid w:val="00C27548"/>
    <w:rsid w:val="00C276B4"/>
    <w:rsid w:val="00C302AF"/>
    <w:rsid w:val="00C309FE"/>
    <w:rsid w:val="00C30C47"/>
    <w:rsid w:val="00C30CCD"/>
    <w:rsid w:val="00C3148D"/>
    <w:rsid w:val="00C32082"/>
    <w:rsid w:val="00C32BD7"/>
    <w:rsid w:val="00C330A1"/>
    <w:rsid w:val="00C33ADB"/>
    <w:rsid w:val="00C33BB9"/>
    <w:rsid w:val="00C3426E"/>
    <w:rsid w:val="00C34C17"/>
    <w:rsid w:val="00C34E3A"/>
    <w:rsid w:val="00C35C5B"/>
    <w:rsid w:val="00C362C2"/>
    <w:rsid w:val="00C37EAA"/>
    <w:rsid w:val="00C403B9"/>
    <w:rsid w:val="00C41690"/>
    <w:rsid w:val="00C41EAA"/>
    <w:rsid w:val="00C448A7"/>
    <w:rsid w:val="00C46065"/>
    <w:rsid w:val="00C4692F"/>
    <w:rsid w:val="00C47473"/>
    <w:rsid w:val="00C474B4"/>
    <w:rsid w:val="00C519A1"/>
    <w:rsid w:val="00C5377F"/>
    <w:rsid w:val="00C53DFF"/>
    <w:rsid w:val="00C53FC5"/>
    <w:rsid w:val="00C55CC1"/>
    <w:rsid w:val="00C56103"/>
    <w:rsid w:val="00C57906"/>
    <w:rsid w:val="00C6074F"/>
    <w:rsid w:val="00C609E6"/>
    <w:rsid w:val="00C61C1C"/>
    <w:rsid w:val="00C62562"/>
    <w:rsid w:val="00C6412E"/>
    <w:rsid w:val="00C644FE"/>
    <w:rsid w:val="00C64F22"/>
    <w:rsid w:val="00C6540E"/>
    <w:rsid w:val="00C65E4E"/>
    <w:rsid w:val="00C65EAC"/>
    <w:rsid w:val="00C673CC"/>
    <w:rsid w:val="00C70302"/>
    <w:rsid w:val="00C70493"/>
    <w:rsid w:val="00C71E0E"/>
    <w:rsid w:val="00C720F8"/>
    <w:rsid w:val="00C766FF"/>
    <w:rsid w:val="00C771E0"/>
    <w:rsid w:val="00C771FD"/>
    <w:rsid w:val="00C772A3"/>
    <w:rsid w:val="00C773CB"/>
    <w:rsid w:val="00C80B18"/>
    <w:rsid w:val="00C81570"/>
    <w:rsid w:val="00C81792"/>
    <w:rsid w:val="00C817F5"/>
    <w:rsid w:val="00C81800"/>
    <w:rsid w:val="00C824FB"/>
    <w:rsid w:val="00C8421A"/>
    <w:rsid w:val="00C84ED4"/>
    <w:rsid w:val="00C85B68"/>
    <w:rsid w:val="00C85F32"/>
    <w:rsid w:val="00C865E1"/>
    <w:rsid w:val="00C877FF"/>
    <w:rsid w:val="00C903F7"/>
    <w:rsid w:val="00C91133"/>
    <w:rsid w:val="00C921B0"/>
    <w:rsid w:val="00C95CCD"/>
    <w:rsid w:val="00C9653A"/>
    <w:rsid w:val="00C97541"/>
    <w:rsid w:val="00C977DB"/>
    <w:rsid w:val="00C97D24"/>
    <w:rsid w:val="00CA0C53"/>
    <w:rsid w:val="00CA2294"/>
    <w:rsid w:val="00CA26C8"/>
    <w:rsid w:val="00CA27FF"/>
    <w:rsid w:val="00CA2B32"/>
    <w:rsid w:val="00CA2F84"/>
    <w:rsid w:val="00CA3271"/>
    <w:rsid w:val="00CA3B16"/>
    <w:rsid w:val="00CA4917"/>
    <w:rsid w:val="00CA4930"/>
    <w:rsid w:val="00CA52DF"/>
    <w:rsid w:val="00CA5619"/>
    <w:rsid w:val="00CA5973"/>
    <w:rsid w:val="00CA5D52"/>
    <w:rsid w:val="00CA611A"/>
    <w:rsid w:val="00CA64E7"/>
    <w:rsid w:val="00CA73C5"/>
    <w:rsid w:val="00CA7626"/>
    <w:rsid w:val="00CA7A19"/>
    <w:rsid w:val="00CB002A"/>
    <w:rsid w:val="00CB0A98"/>
    <w:rsid w:val="00CB154E"/>
    <w:rsid w:val="00CB251A"/>
    <w:rsid w:val="00CB36D8"/>
    <w:rsid w:val="00CB390B"/>
    <w:rsid w:val="00CB4D12"/>
    <w:rsid w:val="00CB63A2"/>
    <w:rsid w:val="00CB6B0D"/>
    <w:rsid w:val="00CC000C"/>
    <w:rsid w:val="00CC0E40"/>
    <w:rsid w:val="00CC1115"/>
    <w:rsid w:val="00CC1539"/>
    <w:rsid w:val="00CC1B92"/>
    <w:rsid w:val="00CC218D"/>
    <w:rsid w:val="00CC2276"/>
    <w:rsid w:val="00CC24EB"/>
    <w:rsid w:val="00CC3CB0"/>
    <w:rsid w:val="00CC453A"/>
    <w:rsid w:val="00CC4F16"/>
    <w:rsid w:val="00CC5122"/>
    <w:rsid w:val="00CC6072"/>
    <w:rsid w:val="00CC69B1"/>
    <w:rsid w:val="00CD1C48"/>
    <w:rsid w:val="00CD1F48"/>
    <w:rsid w:val="00CD3890"/>
    <w:rsid w:val="00CD5DDA"/>
    <w:rsid w:val="00CD5F35"/>
    <w:rsid w:val="00CD6154"/>
    <w:rsid w:val="00CD6E0C"/>
    <w:rsid w:val="00CD7A4B"/>
    <w:rsid w:val="00CE006C"/>
    <w:rsid w:val="00CE0DD9"/>
    <w:rsid w:val="00CE0F6B"/>
    <w:rsid w:val="00CE1437"/>
    <w:rsid w:val="00CE14AF"/>
    <w:rsid w:val="00CE1620"/>
    <w:rsid w:val="00CE2199"/>
    <w:rsid w:val="00CE3746"/>
    <w:rsid w:val="00CE3865"/>
    <w:rsid w:val="00CE4475"/>
    <w:rsid w:val="00CF1132"/>
    <w:rsid w:val="00CF1646"/>
    <w:rsid w:val="00CF2E5F"/>
    <w:rsid w:val="00CF307B"/>
    <w:rsid w:val="00CF30D4"/>
    <w:rsid w:val="00CF508B"/>
    <w:rsid w:val="00CF5545"/>
    <w:rsid w:val="00CF67EB"/>
    <w:rsid w:val="00CF7103"/>
    <w:rsid w:val="00CF7ED3"/>
    <w:rsid w:val="00D00F21"/>
    <w:rsid w:val="00D02194"/>
    <w:rsid w:val="00D024AE"/>
    <w:rsid w:val="00D04B64"/>
    <w:rsid w:val="00D04FE7"/>
    <w:rsid w:val="00D05052"/>
    <w:rsid w:val="00D051DE"/>
    <w:rsid w:val="00D058E8"/>
    <w:rsid w:val="00D05CFD"/>
    <w:rsid w:val="00D07C90"/>
    <w:rsid w:val="00D11318"/>
    <w:rsid w:val="00D122BA"/>
    <w:rsid w:val="00D13371"/>
    <w:rsid w:val="00D14D84"/>
    <w:rsid w:val="00D15820"/>
    <w:rsid w:val="00D16267"/>
    <w:rsid w:val="00D17C12"/>
    <w:rsid w:val="00D2328D"/>
    <w:rsid w:val="00D23A2F"/>
    <w:rsid w:val="00D23FB1"/>
    <w:rsid w:val="00D24430"/>
    <w:rsid w:val="00D246E9"/>
    <w:rsid w:val="00D26E67"/>
    <w:rsid w:val="00D2777E"/>
    <w:rsid w:val="00D27A2F"/>
    <w:rsid w:val="00D3023A"/>
    <w:rsid w:val="00D31329"/>
    <w:rsid w:val="00D315B3"/>
    <w:rsid w:val="00D31830"/>
    <w:rsid w:val="00D35521"/>
    <w:rsid w:val="00D36CE2"/>
    <w:rsid w:val="00D401A7"/>
    <w:rsid w:val="00D40235"/>
    <w:rsid w:val="00D41F84"/>
    <w:rsid w:val="00D43207"/>
    <w:rsid w:val="00D456D2"/>
    <w:rsid w:val="00D459B2"/>
    <w:rsid w:val="00D4640B"/>
    <w:rsid w:val="00D503AA"/>
    <w:rsid w:val="00D514B8"/>
    <w:rsid w:val="00D5268C"/>
    <w:rsid w:val="00D52D5A"/>
    <w:rsid w:val="00D54D3A"/>
    <w:rsid w:val="00D55208"/>
    <w:rsid w:val="00D5616C"/>
    <w:rsid w:val="00D569FD"/>
    <w:rsid w:val="00D5752B"/>
    <w:rsid w:val="00D57AD5"/>
    <w:rsid w:val="00D57D3D"/>
    <w:rsid w:val="00D60141"/>
    <w:rsid w:val="00D60A5E"/>
    <w:rsid w:val="00D612BD"/>
    <w:rsid w:val="00D61908"/>
    <w:rsid w:val="00D61F02"/>
    <w:rsid w:val="00D620F8"/>
    <w:rsid w:val="00D63D1E"/>
    <w:rsid w:val="00D65CAB"/>
    <w:rsid w:val="00D667D4"/>
    <w:rsid w:val="00D67AA1"/>
    <w:rsid w:val="00D67BE3"/>
    <w:rsid w:val="00D70646"/>
    <w:rsid w:val="00D70F6B"/>
    <w:rsid w:val="00D717DA"/>
    <w:rsid w:val="00D72AD3"/>
    <w:rsid w:val="00D72E0E"/>
    <w:rsid w:val="00D72FCB"/>
    <w:rsid w:val="00D7667F"/>
    <w:rsid w:val="00D77FC2"/>
    <w:rsid w:val="00D80832"/>
    <w:rsid w:val="00D81642"/>
    <w:rsid w:val="00D86849"/>
    <w:rsid w:val="00D86C13"/>
    <w:rsid w:val="00D87503"/>
    <w:rsid w:val="00D919F1"/>
    <w:rsid w:val="00D92DC8"/>
    <w:rsid w:val="00D92FC4"/>
    <w:rsid w:val="00D9365E"/>
    <w:rsid w:val="00D9424D"/>
    <w:rsid w:val="00D94AA5"/>
    <w:rsid w:val="00D94C48"/>
    <w:rsid w:val="00D95468"/>
    <w:rsid w:val="00D95BA8"/>
    <w:rsid w:val="00D97058"/>
    <w:rsid w:val="00DA0594"/>
    <w:rsid w:val="00DA0662"/>
    <w:rsid w:val="00DA0A6C"/>
    <w:rsid w:val="00DA136A"/>
    <w:rsid w:val="00DA2132"/>
    <w:rsid w:val="00DA229B"/>
    <w:rsid w:val="00DA29EE"/>
    <w:rsid w:val="00DA2CC3"/>
    <w:rsid w:val="00DA40C8"/>
    <w:rsid w:val="00DA4EFF"/>
    <w:rsid w:val="00DA5A43"/>
    <w:rsid w:val="00DA5F04"/>
    <w:rsid w:val="00DA750B"/>
    <w:rsid w:val="00DA7F70"/>
    <w:rsid w:val="00DB0B62"/>
    <w:rsid w:val="00DB174E"/>
    <w:rsid w:val="00DB1BFE"/>
    <w:rsid w:val="00DB33F0"/>
    <w:rsid w:val="00DB3B57"/>
    <w:rsid w:val="00DB406D"/>
    <w:rsid w:val="00DB4A90"/>
    <w:rsid w:val="00DB52EF"/>
    <w:rsid w:val="00DB543B"/>
    <w:rsid w:val="00DB55E2"/>
    <w:rsid w:val="00DB6D28"/>
    <w:rsid w:val="00DC0DD5"/>
    <w:rsid w:val="00DC110B"/>
    <w:rsid w:val="00DC3C8E"/>
    <w:rsid w:val="00DC524D"/>
    <w:rsid w:val="00DC56B6"/>
    <w:rsid w:val="00DC5CCA"/>
    <w:rsid w:val="00DC6047"/>
    <w:rsid w:val="00DC7CCC"/>
    <w:rsid w:val="00DD19A9"/>
    <w:rsid w:val="00DD38AB"/>
    <w:rsid w:val="00DD48A0"/>
    <w:rsid w:val="00DD5A3B"/>
    <w:rsid w:val="00DD6935"/>
    <w:rsid w:val="00DE001A"/>
    <w:rsid w:val="00DE0ABE"/>
    <w:rsid w:val="00DE0E10"/>
    <w:rsid w:val="00DE1B39"/>
    <w:rsid w:val="00DE2135"/>
    <w:rsid w:val="00DE3321"/>
    <w:rsid w:val="00DE4EED"/>
    <w:rsid w:val="00DE6EBE"/>
    <w:rsid w:val="00DE7A74"/>
    <w:rsid w:val="00DE7C2D"/>
    <w:rsid w:val="00DE7C60"/>
    <w:rsid w:val="00DF15E1"/>
    <w:rsid w:val="00DF1A62"/>
    <w:rsid w:val="00DF24F6"/>
    <w:rsid w:val="00DF317D"/>
    <w:rsid w:val="00DF5758"/>
    <w:rsid w:val="00DF68E3"/>
    <w:rsid w:val="00DF7DB3"/>
    <w:rsid w:val="00E00106"/>
    <w:rsid w:val="00E01113"/>
    <w:rsid w:val="00E01738"/>
    <w:rsid w:val="00E0199B"/>
    <w:rsid w:val="00E0491C"/>
    <w:rsid w:val="00E04A36"/>
    <w:rsid w:val="00E06C6A"/>
    <w:rsid w:val="00E11E75"/>
    <w:rsid w:val="00E122B2"/>
    <w:rsid w:val="00E12F57"/>
    <w:rsid w:val="00E12F72"/>
    <w:rsid w:val="00E13265"/>
    <w:rsid w:val="00E158F2"/>
    <w:rsid w:val="00E15FCC"/>
    <w:rsid w:val="00E1690D"/>
    <w:rsid w:val="00E16AB9"/>
    <w:rsid w:val="00E16E3F"/>
    <w:rsid w:val="00E170FE"/>
    <w:rsid w:val="00E17F01"/>
    <w:rsid w:val="00E20159"/>
    <w:rsid w:val="00E20DE3"/>
    <w:rsid w:val="00E21510"/>
    <w:rsid w:val="00E21867"/>
    <w:rsid w:val="00E22677"/>
    <w:rsid w:val="00E22E7A"/>
    <w:rsid w:val="00E23AF0"/>
    <w:rsid w:val="00E24AB3"/>
    <w:rsid w:val="00E24D88"/>
    <w:rsid w:val="00E252D0"/>
    <w:rsid w:val="00E2555F"/>
    <w:rsid w:val="00E277F2"/>
    <w:rsid w:val="00E3019A"/>
    <w:rsid w:val="00E3205C"/>
    <w:rsid w:val="00E338E8"/>
    <w:rsid w:val="00E3399F"/>
    <w:rsid w:val="00E35E69"/>
    <w:rsid w:val="00E367B4"/>
    <w:rsid w:val="00E36CCD"/>
    <w:rsid w:val="00E376A3"/>
    <w:rsid w:val="00E40473"/>
    <w:rsid w:val="00E40573"/>
    <w:rsid w:val="00E4184F"/>
    <w:rsid w:val="00E41976"/>
    <w:rsid w:val="00E427F5"/>
    <w:rsid w:val="00E42B4B"/>
    <w:rsid w:val="00E44076"/>
    <w:rsid w:val="00E4472E"/>
    <w:rsid w:val="00E44A65"/>
    <w:rsid w:val="00E45452"/>
    <w:rsid w:val="00E460A7"/>
    <w:rsid w:val="00E464AC"/>
    <w:rsid w:val="00E5074C"/>
    <w:rsid w:val="00E50861"/>
    <w:rsid w:val="00E51218"/>
    <w:rsid w:val="00E52161"/>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5CF7"/>
    <w:rsid w:val="00E66093"/>
    <w:rsid w:val="00E66704"/>
    <w:rsid w:val="00E66A0F"/>
    <w:rsid w:val="00E67B88"/>
    <w:rsid w:val="00E711FE"/>
    <w:rsid w:val="00E715E0"/>
    <w:rsid w:val="00E72500"/>
    <w:rsid w:val="00E7255F"/>
    <w:rsid w:val="00E7368D"/>
    <w:rsid w:val="00E738BB"/>
    <w:rsid w:val="00E73958"/>
    <w:rsid w:val="00E73D5E"/>
    <w:rsid w:val="00E74069"/>
    <w:rsid w:val="00E754A4"/>
    <w:rsid w:val="00E76497"/>
    <w:rsid w:val="00E77C27"/>
    <w:rsid w:val="00E80C55"/>
    <w:rsid w:val="00E81247"/>
    <w:rsid w:val="00E81F49"/>
    <w:rsid w:val="00E832D6"/>
    <w:rsid w:val="00E83BD5"/>
    <w:rsid w:val="00E83FA9"/>
    <w:rsid w:val="00E84268"/>
    <w:rsid w:val="00E87A0A"/>
    <w:rsid w:val="00E90B0D"/>
    <w:rsid w:val="00E91A1B"/>
    <w:rsid w:val="00E931C0"/>
    <w:rsid w:val="00E95965"/>
    <w:rsid w:val="00E95D3C"/>
    <w:rsid w:val="00E9666E"/>
    <w:rsid w:val="00E96FCE"/>
    <w:rsid w:val="00E976CC"/>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1D26"/>
    <w:rsid w:val="00EC3837"/>
    <w:rsid w:val="00EC3AC4"/>
    <w:rsid w:val="00EC4AD5"/>
    <w:rsid w:val="00EC5699"/>
    <w:rsid w:val="00EC650E"/>
    <w:rsid w:val="00EC77FE"/>
    <w:rsid w:val="00ED0726"/>
    <w:rsid w:val="00ED0F59"/>
    <w:rsid w:val="00ED12F1"/>
    <w:rsid w:val="00ED1E97"/>
    <w:rsid w:val="00ED4C19"/>
    <w:rsid w:val="00ED4C46"/>
    <w:rsid w:val="00ED62F1"/>
    <w:rsid w:val="00ED6F5D"/>
    <w:rsid w:val="00EE031D"/>
    <w:rsid w:val="00EE1CE3"/>
    <w:rsid w:val="00EE2E2A"/>
    <w:rsid w:val="00EE3D1D"/>
    <w:rsid w:val="00EE48F3"/>
    <w:rsid w:val="00EE4D21"/>
    <w:rsid w:val="00EE621E"/>
    <w:rsid w:val="00EE66DA"/>
    <w:rsid w:val="00EE67FB"/>
    <w:rsid w:val="00EF0115"/>
    <w:rsid w:val="00EF01FB"/>
    <w:rsid w:val="00EF0286"/>
    <w:rsid w:val="00EF2469"/>
    <w:rsid w:val="00EF31C2"/>
    <w:rsid w:val="00EF4E09"/>
    <w:rsid w:val="00EF5D8B"/>
    <w:rsid w:val="00EF613D"/>
    <w:rsid w:val="00EF6616"/>
    <w:rsid w:val="00EF690A"/>
    <w:rsid w:val="00EF6F8A"/>
    <w:rsid w:val="00EF6FFF"/>
    <w:rsid w:val="00F0058A"/>
    <w:rsid w:val="00F00E9F"/>
    <w:rsid w:val="00F015C0"/>
    <w:rsid w:val="00F01EEE"/>
    <w:rsid w:val="00F021DD"/>
    <w:rsid w:val="00F029BA"/>
    <w:rsid w:val="00F02C65"/>
    <w:rsid w:val="00F0389F"/>
    <w:rsid w:val="00F04990"/>
    <w:rsid w:val="00F04999"/>
    <w:rsid w:val="00F04B33"/>
    <w:rsid w:val="00F04BCF"/>
    <w:rsid w:val="00F04D0C"/>
    <w:rsid w:val="00F05925"/>
    <w:rsid w:val="00F06218"/>
    <w:rsid w:val="00F06C6C"/>
    <w:rsid w:val="00F120B8"/>
    <w:rsid w:val="00F1235B"/>
    <w:rsid w:val="00F132B7"/>
    <w:rsid w:val="00F13A49"/>
    <w:rsid w:val="00F14F5A"/>
    <w:rsid w:val="00F15A9A"/>
    <w:rsid w:val="00F16B90"/>
    <w:rsid w:val="00F17836"/>
    <w:rsid w:val="00F17CDF"/>
    <w:rsid w:val="00F2031A"/>
    <w:rsid w:val="00F213E4"/>
    <w:rsid w:val="00F23148"/>
    <w:rsid w:val="00F241E3"/>
    <w:rsid w:val="00F25AD9"/>
    <w:rsid w:val="00F26096"/>
    <w:rsid w:val="00F27219"/>
    <w:rsid w:val="00F2731D"/>
    <w:rsid w:val="00F27B93"/>
    <w:rsid w:val="00F308C9"/>
    <w:rsid w:val="00F311DE"/>
    <w:rsid w:val="00F3132D"/>
    <w:rsid w:val="00F3137C"/>
    <w:rsid w:val="00F315F4"/>
    <w:rsid w:val="00F323CD"/>
    <w:rsid w:val="00F32562"/>
    <w:rsid w:val="00F32F20"/>
    <w:rsid w:val="00F35978"/>
    <w:rsid w:val="00F35E27"/>
    <w:rsid w:val="00F36748"/>
    <w:rsid w:val="00F36804"/>
    <w:rsid w:val="00F36C6B"/>
    <w:rsid w:val="00F36DDA"/>
    <w:rsid w:val="00F37075"/>
    <w:rsid w:val="00F41215"/>
    <w:rsid w:val="00F42E31"/>
    <w:rsid w:val="00F43BE9"/>
    <w:rsid w:val="00F44581"/>
    <w:rsid w:val="00F4462F"/>
    <w:rsid w:val="00F45171"/>
    <w:rsid w:val="00F454C0"/>
    <w:rsid w:val="00F461CA"/>
    <w:rsid w:val="00F463BC"/>
    <w:rsid w:val="00F470B5"/>
    <w:rsid w:val="00F472D5"/>
    <w:rsid w:val="00F52CE4"/>
    <w:rsid w:val="00F539D4"/>
    <w:rsid w:val="00F53FD4"/>
    <w:rsid w:val="00F541FB"/>
    <w:rsid w:val="00F54B3E"/>
    <w:rsid w:val="00F54BA4"/>
    <w:rsid w:val="00F54FCD"/>
    <w:rsid w:val="00F55032"/>
    <w:rsid w:val="00F56A53"/>
    <w:rsid w:val="00F56BB6"/>
    <w:rsid w:val="00F603F7"/>
    <w:rsid w:val="00F60756"/>
    <w:rsid w:val="00F61123"/>
    <w:rsid w:val="00F61E4A"/>
    <w:rsid w:val="00F6214F"/>
    <w:rsid w:val="00F632D5"/>
    <w:rsid w:val="00F63CBC"/>
    <w:rsid w:val="00F64A5D"/>
    <w:rsid w:val="00F64F6B"/>
    <w:rsid w:val="00F65961"/>
    <w:rsid w:val="00F7049A"/>
    <w:rsid w:val="00F70BB1"/>
    <w:rsid w:val="00F71044"/>
    <w:rsid w:val="00F71240"/>
    <w:rsid w:val="00F71500"/>
    <w:rsid w:val="00F716E2"/>
    <w:rsid w:val="00F726AC"/>
    <w:rsid w:val="00F7324C"/>
    <w:rsid w:val="00F741D9"/>
    <w:rsid w:val="00F75E50"/>
    <w:rsid w:val="00F76EA2"/>
    <w:rsid w:val="00F80066"/>
    <w:rsid w:val="00F80F69"/>
    <w:rsid w:val="00F818A7"/>
    <w:rsid w:val="00F832BB"/>
    <w:rsid w:val="00F84CF3"/>
    <w:rsid w:val="00F8512B"/>
    <w:rsid w:val="00F86E57"/>
    <w:rsid w:val="00F87D43"/>
    <w:rsid w:val="00F87F74"/>
    <w:rsid w:val="00F91F6C"/>
    <w:rsid w:val="00F923F2"/>
    <w:rsid w:val="00F92AB2"/>
    <w:rsid w:val="00F92AFC"/>
    <w:rsid w:val="00F943D4"/>
    <w:rsid w:val="00FA0315"/>
    <w:rsid w:val="00FA0B19"/>
    <w:rsid w:val="00FA1424"/>
    <w:rsid w:val="00FA3896"/>
    <w:rsid w:val="00FA5717"/>
    <w:rsid w:val="00FA5959"/>
    <w:rsid w:val="00FA6396"/>
    <w:rsid w:val="00FA6DD8"/>
    <w:rsid w:val="00FA777E"/>
    <w:rsid w:val="00FB1A67"/>
    <w:rsid w:val="00FB1C38"/>
    <w:rsid w:val="00FB382C"/>
    <w:rsid w:val="00FB4317"/>
    <w:rsid w:val="00FB470F"/>
    <w:rsid w:val="00FB5F80"/>
    <w:rsid w:val="00FB6145"/>
    <w:rsid w:val="00FB658F"/>
    <w:rsid w:val="00FB6693"/>
    <w:rsid w:val="00FB7F33"/>
    <w:rsid w:val="00FC05AE"/>
    <w:rsid w:val="00FC0B33"/>
    <w:rsid w:val="00FC2D9B"/>
    <w:rsid w:val="00FC4441"/>
    <w:rsid w:val="00FC47E7"/>
    <w:rsid w:val="00FC5520"/>
    <w:rsid w:val="00FC5AAD"/>
    <w:rsid w:val="00FC709B"/>
    <w:rsid w:val="00FD2655"/>
    <w:rsid w:val="00FD37AE"/>
    <w:rsid w:val="00FD388A"/>
    <w:rsid w:val="00FE0B75"/>
    <w:rsid w:val="00FE1166"/>
    <w:rsid w:val="00FE4337"/>
    <w:rsid w:val="00FE5DAD"/>
    <w:rsid w:val="00FE5DD9"/>
    <w:rsid w:val="00FE6980"/>
    <w:rsid w:val="00FE6DD4"/>
    <w:rsid w:val="00FF00EE"/>
    <w:rsid w:val="00FF2CFA"/>
    <w:rsid w:val="00FF3862"/>
    <w:rsid w:val="00FF3AFC"/>
    <w:rsid w:val="00FF41E2"/>
    <w:rsid w:val="00FF473C"/>
    <w:rsid w:val="00FF5AA1"/>
    <w:rsid w:val="00FF73AC"/>
    <w:rsid w:val="0B0E2745"/>
    <w:rsid w:val="3529188C"/>
    <w:rsid w:val="50100C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BAC97F"/>
  <w15:docId w15:val="{B166B499-C047-4295-BFB0-A4A788C78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uiPriority="0" w:qFormat="1"/>
    <w:lsdException w:name="annotation text" w:qFormat="1"/>
    <w:lsdException w:name="header" w:qFormat="1"/>
    <w:lsdException w:name="footer"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qFormat="1"/>
    <w:lsdException w:name="line number" w:semiHidden="1" w:unhideWhenUsed="1"/>
    <w:lsdException w:name="page number" w:uiPriority="0" w:qFormat="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39" w:qFormat="1"/>
    <w:lsdException w:name="Table Theme" w:semiHidden="1" w:uiPriority="0" w:unhideWhenUsed="1" w:qFormat="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2"/>
    <w:qFormat/>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basedOn w:val="a0"/>
    <w:next w:val="a0"/>
    <w:link w:val="21"/>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basedOn w:val="a0"/>
    <w:next w:val="a0"/>
    <w:link w:val="30"/>
    <w:qFormat/>
    <w:pPr>
      <w:keepNext/>
      <w:keepLines/>
      <w:spacing w:before="260" w:after="260" w:line="416" w:lineRule="auto"/>
      <w:outlineLvl w:val="2"/>
    </w:pPr>
    <w:rPr>
      <w:b/>
      <w:bCs/>
      <w:kern w:val="0"/>
      <w:sz w:val="20"/>
      <w:szCs w:val="32"/>
    </w:rPr>
  </w:style>
  <w:style w:type="paragraph" w:styleId="4">
    <w:name w:val="heading 4"/>
    <w:basedOn w:val="a0"/>
    <w:next w:val="a0"/>
    <w:link w:val="40"/>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qFormat/>
    <w:pPr>
      <w:spacing w:after="120" w:line="360" w:lineRule="auto"/>
      <w:ind w:left="2520" w:firstLine="480"/>
    </w:pPr>
    <w:rPr>
      <w:rFonts w:ascii="宋体" w:hAnsi="宋体" w:cs="Arial"/>
      <w:bCs/>
      <w:color w:val="000000"/>
      <w:kern w:val="0"/>
      <w:szCs w:val="21"/>
      <w:lang w:val="zh-CN"/>
    </w:rPr>
  </w:style>
  <w:style w:type="paragraph" w:styleId="a4">
    <w:name w:val="Normal Indent"/>
    <w:basedOn w:val="a0"/>
    <w:qFormat/>
    <w:pPr>
      <w:ind w:firstLine="420"/>
    </w:pPr>
    <w:rPr>
      <w:szCs w:val="20"/>
    </w:rPr>
  </w:style>
  <w:style w:type="paragraph" w:styleId="a5">
    <w:name w:val="caption"/>
    <w:basedOn w:val="a0"/>
    <w:next w:val="a0"/>
    <w:unhideWhenUsed/>
    <w:qFormat/>
    <w:pPr>
      <w:spacing w:line="360" w:lineRule="auto"/>
      <w:ind w:firstLineChars="200" w:firstLine="200"/>
    </w:pPr>
    <w:rPr>
      <w:rFonts w:ascii="Cambria" w:eastAsia="黑体" w:hAnsi="Cambria"/>
      <w:sz w:val="20"/>
      <w:szCs w:val="20"/>
    </w:rPr>
  </w:style>
  <w:style w:type="paragraph" w:styleId="a6">
    <w:name w:val="List Bullet"/>
    <w:basedOn w:val="a0"/>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7">
    <w:name w:val="Document Map"/>
    <w:basedOn w:val="a0"/>
    <w:link w:val="a8"/>
    <w:qFormat/>
    <w:pPr>
      <w:shd w:val="clear" w:color="auto" w:fill="000080"/>
      <w:spacing w:after="120" w:line="360" w:lineRule="auto"/>
      <w:ind w:firstLine="480"/>
    </w:pPr>
    <w:rPr>
      <w:rFonts w:ascii="宋体" w:hAnsi="宋体"/>
      <w:bCs/>
      <w:color w:val="000000"/>
      <w:kern w:val="0"/>
      <w:sz w:val="20"/>
      <w:szCs w:val="21"/>
      <w:lang w:val="zh-CN"/>
    </w:rPr>
  </w:style>
  <w:style w:type="paragraph" w:styleId="a9">
    <w:name w:val="annotation text"/>
    <w:basedOn w:val="a0"/>
    <w:link w:val="aa"/>
    <w:uiPriority w:val="99"/>
    <w:qFormat/>
    <w:pPr>
      <w:jc w:val="left"/>
    </w:pPr>
    <w:rPr>
      <w:kern w:val="0"/>
      <w:sz w:val="20"/>
    </w:rPr>
  </w:style>
  <w:style w:type="paragraph" w:styleId="ab">
    <w:name w:val="Body Text"/>
    <w:basedOn w:val="a0"/>
    <w:link w:val="ac"/>
    <w:qFormat/>
    <w:rPr>
      <w:rFonts w:ascii="宋体" w:hAnsi="宋体"/>
      <w:kern w:val="0"/>
      <w:sz w:val="24"/>
      <w:szCs w:val="21"/>
    </w:rPr>
  </w:style>
  <w:style w:type="paragraph" w:styleId="ad">
    <w:name w:val="Body Text Indent"/>
    <w:basedOn w:val="a0"/>
    <w:link w:val="ae"/>
    <w:qFormat/>
    <w:pPr>
      <w:ind w:firstLine="540"/>
    </w:pPr>
    <w:rPr>
      <w:kern w:val="0"/>
      <w:sz w:val="24"/>
      <w:szCs w:val="20"/>
    </w:rPr>
  </w:style>
  <w:style w:type="paragraph" w:styleId="TOC5">
    <w:name w:val="toc 5"/>
    <w:basedOn w:val="a0"/>
    <w:next w:val="a0"/>
    <w:qFormat/>
    <w:pPr>
      <w:spacing w:after="120" w:line="360" w:lineRule="auto"/>
      <w:ind w:left="1680" w:firstLine="480"/>
    </w:pPr>
    <w:rPr>
      <w:rFonts w:ascii="宋体" w:hAnsi="宋体" w:cs="Arial"/>
      <w:bCs/>
      <w:color w:val="000000"/>
      <w:kern w:val="0"/>
      <w:szCs w:val="21"/>
      <w:lang w:val="zh-CN"/>
    </w:rPr>
  </w:style>
  <w:style w:type="paragraph" w:styleId="TOC3">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f">
    <w:name w:val="Plain Text"/>
    <w:basedOn w:val="a0"/>
    <w:link w:val="af0"/>
    <w:qFormat/>
    <w:pPr>
      <w:widowControl/>
      <w:spacing w:before="100" w:beforeAutospacing="1" w:after="100" w:afterAutospacing="1"/>
      <w:jc w:val="left"/>
    </w:pPr>
    <w:rPr>
      <w:rFonts w:ascii="Arial Unicode MS" w:eastAsia="Arial Unicode MS" w:hAnsi="Arial Unicode MS"/>
      <w:kern w:val="0"/>
      <w:sz w:val="24"/>
    </w:rPr>
  </w:style>
  <w:style w:type="paragraph" w:styleId="TOC8">
    <w:name w:val="toc 8"/>
    <w:basedOn w:val="a0"/>
    <w:next w:val="a0"/>
    <w:qFormat/>
    <w:pPr>
      <w:spacing w:after="120" w:line="360" w:lineRule="auto"/>
      <w:ind w:left="2940" w:firstLine="480"/>
    </w:pPr>
    <w:rPr>
      <w:rFonts w:ascii="宋体" w:hAnsi="宋体" w:cs="Arial"/>
      <w:bCs/>
      <w:color w:val="000000"/>
      <w:kern w:val="0"/>
      <w:szCs w:val="21"/>
      <w:lang w:val="zh-CN"/>
    </w:rPr>
  </w:style>
  <w:style w:type="paragraph" w:styleId="af1">
    <w:name w:val="Date"/>
    <w:basedOn w:val="a0"/>
    <w:next w:val="a0"/>
    <w:link w:val="af2"/>
    <w:qFormat/>
    <w:pPr>
      <w:ind w:leftChars="2500" w:left="100"/>
    </w:pPr>
    <w:rPr>
      <w:rFonts w:ascii="宋体" w:hAnsi="宋体"/>
      <w:kern w:val="0"/>
      <w:sz w:val="24"/>
      <w:szCs w:val="21"/>
    </w:rPr>
  </w:style>
  <w:style w:type="paragraph" w:styleId="22">
    <w:name w:val="Body Text Indent 2"/>
    <w:basedOn w:val="a0"/>
    <w:link w:val="23"/>
    <w:qFormat/>
    <w:pPr>
      <w:tabs>
        <w:tab w:val="left" w:pos="1110"/>
      </w:tabs>
      <w:spacing w:line="360" w:lineRule="auto"/>
      <w:ind w:firstLineChars="200" w:firstLine="420"/>
    </w:pPr>
    <w:rPr>
      <w:rFonts w:ascii="宋体" w:hAnsi="宋体"/>
      <w:color w:val="FF0000"/>
      <w:kern w:val="0"/>
      <w:sz w:val="20"/>
    </w:rPr>
  </w:style>
  <w:style w:type="paragraph" w:styleId="af3">
    <w:name w:val="endnote text"/>
    <w:basedOn w:val="a0"/>
    <w:link w:val="af4"/>
    <w:qFormat/>
    <w:pPr>
      <w:snapToGrid w:val="0"/>
      <w:jc w:val="left"/>
    </w:pPr>
    <w:rPr>
      <w:kern w:val="0"/>
      <w:sz w:val="20"/>
      <w:szCs w:val="20"/>
    </w:rPr>
  </w:style>
  <w:style w:type="paragraph" w:styleId="af5">
    <w:name w:val="Balloon Text"/>
    <w:basedOn w:val="a0"/>
    <w:link w:val="af6"/>
    <w:semiHidden/>
    <w:qFormat/>
    <w:rPr>
      <w:kern w:val="0"/>
      <w:sz w:val="18"/>
      <w:szCs w:val="18"/>
    </w:rPr>
  </w:style>
  <w:style w:type="paragraph" w:styleId="af7">
    <w:name w:val="footer"/>
    <w:basedOn w:val="a0"/>
    <w:link w:val="af8"/>
    <w:uiPriority w:val="99"/>
    <w:qFormat/>
    <w:pPr>
      <w:tabs>
        <w:tab w:val="center" w:pos="4153"/>
        <w:tab w:val="right" w:pos="8306"/>
      </w:tabs>
      <w:snapToGrid w:val="0"/>
      <w:jc w:val="left"/>
    </w:pPr>
    <w:rPr>
      <w:kern w:val="0"/>
      <w:sz w:val="18"/>
      <w:szCs w:val="18"/>
    </w:rPr>
  </w:style>
  <w:style w:type="paragraph" w:styleId="af9">
    <w:name w:val="header"/>
    <w:basedOn w:val="a0"/>
    <w:link w:val="afa"/>
    <w:uiPriority w:val="99"/>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0"/>
    <w:next w:val="a0"/>
    <w:uiPriority w:val="39"/>
    <w:qFormat/>
    <w:pPr>
      <w:tabs>
        <w:tab w:val="right" w:leader="dot" w:pos="8295"/>
      </w:tabs>
      <w:snapToGrid w:val="0"/>
      <w:spacing w:line="360" w:lineRule="auto"/>
    </w:pPr>
    <w:rPr>
      <w:rFonts w:ascii="宋体" w:hAnsi="宋体"/>
      <w:caps/>
      <w:sz w:val="24"/>
    </w:rPr>
  </w:style>
  <w:style w:type="paragraph" w:styleId="TOC4">
    <w:name w:val="toc 4"/>
    <w:basedOn w:val="a0"/>
    <w:next w:val="a0"/>
    <w:qFormat/>
    <w:pPr>
      <w:spacing w:after="120" w:line="360" w:lineRule="auto"/>
      <w:ind w:left="1260" w:firstLine="480"/>
    </w:pPr>
    <w:rPr>
      <w:rFonts w:ascii="宋体" w:hAnsi="宋体" w:cs="Arial"/>
      <w:bCs/>
      <w:color w:val="000000"/>
      <w:kern w:val="0"/>
      <w:szCs w:val="21"/>
      <w:lang w:val="zh-CN"/>
    </w:rPr>
  </w:style>
  <w:style w:type="paragraph" w:styleId="afb">
    <w:name w:val="footnote text"/>
    <w:basedOn w:val="a0"/>
    <w:link w:val="afc"/>
    <w:qFormat/>
    <w:pPr>
      <w:snapToGrid w:val="0"/>
      <w:jc w:val="left"/>
    </w:pPr>
    <w:rPr>
      <w:kern w:val="0"/>
      <w:sz w:val="18"/>
      <w:szCs w:val="18"/>
    </w:rPr>
  </w:style>
  <w:style w:type="paragraph" w:styleId="TOC6">
    <w:name w:val="toc 6"/>
    <w:basedOn w:val="a0"/>
    <w:next w:val="a0"/>
    <w:qFormat/>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2"/>
    <w:qFormat/>
    <w:pPr>
      <w:spacing w:line="360" w:lineRule="auto"/>
      <w:ind w:firstLine="425"/>
    </w:pPr>
    <w:rPr>
      <w:rFonts w:ascii="宋体"/>
      <w:kern w:val="0"/>
      <w:sz w:val="20"/>
    </w:rPr>
  </w:style>
  <w:style w:type="paragraph" w:styleId="TOC2">
    <w:name w:val="toc 2"/>
    <w:basedOn w:val="a0"/>
    <w:next w:val="a0"/>
    <w:qFormat/>
    <w:pPr>
      <w:spacing w:after="120" w:line="360" w:lineRule="auto"/>
      <w:ind w:left="420" w:firstLine="480"/>
    </w:pPr>
    <w:rPr>
      <w:rFonts w:ascii="宋体" w:hAnsi="宋体" w:cs="Arial"/>
      <w:bCs/>
      <w:color w:val="000000"/>
      <w:kern w:val="0"/>
      <w:szCs w:val="21"/>
      <w:lang w:val="zh-CN"/>
    </w:rPr>
  </w:style>
  <w:style w:type="paragraph" w:styleId="TOC9">
    <w:name w:val="toc 9"/>
    <w:basedOn w:val="a0"/>
    <w:next w:val="a0"/>
    <w:qFormat/>
    <w:pPr>
      <w:spacing w:after="120" w:line="360" w:lineRule="auto"/>
      <w:ind w:left="3360" w:firstLine="480"/>
    </w:pPr>
    <w:rPr>
      <w:rFonts w:ascii="宋体" w:hAnsi="宋体" w:cs="Arial"/>
      <w:bCs/>
      <w:color w:val="000000"/>
      <w:kern w:val="0"/>
      <w:szCs w:val="21"/>
      <w:lang w:val="zh-CN"/>
    </w:rPr>
  </w:style>
  <w:style w:type="paragraph" w:styleId="24">
    <w:name w:val="Body Text 2"/>
    <w:basedOn w:val="a0"/>
    <w:link w:val="25"/>
    <w:qFormat/>
    <w:rPr>
      <w:kern w:val="0"/>
      <w:sz w:val="28"/>
      <w:szCs w:val="20"/>
    </w:rPr>
  </w:style>
  <w:style w:type="paragraph" w:styleId="afd">
    <w:name w:val="Normal (Web)"/>
    <w:basedOn w:val="a0"/>
    <w:uiPriority w:val="99"/>
    <w:qFormat/>
    <w:pPr>
      <w:widowControl/>
      <w:spacing w:before="100" w:beforeAutospacing="1" w:after="100" w:afterAutospacing="1"/>
      <w:jc w:val="left"/>
    </w:pPr>
    <w:rPr>
      <w:rFonts w:ascii="宋体" w:hAnsi="宋体"/>
      <w:kern w:val="0"/>
      <w:sz w:val="24"/>
    </w:rPr>
  </w:style>
  <w:style w:type="paragraph" w:styleId="afe">
    <w:name w:val="Title"/>
    <w:basedOn w:val="a0"/>
    <w:link w:val="aff"/>
    <w:qFormat/>
    <w:pPr>
      <w:autoSpaceDE w:val="0"/>
      <w:autoSpaceDN w:val="0"/>
      <w:adjustRightInd w:val="0"/>
      <w:spacing w:before="240" w:after="60"/>
      <w:jc w:val="center"/>
      <w:textAlignment w:val="baseline"/>
      <w:outlineLvl w:val="0"/>
    </w:pPr>
    <w:rPr>
      <w:rFonts w:ascii="Arial" w:hAnsi="Arial"/>
      <w:b/>
      <w:bCs/>
      <w:kern w:val="0"/>
      <w:sz w:val="32"/>
      <w:szCs w:val="32"/>
    </w:rPr>
  </w:style>
  <w:style w:type="paragraph" w:styleId="aff0">
    <w:name w:val="annotation subject"/>
    <w:basedOn w:val="a9"/>
    <w:next w:val="a9"/>
    <w:link w:val="aff1"/>
    <w:qFormat/>
    <w:rPr>
      <w:b/>
      <w:bCs/>
    </w:rPr>
  </w:style>
  <w:style w:type="paragraph" w:styleId="aff2">
    <w:name w:val="Body Text First Indent"/>
    <w:basedOn w:val="ab"/>
    <w:link w:val="aff3"/>
    <w:qFormat/>
    <w:pPr>
      <w:spacing w:after="120"/>
      <w:ind w:firstLineChars="100" w:firstLine="420"/>
    </w:pPr>
    <w:rPr>
      <w:rFonts w:ascii="Times New Roman" w:hAnsi="Times New Roman"/>
      <w:szCs w:val="24"/>
    </w:rPr>
  </w:style>
  <w:style w:type="table" w:styleId="aff4">
    <w:name w:val="Table Grid"/>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5">
    <w:name w:val="Table Theme"/>
    <w:basedOn w:val="a2"/>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aff6">
    <w:name w:val="Strong"/>
    <w:uiPriority w:val="22"/>
    <w:qFormat/>
    <w:rPr>
      <w:b/>
      <w:bCs/>
    </w:rPr>
  </w:style>
  <w:style w:type="character" w:styleId="aff7">
    <w:name w:val="endnote reference"/>
    <w:qFormat/>
    <w:rPr>
      <w:vertAlign w:val="superscript"/>
    </w:rPr>
  </w:style>
  <w:style w:type="character" w:styleId="aff8">
    <w:name w:val="page number"/>
    <w:basedOn w:val="a1"/>
    <w:qFormat/>
  </w:style>
  <w:style w:type="character" w:styleId="aff9">
    <w:name w:val="FollowedHyperlink"/>
    <w:qFormat/>
    <w:rPr>
      <w:color w:val="800080"/>
      <w:u w:val="single"/>
    </w:rPr>
  </w:style>
  <w:style w:type="character" w:styleId="affa">
    <w:name w:val="Emphasis"/>
    <w:uiPriority w:val="20"/>
    <w:qFormat/>
    <w:rPr>
      <w:i/>
      <w:iCs/>
    </w:rPr>
  </w:style>
  <w:style w:type="character" w:styleId="affb">
    <w:name w:val="Hyperlink"/>
    <w:uiPriority w:val="99"/>
    <w:qFormat/>
    <w:rPr>
      <w:color w:val="0000FF"/>
      <w:u w:val="single"/>
    </w:rPr>
  </w:style>
  <w:style w:type="character" w:styleId="affc">
    <w:name w:val="annotation reference"/>
    <w:uiPriority w:val="99"/>
    <w:qFormat/>
    <w:rPr>
      <w:sz w:val="21"/>
      <w:szCs w:val="21"/>
    </w:rPr>
  </w:style>
  <w:style w:type="character" w:styleId="affd">
    <w:name w:val="footnote reference"/>
    <w:qFormat/>
    <w:rPr>
      <w:vertAlign w:val="superscript"/>
    </w:rPr>
  </w:style>
  <w:style w:type="character" w:customStyle="1" w:styleId="12">
    <w:name w:val="标题 1 字符"/>
    <w:link w:val="11"/>
    <w:qFormat/>
    <w:rPr>
      <w:rFonts w:ascii="宋体" w:eastAsia="黑体" w:hAnsi="Times New Roman" w:cs="Times New Roman"/>
      <w:kern w:val="0"/>
      <w:sz w:val="24"/>
      <w:szCs w:val="20"/>
    </w:rPr>
  </w:style>
  <w:style w:type="character" w:customStyle="1" w:styleId="21">
    <w:name w:val="标题 2 字符"/>
    <w:link w:val="20"/>
    <w:uiPriority w:val="9"/>
    <w:qFormat/>
    <w:rPr>
      <w:rFonts w:ascii="Arial" w:eastAsia="黑体" w:hAnsi="Arial" w:cs="Times New Roman"/>
      <w:b/>
      <w:kern w:val="0"/>
      <w:sz w:val="32"/>
      <w:szCs w:val="20"/>
    </w:rPr>
  </w:style>
  <w:style w:type="character" w:customStyle="1" w:styleId="30">
    <w:name w:val="标题 3 字符"/>
    <w:link w:val="3"/>
    <w:qFormat/>
    <w:rPr>
      <w:rFonts w:ascii="Times New Roman" w:hAnsi="Times New Roman"/>
      <w:b/>
      <w:bCs/>
      <w:szCs w:val="32"/>
    </w:rPr>
  </w:style>
  <w:style w:type="character" w:customStyle="1" w:styleId="40">
    <w:name w:val="标题 4 字符"/>
    <w:link w:val="4"/>
    <w:qFormat/>
    <w:rPr>
      <w:rFonts w:ascii="Arial" w:eastAsia="黑体" w:hAnsi="Arial" w:cs="Times New Roman"/>
      <w:b/>
      <w:kern w:val="0"/>
      <w:sz w:val="28"/>
      <w:szCs w:val="20"/>
    </w:rPr>
  </w:style>
  <w:style w:type="character" w:customStyle="1" w:styleId="50">
    <w:name w:val="标题 5 字符"/>
    <w:link w:val="5"/>
    <w:qFormat/>
    <w:rPr>
      <w:rFonts w:ascii="宋体" w:eastAsia="宋体" w:hAnsi="Times New Roman" w:cs="Times New Roman"/>
      <w:b/>
      <w:kern w:val="0"/>
      <w:sz w:val="28"/>
      <w:szCs w:val="20"/>
    </w:rPr>
  </w:style>
  <w:style w:type="character" w:customStyle="1" w:styleId="60">
    <w:name w:val="标题 6 字符"/>
    <w:link w:val="6"/>
    <w:qFormat/>
    <w:rPr>
      <w:rFonts w:ascii="Arial" w:eastAsia="黑体" w:hAnsi="Arial" w:cs="Times New Roman"/>
      <w:b/>
      <w:kern w:val="0"/>
      <w:sz w:val="24"/>
      <w:szCs w:val="20"/>
    </w:rPr>
  </w:style>
  <w:style w:type="character" w:customStyle="1" w:styleId="70">
    <w:name w:val="标题 7 字符"/>
    <w:link w:val="7"/>
    <w:qFormat/>
    <w:rPr>
      <w:rFonts w:ascii="宋体" w:eastAsia="宋体" w:hAnsi="Times New Roman" w:cs="Times New Roman"/>
      <w:b/>
      <w:kern w:val="0"/>
      <w:sz w:val="24"/>
      <w:szCs w:val="20"/>
    </w:rPr>
  </w:style>
  <w:style w:type="character" w:customStyle="1" w:styleId="80">
    <w:name w:val="标题 8 字符"/>
    <w:link w:val="8"/>
    <w:qFormat/>
    <w:rPr>
      <w:rFonts w:ascii="Arial" w:eastAsia="黑体" w:hAnsi="Arial" w:cs="Times New Roman"/>
      <w:kern w:val="0"/>
      <w:sz w:val="24"/>
      <w:szCs w:val="20"/>
    </w:rPr>
  </w:style>
  <w:style w:type="character" w:customStyle="1" w:styleId="90">
    <w:name w:val="标题 9 字符"/>
    <w:link w:val="9"/>
    <w:qFormat/>
    <w:rPr>
      <w:rFonts w:ascii="Arial" w:eastAsia="黑体" w:hAnsi="Arial"/>
    </w:rPr>
  </w:style>
  <w:style w:type="paragraph" w:customStyle="1" w:styleId="Char">
    <w:name w:val="Char"/>
    <w:basedOn w:val="a0"/>
    <w:qFormat/>
    <w:pPr>
      <w:widowControl/>
      <w:spacing w:after="160" w:line="240" w:lineRule="exact"/>
      <w:jc w:val="left"/>
    </w:pPr>
    <w:rPr>
      <w:rFonts w:ascii="Verdana" w:hAnsi="Verdana"/>
      <w:kern w:val="0"/>
      <w:sz w:val="20"/>
      <w:szCs w:val="20"/>
      <w:lang w:eastAsia="en-US"/>
    </w:rPr>
  </w:style>
  <w:style w:type="character" w:customStyle="1" w:styleId="afa">
    <w:name w:val="页眉 字符"/>
    <w:link w:val="af9"/>
    <w:uiPriority w:val="99"/>
    <w:qFormat/>
    <w:rPr>
      <w:rFonts w:ascii="Times New Roman" w:hAnsi="Times New Roman"/>
      <w:sz w:val="18"/>
      <w:szCs w:val="18"/>
    </w:rPr>
  </w:style>
  <w:style w:type="character" w:customStyle="1" w:styleId="af8">
    <w:name w:val="页脚 字符"/>
    <w:link w:val="af7"/>
    <w:uiPriority w:val="99"/>
    <w:qFormat/>
    <w:rPr>
      <w:rFonts w:ascii="Times New Roman" w:hAnsi="Times New Roman"/>
      <w:sz w:val="18"/>
      <w:szCs w:val="18"/>
    </w:rPr>
  </w:style>
  <w:style w:type="character" w:customStyle="1" w:styleId="af2">
    <w:name w:val="日期 字符"/>
    <w:link w:val="af1"/>
    <w:qFormat/>
    <w:rPr>
      <w:rFonts w:ascii="宋体" w:eastAsia="宋体" w:hAnsi="宋体" w:cs="Times New Roman"/>
      <w:kern w:val="0"/>
      <w:sz w:val="24"/>
      <w:szCs w:val="21"/>
    </w:rPr>
  </w:style>
  <w:style w:type="character" w:customStyle="1" w:styleId="ac">
    <w:name w:val="正文文本 字符"/>
    <w:link w:val="ab"/>
    <w:qFormat/>
    <w:rPr>
      <w:rFonts w:ascii="宋体" w:eastAsia="宋体" w:hAnsi="宋体" w:cs="Times New Roman"/>
      <w:kern w:val="0"/>
      <w:sz w:val="24"/>
      <w:szCs w:val="21"/>
    </w:rPr>
  </w:style>
  <w:style w:type="character" w:customStyle="1" w:styleId="ae">
    <w:name w:val="正文文本缩进 字符"/>
    <w:link w:val="ad"/>
    <w:qFormat/>
    <w:rPr>
      <w:rFonts w:ascii="Times New Roman" w:hAnsi="Times New Roman"/>
      <w:sz w:val="24"/>
    </w:rPr>
  </w:style>
  <w:style w:type="character" w:customStyle="1" w:styleId="25">
    <w:name w:val="正文文本 2 字符"/>
    <w:link w:val="24"/>
    <w:qFormat/>
    <w:rPr>
      <w:rFonts w:ascii="Times New Roman" w:hAnsi="Times New Roman"/>
      <w:sz w:val="28"/>
    </w:rPr>
  </w:style>
  <w:style w:type="character" w:customStyle="1" w:styleId="tt11">
    <w:name w:val="tt11"/>
    <w:qFormat/>
    <w:rPr>
      <w:spacing w:val="400"/>
      <w:sz w:val="22"/>
      <w:szCs w:val="22"/>
    </w:rPr>
  </w:style>
  <w:style w:type="character" w:customStyle="1" w:styleId="23">
    <w:name w:val="正文文本缩进 2 字符"/>
    <w:link w:val="22"/>
    <w:qFormat/>
    <w:rPr>
      <w:rFonts w:ascii="宋体" w:hAnsi="宋体"/>
      <w:color w:val="FF0000"/>
      <w:szCs w:val="24"/>
    </w:rPr>
  </w:style>
  <w:style w:type="character" w:customStyle="1" w:styleId="c">
    <w:name w:val="c"/>
    <w:basedOn w:val="a1"/>
    <w:qFormat/>
  </w:style>
  <w:style w:type="character" w:customStyle="1" w:styleId="32">
    <w:name w:val="正文文本缩进 3 字符"/>
    <w:link w:val="31"/>
    <w:qFormat/>
    <w:rPr>
      <w:rFonts w:ascii="宋体" w:hAnsi="Times New Roman"/>
      <w:szCs w:val="24"/>
    </w:rPr>
  </w:style>
  <w:style w:type="character" w:customStyle="1" w:styleId="read">
    <w:name w:val="read"/>
    <w:basedOn w:val="a1"/>
    <w:qFormat/>
  </w:style>
  <w:style w:type="character" w:customStyle="1" w:styleId="read1">
    <w:name w:val="read1"/>
    <w:qFormat/>
    <w:rPr>
      <w:rFonts w:hint="default"/>
      <w:color w:val="000000"/>
      <w:spacing w:val="450"/>
      <w:u w:val="none"/>
    </w:rPr>
  </w:style>
  <w:style w:type="paragraph" w:customStyle="1" w:styleId="2">
    <w:name w:val="列表2"/>
    <w:basedOn w:val="a0"/>
    <w:next w:val="afe"/>
    <w:qFormat/>
    <w:pPr>
      <w:numPr>
        <w:numId w:val="1"/>
      </w:numPr>
      <w:spacing w:line="360" w:lineRule="auto"/>
    </w:pPr>
    <w:rPr>
      <w:rFonts w:ascii="宋体"/>
      <w:szCs w:val="20"/>
    </w:rPr>
  </w:style>
  <w:style w:type="character" w:customStyle="1" w:styleId="aff">
    <w:name w:val="标题 字符"/>
    <w:link w:val="afe"/>
    <w:qFormat/>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pPr>
      <w:widowControl w:val="0"/>
      <w:autoSpaceDE w:val="0"/>
      <w:autoSpaceDN w:val="0"/>
      <w:adjustRightInd w:val="0"/>
    </w:pPr>
    <w:rPr>
      <w:rFonts w:ascii="宋体" w:hAnsi="Times New Roman"/>
      <w:color w:val="000000"/>
      <w:sz w:val="24"/>
      <w:szCs w:val="24"/>
    </w:rPr>
  </w:style>
  <w:style w:type="character" w:customStyle="1" w:styleId="font21">
    <w:name w:val="font21"/>
    <w:qFormat/>
    <w:rPr>
      <w:color w:val="CC6600"/>
      <w:sz w:val="20"/>
      <w:szCs w:val="20"/>
    </w:rPr>
  </w:style>
  <w:style w:type="character" w:customStyle="1" w:styleId="big1">
    <w:name w:val="big1"/>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pPr>
      <w:spacing w:line="360" w:lineRule="auto"/>
      <w:ind w:firstLine="0"/>
    </w:pPr>
    <w:rPr>
      <w:szCs w:val="24"/>
    </w:rPr>
  </w:style>
  <w:style w:type="character" w:customStyle="1" w:styleId="af0">
    <w:name w:val="纯文本 字符"/>
    <w:link w:val="af"/>
    <w:qFormat/>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e">
    <w:name w:val="正文所"/>
    <w:basedOn w:val="a0"/>
    <w:pPr>
      <w:spacing w:line="360" w:lineRule="auto"/>
      <w:ind w:firstLineChars="200" w:firstLine="420"/>
    </w:pPr>
    <w:rPr>
      <w:rFonts w:ascii="宋体"/>
      <w:szCs w:val="20"/>
    </w:rPr>
  </w:style>
  <w:style w:type="paragraph" w:customStyle="1" w:styleId="afff">
    <w:name w:val="正文正文"/>
    <w:basedOn w:val="a0"/>
    <w:qFormat/>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afc">
    <w:name w:val="脚注文本 字符"/>
    <w:link w:val="afb"/>
    <w:qFormat/>
    <w:rPr>
      <w:rFonts w:ascii="Times New Roman" w:hAnsi="Times New Roman"/>
      <w:sz w:val="18"/>
      <w:szCs w:val="18"/>
    </w:rPr>
  </w:style>
  <w:style w:type="paragraph" w:customStyle="1" w:styleId="Char2">
    <w:name w:val="Char2"/>
    <w:basedOn w:val="a0"/>
    <w:qFormat/>
  </w:style>
  <w:style w:type="paragraph" w:customStyle="1" w:styleId="Char1CharCharCharChar">
    <w:name w:val="Char1 Char Char Char Char"/>
    <w:basedOn w:val="a0"/>
    <w:qFormat/>
    <w:pPr>
      <w:widowControl/>
      <w:spacing w:after="160" w:line="240" w:lineRule="exact"/>
      <w:jc w:val="left"/>
    </w:pPr>
    <w:rPr>
      <w:rFonts w:ascii="Verdana" w:hAnsi="Verdana" w:cs="Verdana"/>
      <w:kern w:val="0"/>
      <w:sz w:val="20"/>
      <w:szCs w:val="20"/>
      <w:lang w:eastAsia="en-US"/>
    </w:rPr>
  </w:style>
  <w:style w:type="character" w:customStyle="1" w:styleId="af6">
    <w:name w:val="批注框文本 字符"/>
    <w:link w:val="af5"/>
    <w:semiHidden/>
    <w:qFormat/>
    <w:rPr>
      <w:rFonts w:ascii="Times New Roman" w:hAnsi="Times New Roman"/>
      <w:sz w:val="18"/>
      <w:szCs w:val="18"/>
    </w:rPr>
  </w:style>
  <w:style w:type="paragraph" w:customStyle="1" w:styleId="ParaChar">
    <w:name w:val="默认段落字体 Para Char"/>
    <w:basedOn w:val="a0"/>
    <w:qFormat/>
    <w:pPr>
      <w:tabs>
        <w:tab w:val="left" w:pos="757"/>
      </w:tabs>
      <w:ind w:firstLine="397"/>
    </w:pPr>
    <w:rPr>
      <w:sz w:val="24"/>
    </w:rPr>
  </w:style>
  <w:style w:type="character" w:customStyle="1" w:styleId="msoins0">
    <w:name w:val="msoins"/>
    <w:basedOn w:val="a1"/>
    <w:qFormat/>
  </w:style>
  <w:style w:type="character" w:customStyle="1" w:styleId="aa">
    <w:name w:val="批注文字 字符"/>
    <w:link w:val="a9"/>
    <w:uiPriority w:val="99"/>
    <w:qFormat/>
    <w:rPr>
      <w:rFonts w:ascii="Times New Roman" w:hAnsi="Times New Roman"/>
      <w:szCs w:val="24"/>
    </w:rPr>
  </w:style>
  <w:style w:type="character" w:customStyle="1" w:styleId="aff1">
    <w:name w:val="批注主题 字符"/>
    <w:link w:val="aff0"/>
    <w:qFormat/>
    <w:rPr>
      <w:rFonts w:ascii="Times New Roman" w:hAnsi="Times New Roman"/>
      <w:b/>
      <w:bCs/>
      <w:szCs w:val="24"/>
    </w:rPr>
  </w:style>
  <w:style w:type="character" w:customStyle="1" w:styleId="unnamed11">
    <w:name w:val="unnamed11"/>
    <w:qFormat/>
    <w:rPr>
      <w:rFonts w:ascii="宋体" w:eastAsia="宋体" w:hAnsi="宋体" w:hint="eastAsia"/>
      <w:sz w:val="18"/>
      <w:szCs w:val="18"/>
    </w:rPr>
  </w:style>
  <w:style w:type="character" w:customStyle="1" w:styleId="aff3">
    <w:name w:val="正文文本首行缩进 字符"/>
    <w:link w:val="aff2"/>
    <w:qFormat/>
    <w:rPr>
      <w:rFonts w:ascii="Times New Roman" w:hAnsi="Times New Roman"/>
      <w:sz w:val="24"/>
      <w:szCs w:val="24"/>
    </w:rPr>
  </w:style>
  <w:style w:type="paragraph" w:customStyle="1" w:styleId="BS8">
    <w:name w:val="BS标题8"/>
    <w:basedOn w:val="20"/>
    <w:link w:val="BS8Char"/>
    <w:qFormat/>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qFormat/>
    <w:rPr>
      <w:rFonts w:ascii="Times New Roman" w:hAnsi="Times New Roman"/>
      <w:szCs w:val="32"/>
    </w:rPr>
  </w:style>
  <w:style w:type="paragraph" w:customStyle="1" w:styleId="14">
    <w:name w:val="修订1"/>
    <w:hidden/>
    <w:uiPriority w:val="99"/>
    <w:semiHidden/>
    <w:qFormat/>
    <w:rPr>
      <w:rFonts w:ascii="Times New Roman" w:hAnsi="Times New Roman"/>
      <w:kern w:val="2"/>
      <w:sz w:val="21"/>
      <w:szCs w:val="24"/>
    </w:rPr>
  </w:style>
  <w:style w:type="character" w:customStyle="1" w:styleId="a8">
    <w:name w:val="文档结构图 字符"/>
    <w:link w:val="a7"/>
    <w:qFormat/>
    <w:rPr>
      <w:rFonts w:ascii="宋体" w:hAnsi="宋体"/>
      <w:bCs/>
      <w:color w:val="000000"/>
      <w:szCs w:val="21"/>
      <w:shd w:val="clear" w:color="auto" w:fill="000080"/>
      <w:lang w:val="zh-CN"/>
    </w:rPr>
  </w:style>
  <w:style w:type="paragraph" w:customStyle="1" w:styleId="26">
    <w:name w:val="编号正文2"/>
    <w:basedOn w:val="a0"/>
    <w:qFormat/>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qFormat/>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qFormat/>
    <w:rPr>
      <w:rFonts w:ascii="ˎ̥" w:hAnsi="ˎ̥" w:hint="default"/>
      <w:color w:val="000000"/>
      <w:sz w:val="21"/>
      <w:szCs w:val="21"/>
    </w:rPr>
  </w:style>
  <w:style w:type="paragraph" w:styleId="afff0">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qFormat/>
    <w:rPr>
      <w:color w:val="000000"/>
      <w:spacing w:val="257"/>
      <w:sz w:val="15"/>
      <w:szCs w:val="15"/>
    </w:rPr>
  </w:style>
  <w:style w:type="character" w:customStyle="1" w:styleId="af4">
    <w:name w:val="尾注文本 字符"/>
    <w:link w:val="af3"/>
    <w:qFormat/>
    <w:rPr>
      <w:rFonts w:ascii="Times New Roman" w:hAnsi="Times New Roman"/>
    </w:rPr>
  </w:style>
  <w:style w:type="paragraph" w:customStyle="1" w:styleId="CharCharCharCharChar1Char">
    <w:name w:val="Char Char Char Char Char1 Char"/>
    <w:basedOn w:val="a0"/>
    <w:qFormat/>
  </w:style>
  <w:style w:type="paragraph" w:customStyle="1" w:styleId="CharCharCharChar1">
    <w:name w:val="Char Char Char Char1"/>
    <w:basedOn w:val="a0"/>
    <w:qFormat/>
    <w:pPr>
      <w:tabs>
        <w:tab w:val="left" w:pos="360"/>
      </w:tabs>
      <w:spacing w:before="312" w:after="312" w:line="360" w:lineRule="auto"/>
    </w:pPr>
    <w:rPr>
      <w:sz w:val="24"/>
    </w:rPr>
  </w:style>
  <w:style w:type="paragraph" w:customStyle="1" w:styleId="16">
    <w:name w:val="列出段落1"/>
    <w:basedOn w:val="a0"/>
    <w:qFormat/>
    <w:pPr>
      <w:ind w:firstLineChars="200" w:firstLine="420"/>
    </w:pPr>
    <w:rPr>
      <w:rFonts w:ascii="Calibri" w:hAnsi="Calibri"/>
      <w:szCs w:val="22"/>
    </w:rPr>
  </w:style>
  <w:style w:type="paragraph" w:customStyle="1" w:styleId="Char1">
    <w:name w:val="Char1"/>
    <w:basedOn w:val="a0"/>
    <w:qFormat/>
    <w:pPr>
      <w:tabs>
        <w:tab w:val="left" w:pos="360"/>
      </w:tabs>
    </w:pPr>
    <w:rPr>
      <w:sz w:val="24"/>
    </w:rPr>
  </w:style>
  <w:style w:type="paragraph" w:customStyle="1" w:styleId="ParaCharCharCharCharCharCharChar">
    <w:name w:val="默认段落字体 Para Char Char Char Char Char Char Char"/>
    <w:basedOn w:val="a0"/>
    <w:qFormat/>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qFormat/>
  </w:style>
  <w:style w:type="paragraph" w:customStyle="1" w:styleId="Char3">
    <w:name w:val="Char3"/>
    <w:basedOn w:val="a0"/>
    <w:qFormat/>
    <w:pPr>
      <w:tabs>
        <w:tab w:val="left" w:pos="360"/>
      </w:tabs>
    </w:pPr>
    <w:rPr>
      <w:sz w:val="24"/>
    </w:rPr>
  </w:style>
  <w:style w:type="paragraph" w:customStyle="1" w:styleId="CharCharCharChar12">
    <w:name w:val="Char Char Char Char12"/>
    <w:basedOn w:val="a0"/>
    <w:qFormat/>
    <w:rPr>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qFormat/>
    <w:pPr>
      <w:widowControl/>
      <w:spacing w:before="100" w:beforeAutospacing="1" w:after="100" w:afterAutospacing="1"/>
      <w:jc w:val="left"/>
    </w:pPr>
    <w:rPr>
      <w:rFonts w:ascii="宋体" w:hAnsi="宋体" w:cs="宋体"/>
      <w:vanish/>
      <w:kern w:val="0"/>
      <w:sz w:val="24"/>
    </w:rPr>
  </w:style>
  <w:style w:type="paragraph" w:customStyle="1" w:styleId="27">
    <w:name w:val="修订2"/>
    <w:hidden/>
    <w:uiPriority w:val="99"/>
    <w:semiHidden/>
    <w:qFormat/>
    <w:rPr>
      <w:rFonts w:ascii="Times New Roman" w:hAnsi="Times New Roman"/>
      <w:kern w:val="2"/>
      <w:sz w:val="21"/>
      <w:szCs w:val="24"/>
    </w:rPr>
  </w:style>
  <w:style w:type="table" w:customStyle="1" w:styleId="17">
    <w:name w:val="网格型1"/>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33">
    <w:name w:val="修订3"/>
    <w:hidden/>
    <w:uiPriority w:val="99"/>
    <w:semiHidden/>
    <w:qFormat/>
    <w:rPr>
      <w:rFonts w:ascii="Times New Roman" w:hAnsi="Times New Roman"/>
      <w:kern w:val="2"/>
      <w:sz w:val="21"/>
      <w:szCs w:val="24"/>
    </w:rPr>
  </w:style>
  <w:style w:type="paragraph" w:styleId="afff1">
    <w:name w:val="Revision"/>
    <w:hidden/>
    <w:uiPriority w:val="99"/>
    <w:unhideWhenUsed/>
    <w:rsid w:val="004C795C"/>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webSettings" Target="webSettings.xml"/><Relationship Id="rId26" Type="http://schemas.openxmlformats.org/officeDocument/2006/relationships/footer" Target="footer3.xml"/><Relationship Id="rId39" Type="http://schemas.openxmlformats.org/officeDocument/2006/relationships/hyperlink" Target="http://www.taixincf.com" TargetMode="External"/><Relationship Id="rId21" Type="http://schemas.openxmlformats.org/officeDocument/2006/relationships/header" Target="header1.xml"/><Relationship Id="rId34" Type="http://schemas.openxmlformats.org/officeDocument/2006/relationships/hyperlink" Target="http://www.zlfund.cn" TargetMode="External"/><Relationship Id="rId42" Type="http://schemas.openxmlformats.org/officeDocument/2006/relationships/hyperlink" Target="http://www.txfund.com" TargetMode="External"/><Relationship Id="rId47" Type="http://schemas.openxmlformats.org/officeDocument/2006/relationships/image" Target="media/image1.jpeg"/><Relationship Id="rId50" Type="http://schemas.openxmlformats.org/officeDocument/2006/relationships/fontTable" Target="fontTab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styles" Target="styles.xml"/><Relationship Id="rId29" Type="http://schemas.openxmlformats.org/officeDocument/2006/relationships/footer" Target="footer5.xml"/><Relationship Id="rId11" Type="http://schemas.openxmlformats.org/officeDocument/2006/relationships/customXml" Target="../customXml/item11.xml"/><Relationship Id="rId24" Type="http://schemas.openxmlformats.org/officeDocument/2006/relationships/footer" Target="footer2.xml"/><Relationship Id="rId32" Type="http://schemas.openxmlformats.org/officeDocument/2006/relationships/hyperlink" Target="http://www.jiyufund.com.cn/" TargetMode="External"/><Relationship Id="rId37" Type="http://schemas.openxmlformats.org/officeDocument/2006/relationships/hyperlink" Target="http://www.wacaijijin.com" TargetMode="External"/><Relationship Id="rId40" Type="http://schemas.openxmlformats.org/officeDocument/2006/relationships/hyperlink" Target="http://www.snjijin" TargetMode="External"/><Relationship Id="rId45" Type="http://schemas.openxmlformats.org/officeDocument/2006/relationships/footer" Target="footer9.xml"/><Relationship Id="rId5" Type="http://schemas.openxmlformats.org/officeDocument/2006/relationships/customXml" Target="../customXml/item5.xml"/><Relationship Id="rId15" Type="http://schemas.openxmlformats.org/officeDocument/2006/relationships/numbering" Target="numbering.xml"/><Relationship Id="rId23" Type="http://schemas.openxmlformats.org/officeDocument/2006/relationships/footer" Target="footer1.xml"/><Relationship Id="rId28" Type="http://schemas.openxmlformats.org/officeDocument/2006/relationships/header" Target="header4.xml"/><Relationship Id="rId36" Type="http://schemas.openxmlformats.org/officeDocument/2006/relationships/hyperlink" Target="http://danjuanapp.com/" TargetMode="External"/><Relationship Id="rId49" Type="http://schemas.openxmlformats.org/officeDocument/2006/relationships/header" Target="header5.xml"/><Relationship Id="rId10" Type="http://schemas.openxmlformats.org/officeDocument/2006/relationships/customXml" Target="../customXml/item10.xml"/><Relationship Id="rId19" Type="http://schemas.openxmlformats.org/officeDocument/2006/relationships/footnotes" Target="footnotes.xml"/><Relationship Id="rId31" Type="http://schemas.openxmlformats.org/officeDocument/2006/relationships/footer" Target="footer7.xml"/><Relationship Id="rId44"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2.xml"/><Relationship Id="rId27" Type="http://schemas.openxmlformats.org/officeDocument/2006/relationships/footer" Target="footer4.xml"/><Relationship Id="rId30" Type="http://schemas.openxmlformats.org/officeDocument/2006/relationships/footer" Target="footer6.xml"/><Relationship Id="rId35" Type="http://schemas.openxmlformats.org/officeDocument/2006/relationships/hyperlink" Target="http://www.jjmmw.com" TargetMode="External"/><Relationship Id="rId43" Type="http://schemas.openxmlformats.org/officeDocument/2006/relationships/hyperlink" Target="http://www.licaike.com" TargetMode="External"/><Relationship Id="rId48" Type="http://schemas.openxmlformats.org/officeDocument/2006/relationships/image" Target="media/image2.jpeg"/><Relationship Id="rId8" Type="http://schemas.openxmlformats.org/officeDocument/2006/relationships/customXml" Target="../customXml/item8.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ettings" Target="settings.xml"/><Relationship Id="rId25" Type="http://schemas.openxmlformats.org/officeDocument/2006/relationships/header" Target="header3.xml"/><Relationship Id="rId33" Type="http://schemas.openxmlformats.org/officeDocument/2006/relationships/hyperlink" Target="http://www.5ifund.com" TargetMode="External"/><Relationship Id="rId38" Type="http://schemas.openxmlformats.org/officeDocument/2006/relationships/hyperlink" Target="http://www.vstonewealth.com" TargetMode="External"/><Relationship Id="rId46" Type="http://schemas.openxmlformats.org/officeDocument/2006/relationships/footer" Target="footer10.xml"/><Relationship Id="rId20" Type="http://schemas.openxmlformats.org/officeDocument/2006/relationships/endnotes" Target="endnotes.xml"/><Relationship Id="rId41" Type="http://schemas.openxmlformats.org/officeDocument/2006/relationships/hyperlink" Target="http://www.puyifund.com" TargetMode="External"/><Relationship Id="rId1" Type="http://schemas.openxmlformats.org/officeDocument/2006/relationships/customXml" Target="../customXml/item1.xml"/><Relationship Id="rId6" Type="http://schemas.openxmlformats.org/officeDocument/2006/relationships/customXml" Target="../customXml/item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DC9328-AB04-45C1-AA8B-6447414FE190}">
  <ds:schemaRefs>
    <ds:schemaRef ds:uri="http://schemas.openxmlformats.org/officeDocument/2006/bibliography"/>
  </ds:schemaRefs>
</ds:datastoreItem>
</file>

<file path=customXml/itemProps2.xml><?xml version="1.0" encoding="utf-8"?>
<ds:datastoreItem xmlns:ds="http://schemas.openxmlformats.org/officeDocument/2006/customXml" ds:itemID="{2EEF9875-A90A-4D1C-A905-3A0ABD16F075}">
  <ds:schemaRefs>
    <ds:schemaRef ds:uri="http://schemas.openxmlformats.org/officeDocument/2006/bibliography"/>
  </ds:schemaRefs>
</ds:datastoreItem>
</file>

<file path=customXml/itemProps3.xml><?xml version="1.0" encoding="utf-8"?>
<ds:datastoreItem xmlns:ds="http://schemas.openxmlformats.org/officeDocument/2006/customXml" ds:itemID="{65B5A565-1623-4224-89A4-452CBA2D8EB2}">
  <ds:schemaRefs>
    <ds:schemaRef ds:uri="http://schemas.openxmlformats.org/officeDocument/2006/bibliography"/>
  </ds:schemaRefs>
</ds:datastoreItem>
</file>

<file path=customXml/itemProps4.xml><?xml version="1.0" encoding="utf-8"?>
<ds:datastoreItem xmlns:ds="http://schemas.openxmlformats.org/officeDocument/2006/customXml" ds:itemID="{62309708-4463-4F2F-9C36-DDAEF6115DB5}">
  <ds:schemaRefs>
    <ds:schemaRef ds:uri="http://schemas.openxmlformats.org/officeDocument/2006/bibliography"/>
  </ds:schemaRefs>
</ds:datastoreItem>
</file>

<file path=customXml/itemProps5.xml><?xml version="1.0" encoding="utf-8"?>
<ds:datastoreItem xmlns:ds="http://schemas.openxmlformats.org/officeDocument/2006/customXml" ds:itemID="{F5A27B93-3F8A-4D8E-8633-A222553EA1E8}">
  <ds:schemaRefs>
    <ds:schemaRef ds:uri="http://schemas.openxmlformats.org/officeDocument/2006/bibliography"/>
  </ds:schemaRefs>
</ds:datastoreItem>
</file>

<file path=customXml/itemProps6.xml><?xml version="1.0" encoding="utf-8"?>
<ds:datastoreItem xmlns:ds="http://schemas.openxmlformats.org/officeDocument/2006/customXml" ds:itemID="{2FC7A019-376E-4D20-9F50-2EDD3F73E1B5}">
  <ds:schemaRefs>
    <ds:schemaRef ds:uri="http://schemas.openxmlformats.org/officeDocument/2006/bibliography"/>
  </ds:schemaRefs>
</ds:datastoreItem>
</file>

<file path=customXml/itemProps7.xml><?xml version="1.0" encoding="utf-8"?>
<ds:datastoreItem xmlns:ds="http://schemas.openxmlformats.org/officeDocument/2006/customXml" ds:itemID="{88686DA4-D3A0-4B3D-82A9-177CFE071E52}">
  <ds:schemaRefs>
    <ds:schemaRef ds:uri="http://schemas.openxmlformats.org/officeDocument/2006/bibliography"/>
  </ds:schemaRefs>
</ds:datastoreItem>
</file>

<file path=customXml/itemProps8.xml><?xml version="1.0" encoding="utf-8"?>
<ds:datastoreItem xmlns:ds="http://schemas.openxmlformats.org/officeDocument/2006/customXml" ds:itemID="{B9016BCA-184D-4C95-A479-92256F9724F3}">
  <ds:schemaRefs>
    <ds:schemaRef ds:uri="http://schemas.openxmlformats.org/officeDocument/2006/bibliography"/>
  </ds:schemaRefs>
</ds:datastoreItem>
</file>

<file path=customXml/itemProps9.xml><?xml version="1.0" encoding="utf-8"?>
<ds:datastoreItem xmlns:ds="http://schemas.openxmlformats.org/officeDocument/2006/customXml" ds:itemID="{B31943B7-0244-41C7-A100-3C3C1DDB5B31}">
  <ds:schemaRefs>
    <ds:schemaRef ds:uri="http://schemas.openxmlformats.org/officeDocument/2006/bibliography"/>
  </ds:schemaRefs>
</ds:datastoreItem>
</file>

<file path=customXml/itemProps10.xml><?xml version="1.0" encoding="utf-8"?>
<ds:datastoreItem xmlns:ds="http://schemas.openxmlformats.org/officeDocument/2006/customXml" ds:itemID="{E486173C-156E-43EB-B797-7D5940F47544}">
  <ds:schemaRefs>
    <ds:schemaRef ds:uri="http://schemas.openxmlformats.org/officeDocument/2006/bibliography"/>
  </ds:schemaRefs>
</ds:datastoreItem>
</file>

<file path=customXml/itemProps11.xml><?xml version="1.0" encoding="utf-8"?>
<ds:datastoreItem xmlns:ds="http://schemas.openxmlformats.org/officeDocument/2006/customXml" ds:itemID="{F7A98B3A-1844-4755-BC59-D154982685CE}">
  <ds:schemaRefs>
    <ds:schemaRef ds:uri="http://schemas.openxmlformats.org/officeDocument/2006/bibliography"/>
  </ds:schemaRefs>
</ds:datastoreItem>
</file>

<file path=customXml/itemProps12.xml><?xml version="1.0" encoding="utf-8"?>
<ds:datastoreItem xmlns:ds="http://schemas.openxmlformats.org/officeDocument/2006/customXml" ds:itemID="{C9B840BF-871E-4706-9011-1D186E5A3781}">
  <ds:schemaRefs>
    <ds:schemaRef ds:uri="http://schemas.openxmlformats.org/officeDocument/2006/bibliography"/>
  </ds:schemaRefs>
</ds:datastoreItem>
</file>

<file path=customXml/itemProps13.xml><?xml version="1.0" encoding="utf-8"?>
<ds:datastoreItem xmlns:ds="http://schemas.openxmlformats.org/officeDocument/2006/customXml" ds:itemID="{89433968-800E-428B-8EDE-59F620E00DD1}">
  <ds:schemaRefs>
    <ds:schemaRef ds:uri="http://schemas.openxmlformats.org/officeDocument/2006/bibliography"/>
  </ds:schemaRefs>
</ds:datastoreItem>
</file>

<file path=customXml/itemProps14.xml><?xml version="1.0" encoding="utf-8"?>
<ds:datastoreItem xmlns:ds="http://schemas.openxmlformats.org/officeDocument/2006/customXml" ds:itemID="{A58C8584-B0DF-41D9-9B84-E5F1A8431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116</Pages>
  <Words>44956</Words>
  <Characters>47655</Characters>
  <Application>Microsoft Office Word</Application>
  <DocSecurity>0</DocSecurity>
  <Lines>2166</Lines>
  <Paragraphs>2374</Paragraphs>
  <ScaleCrop>false</ScaleCrop>
  <Company/>
  <LinksUpToDate>false</LinksUpToDate>
  <CharactersWithSpaces>90237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fanrouchun</dc:creator>
  <cp:lastModifiedBy>徐铮</cp:lastModifiedBy>
  <cp:revision>10</cp:revision>
  <cp:lastPrinted>2023-01-20T01:21:00Z</cp:lastPrinted>
  <dcterms:created xsi:type="dcterms:W3CDTF">2025-07-24T09:09:00Z</dcterms:created>
  <dcterms:modified xsi:type="dcterms:W3CDTF">2025-08-06T03:22:00Z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5DD5A200082243498406ECA3BD426320_13</vt:lpwstr>
  </property>
  <property fmtid="{D5CDD505-2E9C-101B-9397-08002B2CF9AE}" pid="4" name="KSOTemplateDocerSaveRecord">
    <vt:lpwstr>eyJoZGlkIjoiYWEyZTA3M2M5N2Q0MmQwMWJkYjAxYzAyY2RhYmU3MjYiLCJ1c2VySWQiOiIxNTIwODY1NzQwIn0=</vt:lpwstr>
  </property>
</Properties>
</file>