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211D82" w14:textId="77777777" w:rsidR="00527E0D" w:rsidRDefault="00000000">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w:t>
      </w:r>
      <w:r>
        <w:rPr>
          <w:rFonts w:ascii="思源黑体 CN Bold" w:eastAsia="思源黑体 CN Bold" w:hAnsi="思源黑体 CN Bold"/>
          <w:b/>
          <w:bCs/>
          <w:sz w:val="28"/>
          <w:szCs w:val="28"/>
        </w:rPr>
        <w:t>债市震荡偏弱</w:t>
      </w:r>
    </w:p>
    <w:p w14:paraId="1A0AF93A" w14:textId="77777777" w:rsidR="00527E0D" w:rsidRDefault="00000000">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4DDC2561" w14:textId="77777777" w:rsidR="00527E0D"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（1）国内方面：</w:t>
      </w:r>
    </w:p>
    <w:p w14:paraId="4914919F" w14:textId="0BB3094A" w:rsidR="00527E0D"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短期内资金面或将整体维持低位区间运行，进一步下探空间或有限，税期临近或存在小幅波动。当前出口数据改善，但后续或转弱，信贷可能依然偏弱。7月价格运行的积极变化主要在CPI领域，PPI疲软指向需求仍相对不足。基本面仍将支撑债市，压制利率上行风险。短期</w:t>
      </w:r>
      <w:proofErr w:type="gramStart"/>
      <w:r>
        <w:rPr>
          <w:rFonts w:ascii="思源黑体 CN Light" w:eastAsia="思源黑体 CN Light" w:hAnsi="思源黑体 CN Light" w:hint="eastAsia"/>
          <w:szCs w:val="21"/>
        </w:rPr>
        <w:t>内降准降息</w:t>
      </w:r>
      <w:proofErr w:type="gramEnd"/>
      <w:r>
        <w:rPr>
          <w:rFonts w:ascii="思源黑体 CN Light" w:eastAsia="思源黑体 CN Light" w:hAnsi="思源黑体 CN Light" w:hint="eastAsia"/>
          <w:szCs w:val="21"/>
        </w:rPr>
        <w:t>等总量政策预期较低，但</w:t>
      </w:r>
      <w:r w:rsidR="00DC47E6">
        <w:rPr>
          <w:rFonts w:ascii="思源黑体 CN Light" w:eastAsia="思源黑体 CN Light" w:hAnsi="思源黑体 CN Light" w:hint="eastAsia"/>
          <w:szCs w:val="21"/>
        </w:rPr>
        <w:t>央行</w:t>
      </w:r>
      <w:proofErr w:type="gramStart"/>
      <w:r>
        <w:rPr>
          <w:rFonts w:ascii="思源黑体 CN Light" w:eastAsia="思源黑体 CN Light" w:hAnsi="思源黑体 CN Light" w:hint="eastAsia"/>
          <w:szCs w:val="21"/>
        </w:rPr>
        <w:t>恢复买债以</w:t>
      </w:r>
      <w:proofErr w:type="gramEnd"/>
      <w:r>
        <w:rPr>
          <w:rFonts w:ascii="思源黑体 CN Light" w:eastAsia="思源黑体 CN Light" w:hAnsi="思源黑体 CN Light" w:hint="eastAsia"/>
          <w:szCs w:val="21"/>
        </w:rPr>
        <w:t>配合8月国债净供给高峰存在一定可能性。</w:t>
      </w:r>
    </w:p>
    <w:p w14:paraId="18F7E2F1" w14:textId="77777777" w:rsidR="00527E0D"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（2）海外及其他：</w:t>
      </w:r>
    </w:p>
    <w:p w14:paraId="2A666AB9" w14:textId="7C438857" w:rsidR="00527E0D"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美国经济或在“三高”压力下走弱。三、四季度美国的降息预期提升，建议关注中美关系是否有反转。</w:t>
      </w:r>
    </w:p>
    <w:p w14:paraId="2498F0AC" w14:textId="77777777" w:rsidR="00527E0D"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（3）上周债券市场：</w:t>
      </w:r>
    </w:p>
    <w:p w14:paraId="2D672B30" w14:textId="77777777" w:rsidR="00527E0D"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上周（2025年8月4日-2025年8月8日，以下简称上周）债市利空逐渐出尽，市场延续修复行情，大部分利率均有不同程度的下行。首批加税地方债于上周五发行，发行结果好于预期。</w:t>
      </w:r>
    </w:p>
    <w:p w14:paraId="30224A4C" w14:textId="16567086" w:rsidR="00527E0D"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展望后市，国债收益率短期内或将维持震荡格局，低通胀和宽松流动性构成支撑。</w:t>
      </w:r>
    </w:p>
    <w:p w14:paraId="34EF06F5" w14:textId="77777777" w:rsidR="00527E0D" w:rsidRDefault="00000000">
      <w:pPr>
        <w:pStyle w:val="1"/>
        <w:tabs>
          <w:tab w:val="left" w:pos="6289"/>
        </w:tabs>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61BC2A48" w14:textId="77777777" w:rsidR="00527E0D"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美国劳工部公布7月非农就业新增仅7.3万人，低于预期。截至8月8日，美元指数跌0.43%，非美货币多数上涨，欧元涨1.25%，在岸人民币涨0.39%。</w:t>
      </w:r>
    </w:p>
    <w:p w14:paraId="0D43772C" w14:textId="5464DF4B" w:rsidR="00527E0D"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图一：主要货币变化率</w:t>
      </w:r>
      <w:r>
        <w:rPr>
          <w:rFonts w:ascii="思源黑体 CN Light" w:eastAsia="思源黑体 CN Light" w:hAnsi="思源黑体 CN Light" w:cs="Times New Roman"/>
          <w:b/>
          <w:noProof/>
          <w:color w:val="000000"/>
          <w:kern w:val="0"/>
          <w:sz w:val="20"/>
          <w:szCs w:val="20"/>
        </w:rPr>
        <w:lastRenderedPageBreak/>
        <w:drawing>
          <wp:inline distT="0" distB="0" distL="0" distR="0">
            <wp:extent cx="5274310" cy="2060575"/>
            <wp:effectExtent l="0" t="0" r="2540" b="0"/>
            <wp:docPr id="49" name="图片 48"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descr="图表, 条形图&#10;&#10;AI 生成的内容可能不正确。"/>
                    <pic:cNvPicPr>
                      <a:picLocks noChangeAspect="1"/>
                    </pic:cNvPicPr>
                  </pic:nvPicPr>
                  <pic:blipFill>
                    <a:blip r:embed="rId4"/>
                    <a:stretch>
                      <a:fillRect/>
                    </a:stretch>
                  </pic:blipFill>
                  <pic:spPr>
                    <a:xfrm>
                      <a:off x="0" y="0"/>
                      <a:ext cx="5274310" cy="206057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数据来源：wind，富荣基金；统计区间：20250804-2025</w:t>
      </w:r>
      <w:bookmarkStart w:id="1" w:name="_Toc134985520"/>
      <w:r>
        <w:rPr>
          <w:rFonts w:ascii="思源黑体 CN Light" w:eastAsia="思源黑体 CN Light" w:hAnsi="思源黑体 CN Light" w:cs="Times New Roman" w:hint="eastAsia"/>
          <w:sz w:val="16"/>
          <w:szCs w:val="16"/>
        </w:rPr>
        <w:t>0808</w:t>
      </w:r>
    </w:p>
    <w:p w14:paraId="346856DB" w14:textId="77777777" w:rsidR="00527E0D" w:rsidRDefault="00000000">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694C882A" w14:textId="77777777" w:rsidR="00527E0D" w:rsidRDefault="0000000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资金面继续保持均衡偏松。</w:t>
      </w:r>
      <w:r>
        <w:rPr>
          <w:rFonts w:ascii="思源黑体 CN Light" w:eastAsia="思源黑体 CN Light" w:hAnsi="思源黑体 CN Light" w:cs="Times New Roman" w:hint="eastAsia"/>
          <w:sz w:val="22"/>
          <w:szCs w:val="21"/>
          <w14:ligatures w14:val="standardContextual"/>
        </w:rPr>
        <w:t>DR001下行0.23bp至1.31%，DR007上行0.09bp至1.43%，R001下行1.32bp至1.34％，R007下行3.26bp至1.45％，GC001下行7.40bp至1.27%，GC007下行3.40bp至1.45％。</w:t>
      </w:r>
    </w:p>
    <w:p w14:paraId="11B517BE" w14:textId="77777777" w:rsidR="00527E0D" w:rsidRDefault="00000000">
      <w:pPr>
        <w:spacing w:line="288" w:lineRule="auto"/>
        <w:ind w:firstLineChars="200" w:firstLine="449"/>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债市整体呈现修复态势。</w:t>
      </w:r>
      <w:r>
        <w:rPr>
          <w:rFonts w:ascii="思源黑体 CN Light" w:eastAsia="思源黑体 CN Light" w:hAnsi="思源黑体 CN Light" w:cs="Times New Roman" w:hint="eastAsia"/>
          <w:sz w:val="22"/>
          <w:szCs w:val="21"/>
          <w14:ligatures w14:val="standardContextual"/>
        </w:rPr>
        <w:t>1Y、5Y、10Y、30Y国债收益率分别较前一周变化-2.28bp、-2.32bp、-1.68bp、1.1bp至1.3506%、1.5454%、1.6891%、1.9600%。</w:t>
      </w:r>
    </w:p>
    <w:p w14:paraId="36AF4629" w14:textId="77777777" w:rsidR="00527E0D" w:rsidRDefault="00000000">
      <w:pPr>
        <w:spacing w:line="288" w:lineRule="auto"/>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b/>
          <w:color w:val="000000"/>
          <w:kern w:val="0"/>
          <w:sz w:val="20"/>
          <w:szCs w:val="20"/>
        </w:rPr>
        <w:t>图二：资金面变化</w:t>
      </w:r>
    </w:p>
    <w:p w14:paraId="55EB6DFF" w14:textId="5172E50A" w:rsidR="00527E0D"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lastRenderedPageBreak/>
        <w:drawing>
          <wp:inline distT="0" distB="0" distL="0" distR="0">
            <wp:extent cx="5274310" cy="3075940"/>
            <wp:effectExtent l="0" t="0" r="2540" b="0"/>
            <wp:docPr id="70" name="图片 69" descr="图片包含 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9" descr="图片包含 图表&#10;&#10;AI 生成的内容可能不正确。"/>
                    <pic:cNvPicPr>
                      <a:picLocks noChangeAspect="1"/>
                    </pic:cNvPicPr>
                  </pic:nvPicPr>
                  <pic:blipFill>
                    <a:blip r:embed="rId5"/>
                    <a:stretch>
                      <a:fillRect/>
                    </a:stretch>
                  </pic:blipFill>
                  <pic:spPr>
                    <a:xfrm>
                      <a:off x="0" y="0"/>
                      <a:ext cx="5274310" cy="307594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数据来源：wind，富荣基金；统计区间：20250804-20250808</w:t>
      </w:r>
    </w:p>
    <w:p w14:paraId="50DE1987" w14:textId="5FA7EBD0" w:rsidR="00527E0D"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r>
        <w:rPr>
          <w:rFonts w:ascii="思源黑体 CN Light" w:eastAsia="思源黑体 CN Light" w:hAnsi="思源黑体 CN Light" w:cs="Times New Roman"/>
          <w:b/>
          <w:noProof/>
          <w:color w:val="000000"/>
          <w:kern w:val="0"/>
          <w:sz w:val="20"/>
          <w:szCs w:val="20"/>
        </w:rPr>
        <w:drawing>
          <wp:inline distT="0" distB="0" distL="0" distR="0">
            <wp:extent cx="5181600" cy="2577465"/>
            <wp:effectExtent l="0" t="0" r="0" b="0"/>
            <wp:docPr id="71" name="图片 70"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0" descr="图表, 瀑布图&#10;&#10;AI 生成的内容可能不正确。"/>
                    <pic:cNvPicPr>
                      <a:picLocks noChangeAspect="1"/>
                    </pic:cNvPicPr>
                  </pic:nvPicPr>
                  <pic:blipFill>
                    <a:blip r:embed="rId6"/>
                    <a:stretch>
                      <a:fillRect/>
                    </a:stretch>
                  </pic:blipFill>
                  <pic:spPr>
                    <a:xfrm>
                      <a:off x="0" y="0"/>
                      <a:ext cx="5190934" cy="2582633"/>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数据来源：wind，富荣基金；统计区间：20250804-20250808</w:t>
      </w:r>
    </w:p>
    <w:p w14:paraId="57FD26F1" w14:textId="77777777" w:rsidR="00527E0D" w:rsidRDefault="00000000">
      <w:pPr>
        <w:spacing w:line="288" w:lineRule="auto"/>
        <w:ind w:firstLineChars="200" w:firstLine="440"/>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央行OMO净回笼5365亿元，月初资金面较为宽松，DR001、DR007加权价格在1.3116%、1.4251%偏低水平。</w:t>
      </w:r>
    </w:p>
    <w:p w14:paraId="7CFFC455" w14:textId="77777777" w:rsidR="00527E0D" w:rsidRDefault="00000000">
      <w:pPr>
        <w:spacing w:line="288" w:lineRule="auto"/>
        <w:ind w:firstLineChars="200" w:firstLine="440"/>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债市继续收益下行趋势，中短票、城投下行幅度较大，流动性较好券种中短端下行幅度较大。从利差看，大体保持收窄走势，短</w:t>
      </w:r>
      <w:proofErr w:type="gramStart"/>
      <w:r>
        <w:rPr>
          <w:rFonts w:ascii="思源黑体 CN Light" w:eastAsia="思源黑体 CN Light" w:hAnsi="思源黑体 CN Light" w:cs="Times New Roman" w:hint="eastAsia"/>
          <w:sz w:val="22"/>
          <w:szCs w:val="21"/>
          <w14:ligatures w14:val="standardContextual"/>
        </w:rPr>
        <w:t>端收窄粗</w:t>
      </w:r>
      <w:proofErr w:type="gramEnd"/>
      <w:r>
        <w:rPr>
          <w:rFonts w:ascii="思源黑体 CN Light" w:eastAsia="思源黑体 CN Light" w:hAnsi="思源黑体 CN Light" w:cs="Times New Roman" w:hint="eastAsia"/>
          <w:sz w:val="22"/>
          <w:szCs w:val="21"/>
          <w14:ligatures w14:val="standardContextual"/>
        </w:rPr>
        <w:t>度略大，5Y二级资本债、3Y券商公司债等个别品种略有走阔。</w:t>
      </w:r>
    </w:p>
    <w:p w14:paraId="5209E255" w14:textId="77777777" w:rsidR="00527E0D" w:rsidRDefault="00000000">
      <w:pPr>
        <w:spacing w:line="288" w:lineRule="auto"/>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lastRenderedPageBreak/>
        <w:t>图四：信用债收益率变化</w:t>
      </w:r>
    </w:p>
    <w:p w14:paraId="21A3BDD7" w14:textId="5D9362C0" w:rsidR="00527E0D" w:rsidRDefault="00000000">
      <w:pPr>
        <w:spacing w:line="288" w:lineRule="auto"/>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drawing>
          <wp:inline distT="0" distB="0" distL="0" distR="0">
            <wp:extent cx="5274310" cy="2505075"/>
            <wp:effectExtent l="0" t="0" r="2540" b="9525"/>
            <wp:docPr id="11" name="图片 10" descr="图表, 漏斗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 漏斗图&#10;&#10;AI 生成的内容可能不正确。"/>
                    <pic:cNvPicPr>
                      <a:picLocks noChangeAspect="1"/>
                    </pic:cNvPicPr>
                  </pic:nvPicPr>
                  <pic:blipFill>
                    <a:blip r:embed="rId7"/>
                    <a:stretch>
                      <a:fillRect/>
                    </a:stretch>
                  </pic:blipFill>
                  <pic:spPr>
                    <a:xfrm>
                      <a:off x="0" y="0"/>
                      <a:ext cx="5274310" cy="250507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数据来源：wind，富荣基金；统计区间：20250804-20250808</w:t>
      </w:r>
    </w:p>
    <w:p w14:paraId="3B5F9E7A" w14:textId="48AFE10A" w:rsidR="00527E0D" w:rsidRDefault="00000000">
      <w:pPr>
        <w:spacing w:line="288" w:lineRule="auto"/>
        <w:jc w:val="left"/>
        <w:rPr>
          <w:rFonts w:ascii="思源黑体 CN Light" w:eastAsia="思源黑体 CN Light" w:hAnsi="思源黑体 CN Light" w:hint="eastAsia"/>
          <w:sz w:val="20"/>
          <w:szCs w:val="20"/>
        </w:rPr>
      </w:pPr>
      <w:r>
        <w:rPr>
          <w:rFonts w:ascii="思源黑体 CN Light" w:eastAsia="思源黑体 CN Light" w:hAnsi="思源黑体 CN Light" w:cs="Times New Roman" w:hint="eastAsia"/>
          <w:b/>
          <w:color w:val="000000"/>
          <w:kern w:val="0"/>
          <w:sz w:val="20"/>
          <w:szCs w:val="20"/>
        </w:rPr>
        <w:t>图五：信用利差变化</w:t>
      </w:r>
      <w:r>
        <w:rPr>
          <w:rFonts w:ascii="思源黑体 CN Light" w:eastAsia="思源黑体 CN Light" w:hAnsi="思源黑体 CN Light" w:cs="Times New Roman"/>
          <w:b/>
          <w:noProof/>
          <w:color w:val="000000"/>
          <w:kern w:val="0"/>
          <w:sz w:val="20"/>
          <w:szCs w:val="20"/>
        </w:rPr>
        <w:drawing>
          <wp:inline distT="0" distB="0" distL="0" distR="0">
            <wp:extent cx="5274310" cy="2173605"/>
            <wp:effectExtent l="0" t="0" r="2540" b="0"/>
            <wp:docPr id="12" name="图片 1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图表, 瀑布图&#10;&#10;AI 生成的内容可能不正确。"/>
                    <pic:cNvPicPr>
                      <a:picLocks noChangeAspect="1"/>
                    </pic:cNvPicPr>
                  </pic:nvPicPr>
                  <pic:blipFill>
                    <a:blip r:embed="rId8"/>
                    <a:stretch>
                      <a:fillRect/>
                    </a:stretch>
                  </pic:blipFill>
                  <pic:spPr>
                    <a:xfrm>
                      <a:off x="0" y="0"/>
                      <a:ext cx="5274310" cy="217360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数据来源：wind，富荣基金；统计区间：20250804-20250808</w:t>
      </w:r>
    </w:p>
    <w:p w14:paraId="253EF6BC" w14:textId="77777777" w:rsidR="00527E0D" w:rsidRDefault="00527E0D">
      <w:pPr>
        <w:ind w:firstLineChars="200" w:firstLine="400"/>
        <w:rPr>
          <w:rFonts w:ascii="思源黑体 CN Light" w:eastAsia="思源黑体 CN Light" w:hAnsi="思源黑体 CN Light" w:hint="eastAsia"/>
          <w:sz w:val="20"/>
          <w:szCs w:val="20"/>
        </w:rPr>
      </w:pPr>
    </w:p>
    <w:p w14:paraId="64D42717" w14:textId="77777777" w:rsidR="00527E0D" w:rsidRDefault="00000000">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0BB6A2DD" w14:textId="77777777" w:rsidR="00527E0D" w:rsidRDefault="00000000">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sectPr w:rsidR="00527E0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D1DB1"/>
    <w:rsid w:val="002F63B0"/>
    <w:rsid w:val="00503A5A"/>
    <w:rsid w:val="00511473"/>
    <w:rsid w:val="00511DC6"/>
    <w:rsid w:val="00527E0D"/>
    <w:rsid w:val="005B3F4B"/>
    <w:rsid w:val="005C32C1"/>
    <w:rsid w:val="0067636F"/>
    <w:rsid w:val="00852735"/>
    <w:rsid w:val="008A7A0D"/>
    <w:rsid w:val="008D5020"/>
    <w:rsid w:val="00C40892"/>
    <w:rsid w:val="00CE0C74"/>
    <w:rsid w:val="00CE79E5"/>
    <w:rsid w:val="00DC47E6"/>
    <w:rsid w:val="00ED1DB1"/>
    <w:rsid w:val="00F855F1"/>
    <w:rsid w:val="27033DAD"/>
    <w:rsid w:val="498F56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43D0ED"/>
  <w15:docId w15:val="{F6D6FAAA-BF01-4904-A0B4-6C0BF11D4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Subtitle"/>
    <w:basedOn w:val="a"/>
    <w:next w:val="a"/>
    <w:link w:val="ac"/>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d">
    <w:name w:val="Title"/>
    <w:basedOn w:val="a"/>
    <w:next w:val="a"/>
    <w:link w:val="ae"/>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paragraph" w:styleId="af">
    <w:name w:val="annotation subject"/>
    <w:basedOn w:val="a3"/>
    <w:next w:val="a3"/>
    <w:link w:val="af0"/>
    <w:uiPriority w:val="99"/>
    <w:semiHidden/>
    <w:unhideWhenUsed/>
    <w:qFormat/>
    <w:rPr>
      <w:b/>
      <w:bCs/>
    </w:rPr>
  </w:style>
  <w:style w:type="character" w:styleId="af1">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e">
    <w:name w:val="标题 字符"/>
    <w:basedOn w:val="a0"/>
    <w:link w:val="ad"/>
    <w:uiPriority w:val="10"/>
    <w:qFormat/>
    <w:rPr>
      <w:rFonts w:asciiTheme="majorHAnsi" w:eastAsiaTheme="majorEastAsia" w:hAnsiTheme="majorHAnsi" w:cstheme="majorBidi"/>
      <w:spacing w:val="-10"/>
      <w:kern w:val="28"/>
      <w:sz w:val="56"/>
      <w:szCs w:val="56"/>
    </w:rPr>
  </w:style>
  <w:style w:type="character" w:customStyle="1" w:styleId="ac">
    <w:name w:val="副标题 字符"/>
    <w:basedOn w:val="a0"/>
    <w:link w:val="ab"/>
    <w:uiPriority w:val="11"/>
    <w:qFormat/>
    <w:rPr>
      <w:rFonts w:asciiTheme="majorHAnsi" w:eastAsiaTheme="majorEastAsia" w:hAnsiTheme="majorHAnsi" w:cstheme="majorBidi"/>
      <w:color w:val="595959" w:themeColor="text1" w:themeTint="A6"/>
      <w:spacing w:val="15"/>
      <w:sz w:val="28"/>
      <w:szCs w:val="28"/>
    </w:rPr>
  </w:style>
  <w:style w:type="paragraph" w:styleId="af2">
    <w:name w:val="Quote"/>
    <w:basedOn w:val="a"/>
    <w:next w:val="a"/>
    <w:link w:val="af3"/>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f3">
    <w:name w:val="引用 字符"/>
    <w:basedOn w:val="a0"/>
    <w:link w:val="af2"/>
    <w:uiPriority w:val="29"/>
    <w:qFormat/>
    <w:rPr>
      <w:i/>
      <w:iCs/>
      <w:color w:val="404040" w:themeColor="text1" w:themeTint="BF"/>
    </w:rPr>
  </w:style>
  <w:style w:type="paragraph" w:styleId="af4">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5">
    <w:name w:val="Intense Quote"/>
    <w:basedOn w:val="a"/>
    <w:next w:val="a"/>
    <w:link w:val="af6"/>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6">
    <w:name w:val="明显引用 字符"/>
    <w:basedOn w:val="a0"/>
    <w:link w:val="af5"/>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6">
    <w:name w:val="批注框文本 字符"/>
    <w:basedOn w:val="a0"/>
    <w:link w:val="a5"/>
    <w:uiPriority w:val="99"/>
    <w:semiHidden/>
    <w:qFormat/>
    <w:rPr>
      <w:kern w:val="2"/>
      <w:sz w:val="18"/>
      <w:szCs w:val="18"/>
    </w:rPr>
  </w:style>
  <w:style w:type="character" w:customStyle="1" w:styleId="aa">
    <w:name w:val="页眉 字符"/>
    <w:basedOn w:val="a0"/>
    <w:link w:val="a9"/>
    <w:uiPriority w:val="99"/>
    <w:qFormat/>
    <w:rPr>
      <w:kern w:val="2"/>
      <w:sz w:val="18"/>
      <w:szCs w:val="18"/>
    </w:rPr>
  </w:style>
  <w:style w:type="character" w:customStyle="1" w:styleId="a8">
    <w:name w:val="页脚 字符"/>
    <w:basedOn w:val="a0"/>
    <w:link w:val="a7"/>
    <w:uiPriority w:val="99"/>
    <w:qFormat/>
    <w:rPr>
      <w:kern w:val="2"/>
      <w:sz w:val="18"/>
      <w:szCs w:val="18"/>
    </w:rPr>
  </w:style>
  <w:style w:type="character" w:customStyle="1" w:styleId="a4">
    <w:name w:val="批注文字 字符"/>
    <w:basedOn w:val="a0"/>
    <w:link w:val="a3"/>
    <w:uiPriority w:val="99"/>
    <w:semiHidden/>
    <w:qFormat/>
    <w:rPr>
      <w:kern w:val="2"/>
      <w:sz w:val="21"/>
      <w:szCs w:val="22"/>
    </w:rPr>
  </w:style>
  <w:style w:type="character" w:customStyle="1" w:styleId="af0">
    <w:name w:val="批注主题 字符"/>
    <w:basedOn w:val="a4"/>
    <w:link w:val="af"/>
    <w:uiPriority w:val="99"/>
    <w:semiHidden/>
    <w:qFormat/>
    <w:rPr>
      <w:b/>
      <w:bCs/>
      <w:kern w:val="2"/>
      <w:sz w:val="21"/>
      <w:szCs w:val="22"/>
    </w:rPr>
  </w:style>
  <w:style w:type="paragraph" w:styleId="af7">
    <w:name w:val="Revision"/>
    <w:hidden/>
    <w:uiPriority w:val="99"/>
    <w:unhideWhenUsed/>
    <w:rsid w:val="008D502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597</Words>
  <Characters>694</Characters>
  <Application>Microsoft Office Word</Application>
  <DocSecurity>0</DocSecurity>
  <Lines>21</Lines>
  <Paragraphs>15</Paragraphs>
  <ScaleCrop>false</ScaleCrop>
  <Company/>
  <LinksUpToDate>false</LinksUpToDate>
  <CharactersWithSpaces>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3</cp:revision>
  <dcterms:created xsi:type="dcterms:W3CDTF">2025-08-11T07:17:00Z</dcterms:created>
  <dcterms:modified xsi:type="dcterms:W3CDTF">2025-08-11T07:45:00Z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2052-12.1.0.21915</vt:lpwstr>
  </property>
  <property fmtid="{D5CDD505-2E9C-101B-9397-08002B2CF9AE}" pid="4" name="ICV">
    <vt:lpwstr>0B7F3E0D967E49118C699A6F4949705F_13</vt:lpwstr>
  </property>
</Properties>
</file>