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97D58" w14:textId="77777777" w:rsidR="007E0985" w:rsidRPr="00A3519E" w:rsidRDefault="00000000">
      <w:pPr>
        <w:jc w:val="center"/>
        <w:rPr>
          <w:rFonts w:ascii="黑体" w:eastAsia="黑体" w:hAnsi="黑体" w:hint="eastAsia"/>
          <w:b/>
          <w:bCs/>
        </w:rPr>
      </w:pPr>
      <w:r w:rsidRPr="00A3519E">
        <w:rPr>
          <w:rFonts w:ascii="黑体" w:eastAsia="黑体" w:hAnsi="黑体" w:hint="eastAsia"/>
          <w:b/>
          <w:bCs/>
        </w:rPr>
        <w:t>【峥选定投】20250815定投日志</w:t>
      </w:r>
    </w:p>
    <w:p w14:paraId="355A4D6B" w14:textId="77777777" w:rsidR="007E0985" w:rsidRPr="00A3519E" w:rsidRDefault="00000000">
      <w:pPr>
        <w:ind w:firstLineChars="200" w:firstLine="440"/>
        <w:rPr>
          <w:rFonts w:ascii="黑体" w:eastAsia="黑体" w:hAnsi="黑体" w:hint="eastAsia"/>
        </w:rPr>
      </w:pPr>
      <w:r w:rsidRPr="00A3519E">
        <w:rPr>
          <w:rFonts w:ascii="黑体" w:eastAsia="黑体" w:hAnsi="黑体" w:hint="eastAsia"/>
        </w:rPr>
        <w:t>大家好！我是富荣信息技术混合、富荣福锦混合的基金经理李延峥。我于8月13日定投买入富荣信息技术混合A、富荣福锦混合A两只产品各1000元。</w:t>
      </w:r>
    </w:p>
    <w:p w14:paraId="6458E168" w14:textId="6116B064" w:rsidR="007E0985" w:rsidRPr="00A3519E" w:rsidRDefault="00A3519E">
      <w:pPr>
        <w:jc w:val="center"/>
        <w:rPr>
          <w:rFonts w:ascii="黑体" w:eastAsia="黑体" w:hAnsi="黑体" w:hint="eastAsia"/>
        </w:rPr>
      </w:pPr>
      <w:r w:rsidRPr="00A3519E">
        <w:rPr>
          <w:rFonts w:ascii="黑体" w:eastAsia="黑体" w:hAnsi="黑体" w:hint="eastAsia"/>
          <w:noProof/>
        </w:rPr>
        <w:drawing>
          <wp:inline distT="0" distB="0" distL="0" distR="0" wp14:anchorId="49531D1F" wp14:editId="7B1EA3F5">
            <wp:extent cx="4200525" cy="5810250"/>
            <wp:effectExtent l="0" t="0" r="9525" b="0"/>
            <wp:docPr id="7839002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581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254C2" w14:textId="77777777" w:rsidR="007E0985" w:rsidRPr="00A3519E" w:rsidRDefault="00000000">
      <w:pPr>
        <w:jc w:val="both"/>
        <w:rPr>
          <w:rFonts w:ascii="黑体" w:eastAsia="黑体" w:hAnsi="黑体" w:hint="eastAsia"/>
        </w:rPr>
      </w:pPr>
      <w:r w:rsidRPr="00A3519E">
        <w:rPr>
          <w:rFonts w:ascii="黑体" w:eastAsia="黑体" w:hAnsi="黑体" w:hint="eastAsia"/>
        </w:rPr>
        <w:t>最近富荣信息技术混合受到了许多投资者的关注，在这里非常感谢大家！有很多小伙伴对我们这只产品可能还不是特别了解，在这里跟大家再汇报一下基金二季度的操作及我们的后市展望。</w:t>
      </w:r>
    </w:p>
    <w:p w14:paraId="48B7E8FA" w14:textId="77777777" w:rsidR="007E0985" w:rsidRPr="00A3519E" w:rsidRDefault="00000000">
      <w:pPr>
        <w:jc w:val="both"/>
        <w:rPr>
          <w:rFonts w:ascii="黑体" w:eastAsia="黑体" w:hAnsi="黑体" w:hint="eastAsia"/>
        </w:rPr>
      </w:pPr>
      <w:r w:rsidRPr="00A3519E">
        <w:rPr>
          <w:rFonts w:ascii="黑体" w:eastAsia="黑体" w:hAnsi="黑体" w:hint="eastAsia"/>
        </w:rPr>
        <w:t>在二季度里，我们对富荣信息技术混合的组合进行了一定的调整，大方向上仍然看好AI产业的大产业方向，但在细分产业上遵循产业周期的思路，从AI上游的算力产业链切换到了AI下游的应用方向，其包括：营销、ERP、财税金融、游戏、视频、端侧硬件等。</w:t>
      </w:r>
    </w:p>
    <w:p w14:paraId="5271AD6A" w14:textId="77777777" w:rsidR="007E0985" w:rsidRPr="00A3519E" w:rsidRDefault="00000000">
      <w:pPr>
        <w:jc w:val="both"/>
        <w:rPr>
          <w:rFonts w:ascii="黑体" w:eastAsia="黑体" w:hAnsi="黑体" w:hint="eastAsia"/>
        </w:rPr>
      </w:pPr>
      <w:r w:rsidRPr="00A3519E">
        <w:rPr>
          <w:rFonts w:ascii="黑体" w:eastAsia="黑体" w:hAnsi="黑体" w:hint="eastAsia"/>
        </w:rPr>
        <w:t>富荣信息技术混合基金成立以来，坚定地投资于科技板块，在符合国家战略和中长期景</w:t>
      </w:r>
      <w:r w:rsidRPr="00A3519E">
        <w:rPr>
          <w:rFonts w:ascii="黑体" w:eastAsia="黑体" w:hAnsi="黑体" w:hint="eastAsia"/>
        </w:rPr>
        <w:lastRenderedPageBreak/>
        <w:t>气的方向上为投资者创造价值。投资框架上我们仍然按照确立的方向去布局，买处于产业周期早中期，有终局空间业绩趋势向上的公司。</w:t>
      </w:r>
    </w:p>
    <w:p w14:paraId="6E16993E" w14:textId="77777777" w:rsidR="007E0985" w:rsidRPr="00A3519E" w:rsidRDefault="00000000">
      <w:pPr>
        <w:jc w:val="both"/>
        <w:rPr>
          <w:rFonts w:ascii="黑体" w:eastAsia="黑体" w:hAnsi="黑体" w:hint="eastAsia"/>
        </w:rPr>
      </w:pPr>
      <w:r w:rsidRPr="00A3519E">
        <w:rPr>
          <w:rFonts w:ascii="黑体" w:eastAsia="黑体" w:hAnsi="黑体" w:hint="eastAsia"/>
        </w:rPr>
        <w:t>国泰海通证券排行榜数据显示，截至2025年6月30日，富荣信息技术混合A近三年业绩同类排名为前5%，跑赢2300余只同类强股混合型基金。</w:t>
      </w:r>
    </w:p>
    <w:p w14:paraId="7401C247" w14:textId="77777777" w:rsidR="007E0985" w:rsidRPr="00A3519E" w:rsidRDefault="00000000">
      <w:pPr>
        <w:jc w:val="both"/>
        <w:rPr>
          <w:rFonts w:ascii="黑体" w:eastAsia="黑体" w:hAnsi="黑体" w:hint="eastAsia"/>
        </w:rPr>
      </w:pPr>
      <w:r w:rsidRPr="00A3519E">
        <w:rPr>
          <w:rFonts w:ascii="黑体" w:eastAsia="黑体" w:hAnsi="黑体" w:hint="eastAsia"/>
        </w:rPr>
        <w:t>我们对过往的几轮大的科技周期进行了复盘，以移动互联网为例，市场遵循先基础设施再下游应用的演绎节奏。作为移动互联网的承载物，智能手机在2009~2013年开始快速渗透，2013年国内开始大规模建设4G基站奠定网络基础，而后移动互联网应用加速爆发。资本市场2009~2012年的投资机会更多围绕硬件端如苹果链等， 2013~2015年，下游应用为代表的传媒、计算机开始爆发，相对市场跑出显著超额。</w:t>
      </w:r>
    </w:p>
    <w:p w14:paraId="02870739" w14:textId="77777777" w:rsidR="007E0985" w:rsidRPr="00A3519E" w:rsidRDefault="00000000">
      <w:pPr>
        <w:jc w:val="both"/>
        <w:rPr>
          <w:rFonts w:ascii="黑体" w:eastAsia="黑体" w:hAnsi="黑体" w:hint="eastAsia"/>
        </w:rPr>
      </w:pPr>
      <w:r w:rsidRPr="00A3519E">
        <w:rPr>
          <w:rFonts w:ascii="黑体" w:eastAsia="黑体" w:hAnsi="黑体" w:hint="eastAsia"/>
        </w:rPr>
        <w:t>当下，从 AI产业链来看，过去两年半的时间A股的投资机会主要围绕上游算力去演绎，当下我们认为从海外和国内来看应用都到了加速或者从0到1的拐点。相对而言海外应用要快于国内，OpenAI、Anthropic、Cursor等龙头企业AI收入都到了快速放量阶段。而国内在DeepSeek R1横空出世后也到了商业模式0到1的落地阶段，从我们调研的信息来看部分领先的AI应用公司在今年或将有不错的AI收入落地，这在过去两年是不曾看到的。其次在模型的更新上，我们认为下半年海外的GPT5以及国内DeepSeek R2都非常有可能推出，模型能力的提升将进一步推动AI应用产品的可用性、幻觉率的大幅优化，加速应用商业化的进程。</w:t>
      </w:r>
    </w:p>
    <w:p w14:paraId="0BC466C5" w14:textId="7BB24061" w:rsidR="007E0985" w:rsidRPr="00A3519E" w:rsidRDefault="00000000">
      <w:pPr>
        <w:jc w:val="both"/>
        <w:rPr>
          <w:rFonts w:ascii="黑体" w:eastAsia="黑体" w:hAnsi="黑体" w:hint="eastAsia"/>
        </w:rPr>
      </w:pPr>
      <w:r w:rsidRPr="00A3519E">
        <w:rPr>
          <w:rFonts w:ascii="黑体" w:eastAsia="黑体" w:hAnsi="黑体" w:hint="eastAsia"/>
        </w:rPr>
        <w:t>对于AI应用我们会首先聚焦能够先商业模式跑通、先兑现收入的场景。方向上由于大模型的幻觉，我们认为在严肃、决策领域可能还需时间，在辅助、效率领域的突破可能更快，拥有私有化数据、客户入口、产业生态的公司在落地上或许会更快。由于应用爆发方向的不确定性，我们会保持对AI应用方向的持续重点跟踪，做好应对。</w:t>
      </w:r>
    </w:p>
    <w:p w14:paraId="0FAA8200" w14:textId="77777777" w:rsidR="007E0985" w:rsidRPr="00A3519E" w:rsidRDefault="00000000">
      <w:pPr>
        <w:rPr>
          <w:rFonts w:ascii="黑体" w:eastAsia="黑体" w:hAnsi="黑体" w:hint="eastAsia"/>
        </w:rPr>
      </w:pPr>
      <w:r w:rsidRPr="00A3519E">
        <w:rPr>
          <w:rFonts w:ascii="黑体" w:eastAsia="黑体" w:hAnsi="黑体" w:hint="eastAsia"/>
        </w:rPr>
        <w:t xml:space="preserve">注： </w:t>
      </w:r>
    </w:p>
    <w:p w14:paraId="1B4A06A7" w14:textId="77777777" w:rsidR="007E0985" w:rsidRPr="00A3519E" w:rsidRDefault="00000000">
      <w:pPr>
        <w:pStyle w:val="af2"/>
        <w:numPr>
          <w:ilvl w:val="0"/>
          <w:numId w:val="1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 w:rsidRPr="00A3519E">
        <w:rPr>
          <w:rFonts w:ascii="黑体" w:eastAsia="黑体" w:hAnsi="黑体" w:hint="eastAsia"/>
        </w:rPr>
        <w:t>富荣信息技术混合成立于2021年10月28日，R3（中风险）。基金经理任职期：郎骋成（2021.10.28-2023.12.13）、李延峥（2021.10.28-至今）。富荣信息技术混合A2022年-2024年的业绩及同期业绩比较基准为：-31.80%/-24.20%、13.26%/3.32%、14.82%/16.24%；富荣信息技术混合C2022年-2024年的业绩及同期业绩比较基准为：-32.07%/-24.20%、12.80%/3.32%、14.37%/16.24%。数据来源：定期报告，数据截至2024年12月31日。</w:t>
      </w:r>
    </w:p>
    <w:p w14:paraId="01EE078B" w14:textId="77777777" w:rsidR="007E0985" w:rsidRPr="00A3519E" w:rsidRDefault="00000000">
      <w:pPr>
        <w:pStyle w:val="af2"/>
        <w:numPr>
          <w:ilvl w:val="0"/>
          <w:numId w:val="1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 w:rsidRPr="00A3519E">
        <w:rPr>
          <w:rFonts w:ascii="黑体" w:eastAsia="黑体" w:hAnsi="黑体" w:hint="eastAsia"/>
        </w:rPr>
        <w:t>富荣福锦混合成立于2018年3月16日，于2021年4月19日增加存托凭证投资范围和投资策略，R3（中风险）。基金经理任职期：胡长虹（2018.03.16-2018.11.26）、邓宇翔（2018.03.30-2024.06.24）、李天翔（2024.06.07-2025.02.19）、李延峥（2024.08.28-至今）、毛运宏（2025.05.29-至今）。富荣福锦混合A2020年-2024年的业绩及同期业绩比较基准分别为：87.80%/20.09%、8.45%/-1.72%、-9.03%/-14.45%、-13.57%/-6.52%、21.20%/13.43%。富荣福锦混合C2020年-2024年的业绩及同期业绩比较基准分别为：87.60%/20.09%、8.34%/-1.72%、-9.12%/-14.45%、-13.66%/-6.52%、21.14%/13.43%。数据来源：定期报告，数据截至2024年</w:t>
      </w:r>
      <w:r w:rsidRPr="00A3519E">
        <w:rPr>
          <w:rFonts w:ascii="黑体" w:eastAsia="黑体" w:hAnsi="黑体" w:hint="eastAsia"/>
        </w:rPr>
        <w:lastRenderedPageBreak/>
        <w:t>12月31日。</w:t>
      </w:r>
    </w:p>
    <w:p w14:paraId="23A40EEE" w14:textId="77777777" w:rsidR="007E0985" w:rsidRPr="00A3519E" w:rsidRDefault="00000000">
      <w:pPr>
        <w:pStyle w:val="af2"/>
        <w:numPr>
          <w:ilvl w:val="0"/>
          <w:numId w:val="1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 w:rsidRPr="00A3519E">
        <w:rPr>
          <w:rFonts w:ascii="黑体" w:eastAsia="黑体" w:hAnsi="黑体" w:hint="eastAsia"/>
        </w:rPr>
        <w:t>基金关注方向仅以当前市场情况判断，不必然代表未来投资方向。基金经理将根据证券市场情况的变化并依据基金合同的约定，灵活调整具体的投资策略。</w:t>
      </w:r>
    </w:p>
    <w:p w14:paraId="4B1A7ABB" w14:textId="77777777" w:rsidR="007E0985" w:rsidRPr="00A3519E" w:rsidRDefault="00000000">
      <w:pPr>
        <w:pStyle w:val="af2"/>
        <w:numPr>
          <w:ilvl w:val="0"/>
          <w:numId w:val="1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 w:rsidRPr="00A3519E">
        <w:rPr>
          <w:rFonts w:ascii="黑体" w:eastAsia="黑体" w:hAnsi="黑体" w:hint="eastAsia"/>
        </w:rPr>
        <w:t>排名数据来源：国泰海通证券—基金业绩排行榜，分类标准：强股混合型，富荣信息技术混合A近三年业绩同类排名为99/2467，数据截至2025年6月30日，评价发布时间：2025年7月1日。</w:t>
      </w:r>
    </w:p>
    <w:p w14:paraId="67DD731D" w14:textId="77777777" w:rsidR="007E0985" w:rsidRPr="00A3519E" w:rsidRDefault="00000000">
      <w:pPr>
        <w:rPr>
          <w:rFonts w:ascii="黑体" w:eastAsia="黑体" w:hAnsi="黑体" w:hint="eastAsia"/>
        </w:rPr>
      </w:pPr>
      <w:r w:rsidRPr="00A3519E">
        <w:rPr>
          <w:rFonts w:ascii="黑体" w:eastAsia="黑体" w:hAnsi="黑体" w:hint="eastAsia"/>
        </w:rPr>
        <w:t>风险提示：1、投资人应当认真阅读《基金合同》、《招募说明书》、《基金产品资料概要》等基金法律文件，了解基金的风险收益特征，并根据自身的投资目的、投资期限、投资经验、资产状况等判断基金是否和投资人的风险承受能力相适应。2、基金管理人承诺以诚实信用、勤勉尽责的原则管理和运用基金资产，但不保证本基金一定盈利，也不保证最低收益。基金的过往业绩及其净值高低并不预示其未来业绩表现。基金管理人管理的其他基金的业绩并不构成基金业绩表现的保证。3、基金管理人提醒投资人基金投资的“买者自负”原则，在做出投资决策后，基金运营状况与基金净值变化引致的投资风险，由投资人自行负担。我国基金运作时间较短，不能反映证券市场发展的所有阶段。基金经理将根据证券市场情况的变化并依据基金合同的约定，灵活调整具体的投资策略。4、基金评价结果并不预示未来表现，也不视作投资建议。</w:t>
      </w:r>
    </w:p>
    <w:p w14:paraId="35960849" w14:textId="77777777" w:rsidR="007E0985" w:rsidRPr="00A3519E" w:rsidRDefault="007E0985">
      <w:pPr>
        <w:rPr>
          <w:rFonts w:ascii="黑体" w:eastAsia="黑体" w:hAnsi="黑体" w:hint="eastAsia"/>
        </w:rPr>
      </w:pPr>
    </w:p>
    <w:sectPr w:rsidR="007E0985" w:rsidRPr="00A35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288ACC" w14:textId="77777777" w:rsidR="00B52890" w:rsidRDefault="00B52890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55068037" w14:textId="77777777" w:rsidR="00B52890" w:rsidRDefault="00B52890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A55754" w14:textId="77777777" w:rsidR="00B52890" w:rsidRDefault="00B52890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2BB3A055" w14:textId="77777777" w:rsidR="00B52890" w:rsidRDefault="00B52890">
      <w:pPr>
        <w:spacing w:after="0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AF7D95"/>
    <w:multiLevelType w:val="multilevel"/>
    <w:tmpl w:val="45AF7D9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67849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E1E"/>
    <w:rsid w:val="00010ABB"/>
    <w:rsid w:val="00056703"/>
    <w:rsid w:val="000574CD"/>
    <w:rsid w:val="00060BB3"/>
    <w:rsid w:val="00070AC3"/>
    <w:rsid w:val="00072D85"/>
    <w:rsid w:val="00085625"/>
    <w:rsid w:val="000A10F0"/>
    <w:rsid w:val="000B5232"/>
    <w:rsid w:val="000B5EC3"/>
    <w:rsid w:val="000C544F"/>
    <w:rsid w:val="000D31EC"/>
    <w:rsid w:val="000F5C8C"/>
    <w:rsid w:val="00105B18"/>
    <w:rsid w:val="00111C69"/>
    <w:rsid w:val="0011338E"/>
    <w:rsid w:val="0012278C"/>
    <w:rsid w:val="00131159"/>
    <w:rsid w:val="00135855"/>
    <w:rsid w:val="00136E2C"/>
    <w:rsid w:val="00137ACD"/>
    <w:rsid w:val="00154914"/>
    <w:rsid w:val="00162392"/>
    <w:rsid w:val="001632F8"/>
    <w:rsid w:val="00176D4F"/>
    <w:rsid w:val="001943A4"/>
    <w:rsid w:val="001A1EA6"/>
    <w:rsid w:val="001B13A7"/>
    <w:rsid w:val="001C360B"/>
    <w:rsid w:val="001D23F9"/>
    <w:rsid w:val="001E1D0C"/>
    <w:rsid w:val="001F4529"/>
    <w:rsid w:val="002356CA"/>
    <w:rsid w:val="00237722"/>
    <w:rsid w:val="002509DF"/>
    <w:rsid w:val="00262780"/>
    <w:rsid w:val="00281256"/>
    <w:rsid w:val="002B66C1"/>
    <w:rsid w:val="002D4BB0"/>
    <w:rsid w:val="002D650F"/>
    <w:rsid w:val="003012D0"/>
    <w:rsid w:val="00313E3D"/>
    <w:rsid w:val="0033490C"/>
    <w:rsid w:val="00334EDC"/>
    <w:rsid w:val="003363A4"/>
    <w:rsid w:val="003630B9"/>
    <w:rsid w:val="003B32D2"/>
    <w:rsid w:val="003B57D6"/>
    <w:rsid w:val="003D49C2"/>
    <w:rsid w:val="003D79A0"/>
    <w:rsid w:val="0042772C"/>
    <w:rsid w:val="00452826"/>
    <w:rsid w:val="00463EF8"/>
    <w:rsid w:val="004709F0"/>
    <w:rsid w:val="00476A8A"/>
    <w:rsid w:val="00497215"/>
    <w:rsid w:val="004A4392"/>
    <w:rsid w:val="00532E84"/>
    <w:rsid w:val="00544856"/>
    <w:rsid w:val="00562EFC"/>
    <w:rsid w:val="00572EDC"/>
    <w:rsid w:val="00580451"/>
    <w:rsid w:val="0058536C"/>
    <w:rsid w:val="005A3900"/>
    <w:rsid w:val="005A5219"/>
    <w:rsid w:val="005B2E06"/>
    <w:rsid w:val="005C7FAA"/>
    <w:rsid w:val="005D4A4E"/>
    <w:rsid w:val="006159D7"/>
    <w:rsid w:val="006251F4"/>
    <w:rsid w:val="006339E4"/>
    <w:rsid w:val="00642E22"/>
    <w:rsid w:val="00652937"/>
    <w:rsid w:val="00663F1B"/>
    <w:rsid w:val="00667E3D"/>
    <w:rsid w:val="00695FF3"/>
    <w:rsid w:val="00696F3B"/>
    <w:rsid w:val="006C1415"/>
    <w:rsid w:val="006C4D4D"/>
    <w:rsid w:val="006C6FC5"/>
    <w:rsid w:val="006D2011"/>
    <w:rsid w:val="006D20D8"/>
    <w:rsid w:val="006F1B7A"/>
    <w:rsid w:val="006F22BC"/>
    <w:rsid w:val="0071236B"/>
    <w:rsid w:val="0071685B"/>
    <w:rsid w:val="00727A99"/>
    <w:rsid w:val="0078052B"/>
    <w:rsid w:val="007B77FB"/>
    <w:rsid w:val="007D46E6"/>
    <w:rsid w:val="007E0985"/>
    <w:rsid w:val="007E1867"/>
    <w:rsid w:val="007E3D17"/>
    <w:rsid w:val="008117FF"/>
    <w:rsid w:val="00823771"/>
    <w:rsid w:val="00843EBC"/>
    <w:rsid w:val="008506AB"/>
    <w:rsid w:val="00884E0B"/>
    <w:rsid w:val="008861CD"/>
    <w:rsid w:val="008919E9"/>
    <w:rsid w:val="008A2825"/>
    <w:rsid w:val="008B4166"/>
    <w:rsid w:val="008B695E"/>
    <w:rsid w:val="00915C2A"/>
    <w:rsid w:val="00942781"/>
    <w:rsid w:val="00946A9E"/>
    <w:rsid w:val="0095622F"/>
    <w:rsid w:val="00962830"/>
    <w:rsid w:val="00987807"/>
    <w:rsid w:val="009B3971"/>
    <w:rsid w:val="009D0792"/>
    <w:rsid w:val="009D6350"/>
    <w:rsid w:val="009E64DC"/>
    <w:rsid w:val="009F3E0D"/>
    <w:rsid w:val="00A13C5B"/>
    <w:rsid w:val="00A23520"/>
    <w:rsid w:val="00A32A6A"/>
    <w:rsid w:val="00A3519E"/>
    <w:rsid w:val="00A61B56"/>
    <w:rsid w:val="00A652B7"/>
    <w:rsid w:val="00A731A0"/>
    <w:rsid w:val="00A73714"/>
    <w:rsid w:val="00A82775"/>
    <w:rsid w:val="00AA4BFD"/>
    <w:rsid w:val="00AB293D"/>
    <w:rsid w:val="00AE7A39"/>
    <w:rsid w:val="00B17FA7"/>
    <w:rsid w:val="00B25173"/>
    <w:rsid w:val="00B36E17"/>
    <w:rsid w:val="00B479BB"/>
    <w:rsid w:val="00B52890"/>
    <w:rsid w:val="00B54301"/>
    <w:rsid w:val="00B63A13"/>
    <w:rsid w:val="00B72A92"/>
    <w:rsid w:val="00B74E79"/>
    <w:rsid w:val="00B84EA8"/>
    <w:rsid w:val="00B869BA"/>
    <w:rsid w:val="00B93315"/>
    <w:rsid w:val="00B94257"/>
    <w:rsid w:val="00BA2CBE"/>
    <w:rsid w:val="00BA384E"/>
    <w:rsid w:val="00BA4626"/>
    <w:rsid w:val="00BA71FD"/>
    <w:rsid w:val="00BC55FA"/>
    <w:rsid w:val="00BD44AA"/>
    <w:rsid w:val="00BF1999"/>
    <w:rsid w:val="00BF54FE"/>
    <w:rsid w:val="00BF61FD"/>
    <w:rsid w:val="00BF6D6C"/>
    <w:rsid w:val="00C00A8C"/>
    <w:rsid w:val="00C224F2"/>
    <w:rsid w:val="00C53FAA"/>
    <w:rsid w:val="00C97B7D"/>
    <w:rsid w:val="00CB54EE"/>
    <w:rsid w:val="00CC00CE"/>
    <w:rsid w:val="00CC1ACC"/>
    <w:rsid w:val="00CC537C"/>
    <w:rsid w:val="00D345D7"/>
    <w:rsid w:val="00D559C2"/>
    <w:rsid w:val="00D927DE"/>
    <w:rsid w:val="00D95608"/>
    <w:rsid w:val="00D972DA"/>
    <w:rsid w:val="00DA5E7B"/>
    <w:rsid w:val="00DE4BB7"/>
    <w:rsid w:val="00DF1ABE"/>
    <w:rsid w:val="00DF560B"/>
    <w:rsid w:val="00E02F8D"/>
    <w:rsid w:val="00E17515"/>
    <w:rsid w:val="00E23CA9"/>
    <w:rsid w:val="00E35F4F"/>
    <w:rsid w:val="00E535B8"/>
    <w:rsid w:val="00E53A3B"/>
    <w:rsid w:val="00E66E58"/>
    <w:rsid w:val="00E773CD"/>
    <w:rsid w:val="00EA44E6"/>
    <w:rsid w:val="00EA6143"/>
    <w:rsid w:val="00EB35DB"/>
    <w:rsid w:val="00EB5E1E"/>
    <w:rsid w:val="00EF676F"/>
    <w:rsid w:val="00F03A32"/>
    <w:rsid w:val="00F14284"/>
    <w:rsid w:val="00F21018"/>
    <w:rsid w:val="00F3112A"/>
    <w:rsid w:val="00F3741D"/>
    <w:rsid w:val="00F545DA"/>
    <w:rsid w:val="00F62C3A"/>
    <w:rsid w:val="00F86702"/>
    <w:rsid w:val="00FB11E4"/>
    <w:rsid w:val="00FD242E"/>
    <w:rsid w:val="0A9309C2"/>
    <w:rsid w:val="0BB43FDD"/>
    <w:rsid w:val="13244993"/>
    <w:rsid w:val="14E277F3"/>
    <w:rsid w:val="18967A76"/>
    <w:rsid w:val="1D4C751C"/>
    <w:rsid w:val="1DE933AC"/>
    <w:rsid w:val="1FC41D2B"/>
    <w:rsid w:val="2137408B"/>
    <w:rsid w:val="31AC64FF"/>
    <w:rsid w:val="38376065"/>
    <w:rsid w:val="3CFE4730"/>
    <w:rsid w:val="4113484E"/>
    <w:rsid w:val="4B3D59BF"/>
    <w:rsid w:val="4CBD12A4"/>
    <w:rsid w:val="518A6EC1"/>
    <w:rsid w:val="58D772FF"/>
    <w:rsid w:val="593133EA"/>
    <w:rsid w:val="59F50F38"/>
    <w:rsid w:val="5AA31704"/>
    <w:rsid w:val="5F9A3DB8"/>
    <w:rsid w:val="62507B6B"/>
    <w:rsid w:val="6C655730"/>
    <w:rsid w:val="747162E2"/>
    <w:rsid w:val="749D708A"/>
    <w:rsid w:val="7D4A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9CD8C5F-2730-4C64-994B-BFCA61BD8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1">
    <w:name w:val="引用 字符"/>
    <w:basedOn w:val="a0"/>
    <w:link w:val="af0"/>
    <w:uiPriority w:val="29"/>
    <w:qFormat/>
    <w:rPr>
      <w:i/>
      <w:iCs/>
      <w:color w:val="404040" w:themeColor="text1" w:themeTint="BF"/>
    </w:rPr>
  </w:style>
  <w:style w:type="paragraph" w:styleId="af2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4">
    <w:name w:val="明显引用 字符"/>
    <w:basedOn w:val="a0"/>
    <w:link w:val="af3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31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41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51">
    <w:name w:val="修订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  <w14:ligatures w14:val="standardContextual"/>
    </w:rPr>
  </w:style>
  <w:style w:type="character" w:customStyle="1" w:styleId="14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1">
    <w:name w:val="修订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71">
    <w:name w:val="修订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81">
    <w:name w:val="修订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91">
    <w:name w:val="修订9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00">
    <w:name w:val="修订10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10">
    <w:name w:val="修订1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20">
    <w:name w:val="修订1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30">
    <w:name w:val="修订1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40">
    <w:name w:val="修订1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5">
    <w:name w:val="修订1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6">
    <w:name w:val="修订1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7">
    <w:name w:val="修订1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8">
    <w:name w:val="修订1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9">
    <w:name w:val="修订19"/>
    <w:hidden/>
    <w:uiPriority w:val="99"/>
    <w:unhideWhenUsed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af5">
    <w:name w:val="Revision"/>
    <w:hidden/>
    <w:uiPriority w:val="99"/>
    <w:unhideWhenUsed/>
    <w:rsid w:val="00A3519E"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349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17</cp:revision>
  <dcterms:created xsi:type="dcterms:W3CDTF">2025-06-27T02:22:00Z</dcterms:created>
  <dcterms:modified xsi:type="dcterms:W3CDTF">2025-08-14T07:28:00Z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eyJoZGlkIjoiYWEyZTA3M2M5N2Q0MmQwMWJkYjAxYzAyY2RhYmU3MjYiLCJ1c2VySWQiOiIxNTIwODY1NzQwIn0=</vt:lpwstr>
  </property>
  <property fmtid="{D5CDD505-2E9C-101B-9397-08002B2CF9AE}" pid="3" name="KSOProductBuildVer">
    <vt:lpwstr>2052-12.1.0.21915</vt:lpwstr>
  </property>
  <property fmtid="{D5CDD505-2E9C-101B-9397-08002B2CF9AE}" pid="4" name="ICV">
    <vt:lpwstr>5E477025155946EE8B033B92EEBF0ADD_13</vt:lpwstr>
  </property>
</Properties>
</file>