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1F497D"/>
          <w:sz w:val="28"/>
          <w:szCs w:val="28"/>
        </w:rPr>
      </w:pPr>
      <w:r>
        <w:rPr>
          <w:rFonts w:hint="eastAsia"/>
          <w:b/>
          <w:sz w:val="28"/>
          <w:szCs w:val="28"/>
        </w:rPr>
        <w:t>关于富荣货币市场基金</w:t>
      </w:r>
      <w:r>
        <w:rPr>
          <w:rFonts w:hint="eastAsia"/>
          <w:b/>
          <w:sz w:val="28"/>
          <w:szCs w:val="28"/>
          <w:lang w:eastAsia="zh-CN"/>
        </w:rPr>
        <w:t>新</w:t>
      </w:r>
      <w:r>
        <w:rPr>
          <w:rFonts w:hint="eastAsia"/>
          <w:b/>
          <w:sz w:val="28"/>
          <w:szCs w:val="28"/>
        </w:rPr>
        <w:t>增</w:t>
      </w:r>
      <w:r>
        <w:rPr>
          <w:rFonts w:hint="eastAsia"/>
          <w:b/>
          <w:sz w:val="28"/>
          <w:szCs w:val="28"/>
          <w:lang w:eastAsia="zh-CN"/>
        </w:rPr>
        <w:t>珠海华润银行为</w:t>
      </w:r>
      <w:r>
        <w:rPr>
          <w:rFonts w:hint="eastAsia"/>
          <w:b/>
          <w:sz w:val="28"/>
          <w:szCs w:val="28"/>
        </w:rPr>
        <w:t>代销机构的公告</w:t>
      </w:r>
    </w:p>
    <w:p>
      <w:pPr>
        <w:rPr>
          <w:rFonts w:ascii="楷体_GB2312" w:eastAsia="楷体_GB2312"/>
          <w:sz w:val="28"/>
          <w:szCs w:val="28"/>
        </w:rPr>
      </w:pPr>
    </w:p>
    <w:p>
      <w:pPr>
        <w:snapToGrid w:val="0"/>
        <w:spacing w:line="360" w:lineRule="auto"/>
        <w:ind w:firstLine="56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根据</w:t>
      </w:r>
      <w:r>
        <w:rPr>
          <w:rFonts w:hint="eastAsia" w:ascii="宋体" w:hAnsi="宋体"/>
          <w:sz w:val="28"/>
          <w:szCs w:val="28"/>
          <w:lang w:eastAsia="zh-CN"/>
        </w:rPr>
        <w:t>富荣</w:t>
      </w:r>
      <w:r>
        <w:rPr>
          <w:rFonts w:hint="eastAsia" w:ascii="宋体" w:hAnsi="宋体"/>
          <w:sz w:val="28"/>
          <w:szCs w:val="28"/>
        </w:rPr>
        <w:t>基金管理有限公司（以下简称</w:t>
      </w:r>
      <w:r>
        <w:rPr>
          <w:rFonts w:ascii="宋体" w:hAnsi="宋体" w:cs="Arial"/>
          <w:sz w:val="28"/>
          <w:szCs w:val="28"/>
        </w:rPr>
        <w:t>“</w:t>
      </w:r>
      <w:r>
        <w:rPr>
          <w:rFonts w:hint="eastAsia" w:ascii="宋体" w:hAnsi="宋体"/>
          <w:sz w:val="28"/>
          <w:szCs w:val="28"/>
        </w:rPr>
        <w:t>本公司</w:t>
      </w:r>
      <w:r>
        <w:rPr>
          <w:rFonts w:ascii="宋体" w:hAnsi="宋体" w:cs="Arial"/>
          <w:sz w:val="28"/>
          <w:szCs w:val="28"/>
        </w:rPr>
        <w:t>”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与珠海华润银行股份有限公司</w:t>
      </w:r>
      <w:r>
        <w:rPr>
          <w:rFonts w:hint="eastAsia" w:ascii="宋体" w:hAnsi="宋体"/>
          <w:sz w:val="28"/>
          <w:szCs w:val="28"/>
        </w:rPr>
        <w:t>（以下简称“</w:t>
      </w:r>
      <w:r>
        <w:rPr>
          <w:rFonts w:hint="eastAsia" w:ascii="宋体" w:hAnsi="宋体"/>
          <w:sz w:val="28"/>
          <w:szCs w:val="28"/>
          <w:lang w:eastAsia="zh-CN"/>
        </w:rPr>
        <w:t>珠海华润银行</w:t>
      </w:r>
      <w:r>
        <w:rPr>
          <w:rFonts w:hint="eastAsia" w:ascii="宋体" w:hAnsi="宋体"/>
          <w:sz w:val="28"/>
          <w:szCs w:val="28"/>
        </w:rPr>
        <w:t>”）签署的代理销售服务协议：</w:t>
      </w:r>
    </w:p>
    <w:p>
      <w:pPr>
        <w:snapToGrid w:val="0"/>
        <w:spacing w:line="360" w:lineRule="auto"/>
        <w:ind w:firstLine="56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自201</w:t>
      </w:r>
      <w:r>
        <w:rPr>
          <w:rFonts w:hint="eastAsia" w:ascii="宋体" w:hAnsi="宋体"/>
          <w:sz w:val="28"/>
          <w:szCs w:val="28"/>
          <w:lang w:val="en-US" w:eastAsia="zh-CN"/>
        </w:rPr>
        <w:t>7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4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14</w:t>
      </w:r>
      <w:r>
        <w:rPr>
          <w:rFonts w:hint="eastAsia" w:ascii="宋体" w:hAnsi="宋体"/>
          <w:sz w:val="28"/>
          <w:szCs w:val="28"/>
        </w:rPr>
        <w:t>日起，本公司将增加</w:t>
      </w:r>
      <w:r>
        <w:rPr>
          <w:rFonts w:hint="eastAsia" w:ascii="宋体" w:hAnsi="宋体"/>
          <w:sz w:val="28"/>
          <w:szCs w:val="28"/>
          <w:lang w:eastAsia="zh-CN"/>
        </w:rPr>
        <w:t>珠海华润银行</w:t>
      </w:r>
      <w:r>
        <w:rPr>
          <w:rFonts w:hint="eastAsia" w:ascii="宋体" w:hAnsi="宋体"/>
          <w:sz w:val="28"/>
          <w:szCs w:val="28"/>
        </w:rPr>
        <w:t>办理</w:t>
      </w:r>
      <w:r>
        <w:rPr>
          <w:rFonts w:hint="eastAsia" w:ascii="宋体" w:hAnsi="宋体"/>
          <w:sz w:val="28"/>
          <w:szCs w:val="28"/>
          <w:lang w:eastAsia="zh-CN"/>
        </w:rPr>
        <w:t>富荣货币市场基金</w:t>
      </w:r>
      <w:r>
        <w:rPr>
          <w:rFonts w:hint="eastAsia" w:ascii="宋体" w:hAnsi="宋体"/>
          <w:color w:val="202020"/>
          <w:sz w:val="28"/>
          <w:szCs w:val="28"/>
        </w:rPr>
        <w:t>（</w:t>
      </w:r>
      <w:r>
        <w:rPr>
          <w:rFonts w:hint="eastAsia" w:ascii="宋体" w:hAnsi="宋体"/>
          <w:color w:val="202020"/>
          <w:sz w:val="28"/>
          <w:szCs w:val="28"/>
          <w:lang w:val="en-US" w:eastAsia="zh-CN"/>
        </w:rPr>
        <w:t>A类</w:t>
      </w:r>
      <w:r>
        <w:rPr>
          <w:rFonts w:hint="eastAsia" w:ascii="宋体" w:hAnsi="宋体"/>
          <w:sz w:val="28"/>
          <w:szCs w:val="28"/>
        </w:rPr>
        <w:t>基金代码：</w:t>
      </w:r>
      <w:r>
        <w:rPr>
          <w:rFonts w:hint="eastAsia" w:ascii="宋体" w:hAnsi="宋体"/>
          <w:color w:val="202020"/>
          <w:sz w:val="28"/>
          <w:szCs w:val="28"/>
          <w:lang w:val="en-US" w:eastAsia="zh-CN"/>
        </w:rPr>
        <w:t>003467，B类基金代码：003468</w:t>
      </w:r>
      <w:r>
        <w:rPr>
          <w:rFonts w:hint="eastAsia" w:ascii="宋体" w:hAnsi="宋体"/>
          <w:sz w:val="28"/>
          <w:szCs w:val="28"/>
        </w:rPr>
        <w:t>）的销售业务。</w:t>
      </w:r>
    </w:p>
    <w:p>
      <w:pPr>
        <w:adjustRightInd w:val="0"/>
        <w:snapToGrid w:val="0"/>
        <w:spacing w:line="360" w:lineRule="auto"/>
        <w:rPr>
          <w:rFonts w:hint="eastAsia" w:ascii="宋体" w:hAnsi="宋体" w:cs="Arial"/>
          <w:sz w:val="28"/>
          <w:szCs w:val="28"/>
        </w:rPr>
      </w:pPr>
      <w:r>
        <w:rPr>
          <w:rFonts w:hint="eastAsia" w:ascii="宋体" w:hAnsi="宋体" w:cs="Arial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Arial"/>
          <w:sz w:val="28"/>
          <w:szCs w:val="28"/>
        </w:rPr>
        <w:t>有关详情请咨询：</w:t>
      </w:r>
    </w:p>
    <w:tbl>
      <w:tblPr>
        <w:tblStyle w:val="1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2299"/>
        <w:gridCol w:w="3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hint="eastAsia" w:ascii="宋体" w:hAnsi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sz w:val="28"/>
                <w:szCs w:val="28"/>
                <w:lang w:eastAsia="zh-CN"/>
              </w:rPr>
              <w:t>销售机构</w:t>
            </w:r>
            <w:r>
              <w:rPr>
                <w:rFonts w:hint="eastAsia" w:ascii="宋体" w:hAnsi="宋体" w:cs="Arial"/>
                <w:b/>
                <w:sz w:val="28"/>
                <w:szCs w:val="28"/>
              </w:rPr>
              <w:t>名称</w:t>
            </w:r>
          </w:p>
        </w:tc>
        <w:tc>
          <w:tcPr>
            <w:tcW w:w="229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hint="eastAsia" w:ascii="宋体" w:hAnsi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sz w:val="28"/>
                <w:szCs w:val="28"/>
              </w:rPr>
              <w:t>客户服务</w:t>
            </w:r>
            <w:r>
              <w:rPr>
                <w:rFonts w:hint="eastAsia" w:ascii="宋体" w:hAnsi="宋体" w:cs="Arial"/>
                <w:b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sz w:val="28"/>
                <w:szCs w:val="28"/>
              </w:rPr>
              <w:t>网</w:t>
            </w:r>
            <w:r>
              <w:rPr>
                <w:rFonts w:hint="eastAsia" w:ascii="宋体" w:hAnsi="宋体" w:cs="Arial"/>
                <w:b/>
                <w:sz w:val="28"/>
                <w:szCs w:val="28"/>
                <w:lang w:eastAsia="zh-CN"/>
              </w:rPr>
              <w:t>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珠海华润银行</w:t>
            </w:r>
          </w:p>
        </w:tc>
        <w:tc>
          <w:tcPr>
            <w:tcW w:w="229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96588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firstLine="17" w:firstLineChars="6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default" w:ascii="宋体" w:hAnsi="宋体"/>
                <w:sz w:val="28"/>
                <w:szCs w:val="28"/>
                <w:lang w:val="en-US" w:eastAsia="zh-CN"/>
              </w:rPr>
              <w:t>www.crbank.com.cn</w:t>
            </w:r>
          </w:p>
        </w:tc>
      </w:tr>
    </w:tbl>
    <w:p>
      <w:pPr>
        <w:adjustRightInd w:val="0"/>
        <w:snapToGrid w:val="0"/>
        <w:spacing w:line="360" w:lineRule="auto"/>
        <w:ind w:firstLine="420"/>
        <w:rPr>
          <w:rFonts w:hint="eastAsia" w:ascii="宋体" w:hAnsi="宋体" w:cs="Arial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 w:cs="Arial"/>
          <w:sz w:val="28"/>
          <w:szCs w:val="28"/>
        </w:rPr>
      </w:pPr>
      <w:r>
        <w:rPr>
          <w:rFonts w:hint="eastAsia" w:ascii="宋体" w:hAnsi="宋体" w:cs="Arial"/>
          <w:sz w:val="28"/>
          <w:szCs w:val="28"/>
        </w:rPr>
        <w:t>或致电</w:t>
      </w:r>
      <w:r>
        <w:rPr>
          <w:rFonts w:hint="eastAsia" w:ascii="宋体" w:hAnsi="宋体" w:cs="Arial"/>
          <w:sz w:val="28"/>
          <w:szCs w:val="28"/>
          <w:lang w:eastAsia="zh-CN"/>
        </w:rPr>
        <w:t>本公司客户服务电话（400-685-5600）</w:t>
      </w:r>
      <w:r>
        <w:rPr>
          <w:rFonts w:hint="eastAsia" w:ascii="宋体" w:hAnsi="宋体" w:cs="Arial"/>
          <w:sz w:val="28"/>
          <w:szCs w:val="28"/>
        </w:rPr>
        <w:t>，登录本公司网站www.furamc.com.cn了解有关情况。</w:t>
      </w: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 w:cs="Arial"/>
          <w:sz w:val="28"/>
          <w:szCs w:val="28"/>
        </w:rPr>
      </w:pPr>
      <w:r>
        <w:rPr>
          <w:rFonts w:hint="eastAsia" w:ascii="宋体" w:hAnsi="宋体" w:cs="Arial"/>
          <w:b/>
          <w:bCs/>
          <w:sz w:val="28"/>
          <w:szCs w:val="28"/>
        </w:rPr>
        <w:t>风险提示</w:t>
      </w:r>
      <w:r>
        <w:rPr>
          <w:rFonts w:hint="eastAsia" w:ascii="宋体" w:hAnsi="宋体" w:cs="Arial"/>
          <w:sz w:val="28"/>
          <w:szCs w:val="28"/>
        </w:rPr>
        <w:t>：基金管理人承诺以诚实信用、勤勉尽责的原则管理和运用基金财产，但不保证基金一定盈利，也不保证最低收益。基金的过往业绩不代表其未来表现，敬请投资者注意投资风险。</w:t>
      </w: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cs="Arial"/>
          <w:sz w:val="28"/>
          <w:szCs w:val="28"/>
          <w:lang w:eastAsia="zh-CN"/>
        </w:rPr>
        <w:t>特此公告。</w:t>
      </w: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autoSpaceDE w:val="0"/>
        <w:autoSpaceDN w:val="0"/>
        <w:ind w:firstLine="570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富荣</w:t>
      </w:r>
      <w:r>
        <w:rPr>
          <w:rFonts w:hint="eastAsia" w:ascii="宋体" w:hAnsi="宋体"/>
          <w:sz w:val="28"/>
          <w:szCs w:val="28"/>
        </w:rPr>
        <w:t>基金管理有限公司</w:t>
      </w:r>
    </w:p>
    <w:p>
      <w:pPr>
        <w:jc w:val="right"/>
      </w:pPr>
      <w:r>
        <w:rPr>
          <w:rFonts w:hint="eastAsia" w:ascii="宋体" w:hAnsi="宋体"/>
          <w:sz w:val="28"/>
          <w:szCs w:val="28"/>
        </w:rPr>
        <w:t>201</w:t>
      </w:r>
      <w:r>
        <w:rPr>
          <w:rFonts w:hint="eastAsia" w:ascii="宋体" w:hAnsi="宋体"/>
          <w:sz w:val="28"/>
          <w:szCs w:val="28"/>
          <w:lang w:val="en-US" w:eastAsia="zh-CN"/>
        </w:rPr>
        <w:t>7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4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13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2738C"/>
    <w:rsid w:val="06001405"/>
    <w:rsid w:val="090138CA"/>
    <w:rsid w:val="1140572A"/>
    <w:rsid w:val="16CF4438"/>
    <w:rsid w:val="1C5C1E25"/>
    <w:rsid w:val="1EBC6C5F"/>
    <w:rsid w:val="1F4A1B4B"/>
    <w:rsid w:val="25F378C6"/>
    <w:rsid w:val="38EB0AA8"/>
    <w:rsid w:val="3F647F3E"/>
    <w:rsid w:val="48E74C4B"/>
    <w:rsid w:val="4BCB132B"/>
    <w:rsid w:val="4C2D20D4"/>
    <w:rsid w:val="50A276AA"/>
    <w:rsid w:val="56DD0796"/>
    <w:rsid w:val="5D9B432D"/>
    <w:rsid w:val="5F0F43AE"/>
    <w:rsid w:val="618F5785"/>
    <w:rsid w:val="61E43782"/>
    <w:rsid w:val="62FA69F8"/>
    <w:rsid w:val="74E6414D"/>
    <w:rsid w:val="762B1C9A"/>
    <w:rsid w:val="76847E7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cs="宋体" w:asciiTheme="minorHAnsi" w:hAnsiTheme="minorHAnsi" w:eastAsiaTheme="minorEastAsia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qFormat/>
    <w:uiPriority w:val="0"/>
    <w:rPr>
      <w:color w:val="333333"/>
      <w:u w:val="none"/>
    </w:rPr>
  </w:style>
  <w:style w:type="character" w:styleId="5">
    <w:name w:val="Emphasis"/>
    <w:basedOn w:val="2"/>
    <w:qFormat/>
    <w:uiPriority w:val="0"/>
    <w:rPr>
      <w:u w:val="none"/>
    </w:rPr>
  </w:style>
  <w:style w:type="character" w:styleId="6">
    <w:name w:val="HTML Definition"/>
    <w:basedOn w:val="2"/>
    <w:qFormat/>
    <w:uiPriority w:val="0"/>
    <w:rPr>
      <w:i/>
    </w:rPr>
  </w:style>
  <w:style w:type="character" w:styleId="7">
    <w:name w:val="HTML Acronym"/>
    <w:basedOn w:val="2"/>
    <w:qFormat/>
    <w:uiPriority w:val="0"/>
  </w:style>
  <w:style w:type="character" w:styleId="8">
    <w:name w:val="HTML Variable"/>
    <w:basedOn w:val="2"/>
    <w:qFormat/>
    <w:uiPriority w:val="0"/>
    <w:rPr>
      <w:i/>
    </w:rPr>
  </w:style>
  <w:style w:type="character" w:styleId="9">
    <w:name w:val="Hyperlink"/>
    <w:basedOn w:val="2"/>
    <w:qFormat/>
    <w:uiPriority w:val="0"/>
    <w:rPr>
      <w:color w:val="333333"/>
      <w:u w:val="none"/>
    </w:rPr>
  </w:style>
  <w:style w:type="character" w:styleId="10">
    <w:name w:val="HTML Code"/>
    <w:basedOn w:val="2"/>
    <w:qFormat/>
    <w:uiPriority w:val="0"/>
    <w:rPr>
      <w:rFonts w:ascii="Courier New" w:hAnsi="Courier New"/>
      <w:sz w:val="20"/>
    </w:rPr>
  </w:style>
  <w:style w:type="character" w:styleId="11">
    <w:name w:val="HTML Cite"/>
    <w:basedOn w:val="2"/>
    <w:qFormat/>
    <w:uiPriority w:val="0"/>
  </w:style>
  <w:style w:type="character" w:customStyle="1" w:styleId="13">
    <w:name w:val="tl"/>
    <w:basedOn w:val="2"/>
    <w:qFormat/>
    <w:uiPriority w:val="0"/>
  </w:style>
  <w:style w:type="character" w:customStyle="1" w:styleId="14">
    <w:name w:val="ml95d"/>
    <w:basedOn w:val="2"/>
    <w:qFormat/>
    <w:uiPriority w:val="0"/>
  </w:style>
  <w:style w:type="character" w:customStyle="1" w:styleId="15">
    <w:name w:val="seat"/>
    <w:basedOn w:val="2"/>
    <w:qFormat/>
    <w:uiPriority w:val="0"/>
  </w:style>
  <w:style w:type="character" w:customStyle="1" w:styleId="16">
    <w:name w:val="seat1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ZHANGFANG</dc:creator>
  <cp:lastModifiedBy>ZHANGFANG</cp:lastModifiedBy>
  <dcterms:modified xsi:type="dcterms:W3CDTF">2017-04-12T05:10:24Z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