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206" w:rightChars="98"/>
        <w:jc w:val="center"/>
        <w:rPr>
          <w:rFonts w:ascii="宋体" w:hAnsi="宋体"/>
          <w:b/>
          <w:color w:val="000000"/>
          <w:sz w:val="24"/>
        </w:rPr>
      </w:pPr>
    </w:p>
    <w:p>
      <w:pPr>
        <w:spacing w:line="360" w:lineRule="auto"/>
        <w:jc w:val="center"/>
        <w:rPr>
          <w:rFonts w:ascii="宋体" w:hAnsi="宋体"/>
          <w:b/>
          <w:color w:val="000000"/>
          <w:sz w:val="24"/>
        </w:rPr>
      </w:pPr>
    </w:p>
    <w:p>
      <w:pPr>
        <w:spacing w:line="360" w:lineRule="auto"/>
        <w:jc w:val="center"/>
        <w:rPr>
          <w:rFonts w:ascii="宋体" w:hAnsi="宋体"/>
          <w:b/>
          <w:color w:val="000000"/>
          <w:sz w:val="24"/>
        </w:rPr>
      </w:pPr>
    </w:p>
    <w:p>
      <w:pPr>
        <w:spacing w:line="360" w:lineRule="auto"/>
        <w:jc w:val="center"/>
        <w:rPr>
          <w:rFonts w:ascii="宋体" w:hAnsi="宋体"/>
          <w:b/>
          <w:color w:val="000000"/>
          <w:sz w:val="24"/>
        </w:rPr>
      </w:pPr>
    </w:p>
    <w:p>
      <w:pPr>
        <w:jc w:val="center"/>
        <w:rPr>
          <w:b/>
          <w:sz w:val="52"/>
          <w:szCs w:val="20"/>
        </w:rPr>
      </w:pPr>
    </w:p>
    <w:p>
      <w:pPr>
        <w:spacing w:before="157" w:beforeLines="50" w:afterLines="0"/>
        <w:ind w:left="-283" w:leftChars="-135" w:right="-191" w:rightChars="-91"/>
        <w:jc w:val="center"/>
        <w:rPr>
          <w:rFonts w:hint="eastAsia" w:ascii="宋体" w:hAnsi="宋体" w:cs="宋体"/>
          <w:b/>
          <w:sz w:val="52"/>
          <w:szCs w:val="52"/>
        </w:rPr>
      </w:pPr>
      <w:bookmarkStart w:id="0" w:name="_Toc88969212"/>
      <w:r>
        <w:rPr>
          <w:rFonts w:hint="eastAsia" w:ascii="宋体" w:hAnsi="宋体" w:cs="宋体"/>
          <w:b/>
          <w:sz w:val="52"/>
          <w:szCs w:val="52"/>
        </w:rPr>
        <w:t>富荣货币市场基金</w:t>
      </w:r>
    </w:p>
    <w:p>
      <w:pPr>
        <w:spacing w:before="157" w:beforeLines="50" w:afterLines="0"/>
        <w:jc w:val="center"/>
        <w:rPr>
          <w:rFonts w:hint="eastAsia" w:ascii="宋体" w:hAnsi="宋体" w:cs="宋体"/>
          <w:b/>
          <w:sz w:val="52"/>
          <w:szCs w:val="52"/>
        </w:rPr>
      </w:pPr>
      <w:r>
        <w:rPr>
          <w:rFonts w:hint="eastAsia" w:ascii="宋体" w:hAnsi="宋体" w:cs="宋体"/>
          <w:b/>
          <w:sz w:val="52"/>
          <w:szCs w:val="52"/>
          <w:lang w:eastAsia="zh-CN"/>
        </w:rPr>
        <w:t>更新的</w:t>
      </w:r>
      <w:r>
        <w:rPr>
          <w:rFonts w:hint="eastAsia" w:ascii="宋体" w:hAnsi="宋体" w:cs="宋体"/>
          <w:b/>
          <w:sz w:val="52"/>
          <w:szCs w:val="52"/>
        </w:rPr>
        <w:t>招募说明书</w:t>
      </w:r>
      <w:r>
        <w:rPr>
          <w:rFonts w:hint="eastAsia" w:ascii="宋体" w:hAnsi="宋体" w:cs="宋体"/>
          <w:b/>
          <w:sz w:val="52"/>
          <w:szCs w:val="52"/>
          <w:lang w:eastAsia="zh-CN"/>
        </w:rPr>
        <w:t>摘要</w:t>
      </w:r>
    </w:p>
    <w:p>
      <w:pPr>
        <w:spacing w:before="157" w:beforeLines="50" w:afterLines="0"/>
        <w:jc w:val="center"/>
        <w:rPr>
          <w:rFonts w:hint="eastAsia" w:ascii="宋体" w:hAnsi="宋体" w:cs="宋体"/>
          <w:b/>
          <w:sz w:val="48"/>
          <w:szCs w:val="48"/>
        </w:rPr>
      </w:pPr>
      <w:r>
        <w:rPr>
          <w:rFonts w:hint="eastAsia" w:ascii="宋体" w:hAnsi="宋体" w:cs="宋体"/>
          <w:b/>
          <w:sz w:val="48"/>
          <w:szCs w:val="48"/>
          <w:lang w:eastAsia="zh-CN"/>
        </w:rPr>
        <w:t>（</w:t>
      </w:r>
      <w:r>
        <w:rPr>
          <w:rFonts w:hint="eastAsia" w:ascii="宋体" w:hAnsi="宋体" w:cs="宋体"/>
          <w:b/>
          <w:sz w:val="48"/>
          <w:szCs w:val="48"/>
        </w:rPr>
        <w:t>2017年第1号</w:t>
      </w:r>
      <w:r>
        <w:rPr>
          <w:rFonts w:hint="eastAsia" w:ascii="宋体" w:hAnsi="宋体" w:cs="宋体"/>
          <w:b/>
          <w:sz w:val="48"/>
          <w:szCs w:val="48"/>
          <w:lang w:eastAsia="zh-CN"/>
        </w:rPr>
        <w:t>）</w:t>
      </w:r>
    </w:p>
    <w:p>
      <w:pPr>
        <w:spacing w:line="360" w:lineRule="auto"/>
        <w:jc w:val="center"/>
        <w:rPr>
          <w:rFonts w:ascii="宋体" w:hAnsi="宋体"/>
          <w:b/>
          <w:color w:val="000000"/>
          <w:sz w:val="24"/>
        </w:rPr>
      </w:pPr>
    </w:p>
    <w:bookmarkEnd w:id="0"/>
    <w:p>
      <w:pPr>
        <w:spacing w:line="360" w:lineRule="auto"/>
        <w:jc w:val="center"/>
        <w:rPr>
          <w:rFonts w:ascii="宋体" w:hAnsi="宋体"/>
          <w:b/>
          <w:color w:val="000000"/>
          <w:sz w:val="24"/>
        </w:rPr>
      </w:pPr>
    </w:p>
    <w:p>
      <w:pPr>
        <w:spacing w:line="360" w:lineRule="auto"/>
        <w:rPr>
          <w:rFonts w:ascii="宋体" w:hAnsi="宋体"/>
          <w:color w:val="000000"/>
          <w:sz w:val="24"/>
        </w:rPr>
      </w:pPr>
    </w:p>
    <w:p>
      <w:pPr>
        <w:spacing w:line="360" w:lineRule="auto"/>
        <w:rPr>
          <w:rFonts w:ascii="宋体" w:hAnsi="宋体"/>
          <w:b/>
          <w:color w:val="000000"/>
          <w:sz w:val="24"/>
        </w:rPr>
      </w:pPr>
    </w:p>
    <w:p>
      <w:pPr>
        <w:spacing w:line="360" w:lineRule="auto"/>
        <w:jc w:val="center"/>
        <w:rPr>
          <w:rFonts w:ascii="宋体" w:hAnsi="宋体"/>
          <w:b/>
          <w:color w:val="000000"/>
          <w:sz w:val="24"/>
        </w:rPr>
      </w:pPr>
    </w:p>
    <w:p>
      <w:pPr>
        <w:spacing w:line="360" w:lineRule="auto"/>
        <w:jc w:val="center"/>
        <w:rPr>
          <w:rFonts w:ascii="宋体" w:hAnsi="宋体"/>
          <w:b/>
          <w:color w:val="000000"/>
          <w:sz w:val="24"/>
        </w:rPr>
      </w:pPr>
    </w:p>
    <w:p>
      <w:pPr>
        <w:spacing w:line="360" w:lineRule="auto"/>
        <w:jc w:val="both"/>
        <w:rPr>
          <w:rFonts w:ascii="宋体" w:hAnsi="宋体"/>
          <w:b/>
          <w:color w:val="000000"/>
          <w:sz w:val="24"/>
        </w:rPr>
      </w:pPr>
    </w:p>
    <w:p>
      <w:pPr>
        <w:spacing w:line="360" w:lineRule="auto"/>
        <w:jc w:val="center"/>
        <w:rPr>
          <w:rFonts w:ascii="宋体" w:hAnsi="宋体"/>
          <w:b/>
          <w:color w:val="000000"/>
          <w:sz w:val="24"/>
        </w:rPr>
      </w:pPr>
    </w:p>
    <w:p>
      <w:pPr>
        <w:spacing w:line="360" w:lineRule="auto"/>
        <w:jc w:val="center"/>
        <w:rPr>
          <w:rFonts w:ascii="宋体" w:hAnsi="宋体"/>
          <w:b/>
          <w:color w:val="000000"/>
          <w:sz w:val="24"/>
        </w:rPr>
      </w:pPr>
    </w:p>
    <w:p>
      <w:pPr>
        <w:spacing w:line="360" w:lineRule="auto"/>
        <w:jc w:val="center"/>
        <w:rPr>
          <w:rFonts w:ascii="宋体" w:hAnsi="宋体"/>
          <w:b/>
          <w:color w:val="000000"/>
          <w:sz w:val="24"/>
        </w:rPr>
      </w:pPr>
    </w:p>
    <w:p>
      <w:pPr>
        <w:spacing w:line="360" w:lineRule="auto"/>
        <w:rPr>
          <w:rFonts w:ascii="宋体" w:hAnsi="宋体"/>
          <w:b/>
          <w:color w:val="000000"/>
          <w:sz w:val="24"/>
        </w:rPr>
      </w:pPr>
    </w:p>
    <w:p>
      <w:pPr>
        <w:spacing w:line="360" w:lineRule="auto"/>
        <w:rPr>
          <w:rFonts w:ascii="宋体" w:hAnsi="宋体"/>
          <w:b/>
          <w:color w:val="000000"/>
          <w:sz w:val="24"/>
        </w:rPr>
      </w:pPr>
    </w:p>
    <w:p>
      <w:pPr>
        <w:spacing w:before="157" w:beforeLines="50" w:afterLines="0"/>
        <w:jc w:val="center"/>
        <w:rPr>
          <w:b/>
          <w:sz w:val="36"/>
          <w:szCs w:val="20"/>
        </w:rPr>
      </w:pPr>
      <w:r>
        <w:rPr>
          <w:rFonts w:hint="eastAsia"/>
          <w:b/>
          <w:sz w:val="36"/>
          <w:szCs w:val="20"/>
        </w:rPr>
        <w:t>基金管理人：富荣基金管理有限公司</w:t>
      </w:r>
    </w:p>
    <w:p>
      <w:pPr>
        <w:spacing w:before="157" w:beforeLines="50" w:afterLines="0"/>
        <w:jc w:val="center"/>
        <w:rPr>
          <w:b/>
          <w:sz w:val="36"/>
          <w:szCs w:val="20"/>
        </w:rPr>
      </w:pPr>
      <w:r>
        <w:rPr>
          <w:rFonts w:hint="eastAsia"/>
          <w:b/>
          <w:sz w:val="36"/>
          <w:szCs w:val="20"/>
        </w:rPr>
        <w:t>基金托管人：中国光大银行股份有限公司</w:t>
      </w:r>
    </w:p>
    <w:p>
      <w:pPr>
        <w:spacing w:before="157" w:beforeLines="50" w:afterLines="0" w:line="360" w:lineRule="auto"/>
        <w:jc w:val="center"/>
        <w:rPr>
          <w:b/>
          <w:sz w:val="36"/>
          <w:szCs w:val="20"/>
        </w:rPr>
      </w:pPr>
      <w:r>
        <w:rPr>
          <w:rFonts w:hint="eastAsia"/>
          <w:b/>
          <w:sz w:val="36"/>
          <w:szCs w:val="20"/>
          <w:lang w:eastAsia="zh-CN"/>
        </w:rPr>
        <w:t>二零一七年七月</w:t>
      </w:r>
    </w:p>
    <w:p>
      <w:pPr>
        <w:spacing w:line="360" w:lineRule="auto"/>
        <w:rPr>
          <w:rFonts w:ascii="宋体" w:hAnsi="宋体"/>
          <w:color w:val="000000"/>
          <w:sz w:val="24"/>
        </w:rPr>
      </w:pPr>
    </w:p>
    <w:p>
      <w:pPr>
        <w:autoSpaceDE w:val="0"/>
        <w:autoSpaceDN w:val="0"/>
        <w:adjustRightInd w:val="0"/>
        <w:spacing w:line="360" w:lineRule="auto"/>
        <w:jc w:val="center"/>
        <w:rPr>
          <w:rFonts w:ascii="宋体" w:hAnsi="宋体"/>
          <w:color w:val="000000"/>
          <w:kern w:val="0"/>
          <w:sz w:val="24"/>
        </w:rPr>
      </w:pPr>
      <w:r>
        <w:rPr>
          <w:rFonts w:hint="eastAsia" w:ascii="宋体" w:hAnsi="宋体"/>
          <w:b/>
          <w:bCs/>
          <w:color w:val="000000"/>
          <w:kern w:val="0"/>
          <w:sz w:val="24"/>
        </w:rPr>
        <w:t>【重要提示】</w:t>
      </w:r>
    </w:p>
    <w:p>
      <w:pPr>
        <w:pStyle w:val="62"/>
      </w:pPr>
    </w:p>
    <w:p>
      <w:pPr>
        <w:spacing w:line="360" w:lineRule="auto"/>
        <w:ind w:firstLine="484" w:firstLineChars="202"/>
        <w:rPr>
          <w:rFonts w:ascii="宋体" w:hAnsi="宋体"/>
          <w:sz w:val="24"/>
        </w:rPr>
      </w:pPr>
      <w:r>
        <w:rPr>
          <w:rFonts w:ascii="宋体" w:hAnsi="宋体"/>
          <w:sz w:val="24"/>
        </w:rPr>
        <w:t>本基金经中国证券监督管理委员会2016年9月</w:t>
      </w:r>
      <w:r>
        <w:rPr>
          <w:rFonts w:hint="eastAsia" w:ascii="宋体" w:hAnsi="宋体"/>
          <w:sz w:val="24"/>
        </w:rPr>
        <w:t>20</w:t>
      </w:r>
      <w:r>
        <w:rPr>
          <w:rFonts w:ascii="宋体" w:hAnsi="宋体"/>
          <w:sz w:val="24"/>
        </w:rPr>
        <w:t>日证监许可【2016】2153号文注册。</w:t>
      </w:r>
      <w:r>
        <w:rPr>
          <w:rFonts w:hint="eastAsia" w:ascii="宋体" w:hAnsi="宋体"/>
          <w:sz w:val="24"/>
        </w:rPr>
        <w:t>本基金于</w:t>
      </w:r>
      <w:r>
        <w:rPr>
          <w:rFonts w:ascii="宋体" w:hAnsi="宋体"/>
          <w:sz w:val="24"/>
        </w:rPr>
        <w:t>201</w:t>
      </w:r>
      <w:r>
        <w:rPr>
          <w:rFonts w:hint="eastAsia" w:ascii="宋体" w:hAnsi="宋体"/>
          <w:sz w:val="24"/>
        </w:rPr>
        <w:t>6年</w:t>
      </w:r>
      <w:r>
        <w:rPr>
          <w:rFonts w:ascii="宋体" w:hAnsi="宋体"/>
          <w:sz w:val="24"/>
        </w:rPr>
        <w:t>1</w:t>
      </w:r>
      <w:r>
        <w:rPr>
          <w:rFonts w:hint="eastAsia" w:ascii="宋体" w:hAnsi="宋体"/>
          <w:sz w:val="24"/>
        </w:rPr>
        <w:t>2月</w:t>
      </w:r>
      <w:r>
        <w:rPr>
          <w:rFonts w:ascii="宋体" w:hAnsi="宋体"/>
          <w:sz w:val="24"/>
        </w:rPr>
        <w:t>2</w:t>
      </w:r>
      <w:r>
        <w:rPr>
          <w:rFonts w:hint="eastAsia" w:ascii="宋体" w:hAnsi="宋体"/>
          <w:sz w:val="24"/>
        </w:rPr>
        <w:t>6日正式生效。</w:t>
      </w:r>
    </w:p>
    <w:p>
      <w:pPr>
        <w:spacing w:line="360" w:lineRule="auto"/>
        <w:ind w:firstLine="484" w:firstLineChars="202"/>
        <w:rPr>
          <w:rFonts w:ascii="宋体" w:hAnsi="宋体"/>
          <w:sz w:val="24"/>
        </w:rPr>
      </w:pPr>
      <w:r>
        <w:rPr>
          <w:rFonts w:ascii="宋体" w:hAnsi="宋体"/>
          <w:sz w:val="24"/>
        </w:rPr>
        <w:t xml:space="preserve">基金管理人保证本招募说明书的内容真实、准确、完整。本招募说明书经中国证监会注册，但中国证监会对本基金募集的注册，并不表明其对本基金的价值和收益作出实质性判断或保证，也不表明投资于本基金没有风险。 </w:t>
      </w:r>
    </w:p>
    <w:p>
      <w:pPr>
        <w:spacing w:line="360" w:lineRule="auto"/>
        <w:ind w:firstLine="484" w:firstLineChars="202"/>
        <w:rPr>
          <w:rFonts w:ascii="宋体" w:hAnsi="宋体"/>
          <w:sz w:val="24"/>
        </w:rPr>
      </w:pPr>
      <w:r>
        <w:rPr>
          <w:rFonts w:ascii="宋体" w:hAnsi="宋体"/>
          <w:sz w:val="24"/>
        </w:rPr>
        <w:t xml:space="preserve">投资有风险，投资者认购（或申购）基金份额时应认真阅读本招募说明书，全面认识本基金产品的风险收益特征，应充分考虑投资者自身的风险承受能力，并对认购（或申购）基金的意愿、时机、数量等投资行为作出独立决策。基金管理人提醒投资者基金投资的“买者自负”原则，在投资者作出投资决策后，基金运营状况与基金净值变化导致的投资风险，由投资者自行负担。 </w:t>
      </w:r>
    </w:p>
    <w:p>
      <w:pPr>
        <w:spacing w:line="360" w:lineRule="auto"/>
        <w:ind w:firstLine="484" w:firstLineChars="202"/>
        <w:rPr>
          <w:rFonts w:ascii="宋体" w:hAnsi="宋体"/>
          <w:sz w:val="24"/>
        </w:rPr>
      </w:pPr>
      <w:r>
        <w:rPr>
          <w:rFonts w:ascii="宋体" w:hAnsi="宋体"/>
          <w:sz w:val="24"/>
        </w:rPr>
        <w:t>本基金主要投资于具有良好流动性的工具，包括</w:t>
      </w:r>
      <w:r>
        <w:rPr>
          <w:rFonts w:hint="eastAsia" w:ascii="宋体" w:hAnsi="宋体"/>
          <w:sz w:val="24"/>
        </w:rPr>
        <w:t>：现金；期限在1年以内（含1年）的银行存款、债券回购、中央银行票据、同业存单；剩余期限在397天以内（含397天）的债券、非金融企业债务融资工具、资产支持证券；中国证监会、中国人民银行认可的其它具有良好流动性的货币市场工具。</w:t>
      </w:r>
    </w:p>
    <w:p>
      <w:pPr>
        <w:spacing w:line="360" w:lineRule="auto"/>
        <w:ind w:firstLine="484" w:firstLineChars="202"/>
        <w:rPr>
          <w:rFonts w:ascii="宋体" w:hAnsi="宋体"/>
          <w:sz w:val="24"/>
        </w:rPr>
      </w:pPr>
      <w:r>
        <w:rPr>
          <w:rFonts w:hint="eastAsia" w:ascii="宋体" w:hAnsi="宋体"/>
          <w:sz w:val="24"/>
        </w:rPr>
        <w:t>如法律法规或监管机构以后允许货币市场基金投资其他产品，基金管理人在履行适当的程序后，可以将其纳入投资范围。</w:t>
      </w:r>
    </w:p>
    <w:p>
      <w:pPr>
        <w:spacing w:line="360" w:lineRule="auto"/>
        <w:ind w:firstLine="484" w:firstLineChars="202"/>
        <w:rPr>
          <w:rFonts w:ascii="宋体" w:hAnsi="宋体"/>
          <w:sz w:val="24"/>
        </w:rPr>
      </w:pPr>
      <w:r>
        <w:rPr>
          <w:rFonts w:ascii="宋体" w:hAnsi="宋体"/>
          <w:sz w:val="24"/>
        </w:rPr>
        <w:t xml:space="preserve">投资者购买货币市场基金并不等于将资金作为存款存放在银行或存款类金融机构，基金管理人不保证基金一定盈利，也不保证最低收益。投资人在投资本基金前，应全面了解本基金的产品特性，理性判断市场，并承担基金投资中出现的各类风险，包括：市场风险、利率风险、信用风险、再投资风险、流动性风险、操作风险、其他风险及本基金特有风险等等。 </w:t>
      </w:r>
    </w:p>
    <w:p>
      <w:pPr>
        <w:spacing w:line="360" w:lineRule="auto"/>
        <w:ind w:firstLine="484" w:firstLineChars="202"/>
        <w:rPr>
          <w:rFonts w:ascii="宋体" w:hAnsi="宋体"/>
          <w:sz w:val="24"/>
        </w:rPr>
      </w:pPr>
      <w:r>
        <w:rPr>
          <w:rFonts w:ascii="宋体" w:hAnsi="宋体"/>
          <w:sz w:val="24"/>
        </w:rPr>
        <w:t xml:space="preserve">本基金为货币市场基金，在所有证券投资基金中，是风险相对较低的基金产品。在一般情况下，其风险与预期收益均低于债券型基金，也低于混合型基金与股票型基金。 </w:t>
      </w:r>
    </w:p>
    <w:p>
      <w:pPr>
        <w:spacing w:line="360" w:lineRule="auto"/>
        <w:ind w:firstLine="484" w:firstLineChars="202"/>
        <w:rPr>
          <w:rFonts w:ascii="宋体" w:hAnsi="宋体"/>
          <w:sz w:val="24"/>
        </w:rPr>
      </w:pPr>
      <w:r>
        <w:rPr>
          <w:rFonts w:ascii="宋体" w:hAnsi="宋体"/>
          <w:sz w:val="24"/>
        </w:rPr>
        <w:t xml:space="preserve">基金的过往业绩并不预示其未来表现。 </w:t>
      </w:r>
    </w:p>
    <w:p>
      <w:pPr>
        <w:spacing w:line="360" w:lineRule="auto"/>
        <w:ind w:firstLine="484" w:firstLineChars="202"/>
        <w:rPr>
          <w:rFonts w:ascii="宋体" w:hAnsi="宋体"/>
          <w:sz w:val="24"/>
        </w:rPr>
      </w:pPr>
      <w:r>
        <w:rPr>
          <w:rFonts w:ascii="宋体" w:hAnsi="宋体"/>
          <w:sz w:val="24"/>
        </w:rPr>
        <w:t>基金管理人管理的其它基金的业绩并不构成对本基金业绩表现的保证。基金管理人依照恪尽职守、诚实信用、谨慎勤勉的原则管理和运用基金财产，但不保证基金一定盈利，也不保证最低收益。</w:t>
      </w:r>
    </w:p>
    <w:p>
      <w:pPr>
        <w:spacing w:line="360" w:lineRule="auto"/>
        <w:ind w:firstLine="484" w:firstLineChars="202"/>
        <w:rPr>
          <w:rFonts w:ascii="宋体" w:hAnsi="宋体"/>
          <w:color w:val="000000"/>
          <w:kern w:val="0"/>
          <w:sz w:val="24"/>
        </w:rPr>
      </w:pPr>
      <w:r>
        <w:rPr>
          <w:rFonts w:hint="eastAsia" w:ascii="宋体" w:hAnsi="宋体"/>
          <w:color w:val="000000"/>
          <w:kern w:val="0"/>
          <w:sz w:val="24"/>
        </w:rPr>
        <w:t>本招募说明书所载内容截止日为</w:t>
      </w:r>
      <w:r>
        <w:rPr>
          <w:rFonts w:ascii="宋体" w:hAnsi="宋体"/>
          <w:color w:val="000000"/>
          <w:kern w:val="0"/>
          <w:sz w:val="24"/>
        </w:rPr>
        <w:t>201</w:t>
      </w:r>
      <w:r>
        <w:rPr>
          <w:rFonts w:hint="eastAsia" w:ascii="宋体" w:hAnsi="宋体"/>
          <w:color w:val="000000"/>
          <w:kern w:val="0"/>
          <w:sz w:val="24"/>
        </w:rPr>
        <w:t>7年6月</w:t>
      </w:r>
      <w:r>
        <w:rPr>
          <w:rFonts w:ascii="宋体" w:hAnsi="宋体"/>
          <w:color w:val="000000"/>
          <w:kern w:val="0"/>
          <w:sz w:val="24"/>
        </w:rPr>
        <w:t>2</w:t>
      </w:r>
      <w:r>
        <w:rPr>
          <w:rFonts w:hint="eastAsia" w:ascii="宋体" w:hAnsi="宋体"/>
          <w:color w:val="000000"/>
          <w:kern w:val="0"/>
          <w:sz w:val="24"/>
        </w:rPr>
        <w:t>6日，有关财务数据和净值表现截止日为</w:t>
      </w:r>
      <w:r>
        <w:rPr>
          <w:rFonts w:ascii="宋体" w:hAnsi="宋体"/>
          <w:color w:val="000000"/>
          <w:kern w:val="0"/>
          <w:sz w:val="24"/>
        </w:rPr>
        <w:t>201</w:t>
      </w:r>
      <w:r>
        <w:rPr>
          <w:rFonts w:hint="eastAsia" w:ascii="宋体" w:hAnsi="宋体"/>
          <w:color w:val="000000"/>
          <w:kern w:val="0"/>
          <w:sz w:val="24"/>
        </w:rPr>
        <w:t>7年3月31日。（财务数据未经审计）</w:t>
      </w:r>
      <w:r>
        <w:rPr>
          <w:rFonts w:hint="eastAsia" w:ascii="宋体" w:hAnsi="宋体"/>
          <w:color w:val="000000"/>
          <w:kern w:val="0"/>
          <w:sz w:val="24"/>
          <w:lang w:eastAsia="zh-CN"/>
        </w:rPr>
        <w:t>。</w:t>
      </w:r>
    </w:p>
    <w:p>
      <w:pPr>
        <w:spacing w:line="360" w:lineRule="auto"/>
        <w:ind w:firstLine="484" w:firstLineChars="202"/>
        <w:rPr>
          <w:rFonts w:ascii="宋体" w:hAnsi="宋体"/>
          <w:color w:val="000000"/>
          <w:kern w:val="0"/>
          <w:sz w:val="24"/>
        </w:rPr>
      </w:pPr>
      <w:r>
        <w:rPr>
          <w:rFonts w:ascii="宋体" w:hAnsi="宋体"/>
          <w:color w:val="000000"/>
          <w:kern w:val="0"/>
          <w:sz w:val="24"/>
        </w:rPr>
        <w:t>本基金托管人</w:t>
      </w:r>
      <w:r>
        <w:rPr>
          <w:rFonts w:hint="eastAsia" w:ascii="宋体" w:hAnsi="宋体"/>
          <w:color w:val="000000"/>
          <w:kern w:val="0"/>
          <w:sz w:val="24"/>
        </w:rPr>
        <w:t>中国光大</w:t>
      </w:r>
      <w:r>
        <w:rPr>
          <w:rFonts w:ascii="宋体" w:hAnsi="宋体"/>
          <w:color w:val="000000"/>
          <w:kern w:val="0"/>
          <w:sz w:val="24"/>
        </w:rPr>
        <w:t>银行股份有限公司已于</w:t>
      </w:r>
      <w:r>
        <w:rPr>
          <w:rFonts w:hint="eastAsia" w:ascii="宋体" w:hAnsi="宋体"/>
          <w:color w:val="000000"/>
          <w:kern w:val="0"/>
          <w:sz w:val="24"/>
          <w:lang w:val="en-US" w:eastAsia="zh-CN"/>
        </w:rPr>
        <w:t>2017</w:t>
      </w:r>
      <w:r>
        <w:rPr>
          <w:rFonts w:ascii="宋体" w:hAnsi="宋体"/>
          <w:color w:val="000000"/>
          <w:kern w:val="0"/>
          <w:sz w:val="24"/>
          <w:highlight w:val="none"/>
        </w:rPr>
        <w:t>年</w:t>
      </w:r>
      <w:r>
        <w:rPr>
          <w:rFonts w:hint="eastAsia" w:ascii="宋体" w:hAnsi="宋体"/>
          <w:color w:val="000000"/>
          <w:kern w:val="0"/>
          <w:sz w:val="24"/>
          <w:highlight w:val="none"/>
          <w:lang w:eastAsia="zh-CN"/>
        </w:rPr>
        <w:t>7</w:t>
      </w:r>
      <w:r>
        <w:rPr>
          <w:rFonts w:ascii="宋体" w:hAnsi="宋体"/>
          <w:color w:val="000000"/>
          <w:kern w:val="0"/>
          <w:sz w:val="24"/>
          <w:highlight w:val="none"/>
        </w:rPr>
        <w:t>月</w:t>
      </w:r>
      <w:r>
        <w:rPr>
          <w:rFonts w:hint="eastAsia" w:ascii="宋体" w:hAnsi="宋体"/>
          <w:color w:val="000000"/>
          <w:kern w:val="0"/>
          <w:sz w:val="24"/>
          <w:highlight w:val="none"/>
          <w:lang w:val="en-US" w:eastAsia="zh-CN"/>
        </w:rPr>
        <w:t>4</w:t>
      </w:r>
      <w:r>
        <w:rPr>
          <w:rFonts w:ascii="宋体" w:hAnsi="宋体"/>
          <w:color w:val="000000"/>
          <w:kern w:val="0"/>
          <w:sz w:val="24"/>
          <w:highlight w:val="none"/>
        </w:rPr>
        <w:t>日</w:t>
      </w:r>
      <w:r>
        <w:rPr>
          <w:rFonts w:ascii="宋体" w:hAnsi="宋体"/>
          <w:color w:val="000000"/>
          <w:kern w:val="0"/>
          <w:sz w:val="24"/>
        </w:rPr>
        <w:t>复核了本次更新的招募说明书。</w:t>
      </w:r>
    </w:p>
    <w:p>
      <w:pPr>
        <w:spacing w:line="360" w:lineRule="auto"/>
        <w:ind w:firstLine="484" w:firstLineChars="202"/>
        <w:rPr>
          <w:rFonts w:ascii="宋体" w:hAnsi="宋体"/>
          <w:sz w:val="24"/>
        </w:rPr>
      </w:pPr>
      <w:r>
        <w:rPr>
          <w:rFonts w:hint="eastAsia" w:ascii="宋体" w:hAnsi="宋体"/>
          <w:sz w:val="24"/>
        </w:rPr>
        <w:t>本摘要根据基金合同和基金招募说明书编写，并经中国证监会核准。基金合同是约定基金当事人之间权利、义务的法律文件。基金投资人自依基金合同取得基金份额，即成为基金份额持有人和本基金合同的当事人，其持有基金份额的行为本身即表明其对基金合同的承认和接受，并按照《基金法》、《运作办法》、基金合同及其他有关规定享有权利、承担义务。基金投资人欲了解基金份额持有人的权利和义务，应详细查阅基金合同。</w:t>
      </w:r>
    </w:p>
    <w:p>
      <w:pPr>
        <w:spacing w:line="360" w:lineRule="auto"/>
        <w:ind w:firstLine="484" w:firstLineChars="202"/>
        <w:rPr>
          <w:rFonts w:ascii="宋体" w:hAnsi="宋体"/>
          <w:color w:val="000000"/>
          <w:kern w:val="0"/>
          <w:sz w:val="24"/>
        </w:rPr>
      </w:pPr>
    </w:p>
    <w:p>
      <w:pPr>
        <w:pStyle w:val="2"/>
        <w:pageBreakBefore/>
        <w:spacing w:before="120" w:beforeLines="50" w:after="120" w:afterLines="50" w:line="360" w:lineRule="auto"/>
        <w:ind w:firstLine="284"/>
        <w:jc w:val="center"/>
        <w:rPr>
          <w:rFonts w:ascii="宋体" w:hAnsi="宋体"/>
          <w:color w:val="000000"/>
          <w:kern w:val="0"/>
          <w:sz w:val="24"/>
          <w:szCs w:val="24"/>
        </w:rPr>
      </w:pPr>
      <w:bookmarkStart w:id="1" w:name="_Toc9504"/>
      <w:bookmarkStart w:id="2" w:name="_Toc256666912"/>
      <w:bookmarkStart w:id="3" w:name="_Toc482624791"/>
      <w:bookmarkStart w:id="4" w:name="_Toc256666784"/>
      <w:r>
        <w:rPr>
          <w:rFonts w:hint="eastAsia" w:ascii="宋体" w:hAnsi="宋体"/>
          <w:color w:val="000000"/>
          <w:kern w:val="0"/>
          <w:sz w:val="24"/>
          <w:szCs w:val="24"/>
          <w:lang w:eastAsia="zh-CN"/>
        </w:rPr>
        <w:t>一、</w:t>
      </w:r>
      <w:r>
        <w:rPr>
          <w:rFonts w:hint="eastAsia" w:ascii="宋体" w:hAnsi="宋体"/>
          <w:color w:val="000000"/>
          <w:kern w:val="0"/>
          <w:sz w:val="24"/>
          <w:szCs w:val="24"/>
        </w:rPr>
        <w:t>基金管理人</w:t>
      </w:r>
      <w:bookmarkEnd w:id="1"/>
      <w:bookmarkEnd w:id="2"/>
      <w:bookmarkEnd w:id="3"/>
      <w:bookmarkEnd w:id="4"/>
    </w:p>
    <w:p>
      <w:pPr>
        <w:spacing w:line="360" w:lineRule="auto"/>
        <w:ind w:firstLine="480" w:firstLineChars="200"/>
        <w:rPr>
          <w:rFonts w:ascii="宋体" w:hAnsi="宋体"/>
          <w:color w:val="000000"/>
          <w:kern w:val="0"/>
          <w:sz w:val="24"/>
        </w:rPr>
      </w:pPr>
      <w:bookmarkStart w:id="5" w:name="_Toc88969216"/>
      <w:r>
        <w:rPr>
          <w:rFonts w:hint="eastAsia" w:ascii="宋体" w:hAnsi="宋体"/>
          <w:color w:val="000000"/>
          <w:kern w:val="0"/>
          <w:sz w:val="24"/>
        </w:rPr>
        <w:t>（一）基金管理人概况</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名称：富荣基金管理有限公司</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注册</w:t>
      </w:r>
      <w:r>
        <w:rPr>
          <w:rFonts w:ascii="宋体" w:hAnsi="宋体"/>
          <w:color w:val="000000"/>
          <w:kern w:val="0"/>
          <w:sz w:val="24"/>
        </w:rPr>
        <w:t>地址</w:t>
      </w:r>
      <w:r>
        <w:rPr>
          <w:rFonts w:hint="eastAsia" w:ascii="宋体" w:hAnsi="宋体"/>
          <w:color w:val="000000"/>
          <w:kern w:val="0"/>
          <w:sz w:val="24"/>
        </w:rPr>
        <w:t xml:space="preserve">：广州市南沙区海滨路171号南沙金融大厦11楼1101之一J20室 </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办公地址：深圳市福田区深南大道2012号深圳证券交易所广场3501室</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 xml:space="preserve">法定代表人：刘志军 </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设立日期：2016年1月25日</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 xml:space="preserve">批准设立机关：中国证监会 </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 xml:space="preserve">批准设立文号：证监许可【2015】3118号 </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组织形式：有限责任公司</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注册资本：2亿元人民币</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存续期限：永续经营</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联系人：董菱</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联系电话：0755-84356637</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传    真：0755-83230787</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 xml:space="preserve">股权结构： </w:t>
      </w:r>
    </w:p>
    <w:tbl>
      <w:tblPr>
        <w:tblStyle w:val="33"/>
        <w:tblW w:w="552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50"/>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250" w:type="dxa"/>
            <w:vAlign w:val="center"/>
          </w:tcPr>
          <w:p>
            <w:pPr>
              <w:spacing w:line="360" w:lineRule="auto"/>
              <w:jc w:val="center"/>
              <w:rPr>
                <w:rFonts w:ascii="宋体" w:hAnsi="宋体"/>
                <w:b/>
                <w:color w:val="000000"/>
                <w:kern w:val="0"/>
                <w:sz w:val="24"/>
              </w:rPr>
            </w:pPr>
            <w:r>
              <w:rPr>
                <w:rFonts w:hint="eastAsia" w:ascii="宋体" w:hAnsi="宋体"/>
                <w:b/>
                <w:color w:val="000000"/>
                <w:kern w:val="0"/>
                <w:sz w:val="24"/>
              </w:rPr>
              <w:t>股东名称</w:t>
            </w:r>
          </w:p>
        </w:tc>
        <w:tc>
          <w:tcPr>
            <w:tcW w:w="1275" w:type="dxa"/>
            <w:vAlign w:val="center"/>
          </w:tcPr>
          <w:p>
            <w:pPr>
              <w:spacing w:line="360" w:lineRule="auto"/>
              <w:jc w:val="center"/>
              <w:rPr>
                <w:rFonts w:ascii="宋体" w:hAnsi="宋体"/>
                <w:b/>
                <w:color w:val="000000"/>
                <w:kern w:val="0"/>
                <w:sz w:val="24"/>
              </w:rPr>
            </w:pPr>
            <w:r>
              <w:rPr>
                <w:rFonts w:hint="eastAsia" w:ascii="宋体" w:hAnsi="宋体"/>
                <w:b/>
                <w:color w:val="000000"/>
                <w:kern w:val="0"/>
                <w:sz w:val="24"/>
              </w:rPr>
              <w:t>出资比例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250"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广州科技金融创新投资控股有限公司</w:t>
            </w:r>
          </w:p>
        </w:tc>
        <w:tc>
          <w:tcPr>
            <w:tcW w:w="1275"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250"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深圳嘉年实业股份有限公司</w:t>
            </w:r>
          </w:p>
        </w:tc>
        <w:tc>
          <w:tcPr>
            <w:tcW w:w="1275"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45.1%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250"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湖南典勤投资开发有限公司</w:t>
            </w:r>
          </w:p>
        </w:tc>
        <w:tc>
          <w:tcPr>
            <w:tcW w:w="1275"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4.9%</w:t>
            </w:r>
          </w:p>
        </w:tc>
      </w:tr>
    </w:tbl>
    <w:p>
      <w:pPr>
        <w:spacing w:line="360" w:lineRule="auto"/>
        <w:rPr>
          <w:rFonts w:ascii="宋体" w:hAnsi="宋体"/>
          <w:color w:val="000000"/>
          <w:kern w:val="0"/>
          <w:sz w:val="24"/>
        </w:rPr>
      </w:pPr>
    </w:p>
    <w:p>
      <w:pPr>
        <w:spacing w:line="360" w:lineRule="auto"/>
        <w:ind w:firstLine="480" w:firstLineChars="200"/>
        <w:rPr>
          <w:rFonts w:ascii="宋体" w:hAnsi="宋体"/>
          <w:color w:val="000000"/>
          <w:kern w:val="0"/>
          <w:sz w:val="24"/>
        </w:rPr>
      </w:pPr>
      <w:r>
        <w:rPr>
          <w:rFonts w:hint="eastAsia" w:ascii="宋体" w:hAnsi="宋体"/>
          <w:color w:val="000000"/>
          <w:kern w:val="0"/>
          <w:sz w:val="24"/>
        </w:rPr>
        <w:t>（二）主要人员情况</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1、董事会成员</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刘志军先生，董事长。中国科学院博士，现任广州产业投资基金管理有限公司副总经理、广州科技金融创新投资控股有限公司董事长、富荣基金管理有限公司董事长。</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罗劲先生，董事，湖南大学工商管理硕士。曾任广州农村商业银行股份有限公司华夏支行集团客户事业部副总经理。现任广州汇垠天粤股权投资基金管理有限公司副总经理、富荣基金管理有限公司董事。</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郭涛先生，董事，上海高级金融学院研究生（在读）。曾任深圳嘉年实业股份有限公司董事、深圳市莱英达集团有限责任公司董事、现任深圳市前海富荣资产管理有限公司董事、总经理、深圳市富润天成投资发展有限公司董事、富荣基金管理有限公司董事。</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林斌先生，独立董事，厦门大学经济学博士。现任中山大学管理学院会计学系教授、富荣基金管理有限公司独立董事。</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2、监事会成员</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基金管理人不设监事会，设监事两名，其中一名为职工监事。</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卢伟女士，监事，大专。现任盈投控股有限公司总裁助理兼投资运营部部门经理、四川天一科技股份有限公司监事、富荣基金管理有限公司监事。</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毛志华先生，职工监事，本科。现任富荣基金管理有限公司监事。</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3、高级管理人员</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刘志军先生，董事长。中国科学院博士，现任广州产业投资基金管理有限公司副总经理、广州科技金融创新投资控股有限公司董事长、富荣基金管理有限公司董事长。</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滕大江先生，督察长，中南大学工学学士，先后供职于平安证券、平安大华基金管理有限公司、前海开源基金管理有限公司监察稽核部门。现任富荣基金管理有限公司督察长。</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4、本基金基金经理</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贺翔女士，中国人民大学金融硕士。曾任神农投资基金经理助理、浙商金汇信托资本市场部助理（债券投资交易）、天安财险固定收益处负责人。现任富荣基金管理有限公司固定收益部副总监。2016年12月起担任富荣货币市场基金基金经理。2017年3月起兼任富荣富兴纯债债券型证券投资基金、富荣富祥纯债债券型证券投资基金基金经理。</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5、投资决策委员会成员的姓名、职务</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郭容辰女士，投资决策委员会召集人，公司董事、总经理。</w:t>
      </w:r>
    </w:p>
    <w:p>
      <w:pPr>
        <w:spacing w:line="360" w:lineRule="auto"/>
        <w:ind w:firstLine="480" w:firstLineChars="200"/>
        <w:rPr>
          <w:rFonts w:ascii="宋体" w:hAnsi="宋体"/>
          <w:color w:val="000000"/>
          <w:kern w:val="0"/>
          <w:sz w:val="24"/>
        </w:rPr>
      </w:pPr>
      <w:r>
        <w:rPr>
          <w:rFonts w:hint="eastAsia" w:ascii="宋体" w:hAnsi="宋体"/>
          <w:color w:val="000000"/>
          <w:kern w:val="0"/>
          <w:sz w:val="24"/>
          <w:lang w:eastAsia="zh-CN"/>
        </w:rPr>
        <w:t>于涛先生</w:t>
      </w:r>
      <w:r>
        <w:rPr>
          <w:rFonts w:hint="eastAsia" w:ascii="宋体" w:hAnsi="宋体"/>
          <w:color w:val="000000"/>
          <w:kern w:val="0"/>
          <w:sz w:val="24"/>
        </w:rPr>
        <w:t>，投资决策委员会成员。</w:t>
      </w:r>
    </w:p>
    <w:p>
      <w:pPr>
        <w:spacing w:line="360" w:lineRule="auto"/>
        <w:ind w:firstLine="480" w:firstLineChars="200"/>
        <w:rPr>
          <w:rFonts w:ascii="宋体" w:hAnsi="宋体"/>
          <w:color w:val="000000"/>
          <w:kern w:val="0"/>
          <w:sz w:val="24"/>
        </w:rPr>
      </w:pPr>
      <w:r>
        <w:rPr>
          <w:rFonts w:hint="eastAsia" w:ascii="宋体" w:hAnsi="宋体"/>
          <w:color w:val="000000"/>
          <w:kern w:val="0"/>
          <w:sz w:val="24"/>
          <w:lang w:eastAsia="zh-CN"/>
        </w:rPr>
        <w:t>张辰明</w:t>
      </w:r>
      <w:r>
        <w:rPr>
          <w:rFonts w:hint="eastAsia" w:ascii="宋体" w:hAnsi="宋体"/>
          <w:color w:val="000000"/>
          <w:kern w:val="0"/>
          <w:sz w:val="24"/>
        </w:rPr>
        <w:t>先生，投资决策委员会成员。</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6、上述人员之间不存在近亲属关系。</w:t>
      </w:r>
    </w:p>
    <w:bookmarkEnd w:id="5"/>
    <w:p>
      <w:pPr>
        <w:pStyle w:val="2"/>
        <w:spacing w:before="120" w:beforeLines="50" w:after="120" w:afterLines="50" w:line="360" w:lineRule="auto"/>
        <w:ind w:firstLine="241" w:firstLineChars="100"/>
        <w:jc w:val="center"/>
        <w:rPr>
          <w:rFonts w:ascii="宋体" w:hAnsi="宋体"/>
          <w:b w:val="0"/>
          <w:color w:val="000000"/>
          <w:kern w:val="0"/>
          <w:sz w:val="24"/>
        </w:rPr>
      </w:pPr>
      <w:bookmarkStart w:id="6" w:name="_Toc26099"/>
      <w:bookmarkStart w:id="7" w:name="_Toc482624792"/>
      <w:r>
        <w:rPr>
          <w:rFonts w:hint="eastAsia" w:ascii="宋体" w:hAnsi="宋体"/>
          <w:color w:val="000000"/>
          <w:kern w:val="0"/>
          <w:sz w:val="24"/>
          <w:szCs w:val="24"/>
          <w:lang w:eastAsia="zh-CN"/>
        </w:rPr>
        <w:t>二、</w:t>
      </w:r>
      <w:r>
        <w:rPr>
          <w:rFonts w:hint="eastAsia" w:ascii="宋体" w:hAnsi="宋体"/>
          <w:color w:val="000000"/>
          <w:kern w:val="0"/>
          <w:sz w:val="24"/>
          <w:szCs w:val="24"/>
        </w:rPr>
        <w:t>基金托管人</w:t>
      </w:r>
      <w:bookmarkEnd w:id="6"/>
      <w:bookmarkEnd w:id="7"/>
    </w:p>
    <w:p>
      <w:pPr>
        <w:spacing w:line="360" w:lineRule="auto"/>
        <w:ind w:firstLine="480" w:firstLineChars="200"/>
        <w:rPr>
          <w:rFonts w:ascii="宋体" w:hAnsi="宋体"/>
          <w:color w:val="000000"/>
          <w:kern w:val="0"/>
          <w:sz w:val="24"/>
        </w:rPr>
      </w:pPr>
      <w:r>
        <w:rPr>
          <w:rFonts w:hint="eastAsia" w:ascii="宋体" w:hAnsi="宋体"/>
          <w:color w:val="000000"/>
          <w:kern w:val="0"/>
          <w:sz w:val="24"/>
        </w:rPr>
        <w:t>（一）基金托管人基本情况</w:t>
      </w:r>
    </w:p>
    <w:p>
      <w:pPr>
        <w:spacing w:line="360" w:lineRule="auto"/>
        <w:ind w:firstLine="420"/>
        <w:rPr>
          <w:rFonts w:hint="eastAsia" w:ascii="宋体" w:hAnsi="宋体"/>
          <w:color w:val="000000"/>
          <w:kern w:val="0"/>
          <w:sz w:val="24"/>
        </w:rPr>
      </w:pPr>
      <w:r>
        <w:rPr>
          <w:rFonts w:hint="eastAsia" w:ascii="宋体" w:hAnsi="宋体"/>
          <w:color w:val="000000"/>
          <w:kern w:val="0"/>
          <w:sz w:val="24"/>
          <w:lang w:val="en-US" w:eastAsia="zh-CN"/>
        </w:rPr>
        <w:t>1</w:t>
      </w:r>
      <w:r>
        <w:rPr>
          <w:rFonts w:hint="eastAsia" w:ascii="宋体" w:hAnsi="宋体"/>
          <w:color w:val="000000"/>
          <w:kern w:val="0"/>
          <w:sz w:val="24"/>
        </w:rPr>
        <w:t>、基本情况</w:t>
      </w:r>
    </w:p>
    <w:p>
      <w:pPr>
        <w:spacing w:line="360" w:lineRule="auto"/>
        <w:ind w:firstLine="420"/>
        <w:rPr>
          <w:rFonts w:hint="eastAsia" w:ascii="宋体" w:hAnsi="宋体"/>
          <w:color w:val="000000"/>
          <w:kern w:val="0"/>
          <w:sz w:val="24"/>
        </w:rPr>
      </w:pPr>
      <w:r>
        <w:rPr>
          <w:rFonts w:hint="eastAsia" w:ascii="宋体" w:hAnsi="宋体"/>
          <w:color w:val="000000"/>
          <w:kern w:val="0"/>
          <w:sz w:val="24"/>
        </w:rPr>
        <w:t>名称：中国光大银行股份有限公司</w:t>
      </w:r>
    </w:p>
    <w:p>
      <w:pPr>
        <w:spacing w:line="360" w:lineRule="auto"/>
        <w:ind w:firstLine="420"/>
        <w:rPr>
          <w:rFonts w:hint="eastAsia" w:ascii="宋体" w:hAnsi="宋体"/>
          <w:color w:val="000000"/>
          <w:kern w:val="0"/>
          <w:sz w:val="24"/>
        </w:rPr>
      </w:pPr>
      <w:r>
        <w:rPr>
          <w:rFonts w:hint="eastAsia" w:ascii="宋体" w:hAnsi="宋体"/>
          <w:color w:val="000000"/>
          <w:kern w:val="0"/>
          <w:sz w:val="24"/>
        </w:rPr>
        <w:t>住所及办公地址：北京市西城区太平桥大街25 号、甲25 号中国光大中心</w:t>
      </w:r>
    </w:p>
    <w:p>
      <w:pPr>
        <w:spacing w:line="360" w:lineRule="auto"/>
        <w:ind w:firstLine="420"/>
        <w:rPr>
          <w:rFonts w:hint="eastAsia" w:ascii="宋体" w:hAnsi="宋体"/>
          <w:color w:val="000000"/>
          <w:kern w:val="0"/>
          <w:sz w:val="24"/>
        </w:rPr>
      </w:pPr>
      <w:r>
        <w:rPr>
          <w:rFonts w:hint="eastAsia" w:ascii="宋体" w:hAnsi="宋体"/>
          <w:color w:val="000000"/>
          <w:kern w:val="0"/>
          <w:sz w:val="24"/>
        </w:rPr>
        <w:t>成立日期：1992年6月18日</w:t>
      </w:r>
    </w:p>
    <w:p>
      <w:pPr>
        <w:spacing w:line="360" w:lineRule="auto"/>
        <w:ind w:firstLine="420"/>
        <w:rPr>
          <w:rFonts w:hint="eastAsia" w:ascii="宋体" w:hAnsi="宋体"/>
          <w:color w:val="000000"/>
          <w:kern w:val="0"/>
          <w:sz w:val="24"/>
        </w:rPr>
      </w:pPr>
      <w:r>
        <w:rPr>
          <w:rFonts w:hint="eastAsia" w:ascii="宋体" w:hAnsi="宋体"/>
          <w:color w:val="000000"/>
          <w:kern w:val="0"/>
          <w:sz w:val="24"/>
        </w:rPr>
        <w:t>批准设立机关和批准设立文号：国务院、国函[1992]7号</w:t>
      </w:r>
    </w:p>
    <w:p>
      <w:pPr>
        <w:spacing w:line="360" w:lineRule="auto"/>
        <w:ind w:firstLine="420"/>
        <w:rPr>
          <w:rFonts w:hint="eastAsia" w:ascii="宋体" w:hAnsi="宋体"/>
          <w:color w:val="000000"/>
          <w:kern w:val="0"/>
          <w:sz w:val="24"/>
        </w:rPr>
      </w:pPr>
      <w:r>
        <w:rPr>
          <w:rFonts w:hint="eastAsia" w:ascii="宋体" w:hAnsi="宋体"/>
          <w:color w:val="000000"/>
          <w:kern w:val="0"/>
          <w:sz w:val="24"/>
        </w:rPr>
        <w:t>组织形式：股份有限公司</w:t>
      </w:r>
    </w:p>
    <w:p>
      <w:pPr>
        <w:spacing w:line="360" w:lineRule="auto"/>
        <w:ind w:firstLine="420"/>
        <w:rPr>
          <w:rFonts w:hint="eastAsia" w:ascii="宋体" w:hAnsi="宋体"/>
          <w:color w:val="000000"/>
          <w:kern w:val="0"/>
          <w:sz w:val="24"/>
        </w:rPr>
      </w:pPr>
      <w:r>
        <w:rPr>
          <w:rFonts w:hint="eastAsia" w:ascii="宋体" w:hAnsi="宋体"/>
          <w:color w:val="000000"/>
          <w:kern w:val="0"/>
          <w:sz w:val="24"/>
        </w:rPr>
        <w:t>注册资本：466.79095亿元人民币</w:t>
      </w:r>
    </w:p>
    <w:p>
      <w:pPr>
        <w:spacing w:line="360" w:lineRule="auto"/>
        <w:ind w:firstLine="420"/>
        <w:rPr>
          <w:rFonts w:hint="eastAsia" w:ascii="宋体" w:hAnsi="宋体"/>
          <w:color w:val="000000"/>
          <w:kern w:val="0"/>
          <w:sz w:val="24"/>
        </w:rPr>
      </w:pPr>
      <w:r>
        <w:rPr>
          <w:rFonts w:hint="eastAsia" w:ascii="宋体" w:hAnsi="宋体"/>
          <w:color w:val="000000"/>
          <w:kern w:val="0"/>
          <w:sz w:val="24"/>
        </w:rPr>
        <w:t>法定代表人：唐双宁</w:t>
      </w:r>
    </w:p>
    <w:p>
      <w:pPr>
        <w:spacing w:line="360" w:lineRule="auto"/>
        <w:ind w:firstLine="420"/>
        <w:rPr>
          <w:rFonts w:hint="eastAsia" w:ascii="宋体" w:hAnsi="宋体"/>
          <w:color w:val="000000"/>
          <w:kern w:val="0"/>
          <w:sz w:val="24"/>
        </w:rPr>
      </w:pPr>
      <w:r>
        <w:rPr>
          <w:rFonts w:hint="eastAsia" w:ascii="宋体" w:hAnsi="宋体"/>
          <w:color w:val="000000"/>
          <w:kern w:val="0"/>
          <w:sz w:val="24"/>
        </w:rPr>
        <w:t>基金托管业务批准文号：中国证监会证监基字【2002】75号</w:t>
      </w:r>
    </w:p>
    <w:p>
      <w:pPr>
        <w:spacing w:line="360" w:lineRule="auto"/>
        <w:ind w:firstLine="420"/>
        <w:rPr>
          <w:rFonts w:hint="eastAsia" w:ascii="宋体" w:hAnsi="宋体"/>
          <w:color w:val="000000"/>
          <w:kern w:val="0"/>
          <w:sz w:val="24"/>
        </w:rPr>
      </w:pPr>
      <w:r>
        <w:rPr>
          <w:rFonts w:hint="eastAsia" w:ascii="宋体" w:hAnsi="宋体"/>
          <w:color w:val="000000"/>
          <w:kern w:val="0"/>
          <w:sz w:val="24"/>
        </w:rPr>
        <w:t>投资与托管部总经理：曾闻学</w:t>
      </w:r>
    </w:p>
    <w:p>
      <w:pPr>
        <w:spacing w:line="360" w:lineRule="auto"/>
        <w:ind w:firstLine="420"/>
        <w:rPr>
          <w:rFonts w:hint="eastAsia" w:ascii="宋体" w:hAnsi="宋体"/>
          <w:color w:val="000000"/>
          <w:kern w:val="0"/>
          <w:sz w:val="24"/>
        </w:rPr>
      </w:pPr>
      <w:r>
        <w:rPr>
          <w:rFonts w:hint="eastAsia" w:ascii="宋体" w:hAnsi="宋体"/>
          <w:color w:val="000000"/>
          <w:kern w:val="0"/>
          <w:sz w:val="24"/>
        </w:rPr>
        <w:t>电话：（010） 63636363</w:t>
      </w:r>
    </w:p>
    <w:p>
      <w:pPr>
        <w:spacing w:line="360" w:lineRule="auto"/>
        <w:ind w:firstLine="420"/>
        <w:rPr>
          <w:rFonts w:hint="eastAsia" w:ascii="宋体" w:hAnsi="宋体"/>
          <w:color w:val="000000"/>
          <w:kern w:val="0"/>
          <w:sz w:val="24"/>
        </w:rPr>
      </w:pPr>
      <w:r>
        <w:rPr>
          <w:rFonts w:hint="eastAsia" w:ascii="宋体" w:hAnsi="宋体"/>
          <w:color w:val="000000"/>
          <w:kern w:val="0"/>
          <w:sz w:val="24"/>
        </w:rPr>
        <w:t>传真：（010） 63639132</w:t>
      </w:r>
    </w:p>
    <w:p>
      <w:pPr>
        <w:spacing w:line="360" w:lineRule="auto"/>
        <w:ind w:firstLine="420"/>
        <w:rPr>
          <w:rFonts w:hint="eastAsia" w:ascii="宋体" w:hAnsi="宋体"/>
          <w:color w:val="000000"/>
          <w:kern w:val="0"/>
          <w:sz w:val="24"/>
        </w:rPr>
      </w:pPr>
      <w:r>
        <w:rPr>
          <w:rFonts w:hint="eastAsia" w:ascii="宋体" w:hAnsi="宋体"/>
          <w:color w:val="000000"/>
          <w:kern w:val="0"/>
          <w:sz w:val="24"/>
        </w:rPr>
        <w:t>网址：www.cebbank.com</w:t>
      </w:r>
    </w:p>
    <w:p>
      <w:pPr>
        <w:spacing w:line="360" w:lineRule="auto"/>
        <w:ind w:firstLine="420"/>
        <w:rPr>
          <w:rFonts w:hint="eastAsia" w:ascii="宋体" w:hAnsi="宋体"/>
          <w:color w:val="000000"/>
          <w:kern w:val="0"/>
          <w:sz w:val="24"/>
        </w:rPr>
      </w:pPr>
    </w:p>
    <w:p>
      <w:pPr>
        <w:spacing w:line="360" w:lineRule="auto"/>
        <w:ind w:firstLine="420"/>
        <w:rPr>
          <w:rFonts w:hint="eastAsia" w:ascii="宋体" w:hAnsi="宋体"/>
          <w:color w:val="000000"/>
          <w:kern w:val="0"/>
          <w:sz w:val="24"/>
        </w:rPr>
      </w:pPr>
      <w:r>
        <w:rPr>
          <w:rFonts w:hint="eastAsia" w:ascii="宋体" w:hAnsi="宋体"/>
          <w:color w:val="000000"/>
          <w:kern w:val="0"/>
          <w:sz w:val="24"/>
          <w:lang w:val="en-US" w:eastAsia="zh-CN"/>
        </w:rPr>
        <w:t>2</w:t>
      </w:r>
      <w:r>
        <w:rPr>
          <w:rFonts w:hint="eastAsia" w:ascii="宋体" w:hAnsi="宋体"/>
          <w:color w:val="000000"/>
          <w:kern w:val="0"/>
          <w:sz w:val="24"/>
        </w:rPr>
        <w:t>、基金托管部门及主要人员情况</w:t>
      </w:r>
    </w:p>
    <w:p>
      <w:pPr>
        <w:spacing w:line="360" w:lineRule="auto"/>
        <w:ind w:firstLine="420"/>
        <w:rPr>
          <w:rFonts w:hint="eastAsia" w:ascii="宋体" w:hAnsi="宋体"/>
          <w:color w:val="000000"/>
          <w:kern w:val="0"/>
          <w:sz w:val="24"/>
        </w:rPr>
      </w:pPr>
      <w:r>
        <w:rPr>
          <w:rFonts w:hint="eastAsia" w:ascii="宋体" w:hAnsi="宋体"/>
          <w:color w:val="000000"/>
          <w:kern w:val="0"/>
          <w:sz w:val="24"/>
          <w:lang w:val="zh-CN"/>
        </w:rPr>
        <w:t>法定代表人唐双宁先生，</w:t>
      </w:r>
      <w:r>
        <w:rPr>
          <w:rFonts w:hint="eastAsia" w:ascii="宋体" w:hAnsi="宋体"/>
          <w:color w:val="000000"/>
          <w:kern w:val="0"/>
          <w:sz w:val="24"/>
        </w:rPr>
        <w:t>历任中国人民建设银行沈阳市分行常务副行长、中国人民银行沈阳市分行行长，中国人民银行信贷管理司司长、货币金银局局长、银行监管一司司长，中国银行业监督管理委员会副主席，中国光大（集团）总公司董事长、党委书记等职务。现任十二届全国人大农业与农村委员会副主任，十一届全国政协委员，中国光大集团股份公司董事长、党委书记，中国光大集团有限公司董事长，兼任中国光大银行股份有限公司董事长、党委书记，中国光大控股有限公司董事局主席，中国光大国际有限公司董事局主席。</w:t>
      </w:r>
    </w:p>
    <w:p>
      <w:pPr>
        <w:spacing w:line="360" w:lineRule="auto"/>
        <w:ind w:firstLine="420"/>
        <w:rPr>
          <w:rFonts w:hint="eastAsia" w:ascii="宋体" w:hAnsi="宋体"/>
          <w:color w:val="000000"/>
          <w:kern w:val="0"/>
          <w:sz w:val="24"/>
        </w:rPr>
      </w:pPr>
      <w:r>
        <w:rPr>
          <w:rFonts w:hint="eastAsia" w:ascii="宋体" w:hAnsi="宋体"/>
          <w:color w:val="000000"/>
          <w:kern w:val="0"/>
          <w:sz w:val="24"/>
          <w:lang w:val="zh-CN"/>
        </w:rPr>
        <w:t>行长张金良先生，</w:t>
      </w:r>
      <w:r>
        <w:rPr>
          <w:rFonts w:hint="eastAsia" w:ascii="宋体" w:hAnsi="宋体"/>
          <w:color w:val="000000"/>
          <w:kern w:val="0"/>
          <w:sz w:val="24"/>
        </w:rPr>
        <w:t xml:space="preserve"> 曾任中国银行财会部会计制度处副处长、处长、副总经理兼任IT蓝图实施办公室主任、总经理，中国银行北京市分行行长、党委书记，中国银行副行长、党委委员。现任中国光大集团股份公司执行董事、党委委员，兼任中国光大银行执行董事、行长、党委副书记。</w:t>
      </w:r>
    </w:p>
    <w:p>
      <w:pPr>
        <w:spacing w:line="360" w:lineRule="auto"/>
        <w:ind w:firstLine="420"/>
        <w:rPr>
          <w:rFonts w:hint="eastAsia" w:ascii="宋体" w:hAnsi="宋体"/>
          <w:color w:val="000000"/>
          <w:kern w:val="0"/>
          <w:sz w:val="24"/>
        </w:rPr>
      </w:pPr>
      <w:r>
        <w:rPr>
          <w:rFonts w:hint="eastAsia" w:ascii="宋体" w:hAnsi="宋体"/>
          <w:color w:val="000000"/>
          <w:kern w:val="0"/>
          <w:sz w:val="24"/>
          <w:lang w:val="zh-CN"/>
        </w:rPr>
        <w:t>曾闻学先生，曾任中国光大银行办公室副总经理，中国光大银行北京分行副行长。现任中国光大银行股份有限公司投资托管部总经理。</w:t>
      </w:r>
    </w:p>
    <w:p>
      <w:pPr>
        <w:spacing w:line="360" w:lineRule="auto"/>
        <w:ind w:firstLine="0"/>
        <w:rPr>
          <w:rFonts w:hint="eastAsia" w:ascii="宋体" w:hAnsi="宋体"/>
          <w:color w:val="000000"/>
          <w:kern w:val="0"/>
          <w:sz w:val="24"/>
        </w:rPr>
      </w:pPr>
    </w:p>
    <w:p>
      <w:pPr>
        <w:spacing w:line="360" w:lineRule="auto"/>
        <w:ind w:firstLine="420"/>
        <w:rPr>
          <w:rFonts w:hint="eastAsia" w:ascii="宋体" w:hAnsi="宋体"/>
          <w:color w:val="000000"/>
          <w:kern w:val="0"/>
          <w:sz w:val="24"/>
        </w:rPr>
      </w:pPr>
      <w:r>
        <w:rPr>
          <w:rFonts w:hint="eastAsia" w:ascii="宋体" w:hAnsi="宋体"/>
          <w:color w:val="000000"/>
          <w:kern w:val="0"/>
          <w:sz w:val="24"/>
          <w:lang w:val="en-US" w:eastAsia="zh-CN"/>
        </w:rPr>
        <w:t>3</w:t>
      </w:r>
      <w:r>
        <w:rPr>
          <w:rFonts w:hint="eastAsia" w:ascii="宋体" w:hAnsi="宋体"/>
          <w:color w:val="000000"/>
          <w:kern w:val="0"/>
          <w:sz w:val="24"/>
        </w:rPr>
        <w:t>、证券投资基金托管情况</w:t>
      </w:r>
    </w:p>
    <w:p>
      <w:pPr>
        <w:spacing w:line="360" w:lineRule="auto"/>
        <w:ind w:firstLine="420"/>
        <w:rPr>
          <w:rFonts w:hint="eastAsia" w:ascii="宋体" w:hAnsi="宋体"/>
          <w:color w:val="000000"/>
          <w:kern w:val="0"/>
          <w:sz w:val="24"/>
          <w:lang w:val="zh-CN"/>
        </w:rPr>
      </w:pPr>
      <w:r>
        <w:rPr>
          <w:rFonts w:hint="eastAsia" w:ascii="宋体" w:hAnsi="宋体"/>
          <w:color w:val="000000"/>
          <w:kern w:val="0"/>
          <w:sz w:val="24"/>
          <w:lang w:val="zh-CN"/>
        </w:rPr>
        <w:t>截至2017年</w:t>
      </w:r>
      <w:r>
        <w:rPr>
          <w:rFonts w:hint="eastAsia" w:ascii="宋体" w:hAnsi="宋体"/>
          <w:color w:val="000000"/>
          <w:kern w:val="0"/>
          <w:sz w:val="24"/>
        </w:rPr>
        <w:t>3</w:t>
      </w:r>
      <w:r>
        <w:rPr>
          <w:rFonts w:hint="eastAsia" w:ascii="宋体" w:hAnsi="宋体"/>
          <w:color w:val="000000"/>
          <w:kern w:val="0"/>
          <w:sz w:val="24"/>
          <w:lang w:val="zh-CN"/>
        </w:rPr>
        <w:t>月3</w:t>
      </w:r>
      <w:r>
        <w:rPr>
          <w:rFonts w:hint="eastAsia" w:ascii="宋体" w:hAnsi="宋体"/>
          <w:color w:val="000000"/>
          <w:kern w:val="0"/>
          <w:sz w:val="24"/>
        </w:rPr>
        <w:t>1</w:t>
      </w:r>
      <w:r>
        <w:rPr>
          <w:rFonts w:hint="eastAsia" w:ascii="宋体" w:hAnsi="宋体"/>
          <w:color w:val="000000"/>
          <w:kern w:val="0"/>
          <w:sz w:val="24"/>
          <w:lang w:val="zh-CN"/>
        </w:rPr>
        <w:t>日，中国光大银行股份有限公司托管国投瑞银创新动力股票型证券投资基金、国投瑞银景气行业证券投资基金、国投瑞银融华债券型证券投资基金、摩根士丹利华鑫资源优选混合型证券投资基金(LOF)、摩根士丹利华鑫基础行业证券投资基金、工银瑞信保本混合型证券投资基金、博时转债增强债券型证券投资基金、大成策略回报股票型证券投资基金、大成货币市场基金、建信恒稳价值混合型证券投资基金、光大保德信量化核心证券投资基金、国联安双佳信用分级债券型证券投资基金、泰信先行策略开放式证券投资基金、招商安本增利债券型证券投资基金、中欧新动力股票型证券投资基金（LOF）、国金通用国鑫灵活配置混合型发起式证券投资基金、农银汇理深证100指数增强型证券投资基金、益民核心增长灵活配置混合型证券投资基金、建信纯债债券型证券投资基金、兴业商业模式优选股票型证券投资基金、工银瑞信保本混合型证券投资基金、国金通用沪深300指数分级证券投资基金、中加货币市场基金、益民服务领先灵活配置混合型证券投资基金、建信健康民生混合型证券投资基金、鑫元一年定期开放债券型证券投资基金、江信聚福定期开放债券型发起式证券投资基金、鑫元稳利债券型证券投资基金、国金通用鑫安保本混合型证券投资基金、鑫元合享分级债券型证券投资基金、鑫元半年定期开放债券型证券投资金、东方红睿阳灵活配置混合型证券投资基金、建信信息产业股票型证券投资基金、泓德优选成长混合型证券投资基金、东方新策略灵活配置混合型证券投资基金、光大保德信鼎鑫灵活配置混合型证券投资基金、中融新动力灵活配置混合型证券投资基金、红塔红土盛金新动力灵活配置混合型证券投资基金、金鹰产业整合灵活配置混合型证券投资基金、大成景裕灵活配置混合型证券投资基金、财通多策略精选混合型证券投资基金、鹏华添利宝货币市场基金、江信同福灵活配置混合型证券投资基金、光大保德信耀钱包货币市场基金、大成景沛灵活配置混合型证券投资基金、易方达瑞选灵活配置混合型证券投资基金、中加心享灵活配置混合型证券投资基金、建信稳定丰利债券型证券投资基金、南方弘利定期开放债券型发起式证券投资基金、</w:t>
      </w:r>
      <w:r>
        <w:rPr>
          <w:rFonts w:hint="eastAsia" w:ascii="宋体" w:hAnsi="宋体"/>
          <w:color w:val="000000"/>
          <w:kern w:val="0"/>
          <w:sz w:val="24"/>
        </w:rPr>
        <w:t>鑫元兴利债券型证券投资基金、博时安泰18个月定期开放债券型证券投资基金、建信安心保本五号混合型证券投资基金、银华添益定期开放债券型证券投资基金、中欧强盈定期开放债券型证券投资基金、华夏恒利6个月定期开放债券型证券投资基金、易方达裕景添利6个月定期开放债券型证券投资基金、博时安怡6个月定期开放债券型证券投资基金、江信汇福定期开放债券型证券投资基金、鑫元双债增强债券型证券投资基金、工银瑞信瑞丰纯债半年定期开放债券型证券投资基金、富国泰利定期开放债券型发起式证券投资基金、大成景荣保本混合型证券投资基金、鹏华兴华定期开放灵活配置混合型证券投资基金、江信祺福债券型证券投资基金、浙商汇金聚利一年定期开放债券型证券投资基金、博时睿益定增灵活配置混合型证券投资基金、江信添福债券型证券投资基金、建信恒瑞一年定期开放债券型证券投资基金、景顺长城景泰汇利定期开放债券型证券投资基金、富荣货币市场基金、南方中证500量化增强股票型发起式证券投资基金、英大睿盛灵活配置混合型证券投资基金、工银瑞信丰益一年定期开放债券型证券投资基金、江信洪福纯债债券型证券投资基金、中银广利灵活配置混合型证券投资基金、浙商汇金中证转型成长指数型证券投资基金、华夏圆和灵活配置混合型证券投资基金、江信瑞福灵活配置混合型证券投资基金、广发景源纯债债券型证券投资基金、诺德成长精选灵活配置混合型证券投资基金、富荣富祥纯债债券型证券投资基金、建信中国制造2025股票型证券投资基金、鑫元瑞利债券型证券投资基金、九泰锐诚定增灵活配置混合型证券投资基金共84</w:t>
      </w:r>
      <w:r>
        <w:rPr>
          <w:rFonts w:hint="eastAsia" w:ascii="宋体" w:hAnsi="宋体"/>
          <w:color w:val="000000"/>
          <w:kern w:val="0"/>
          <w:sz w:val="24"/>
          <w:lang w:val="zh-CN"/>
        </w:rPr>
        <w:t>只证券投资基金，托管基金资产规模</w:t>
      </w:r>
      <w:r>
        <w:rPr>
          <w:rFonts w:hint="eastAsia" w:ascii="宋体" w:hAnsi="宋体"/>
          <w:color w:val="000000"/>
          <w:kern w:val="0"/>
          <w:sz w:val="24"/>
        </w:rPr>
        <w:t>1,892.86</w:t>
      </w:r>
      <w:r>
        <w:rPr>
          <w:rFonts w:hint="eastAsia" w:ascii="宋体" w:hAnsi="宋体"/>
          <w:color w:val="000000"/>
          <w:kern w:val="0"/>
          <w:sz w:val="24"/>
          <w:lang w:val="zh-CN"/>
        </w:rPr>
        <w:t>亿元。同时，开展了证券公司资产管理计划、专户理财、企业年金基金、QDII、银行理财、保险债权投资计划等资产的托管及信托公司资金信托计划、产业投资基金、股权基金等产品的保管业务。</w:t>
      </w:r>
    </w:p>
    <w:p>
      <w:pPr>
        <w:pStyle w:val="2"/>
        <w:spacing w:before="120" w:beforeLines="50" w:after="120" w:afterLines="50" w:line="360" w:lineRule="auto"/>
        <w:ind w:firstLine="482" w:firstLineChars="200"/>
        <w:jc w:val="center"/>
        <w:rPr>
          <w:rFonts w:ascii="宋体" w:hAnsi="宋体"/>
          <w:color w:val="000000"/>
          <w:kern w:val="0"/>
          <w:sz w:val="24"/>
          <w:szCs w:val="24"/>
        </w:rPr>
      </w:pPr>
      <w:bookmarkStart w:id="8" w:name="_Toc256666786"/>
      <w:bookmarkStart w:id="9" w:name="_Toc256666914"/>
      <w:bookmarkStart w:id="10" w:name="_Toc6210"/>
      <w:bookmarkStart w:id="11" w:name="_Toc482624793"/>
      <w:r>
        <w:rPr>
          <w:rFonts w:hint="eastAsia" w:ascii="宋体" w:hAnsi="宋体"/>
          <w:color w:val="000000"/>
          <w:kern w:val="0"/>
          <w:sz w:val="24"/>
          <w:lang w:eastAsia="zh-CN"/>
        </w:rPr>
        <w:t>三、</w:t>
      </w:r>
      <w:r>
        <w:rPr>
          <w:rFonts w:hint="eastAsia" w:ascii="宋体" w:hAnsi="宋体"/>
          <w:color w:val="000000"/>
          <w:kern w:val="0"/>
          <w:sz w:val="24"/>
          <w:szCs w:val="24"/>
        </w:rPr>
        <w:t>相关服务机构</w:t>
      </w:r>
      <w:bookmarkEnd w:id="8"/>
      <w:bookmarkEnd w:id="9"/>
      <w:bookmarkEnd w:id="10"/>
      <w:bookmarkEnd w:id="11"/>
    </w:p>
    <w:p>
      <w:pPr>
        <w:spacing w:line="360" w:lineRule="auto"/>
        <w:ind w:firstLine="480" w:firstLineChars="200"/>
        <w:rPr>
          <w:rFonts w:ascii="宋体" w:hAnsi="宋体"/>
          <w:color w:val="000000"/>
          <w:kern w:val="0"/>
          <w:sz w:val="24"/>
        </w:rPr>
      </w:pPr>
      <w:bookmarkStart w:id="12" w:name="_Toc88969234"/>
      <w:r>
        <w:rPr>
          <w:rFonts w:hint="eastAsia" w:ascii="宋体" w:hAnsi="宋体"/>
          <w:color w:val="000000"/>
          <w:kern w:val="0"/>
          <w:sz w:val="24"/>
        </w:rPr>
        <w:t>（一）基金份额发售机构</w:t>
      </w:r>
      <w:bookmarkEnd w:id="12"/>
    </w:p>
    <w:p>
      <w:pPr>
        <w:spacing w:line="360" w:lineRule="auto"/>
        <w:ind w:firstLine="480" w:firstLineChars="200"/>
        <w:rPr>
          <w:rFonts w:ascii="宋体" w:hAnsi="宋体"/>
          <w:color w:val="000000"/>
          <w:kern w:val="0"/>
          <w:sz w:val="24"/>
        </w:rPr>
      </w:pPr>
      <w:r>
        <w:rPr>
          <w:rFonts w:hint="eastAsia" w:ascii="宋体" w:hAnsi="宋体"/>
          <w:color w:val="000000"/>
          <w:kern w:val="0"/>
          <w:sz w:val="24"/>
        </w:rPr>
        <w:t>1、直销机构：富荣基金管理有限公司直销中心</w:t>
      </w:r>
    </w:p>
    <w:p>
      <w:pPr>
        <w:spacing w:line="360" w:lineRule="auto"/>
        <w:ind w:firstLine="480" w:firstLineChars="200"/>
        <w:rPr>
          <w:rFonts w:ascii="宋体" w:hAnsi="宋体"/>
          <w:color w:val="000000"/>
          <w:kern w:val="0"/>
          <w:sz w:val="24"/>
        </w:rPr>
      </w:pPr>
      <w:r>
        <w:rPr>
          <w:rFonts w:hint="eastAsia" w:ascii="宋体" w:hAnsi="宋体"/>
          <w:sz w:val="24"/>
        </w:rPr>
        <w:t>注册地址</w:t>
      </w:r>
      <w:r>
        <w:rPr>
          <w:rFonts w:hint="eastAsia" w:ascii="宋体" w:hAnsi="宋体"/>
          <w:color w:val="000000"/>
          <w:kern w:val="0"/>
          <w:sz w:val="24"/>
        </w:rPr>
        <w:t xml:space="preserve">：广州市南沙区海滨路171号南沙金融大厦11楼1101之一J20室 </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办公地址：深圳市福田区深南大道2012号深圳证券交易所广场3501室</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法定代表人： 刘志军</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电话：0755-84356633</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传真：0755-83230787</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客服电话：4006855600</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网站：www.furamc.com.cn</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2、其他销售机构：</w:t>
      </w:r>
    </w:p>
    <w:tbl>
      <w:tblPr>
        <w:tblStyle w:val="34"/>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2551"/>
        <w:gridCol w:w="4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trPr>
        <w:tc>
          <w:tcPr>
            <w:tcW w:w="1526" w:type="dxa"/>
          </w:tcPr>
          <w:p>
            <w:pPr>
              <w:widowControl/>
              <w:jc w:val="center"/>
              <w:rPr>
                <w:rFonts w:ascii="宋体" w:hAnsi="宋体"/>
                <w:b/>
                <w:color w:val="000000"/>
                <w:kern w:val="0"/>
                <w:sz w:val="24"/>
              </w:rPr>
            </w:pPr>
            <w:r>
              <w:rPr>
                <w:rFonts w:hint="eastAsia" w:ascii="宋体" w:hAnsi="宋体"/>
                <w:b/>
                <w:color w:val="000000"/>
                <w:kern w:val="0"/>
                <w:sz w:val="24"/>
              </w:rPr>
              <w:t>序号</w:t>
            </w:r>
          </w:p>
        </w:tc>
        <w:tc>
          <w:tcPr>
            <w:tcW w:w="2551" w:type="dxa"/>
          </w:tcPr>
          <w:p>
            <w:pPr>
              <w:widowControl/>
              <w:jc w:val="center"/>
              <w:rPr>
                <w:rFonts w:ascii="宋体" w:hAnsi="宋体"/>
                <w:b/>
                <w:color w:val="000000"/>
                <w:kern w:val="0"/>
                <w:sz w:val="24"/>
              </w:rPr>
            </w:pPr>
            <w:r>
              <w:rPr>
                <w:rFonts w:hint="eastAsia" w:ascii="宋体" w:hAnsi="宋体"/>
                <w:b/>
                <w:color w:val="000000"/>
                <w:kern w:val="0"/>
                <w:sz w:val="24"/>
              </w:rPr>
              <w:t>代销机构名称</w:t>
            </w:r>
          </w:p>
        </w:tc>
        <w:tc>
          <w:tcPr>
            <w:tcW w:w="4536" w:type="dxa"/>
          </w:tcPr>
          <w:p>
            <w:pPr>
              <w:widowControl/>
              <w:jc w:val="center"/>
              <w:rPr>
                <w:rFonts w:ascii="宋体" w:hAnsi="宋体"/>
                <w:b/>
                <w:color w:val="000000"/>
                <w:kern w:val="0"/>
                <w:sz w:val="24"/>
              </w:rPr>
            </w:pPr>
            <w:r>
              <w:rPr>
                <w:rFonts w:hint="eastAsia" w:ascii="宋体" w:hAnsi="宋体"/>
                <w:b/>
                <w:color w:val="000000"/>
                <w:kern w:val="0"/>
                <w:sz w:val="24"/>
              </w:rPr>
              <w:t>代销机构信息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526"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1</w:t>
            </w:r>
          </w:p>
        </w:tc>
        <w:tc>
          <w:tcPr>
            <w:tcW w:w="2551"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中国光大银行股份有限公司</w:t>
            </w:r>
          </w:p>
        </w:tc>
        <w:tc>
          <w:tcPr>
            <w:tcW w:w="4536" w:type="dxa"/>
          </w:tcPr>
          <w:p>
            <w:pPr>
              <w:spacing w:line="360" w:lineRule="auto"/>
              <w:jc w:val="left"/>
              <w:rPr>
                <w:rFonts w:ascii="宋体" w:hAnsi="宋体"/>
                <w:color w:val="000000"/>
                <w:kern w:val="0"/>
                <w:sz w:val="24"/>
              </w:rPr>
            </w:pPr>
            <w:r>
              <w:rPr>
                <w:rFonts w:hint="eastAsia" w:ascii="宋体" w:hAnsi="宋体"/>
                <w:color w:val="000000"/>
                <w:kern w:val="0"/>
                <w:sz w:val="24"/>
              </w:rPr>
              <w:t>办公地址：北京市西城区太平桥大街25 号、甲25 号中国光大中心</w:t>
            </w:r>
            <w:r>
              <w:rPr>
                <w:rFonts w:hint="eastAsia" w:ascii="宋体" w:hAnsi="宋体"/>
                <w:color w:val="000000"/>
                <w:kern w:val="0"/>
                <w:sz w:val="24"/>
              </w:rPr>
              <w:br w:type="textWrapping"/>
            </w:r>
            <w:r>
              <w:rPr>
                <w:rFonts w:hint="eastAsia" w:ascii="宋体" w:hAnsi="宋体"/>
                <w:color w:val="000000"/>
                <w:kern w:val="0"/>
                <w:sz w:val="24"/>
              </w:rPr>
              <w:t>客服电话： 95595</w:t>
            </w:r>
            <w:r>
              <w:rPr>
                <w:rFonts w:hint="eastAsia" w:ascii="宋体" w:hAnsi="宋体"/>
                <w:color w:val="000000"/>
                <w:kern w:val="0"/>
                <w:sz w:val="24"/>
              </w:rPr>
              <w:br w:type="textWrapping"/>
            </w:r>
            <w:r>
              <w:rPr>
                <w:rFonts w:hint="eastAsia" w:ascii="宋体" w:hAnsi="宋体"/>
                <w:color w:val="000000"/>
                <w:kern w:val="0"/>
                <w:sz w:val="24"/>
              </w:rPr>
              <w:t>公司网址：www.cebbank.com</w:t>
            </w:r>
          </w:p>
        </w:tc>
      </w:tr>
    </w:tbl>
    <w:tbl>
      <w:tblPr>
        <w:tblStyle w:val="33"/>
        <w:tblW w:w="8613" w:type="dxa"/>
        <w:tblInd w:w="0" w:type="dxa"/>
        <w:tblLayout w:type="fixed"/>
        <w:tblCellMar>
          <w:top w:w="0" w:type="dxa"/>
          <w:left w:w="108" w:type="dxa"/>
          <w:bottom w:w="0" w:type="dxa"/>
          <w:right w:w="108" w:type="dxa"/>
        </w:tblCellMar>
      </w:tblPr>
      <w:tblGrid>
        <w:gridCol w:w="1526"/>
        <w:gridCol w:w="2527"/>
        <w:gridCol w:w="4560"/>
      </w:tblGrid>
      <w:tr>
        <w:tblPrEx>
          <w:tblLayout w:type="fixed"/>
          <w:tblCellMar>
            <w:top w:w="0" w:type="dxa"/>
            <w:left w:w="108" w:type="dxa"/>
            <w:bottom w:w="0" w:type="dxa"/>
            <w:right w:w="108" w:type="dxa"/>
          </w:tblCellMar>
        </w:tblPrEx>
        <w:trPr>
          <w:trHeight w:val="510" w:hRule="atLeast"/>
        </w:trPr>
        <w:tc>
          <w:tcPr>
            <w:tcW w:w="1526" w:type="dxa"/>
            <w:tcBorders>
              <w:top w:val="nil"/>
              <w:left w:val="single" w:color="auto" w:sz="4" w:space="0"/>
              <w:bottom w:val="single" w:color="auto" w:sz="4" w:space="0"/>
              <w:right w:val="single" w:color="auto" w:sz="4" w:space="0"/>
            </w:tcBorders>
            <w:shd w:val="clear" w:color="auto" w:fill="auto"/>
            <w:vAlign w:val="center"/>
          </w:tcPr>
          <w:p>
            <w:pPr>
              <w:spacing w:line="360" w:lineRule="auto"/>
              <w:jc w:val="center"/>
              <w:rPr>
                <w:rFonts w:ascii="宋体" w:hAnsi="宋体"/>
                <w:color w:val="000000"/>
                <w:kern w:val="0"/>
                <w:sz w:val="24"/>
              </w:rPr>
            </w:pPr>
            <w:r>
              <w:rPr>
                <w:rFonts w:hint="eastAsia" w:ascii="宋体" w:hAnsi="宋体"/>
                <w:color w:val="000000"/>
                <w:kern w:val="0"/>
                <w:sz w:val="24"/>
              </w:rPr>
              <w:t>2</w:t>
            </w:r>
          </w:p>
        </w:tc>
        <w:tc>
          <w:tcPr>
            <w:tcW w:w="2527" w:type="dxa"/>
            <w:tcBorders>
              <w:top w:val="nil"/>
              <w:left w:val="nil"/>
              <w:bottom w:val="single" w:color="auto" w:sz="4" w:space="0"/>
              <w:right w:val="single" w:color="auto" w:sz="4" w:space="0"/>
            </w:tcBorders>
            <w:shd w:val="clear" w:color="auto" w:fill="auto"/>
            <w:vAlign w:val="center"/>
          </w:tcPr>
          <w:p>
            <w:pPr>
              <w:spacing w:line="360" w:lineRule="auto"/>
              <w:jc w:val="center"/>
              <w:rPr>
                <w:rFonts w:ascii="宋体" w:hAnsi="宋体"/>
                <w:color w:val="000000"/>
                <w:kern w:val="0"/>
                <w:sz w:val="24"/>
              </w:rPr>
            </w:pPr>
            <w:r>
              <w:rPr>
                <w:rFonts w:hint="eastAsia" w:ascii="宋体" w:hAnsi="宋体"/>
                <w:color w:val="000000"/>
                <w:kern w:val="0"/>
                <w:sz w:val="24"/>
              </w:rPr>
              <w:t>深圳金斧子投资咨询有限公司</w:t>
            </w:r>
          </w:p>
        </w:tc>
        <w:tc>
          <w:tcPr>
            <w:tcW w:w="4560" w:type="dxa"/>
            <w:tcBorders>
              <w:top w:val="nil"/>
              <w:left w:val="nil"/>
              <w:bottom w:val="single" w:color="auto" w:sz="4" w:space="0"/>
              <w:right w:val="single" w:color="auto" w:sz="4" w:space="0"/>
            </w:tcBorders>
            <w:shd w:val="clear" w:color="auto" w:fill="auto"/>
            <w:vAlign w:val="center"/>
          </w:tcPr>
          <w:p>
            <w:pPr>
              <w:spacing w:line="360" w:lineRule="auto"/>
              <w:jc w:val="left"/>
              <w:rPr>
                <w:rFonts w:ascii="宋体" w:hAnsi="宋体"/>
                <w:color w:val="000000"/>
                <w:kern w:val="0"/>
                <w:sz w:val="24"/>
              </w:rPr>
            </w:pPr>
            <w:r>
              <w:rPr>
                <w:rFonts w:hint="eastAsia" w:ascii="宋体" w:hAnsi="宋体"/>
                <w:color w:val="000000"/>
                <w:kern w:val="0"/>
                <w:sz w:val="24"/>
              </w:rPr>
              <w:t>办公地址：深圳市南山区粤海街道科苑路16号东方科技大厦18楼</w:t>
            </w:r>
          </w:p>
          <w:p>
            <w:pPr>
              <w:spacing w:line="360" w:lineRule="auto"/>
              <w:jc w:val="left"/>
              <w:rPr>
                <w:rFonts w:ascii="宋体" w:hAnsi="宋体"/>
                <w:color w:val="000000"/>
                <w:kern w:val="0"/>
                <w:sz w:val="24"/>
              </w:rPr>
            </w:pPr>
            <w:r>
              <w:rPr>
                <w:rFonts w:hint="eastAsia" w:ascii="宋体" w:hAnsi="宋体"/>
                <w:color w:val="000000"/>
                <w:kern w:val="0"/>
                <w:sz w:val="24"/>
              </w:rPr>
              <w:t>客服电话：400-9500-888</w:t>
            </w:r>
          </w:p>
          <w:p>
            <w:pPr>
              <w:spacing w:line="360" w:lineRule="auto"/>
              <w:jc w:val="left"/>
              <w:rPr>
                <w:rFonts w:ascii="宋体" w:hAnsi="宋体"/>
                <w:color w:val="000000"/>
                <w:kern w:val="0"/>
                <w:sz w:val="24"/>
              </w:rPr>
            </w:pPr>
            <w:r>
              <w:rPr>
                <w:rFonts w:hint="eastAsia" w:ascii="宋体" w:hAnsi="宋体"/>
                <w:color w:val="000000"/>
                <w:kern w:val="0"/>
                <w:sz w:val="24"/>
              </w:rPr>
              <w:t>公司网址：www.jfzinv.com</w:t>
            </w:r>
          </w:p>
        </w:tc>
      </w:tr>
    </w:tbl>
    <w:tbl>
      <w:tblPr>
        <w:tblStyle w:val="34"/>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2527"/>
        <w:gridCol w:w="24"/>
        <w:gridCol w:w="4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526"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3</w:t>
            </w:r>
          </w:p>
        </w:tc>
        <w:tc>
          <w:tcPr>
            <w:tcW w:w="2527"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上海陆金所资产管理有限公司</w:t>
            </w:r>
          </w:p>
        </w:tc>
        <w:tc>
          <w:tcPr>
            <w:tcW w:w="4560" w:type="dxa"/>
            <w:gridSpan w:val="2"/>
          </w:tcPr>
          <w:p>
            <w:pPr>
              <w:spacing w:line="360" w:lineRule="auto"/>
              <w:rPr>
                <w:rFonts w:ascii="宋体" w:hAnsi="宋体"/>
                <w:color w:val="000000"/>
                <w:kern w:val="0"/>
                <w:sz w:val="24"/>
              </w:rPr>
            </w:pPr>
            <w:r>
              <w:rPr>
                <w:rFonts w:hint="eastAsia" w:ascii="宋体" w:hAnsi="宋体"/>
                <w:color w:val="000000"/>
                <w:kern w:val="0"/>
                <w:sz w:val="24"/>
              </w:rPr>
              <w:t>办公地址：中国（上海）自由贸易试验区陆家嘴环路1333号14楼09单元</w:t>
            </w:r>
          </w:p>
          <w:p>
            <w:pPr>
              <w:spacing w:line="360" w:lineRule="auto"/>
              <w:rPr>
                <w:rFonts w:ascii="宋体" w:hAnsi="宋体"/>
                <w:color w:val="000000"/>
                <w:kern w:val="0"/>
                <w:sz w:val="24"/>
              </w:rPr>
            </w:pPr>
            <w:r>
              <w:rPr>
                <w:rFonts w:hint="eastAsia" w:ascii="宋体" w:hAnsi="宋体"/>
                <w:color w:val="000000"/>
                <w:kern w:val="0"/>
                <w:sz w:val="24"/>
              </w:rPr>
              <w:t>客服电话：4008219031</w:t>
            </w:r>
          </w:p>
          <w:p>
            <w:pPr>
              <w:spacing w:line="360" w:lineRule="auto"/>
              <w:rPr>
                <w:rFonts w:ascii="宋体" w:hAnsi="宋体"/>
                <w:color w:val="000000"/>
                <w:kern w:val="0"/>
                <w:sz w:val="24"/>
              </w:rPr>
            </w:pPr>
            <w:r>
              <w:rPr>
                <w:rFonts w:hint="eastAsia" w:ascii="宋体" w:hAnsi="宋体"/>
                <w:color w:val="000000"/>
                <w:kern w:val="0"/>
                <w:sz w:val="24"/>
              </w:rPr>
              <w:t>公司网址：</w:t>
            </w:r>
            <w:r>
              <w:rPr>
                <w:rFonts w:ascii="宋体" w:hAnsi="宋体"/>
                <w:color w:val="000000"/>
                <w:kern w:val="0"/>
                <w:sz w:val="24"/>
              </w:rPr>
              <w:t>www.lufunds.com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4</w:t>
            </w:r>
          </w:p>
        </w:tc>
        <w:tc>
          <w:tcPr>
            <w:tcW w:w="2527"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上海联泰资产管理有限公司</w:t>
            </w:r>
          </w:p>
        </w:tc>
        <w:tc>
          <w:tcPr>
            <w:tcW w:w="4560" w:type="dxa"/>
            <w:gridSpan w:val="2"/>
          </w:tcPr>
          <w:p>
            <w:pPr>
              <w:spacing w:line="360" w:lineRule="auto"/>
              <w:rPr>
                <w:rFonts w:ascii="宋体" w:hAnsi="宋体"/>
                <w:color w:val="000000"/>
                <w:kern w:val="0"/>
                <w:sz w:val="24"/>
              </w:rPr>
            </w:pPr>
            <w:r>
              <w:rPr>
                <w:rFonts w:hint="eastAsia" w:ascii="宋体" w:hAnsi="宋体"/>
                <w:color w:val="000000"/>
                <w:kern w:val="0"/>
                <w:sz w:val="24"/>
              </w:rPr>
              <w:t>办公地址：中国（上海）自由贸易试验区富特北路277号3层310室</w:t>
            </w:r>
          </w:p>
          <w:p>
            <w:pPr>
              <w:spacing w:line="360" w:lineRule="auto"/>
              <w:rPr>
                <w:rFonts w:ascii="宋体" w:hAnsi="宋体"/>
                <w:color w:val="000000"/>
                <w:kern w:val="0"/>
                <w:sz w:val="24"/>
              </w:rPr>
            </w:pPr>
            <w:r>
              <w:rPr>
                <w:rFonts w:hint="eastAsia" w:ascii="宋体" w:hAnsi="宋体"/>
                <w:color w:val="000000"/>
                <w:kern w:val="0"/>
                <w:sz w:val="24"/>
              </w:rPr>
              <w:t>客服电话：4000466788</w:t>
            </w:r>
          </w:p>
          <w:p>
            <w:pPr>
              <w:spacing w:line="360" w:lineRule="auto"/>
              <w:rPr>
                <w:rFonts w:ascii="宋体" w:hAnsi="宋体"/>
                <w:color w:val="000000"/>
                <w:kern w:val="0"/>
                <w:sz w:val="24"/>
              </w:rPr>
            </w:pPr>
            <w:r>
              <w:rPr>
                <w:rFonts w:hint="eastAsia" w:ascii="宋体" w:hAnsi="宋体"/>
                <w:color w:val="000000"/>
                <w:kern w:val="0"/>
                <w:sz w:val="24"/>
              </w:rPr>
              <w:t>公司网址：</w:t>
            </w:r>
            <w:r>
              <w:rPr>
                <w:rFonts w:ascii="宋体" w:hAnsi="宋体"/>
                <w:color w:val="000000"/>
                <w:kern w:val="0"/>
                <w:sz w:val="24"/>
              </w:rPr>
              <w:t xml:space="preserve"> www.66zichan.com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5</w:t>
            </w:r>
          </w:p>
        </w:tc>
        <w:tc>
          <w:tcPr>
            <w:tcW w:w="2527"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上海天天基金销售有限公司</w:t>
            </w:r>
          </w:p>
        </w:tc>
        <w:tc>
          <w:tcPr>
            <w:tcW w:w="4560" w:type="dxa"/>
            <w:gridSpan w:val="2"/>
          </w:tcPr>
          <w:p>
            <w:pPr>
              <w:spacing w:line="360" w:lineRule="auto"/>
              <w:rPr>
                <w:rFonts w:ascii="宋体" w:hAnsi="宋体"/>
                <w:color w:val="000000"/>
                <w:kern w:val="0"/>
                <w:sz w:val="24"/>
              </w:rPr>
            </w:pPr>
            <w:r>
              <w:rPr>
                <w:rFonts w:hint="eastAsia" w:ascii="宋体" w:hAnsi="宋体"/>
                <w:color w:val="000000"/>
                <w:kern w:val="0"/>
                <w:sz w:val="24"/>
              </w:rPr>
              <w:t>办公地址：上海市徐汇区龙田路190号2号楼二层</w:t>
            </w:r>
          </w:p>
          <w:p>
            <w:pPr>
              <w:spacing w:line="360" w:lineRule="auto"/>
              <w:rPr>
                <w:rFonts w:ascii="宋体" w:hAnsi="宋体"/>
                <w:color w:val="000000"/>
                <w:kern w:val="0"/>
                <w:sz w:val="24"/>
              </w:rPr>
            </w:pPr>
            <w:r>
              <w:rPr>
                <w:rFonts w:hint="eastAsia" w:ascii="宋体" w:hAnsi="宋体"/>
                <w:color w:val="000000"/>
                <w:kern w:val="0"/>
                <w:sz w:val="24"/>
              </w:rPr>
              <w:t>客服电话：4001818188</w:t>
            </w:r>
          </w:p>
          <w:p>
            <w:pPr>
              <w:spacing w:line="360" w:lineRule="auto"/>
              <w:rPr>
                <w:rFonts w:ascii="宋体" w:hAnsi="宋体"/>
                <w:color w:val="000000"/>
                <w:kern w:val="0"/>
                <w:sz w:val="24"/>
              </w:rPr>
            </w:pPr>
            <w:r>
              <w:rPr>
                <w:rFonts w:hint="eastAsia" w:ascii="宋体" w:hAnsi="宋体"/>
                <w:color w:val="000000"/>
                <w:kern w:val="0"/>
                <w:sz w:val="24"/>
              </w:rPr>
              <w:t>公司网址：</w:t>
            </w:r>
            <w:r>
              <w:rPr>
                <w:rFonts w:ascii="宋体" w:hAnsi="宋体"/>
                <w:color w:val="000000"/>
                <w:kern w:val="0"/>
                <w:sz w:val="24"/>
              </w:rPr>
              <w:t xml:space="preserve"> fund.eastmoney.com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6</w:t>
            </w:r>
          </w:p>
        </w:tc>
        <w:tc>
          <w:tcPr>
            <w:tcW w:w="2527"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北京虹点基金销售有限公司</w:t>
            </w:r>
          </w:p>
          <w:p>
            <w:pPr>
              <w:spacing w:line="360" w:lineRule="auto"/>
              <w:jc w:val="center"/>
              <w:rPr>
                <w:rFonts w:ascii="宋体" w:hAnsi="宋体"/>
                <w:color w:val="000000"/>
                <w:kern w:val="0"/>
                <w:sz w:val="24"/>
              </w:rPr>
            </w:pPr>
          </w:p>
        </w:tc>
        <w:tc>
          <w:tcPr>
            <w:tcW w:w="4560" w:type="dxa"/>
            <w:gridSpan w:val="2"/>
          </w:tcPr>
          <w:p>
            <w:pPr>
              <w:spacing w:line="360" w:lineRule="auto"/>
              <w:rPr>
                <w:rFonts w:ascii="宋体" w:hAnsi="宋体"/>
                <w:color w:val="000000"/>
                <w:kern w:val="0"/>
                <w:sz w:val="24"/>
              </w:rPr>
            </w:pPr>
            <w:r>
              <w:rPr>
                <w:rFonts w:hint="eastAsia" w:ascii="宋体" w:hAnsi="宋体"/>
                <w:color w:val="000000"/>
                <w:kern w:val="0"/>
                <w:sz w:val="24"/>
              </w:rPr>
              <w:t>办公地址：北京市朝阳区工人体育场北路甲2号裙房2层222单元</w:t>
            </w:r>
          </w:p>
          <w:p>
            <w:pPr>
              <w:spacing w:line="360" w:lineRule="auto"/>
              <w:rPr>
                <w:rFonts w:ascii="宋体" w:hAnsi="宋体"/>
                <w:color w:val="000000"/>
                <w:kern w:val="0"/>
                <w:sz w:val="24"/>
              </w:rPr>
            </w:pPr>
            <w:r>
              <w:rPr>
                <w:rFonts w:hint="eastAsia" w:ascii="宋体" w:hAnsi="宋体"/>
                <w:color w:val="000000"/>
                <w:kern w:val="0"/>
                <w:sz w:val="24"/>
              </w:rPr>
              <w:t>客服电话：4000681176</w:t>
            </w:r>
          </w:p>
          <w:p>
            <w:pPr>
              <w:spacing w:line="360" w:lineRule="auto"/>
              <w:rPr>
                <w:rFonts w:ascii="宋体" w:hAnsi="宋体"/>
                <w:color w:val="000000"/>
                <w:kern w:val="0"/>
                <w:sz w:val="24"/>
              </w:rPr>
            </w:pPr>
            <w:r>
              <w:rPr>
                <w:rFonts w:hint="eastAsia" w:ascii="宋体" w:hAnsi="宋体"/>
                <w:color w:val="000000"/>
                <w:kern w:val="0"/>
                <w:sz w:val="24"/>
              </w:rPr>
              <w:t>公司网址：</w:t>
            </w:r>
            <w:r>
              <w:rPr>
                <w:rFonts w:ascii="宋体" w:hAnsi="宋体"/>
                <w:color w:val="000000"/>
                <w:kern w:val="0"/>
                <w:sz w:val="24"/>
              </w:rPr>
              <w:t>www.jimufund.com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7</w:t>
            </w:r>
          </w:p>
        </w:tc>
        <w:tc>
          <w:tcPr>
            <w:tcW w:w="2527"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平安证券股份有限公司</w:t>
            </w:r>
          </w:p>
        </w:tc>
        <w:tc>
          <w:tcPr>
            <w:tcW w:w="4560" w:type="dxa"/>
            <w:gridSpan w:val="2"/>
          </w:tcPr>
          <w:p>
            <w:pPr>
              <w:spacing w:line="360" w:lineRule="auto"/>
              <w:rPr>
                <w:rFonts w:ascii="宋体" w:hAnsi="宋体"/>
                <w:color w:val="000000"/>
                <w:kern w:val="0"/>
                <w:sz w:val="24"/>
              </w:rPr>
            </w:pPr>
            <w:r>
              <w:rPr>
                <w:rFonts w:hint="eastAsia" w:ascii="宋体" w:hAnsi="宋体"/>
                <w:color w:val="000000"/>
                <w:kern w:val="0"/>
                <w:sz w:val="24"/>
              </w:rPr>
              <w:t>办公地址：深圳市福田区金田路4036号荣超大厦16-20层</w:t>
            </w:r>
          </w:p>
          <w:p>
            <w:pPr>
              <w:spacing w:line="360" w:lineRule="auto"/>
              <w:rPr>
                <w:rFonts w:ascii="宋体" w:hAnsi="宋体"/>
                <w:color w:val="000000"/>
                <w:kern w:val="0"/>
                <w:sz w:val="24"/>
              </w:rPr>
            </w:pPr>
            <w:r>
              <w:rPr>
                <w:rFonts w:hint="eastAsia" w:ascii="宋体" w:hAnsi="宋体"/>
                <w:color w:val="000000"/>
                <w:kern w:val="0"/>
                <w:sz w:val="24"/>
              </w:rPr>
              <w:t>客服电话：95511</w:t>
            </w:r>
          </w:p>
          <w:p>
            <w:pPr>
              <w:spacing w:line="360" w:lineRule="auto"/>
              <w:rPr>
                <w:rFonts w:ascii="宋体" w:hAnsi="宋体"/>
                <w:color w:val="000000"/>
                <w:kern w:val="0"/>
                <w:sz w:val="24"/>
              </w:rPr>
            </w:pPr>
            <w:r>
              <w:rPr>
                <w:rFonts w:hint="eastAsia" w:ascii="宋体" w:hAnsi="宋体"/>
                <w:color w:val="000000"/>
                <w:kern w:val="0"/>
                <w:sz w:val="24"/>
              </w:rPr>
              <w:t>公司网址：</w:t>
            </w:r>
            <w:r>
              <w:rPr>
                <w:rFonts w:ascii="宋体" w:hAnsi="宋体"/>
                <w:b w:val="0"/>
                <w:bCs w:val="0"/>
                <w:color w:val="0000FF"/>
                <w:kern w:val="0"/>
                <w:sz w:val="24"/>
                <w:szCs w:val="24"/>
                <w:u w:val="none"/>
              </w:rPr>
              <w:fldChar w:fldCharType="begin"/>
            </w:r>
            <w:r>
              <w:rPr>
                <w:rFonts w:ascii="宋体" w:hAnsi="宋体"/>
                <w:b w:val="0"/>
                <w:bCs w:val="0"/>
                <w:color w:val="000000"/>
                <w:kern w:val="0"/>
                <w:sz w:val="24"/>
                <w:szCs w:val="24"/>
              </w:rPr>
              <w:instrText xml:space="preserve"> HYPERLINK "http://www.stock.pingan.com/" \t "_blank" </w:instrText>
            </w:r>
            <w:r>
              <w:rPr>
                <w:rFonts w:ascii="宋体" w:hAnsi="宋体"/>
                <w:b w:val="0"/>
                <w:bCs w:val="0"/>
                <w:color w:val="0000FF"/>
                <w:kern w:val="0"/>
                <w:sz w:val="24"/>
                <w:szCs w:val="24"/>
                <w:u w:val="none"/>
              </w:rPr>
              <w:fldChar w:fldCharType="separate"/>
            </w:r>
            <w:r>
              <w:rPr>
                <w:rStyle w:val="27"/>
                <w:rFonts w:ascii="宋体" w:hAnsi="宋体" w:eastAsia="微软雅黑"/>
                <w:b w:val="0"/>
                <w:bCs w:val="0"/>
                <w:color w:val="000000"/>
                <w:kern w:val="0"/>
                <w:sz w:val="24"/>
                <w:szCs w:val="21"/>
                <w:u w:val="none"/>
                <w:shd w:val="clear" w:color="auto" w:fill="FFFFFF"/>
              </w:rPr>
              <w:t>www.stock.pingan.com</w:t>
            </w:r>
            <w:r>
              <w:rPr>
                <w:rFonts w:ascii="宋体" w:hAnsi="宋体"/>
                <w:b w:val="0"/>
                <w:bCs w:val="0"/>
                <w:color w:val="0000FF"/>
                <w:kern w:val="0"/>
                <w:sz w:val="24"/>
                <w:szCs w:val="24"/>
                <w:u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8</w:t>
            </w:r>
          </w:p>
        </w:tc>
        <w:tc>
          <w:tcPr>
            <w:tcW w:w="2527"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北京钱景财富投资管理有限公司</w:t>
            </w:r>
          </w:p>
        </w:tc>
        <w:tc>
          <w:tcPr>
            <w:tcW w:w="4560" w:type="dxa"/>
            <w:gridSpan w:val="2"/>
          </w:tcPr>
          <w:p>
            <w:pPr>
              <w:spacing w:line="360" w:lineRule="auto"/>
              <w:rPr>
                <w:rFonts w:ascii="宋体" w:hAnsi="宋体"/>
                <w:color w:val="000000"/>
                <w:kern w:val="0"/>
                <w:sz w:val="24"/>
              </w:rPr>
            </w:pPr>
            <w:r>
              <w:rPr>
                <w:rFonts w:hint="eastAsia" w:ascii="宋体" w:hAnsi="宋体"/>
                <w:color w:val="000000"/>
                <w:kern w:val="0"/>
                <w:sz w:val="24"/>
              </w:rPr>
              <w:t>办公地址：北京市海淀区丹棱街6号1幢9层1008-1012</w:t>
            </w:r>
          </w:p>
          <w:p>
            <w:pPr>
              <w:spacing w:line="360" w:lineRule="auto"/>
              <w:rPr>
                <w:rFonts w:ascii="宋体" w:hAnsi="宋体"/>
                <w:color w:val="000000"/>
                <w:kern w:val="0"/>
                <w:sz w:val="24"/>
              </w:rPr>
            </w:pPr>
            <w:r>
              <w:rPr>
                <w:rFonts w:hint="eastAsia" w:ascii="宋体" w:hAnsi="宋体"/>
                <w:color w:val="000000"/>
                <w:kern w:val="0"/>
                <w:sz w:val="24"/>
              </w:rPr>
              <w:t>客服电话：4008936885</w:t>
            </w:r>
          </w:p>
          <w:p>
            <w:pPr>
              <w:spacing w:line="360" w:lineRule="auto"/>
              <w:rPr>
                <w:rFonts w:ascii="宋体" w:hAnsi="宋体"/>
                <w:color w:val="000000"/>
                <w:kern w:val="0"/>
                <w:sz w:val="24"/>
              </w:rPr>
            </w:pPr>
            <w:r>
              <w:rPr>
                <w:rFonts w:hint="eastAsia" w:ascii="宋体" w:hAnsi="宋体"/>
                <w:color w:val="000000"/>
                <w:kern w:val="0"/>
                <w:sz w:val="24"/>
              </w:rPr>
              <w:t>公司网址：</w:t>
            </w:r>
            <w:r>
              <w:rPr>
                <w:rFonts w:ascii="宋体" w:hAnsi="宋体"/>
                <w:color w:val="000000"/>
                <w:kern w:val="0"/>
                <w:sz w:val="24"/>
              </w:rPr>
              <w:t>www.qianjing.com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9</w:t>
            </w:r>
          </w:p>
        </w:tc>
        <w:tc>
          <w:tcPr>
            <w:tcW w:w="2527"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上海好买基金销售有限公司</w:t>
            </w:r>
          </w:p>
        </w:tc>
        <w:tc>
          <w:tcPr>
            <w:tcW w:w="4560" w:type="dxa"/>
            <w:gridSpan w:val="2"/>
          </w:tcPr>
          <w:p>
            <w:pPr>
              <w:spacing w:line="360" w:lineRule="auto"/>
              <w:rPr>
                <w:rFonts w:ascii="宋体" w:hAnsi="宋体"/>
                <w:color w:val="000000"/>
                <w:kern w:val="0"/>
                <w:sz w:val="24"/>
              </w:rPr>
            </w:pPr>
            <w:r>
              <w:rPr>
                <w:rFonts w:hint="eastAsia" w:ascii="宋体" w:hAnsi="宋体"/>
                <w:color w:val="000000"/>
                <w:kern w:val="0"/>
                <w:sz w:val="24"/>
              </w:rPr>
              <w:t>办公地址：上海市浦东新区浦东南路1118号鄂尔多斯大厦9楼</w:t>
            </w:r>
          </w:p>
          <w:p>
            <w:pPr>
              <w:spacing w:line="360" w:lineRule="auto"/>
              <w:rPr>
                <w:rFonts w:ascii="宋体" w:hAnsi="宋体"/>
                <w:color w:val="000000"/>
                <w:kern w:val="0"/>
                <w:sz w:val="24"/>
              </w:rPr>
            </w:pPr>
            <w:r>
              <w:rPr>
                <w:rFonts w:hint="eastAsia" w:ascii="宋体" w:hAnsi="宋体"/>
                <w:color w:val="000000"/>
                <w:kern w:val="0"/>
                <w:sz w:val="24"/>
              </w:rPr>
              <w:t>客服电话：400-700-9665</w:t>
            </w:r>
          </w:p>
          <w:p>
            <w:pPr>
              <w:spacing w:line="360" w:lineRule="auto"/>
              <w:rPr>
                <w:rFonts w:ascii="宋体" w:hAnsi="宋体"/>
                <w:color w:val="000000"/>
                <w:kern w:val="0"/>
                <w:sz w:val="24"/>
              </w:rPr>
            </w:pPr>
            <w:r>
              <w:rPr>
                <w:rFonts w:hint="eastAsia" w:ascii="宋体" w:hAnsi="宋体"/>
                <w:color w:val="000000"/>
                <w:kern w:val="0"/>
                <w:sz w:val="24"/>
              </w:rPr>
              <w:t>公司网址：www.ehowbuy.com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10</w:t>
            </w:r>
          </w:p>
        </w:tc>
        <w:tc>
          <w:tcPr>
            <w:tcW w:w="2527"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上海基煜基金销售有限公司</w:t>
            </w:r>
          </w:p>
        </w:tc>
        <w:tc>
          <w:tcPr>
            <w:tcW w:w="4560" w:type="dxa"/>
            <w:gridSpan w:val="2"/>
          </w:tcPr>
          <w:p>
            <w:pPr>
              <w:spacing w:line="360" w:lineRule="auto"/>
              <w:jc w:val="left"/>
              <w:rPr>
                <w:rFonts w:ascii="宋体" w:hAnsi="宋体"/>
                <w:color w:val="000000"/>
                <w:kern w:val="0"/>
                <w:sz w:val="24"/>
              </w:rPr>
            </w:pPr>
            <w:r>
              <w:rPr>
                <w:rFonts w:hint="eastAsia" w:ascii="宋体" w:hAnsi="宋体"/>
                <w:color w:val="000000"/>
                <w:kern w:val="0"/>
                <w:sz w:val="24"/>
              </w:rPr>
              <w:t>办公地址：上海市崇明县长兴镇潘园公路1800号2号楼6153室</w:t>
            </w:r>
          </w:p>
          <w:p>
            <w:pPr>
              <w:spacing w:line="360" w:lineRule="auto"/>
              <w:rPr>
                <w:rFonts w:ascii="宋体" w:hAnsi="宋体"/>
                <w:color w:val="000000"/>
                <w:kern w:val="0"/>
                <w:sz w:val="24"/>
              </w:rPr>
            </w:pPr>
            <w:r>
              <w:rPr>
                <w:rFonts w:hint="eastAsia" w:ascii="宋体" w:hAnsi="宋体"/>
                <w:color w:val="000000"/>
                <w:kern w:val="0"/>
                <w:sz w:val="24"/>
              </w:rPr>
              <w:t>客服电话：</w:t>
            </w:r>
            <w:r>
              <w:rPr>
                <w:rFonts w:ascii="宋体" w:hAnsi="宋体"/>
                <w:color w:val="000000"/>
                <w:kern w:val="0"/>
                <w:sz w:val="24"/>
              </w:rPr>
              <w:t>400-820-5369</w:t>
            </w:r>
          </w:p>
          <w:p>
            <w:pPr>
              <w:spacing w:line="360" w:lineRule="auto"/>
              <w:rPr>
                <w:rFonts w:ascii="宋体" w:hAnsi="宋体"/>
                <w:color w:val="000000"/>
                <w:kern w:val="0"/>
                <w:sz w:val="24"/>
              </w:rPr>
            </w:pPr>
            <w:r>
              <w:rPr>
                <w:rFonts w:hint="eastAsia" w:ascii="宋体" w:hAnsi="宋体"/>
                <w:color w:val="000000"/>
                <w:kern w:val="0"/>
                <w:sz w:val="24"/>
              </w:rPr>
              <w:t>公司网址：</w:t>
            </w:r>
            <w:r>
              <w:fldChar w:fldCharType="begin"/>
            </w:r>
            <w:r>
              <w:instrText xml:space="preserve"> HYPERLINK "http://www.jiyufund.com.cn/" \t "_blank" </w:instrText>
            </w:r>
            <w:r>
              <w:fldChar w:fldCharType="separate"/>
            </w:r>
            <w:r>
              <w:rPr>
                <w:rFonts w:ascii="宋体" w:hAnsi="宋体"/>
                <w:color w:val="000000"/>
                <w:kern w:val="0"/>
                <w:sz w:val="24"/>
              </w:rPr>
              <w:t>www.jiyufund.com.cn</w:t>
            </w:r>
            <w:r>
              <w:rPr>
                <w:rFonts w:ascii="宋体" w:hAnsi="宋体"/>
                <w:color w:val="000000"/>
                <w:kern w:val="0"/>
                <w:sz w:val="24"/>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11</w:t>
            </w:r>
          </w:p>
        </w:tc>
        <w:tc>
          <w:tcPr>
            <w:tcW w:w="2527"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北京肯特瑞财富投资管理有限公司</w:t>
            </w:r>
          </w:p>
        </w:tc>
        <w:tc>
          <w:tcPr>
            <w:tcW w:w="4560" w:type="dxa"/>
            <w:gridSpan w:val="2"/>
          </w:tcPr>
          <w:p>
            <w:pPr>
              <w:spacing w:line="360" w:lineRule="auto"/>
              <w:jc w:val="left"/>
              <w:rPr>
                <w:rFonts w:ascii="宋体" w:hAnsi="宋体"/>
                <w:color w:val="000000"/>
                <w:kern w:val="0"/>
                <w:sz w:val="24"/>
              </w:rPr>
            </w:pPr>
            <w:r>
              <w:rPr>
                <w:rFonts w:hint="eastAsia" w:ascii="宋体" w:hAnsi="宋体"/>
                <w:color w:val="000000"/>
                <w:kern w:val="0"/>
                <w:sz w:val="24"/>
              </w:rPr>
              <w:t>办公地址：北京市亦庄经济开发区科创十一街18号A座</w:t>
            </w:r>
          </w:p>
          <w:p>
            <w:pPr>
              <w:spacing w:line="360" w:lineRule="auto"/>
              <w:rPr>
                <w:rFonts w:ascii="宋体" w:hAnsi="宋体"/>
                <w:color w:val="000000"/>
                <w:kern w:val="0"/>
                <w:sz w:val="24"/>
              </w:rPr>
            </w:pPr>
            <w:r>
              <w:rPr>
                <w:rFonts w:hint="eastAsia" w:ascii="宋体" w:hAnsi="宋体"/>
                <w:color w:val="000000"/>
                <w:kern w:val="0"/>
                <w:sz w:val="24"/>
              </w:rPr>
              <w:t>客服电话：</w:t>
            </w:r>
            <w:r>
              <w:rPr>
                <w:rFonts w:ascii="宋体" w:hAnsi="宋体"/>
                <w:color w:val="000000"/>
                <w:kern w:val="0"/>
                <w:sz w:val="24"/>
              </w:rPr>
              <w:t>95118</w:t>
            </w:r>
          </w:p>
          <w:p>
            <w:pPr>
              <w:spacing w:line="360" w:lineRule="auto"/>
              <w:rPr>
                <w:rFonts w:ascii="宋体" w:hAnsi="宋体"/>
                <w:color w:val="000000"/>
                <w:kern w:val="0"/>
                <w:sz w:val="24"/>
              </w:rPr>
            </w:pPr>
            <w:r>
              <w:rPr>
                <w:rFonts w:hint="eastAsia" w:ascii="宋体" w:hAnsi="宋体"/>
                <w:color w:val="000000"/>
                <w:kern w:val="0"/>
                <w:sz w:val="24"/>
              </w:rPr>
              <w:t>公司网址：www.fund.jd.com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12</w:t>
            </w:r>
          </w:p>
        </w:tc>
        <w:tc>
          <w:tcPr>
            <w:tcW w:w="2551" w:type="dxa"/>
            <w:gridSpan w:val="2"/>
            <w:vAlign w:val="center"/>
          </w:tcPr>
          <w:p>
            <w:pPr>
              <w:spacing w:line="360" w:lineRule="auto"/>
              <w:jc w:val="center"/>
              <w:rPr>
                <w:rFonts w:ascii="宋体" w:hAnsi="宋体"/>
                <w:color w:val="000000"/>
                <w:kern w:val="0"/>
                <w:sz w:val="24"/>
              </w:rPr>
            </w:pPr>
            <w:r>
              <w:rPr>
                <w:rFonts w:hint="eastAsia" w:ascii="宋体" w:hAnsi="宋体"/>
                <w:color w:val="000000"/>
                <w:kern w:val="0"/>
                <w:sz w:val="24"/>
              </w:rPr>
              <w:t>江苏金百临投资咨询股份有限公司</w:t>
            </w:r>
          </w:p>
        </w:tc>
        <w:tc>
          <w:tcPr>
            <w:tcW w:w="4536" w:type="dxa"/>
          </w:tcPr>
          <w:p>
            <w:pPr>
              <w:spacing w:line="360" w:lineRule="auto"/>
              <w:jc w:val="left"/>
              <w:rPr>
                <w:rFonts w:ascii="宋体" w:hAnsi="宋体"/>
                <w:color w:val="000000"/>
                <w:kern w:val="0"/>
                <w:sz w:val="24"/>
              </w:rPr>
            </w:pPr>
            <w:r>
              <w:rPr>
                <w:rFonts w:hint="eastAsia" w:ascii="宋体" w:hAnsi="宋体"/>
                <w:color w:val="000000"/>
                <w:kern w:val="0"/>
                <w:sz w:val="24"/>
              </w:rPr>
              <w:t>办公地址：无锡市太湖新城锦溪道楝泽路9号楼</w:t>
            </w:r>
          </w:p>
          <w:p>
            <w:pPr>
              <w:spacing w:line="360" w:lineRule="auto"/>
              <w:rPr>
                <w:rFonts w:ascii="宋体" w:hAnsi="宋体"/>
                <w:color w:val="000000"/>
                <w:kern w:val="0"/>
                <w:sz w:val="24"/>
              </w:rPr>
            </w:pPr>
            <w:r>
              <w:rPr>
                <w:rFonts w:hint="eastAsia" w:ascii="宋体" w:hAnsi="宋体"/>
                <w:color w:val="000000"/>
                <w:kern w:val="0"/>
                <w:sz w:val="24"/>
              </w:rPr>
              <w:t>客服电话：0510-9688988</w:t>
            </w:r>
          </w:p>
          <w:p>
            <w:pPr>
              <w:spacing w:line="360" w:lineRule="auto"/>
              <w:rPr>
                <w:rFonts w:ascii="宋体" w:hAnsi="宋体"/>
                <w:color w:val="000000"/>
                <w:kern w:val="0"/>
                <w:sz w:val="24"/>
              </w:rPr>
            </w:pPr>
            <w:r>
              <w:rPr>
                <w:rFonts w:hint="eastAsia" w:ascii="宋体" w:hAnsi="宋体"/>
                <w:color w:val="000000"/>
                <w:kern w:val="0"/>
                <w:sz w:val="24"/>
              </w:rPr>
              <w:t>公司网址：www.jsjbl.com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526"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13</w:t>
            </w:r>
          </w:p>
        </w:tc>
        <w:tc>
          <w:tcPr>
            <w:tcW w:w="2551" w:type="dxa"/>
            <w:gridSpan w:val="2"/>
            <w:vAlign w:val="center"/>
          </w:tcPr>
          <w:p>
            <w:pPr>
              <w:spacing w:line="360" w:lineRule="auto"/>
              <w:jc w:val="center"/>
              <w:rPr>
                <w:rFonts w:ascii="宋体" w:hAnsi="宋体"/>
                <w:color w:val="000000"/>
                <w:kern w:val="0"/>
                <w:sz w:val="24"/>
              </w:rPr>
            </w:pPr>
            <w:r>
              <w:rPr>
                <w:rFonts w:hint="eastAsia" w:ascii="宋体" w:hAnsi="宋体"/>
                <w:color w:val="000000"/>
                <w:kern w:val="0"/>
                <w:sz w:val="24"/>
              </w:rPr>
              <w:t>珠海华润银行股份有限公司</w:t>
            </w:r>
          </w:p>
        </w:tc>
        <w:tc>
          <w:tcPr>
            <w:tcW w:w="4536" w:type="dxa"/>
          </w:tcPr>
          <w:p>
            <w:pPr>
              <w:spacing w:line="360" w:lineRule="auto"/>
              <w:jc w:val="left"/>
              <w:rPr>
                <w:rFonts w:ascii="宋体" w:hAnsi="宋体"/>
                <w:color w:val="000000"/>
                <w:kern w:val="0"/>
                <w:sz w:val="24"/>
              </w:rPr>
            </w:pPr>
            <w:r>
              <w:rPr>
                <w:rFonts w:hint="eastAsia" w:ascii="宋体" w:hAnsi="宋体"/>
                <w:color w:val="000000"/>
                <w:kern w:val="0"/>
                <w:sz w:val="24"/>
              </w:rPr>
              <w:t>办公地址：广东省珠海市吉大九州大道东1346号</w:t>
            </w:r>
          </w:p>
          <w:p>
            <w:pPr>
              <w:spacing w:line="360" w:lineRule="auto"/>
              <w:rPr>
                <w:rFonts w:ascii="宋体" w:hAnsi="宋体"/>
                <w:color w:val="000000"/>
                <w:kern w:val="0"/>
                <w:sz w:val="24"/>
              </w:rPr>
            </w:pPr>
            <w:r>
              <w:rPr>
                <w:rFonts w:hint="eastAsia" w:ascii="宋体" w:hAnsi="宋体"/>
                <w:color w:val="000000"/>
                <w:kern w:val="0"/>
                <w:sz w:val="24"/>
              </w:rPr>
              <w:t>客服电话：96588</w:t>
            </w:r>
          </w:p>
          <w:p>
            <w:pPr>
              <w:spacing w:line="360" w:lineRule="auto"/>
              <w:rPr>
                <w:rFonts w:ascii="宋体" w:hAnsi="宋体"/>
                <w:color w:val="000000"/>
                <w:kern w:val="0"/>
                <w:sz w:val="24"/>
              </w:rPr>
            </w:pPr>
            <w:r>
              <w:rPr>
                <w:rFonts w:hint="eastAsia" w:ascii="宋体" w:hAnsi="宋体"/>
                <w:color w:val="000000"/>
                <w:kern w:val="0"/>
                <w:sz w:val="24"/>
              </w:rPr>
              <w:t>公司网址：www.crbank.com.cn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14</w:t>
            </w:r>
          </w:p>
        </w:tc>
        <w:tc>
          <w:tcPr>
            <w:tcW w:w="2551" w:type="dxa"/>
            <w:gridSpan w:val="2"/>
            <w:vAlign w:val="center"/>
          </w:tcPr>
          <w:p>
            <w:pPr>
              <w:spacing w:line="360" w:lineRule="auto"/>
              <w:jc w:val="center"/>
              <w:rPr>
                <w:rFonts w:ascii="宋体" w:hAnsi="宋体"/>
                <w:color w:val="000000"/>
                <w:kern w:val="0"/>
                <w:sz w:val="24"/>
              </w:rPr>
            </w:pPr>
            <w:r>
              <w:rPr>
                <w:rFonts w:hint="eastAsia" w:ascii="宋体" w:hAnsi="宋体"/>
                <w:color w:val="000000"/>
                <w:kern w:val="0"/>
                <w:sz w:val="24"/>
              </w:rPr>
              <w:t>包商银行股份有限公司</w:t>
            </w:r>
          </w:p>
        </w:tc>
        <w:tc>
          <w:tcPr>
            <w:tcW w:w="4536" w:type="dxa"/>
          </w:tcPr>
          <w:p>
            <w:pPr>
              <w:spacing w:line="360" w:lineRule="auto"/>
              <w:jc w:val="left"/>
              <w:rPr>
                <w:rFonts w:ascii="宋体" w:hAnsi="宋体"/>
                <w:color w:val="000000"/>
                <w:kern w:val="0"/>
                <w:sz w:val="24"/>
              </w:rPr>
            </w:pPr>
            <w:r>
              <w:rPr>
                <w:rFonts w:hint="eastAsia" w:ascii="宋体" w:hAnsi="宋体"/>
                <w:color w:val="000000"/>
                <w:kern w:val="0"/>
                <w:sz w:val="24"/>
              </w:rPr>
              <w:t>办公地址： 内蒙古自治区包头市青山区钢铁大街６号</w:t>
            </w:r>
          </w:p>
          <w:p>
            <w:pPr>
              <w:spacing w:line="360" w:lineRule="auto"/>
              <w:rPr>
                <w:rFonts w:ascii="宋体" w:hAnsi="宋体"/>
                <w:color w:val="000000"/>
                <w:kern w:val="0"/>
                <w:sz w:val="24"/>
              </w:rPr>
            </w:pPr>
            <w:r>
              <w:rPr>
                <w:rFonts w:hint="eastAsia" w:ascii="宋体" w:hAnsi="宋体"/>
                <w:color w:val="000000"/>
                <w:kern w:val="0"/>
                <w:sz w:val="24"/>
              </w:rPr>
              <w:t>客服电话：95352</w:t>
            </w:r>
          </w:p>
          <w:p>
            <w:pPr>
              <w:spacing w:line="360" w:lineRule="auto"/>
              <w:rPr>
                <w:rFonts w:ascii="宋体" w:hAnsi="宋体"/>
                <w:color w:val="000000"/>
                <w:kern w:val="0"/>
                <w:sz w:val="24"/>
              </w:rPr>
            </w:pPr>
            <w:r>
              <w:rPr>
                <w:rFonts w:hint="eastAsia" w:ascii="宋体" w:hAnsi="宋体"/>
                <w:color w:val="000000"/>
                <w:kern w:val="0"/>
                <w:sz w:val="24"/>
              </w:rPr>
              <w:t>公司网址：www.bsb.com.cn</w:t>
            </w:r>
          </w:p>
        </w:tc>
      </w:tr>
    </w:tbl>
    <w:p>
      <w:pPr>
        <w:spacing w:line="360" w:lineRule="auto"/>
        <w:ind w:firstLine="480" w:firstLineChars="200"/>
        <w:rPr>
          <w:rFonts w:ascii="宋体" w:hAnsi="宋体"/>
          <w:color w:val="000000"/>
          <w:kern w:val="0"/>
          <w:sz w:val="24"/>
        </w:rPr>
      </w:pPr>
    </w:p>
    <w:p>
      <w:pPr>
        <w:spacing w:line="360" w:lineRule="auto"/>
        <w:ind w:firstLine="480" w:firstLineChars="200"/>
        <w:rPr>
          <w:rFonts w:ascii="宋体" w:hAnsi="宋体"/>
          <w:color w:val="000000"/>
          <w:kern w:val="0"/>
          <w:sz w:val="24"/>
        </w:rPr>
      </w:pPr>
      <w:bookmarkStart w:id="13" w:name="_Toc88969235"/>
      <w:r>
        <w:rPr>
          <w:rFonts w:hint="eastAsia" w:ascii="宋体" w:hAnsi="宋体"/>
          <w:color w:val="000000"/>
          <w:kern w:val="0"/>
          <w:sz w:val="24"/>
        </w:rPr>
        <w:t>（二）</w:t>
      </w:r>
      <w:bookmarkEnd w:id="13"/>
      <w:r>
        <w:rPr>
          <w:rFonts w:hint="eastAsia" w:ascii="宋体" w:hAnsi="宋体"/>
          <w:color w:val="000000"/>
          <w:kern w:val="0"/>
          <w:sz w:val="24"/>
        </w:rPr>
        <w:t>登记机构</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 xml:space="preserve">名称：富荣基金管理有限公司 </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 xml:space="preserve">住所：广东省广州市南沙区海滨路171号南沙金融大厦11楼1101之一J20 </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办公地址：深圳市福田区深南大道2012号深圳证券交易所广场3501室</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 xml:space="preserve">法定代表人：刘志军 </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联系人：黄文飞</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电话： 0755-843566</w:t>
      </w:r>
      <w:r>
        <w:rPr>
          <w:rFonts w:ascii="宋体" w:hAnsi="宋体"/>
          <w:color w:val="000000"/>
          <w:kern w:val="0"/>
          <w:sz w:val="24"/>
        </w:rPr>
        <w:t>04</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传真： 0755-83230787</w:t>
      </w:r>
    </w:p>
    <w:p>
      <w:pPr>
        <w:spacing w:line="360" w:lineRule="auto"/>
        <w:ind w:firstLine="480" w:firstLineChars="200"/>
        <w:rPr>
          <w:rFonts w:ascii="宋体" w:hAnsi="宋体"/>
          <w:color w:val="000000"/>
          <w:kern w:val="0"/>
          <w:sz w:val="24"/>
        </w:rPr>
      </w:pPr>
      <w:bookmarkStart w:id="14" w:name="_Toc88969236"/>
      <w:r>
        <w:rPr>
          <w:rFonts w:hint="eastAsia" w:ascii="宋体" w:hAnsi="宋体"/>
          <w:color w:val="000000"/>
          <w:kern w:val="0"/>
          <w:sz w:val="24"/>
        </w:rPr>
        <w:t>（三）出具法律意见书的律师事务所</w:t>
      </w:r>
      <w:bookmarkEnd w:id="14"/>
    </w:p>
    <w:p>
      <w:pPr>
        <w:spacing w:line="360" w:lineRule="auto"/>
        <w:ind w:firstLine="480" w:firstLineChars="200"/>
        <w:rPr>
          <w:rFonts w:ascii="宋体" w:hAnsi="宋体"/>
          <w:color w:val="000000"/>
          <w:kern w:val="0"/>
          <w:sz w:val="24"/>
        </w:rPr>
      </w:pPr>
      <w:bookmarkStart w:id="15" w:name="_Toc88969237"/>
      <w:r>
        <w:rPr>
          <w:rFonts w:hint="eastAsia" w:ascii="宋体" w:hAnsi="宋体"/>
          <w:color w:val="000000"/>
          <w:kern w:val="0"/>
          <w:sz w:val="24"/>
        </w:rPr>
        <w:t>名称：上海市通力律师事务所</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住所：上海市银城中路68号时代金融中心19楼</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办公地址：上海市银城中路68号时代金融中心19楼</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负责人：俞卫锋</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电话：021-31358666</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传真：021-31358600</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经办律师：安冬 陆奇</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联系人： 安冬</w:t>
      </w:r>
    </w:p>
    <w:p>
      <w:pPr>
        <w:adjustRightInd w:val="0"/>
        <w:snapToGrid w:val="0"/>
        <w:spacing w:line="360" w:lineRule="auto"/>
        <w:ind w:firstLine="480" w:firstLineChars="200"/>
        <w:rPr>
          <w:rFonts w:ascii="宋体" w:hAnsi="宋体"/>
          <w:color w:val="000000"/>
          <w:kern w:val="0"/>
          <w:sz w:val="24"/>
        </w:rPr>
      </w:pPr>
      <w:r>
        <w:rPr>
          <w:rFonts w:hint="eastAsia" w:ascii="宋体" w:hAnsi="宋体"/>
          <w:color w:val="000000"/>
          <w:kern w:val="0"/>
          <w:sz w:val="24"/>
        </w:rPr>
        <w:t>（四）会计师事务所和经办注册会计师</w:t>
      </w:r>
      <w:bookmarkEnd w:id="15"/>
    </w:p>
    <w:p>
      <w:pPr>
        <w:adjustRightInd w:val="0"/>
        <w:snapToGrid w:val="0"/>
        <w:spacing w:line="360" w:lineRule="auto"/>
        <w:rPr>
          <w:rFonts w:ascii="宋体" w:hAnsi="宋体"/>
          <w:color w:val="000000"/>
          <w:sz w:val="24"/>
        </w:rPr>
      </w:pPr>
      <w:r>
        <w:rPr>
          <w:rFonts w:hint="eastAsia" w:ascii="宋体" w:hAnsi="宋体"/>
          <w:color w:val="000000"/>
          <w:sz w:val="24"/>
        </w:rPr>
        <w:t xml:space="preserve">    名称：普华永道中天会计师事务所（特殊普通合伙）</w:t>
      </w:r>
    </w:p>
    <w:p>
      <w:pPr>
        <w:adjustRightInd w:val="0"/>
        <w:snapToGrid w:val="0"/>
        <w:spacing w:line="360" w:lineRule="auto"/>
        <w:ind w:firstLine="424" w:firstLineChars="177"/>
        <w:rPr>
          <w:rFonts w:ascii="宋体" w:hAnsi="宋体"/>
          <w:color w:val="000000"/>
          <w:sz w:val="24"/>
        </w:rPr>
      </w:pPr>
      <w:r>
        <w:rPr>
          <w:rFonts w:hint="eastAsia" w:ascii="宋体" w:hAnsi="宋体"/>
          <w:color w:val="000000"/>
          <w:sz w:val="24"/>
        </w:rPr>
        <w:t>住所：上海市浦东新区陆家嘴环路1318号星展银行大厦6楼</w:t>
      </w:r>
    </w:p>
    <w:p>
      <w:pPr>
        <w:adjustRightInd w:val="0"/>
        <w:snapToGrid w:val="0"/>
        <w:spacing w:line="360" w:lineRule="auto"/>
        <w:ind w:firstLine="424" w:firstLineChars="177"/>
        <w:rPr>
          <w:rFonts w:ascii="宋体" w:hAnsi="宋体"/>
          <w:color w:val="000000"/>
          <w:sz w:val="24"/>
        </w:rPr>
      </w:pPr>
      <w:r>
        <w:rPr>
          <w:rFonts w:hint="eastAsia" w:ascii="宋体" w:hAnsi="宋体"/>
          <w:color w:val="000000"/>
          <w:sz w:val="24"/>
        </w:rPr>
        <w:t>办公地址：上海市黄浦区湖滨路202号普华永道中心11楼</w:t>
      </w:r>
    </w:p>
    <w:p>
      <w:pPr>
        <w:adjustRightInd w:val="0"/>
        <w:snapToGrid w:val="0"/>
        <w:spacing w:line="360" w:lineRule="auto"/>
        <w:ind w:firstLine="424" w:firstLineChars="177"/>
        <w:rPr>
          <w:rFonts w:ascii="宋体" w:hAnsi="宋体"/>
          <w:color w:val="000000"/>
          <w:sz w:val="24"/>
        </w:rPr>
      </w:pPr>
      <w:r>
        <w:rPr>
          <w:rFonts w:hint="eastAsia" w:ascii="宋体" w:hAnsi="宋体"/>
          <w:color w:val="000000"/>
          <w:sz w:val="24"/>
        </w:rPr>
        <w:t>法定代表人：李丹</w:t>
      </w:r>
    </w:p>
    <w:p>
      <w:pPr>
        <w:adjustRightInd w:val="0"/>
        <w:snapToGrid w:val="0"/>
        <w:spacing w:line="360" w:lineRule="auto"/>
        <w:ind w:firstLine="424" w:firstLineChars="177"/>
        <w:rPr>
          <w:rFonts w:ascii="宋体" w:hAnsi="宋体"/>
          <w:color w:val="000000"/>
          <w:sz w:val="24"/>
        </w:rPr>
      </w:pPr>
      <w:r>
        <w:rPr>
          <w:rFonts w:hint="eastAsia" w:ascii="宋体" w:hAnsi="宋体"/>
          <w:color w:val="000000"/>
          <w:sz w:val="24"/>
        </w:rPr>
        <w:t>电话：（021）2323 8888</w:t>
      </w:r>
    </w:p>
    <w:p>
      <w:pPr>
        <w:adjustRightInd w:val="0"/>
        <w:snapToGrid w:val="0"/>
        <w:spacing w:line="360" w:lineRule="auto"/>
        <w:ind w:firstLine="424" w:firstLineChars="177"/>
        <w:rPr>
          <w:rFonts w:ascii="宋体" w:hAnsi="宋体"/>
          <w:color w:val="000000"/>
          <w:sz w:val="24"/>
        </w:rPr>
      </w:pPr>
      <w:r>
        <w:rPr>
          <w:rFonts w:hint="eastAsia" w:ascii="宋体" w:hAnsi="宋体"/>
          <w:color w:val="000000"/>
          <w:sz w:val="24"/>
        </w:rPr>
        <w:t>传真：（021）2323 8800</w:t>
      </w:r>
    </w:p>
    <w:p>
      <w:pPr>
        <w:adjustRightInd w:val="0"/>
        <w:snapToGrid w:val="0"/>
        <w:spacing w:line="360" w:lineRule="auto"/>
        <w:ind w:firstLine="424" w:firstLineChars="177"/>
        <w:rPr>
          <w:rFonts w:ascii="宋体" w:hAnsi="宋体"/>
          <w:color w:val="000000"/>
          <w:sz w:val="24"/>
        </w:rPr>
      </w:pPr>
      <w:r>
        <w:rPr>
          <w:rFonts w:hint="eastAsia" w:ascii="宋体" w:hAnsi="宋体"/>
          <w:color w:val="000000"/>
          <w:sz w:val="24"/>
        </w:rPr>
        <w:t>签字注册会计师：曹翠丽、边晓红</w:t>
      </w:r>
    </w:p>
    <w:p>
      <w:pPr>
        <w:adjustRightInd w:val="0"/>
        <w:snapToGrid w:val="0"/>
        <w:spacing w:line="360" w:lineRule="auto"/>
        <w:ind w:firstLine="424" w:firstLineChars="177"/>
        <w:rPr>
          <w:rFonts w:ascii="宋体" w:hAnsi="宋体"/>
          <w:bCs/>
          <w:color w:val="000000"/>
          <w:sz w:val="24"/>
          <w:szCs w:val="20"/>
        </w:rPr>
      </w:pPr>
      <w:r>
        <w:rPr>
          <w:rFonts w:hint="eastAsia" w:ascii="宋体" w:hAnsi="宋体"/>
          <w:color w:val="000000"/>
          <w:sz w:val="24"/>
        </w:rPr>
        <w:t>联系人：边晓红</w:t>
      </w:r>
    </w:p>
    <w:p>
      <w:pPr>
        <w:pStyle w:val="2"/>
        <w:numPr>
          <w:ilvl w:val="0"/>
          <w:numId w:val="3"/>
        </w:numPr>
        <w:spacing w:before="100" w:beforeLines="0" w:after="120" w:afterLines="0" w:line="579" w:lineRule="auto"/>
        <w:jc w:val="center"/>
        <w:rPr>
          <w:rFonts w:hint="eastAsia" w:ascii="宋体" w:hAnsi="宋体"/>
          <w:color w:val="000000"/>
          <w:kern w:val="0"/>
          <w:sz w:val="24"/>
          <w:szCs w:val="24"/>
          <w:lang w:eastAsia="zh-CN"/>
        </w:rPr>
      </w:pPr>
      <w:r>
        <w:rPr>
          <w:rFonts w:cs="Arial"/>
        </w:rPr>
        <w:br w:type="page"/>
      </w:r>
      <w:bookmarkStart w:id="16" w:name="_Toc482624795"/>
      <w:bookmarkStart w:id="17" w:name="_Toc256666915"/>
      <w:bookmarkStart w:id="18" w:name="_Toc256666795"/>
      <w:bookmarkStart w:id="19" w:name="_Toc28223"/>
      <w:r>
        <w:rPr>
          <w:rFonts w:hint="eastAsia" w:ascii="宋体" w:hAnsi="宋体"/>
          <w:color w:val="000000"/>
          <w:kern w:val="0"/>
          <w:sz w:val="24"/>
          <w:szCs w:val="24"/>
          <w:lang w:eastAsia="zh-CN"/>
        </w:rPr>
        <w:t>基金的名称</w:t>
      </w:r>
    </w:p>
    <w:p>
      <w:pPr>
        <w:spacing w:beforeLines="0" w:afterLines="0" w:line="240" w:lineRule="auto"/>
        <w:ind w:firstLine="480" w:firstLineChars="200"/>
        <w:rPr>
          <w:rFonts w:hint="eastAsia" w:ascii="宋体" w:hAnsi="宋体"/>
          <w:color w:val="000000"/>
          <w:kern w:val="0"/>
          <w:sz w:val="24"/>
          <w:lang w:eastAsia="zh-CN"/>
        </w:rPr>
      </w:pPr>
      <w:r>
        <w:rPr>
          <w:rFonts w:hint="eastAsia" w:ascii="宋体" w:hAnsi="宋体"/>
          <w:color w:val="000000"/>
          <w:kern w:val="0"/>
          <w:sz w:val="24"/>
          <w:lang w:eastAsia="zh-CN"/>
        </w:rPr>
        <w:t>基金的名称：富荣货币市场基金。</w:t>
      </w:r>
    </w:p>
    <w:p>
      <w:pPr>
        <w:spacing w:beforeLines="0" w:afterLines="0" w:line="240" w:lineRule="auto"/>
        <w:ind w:firstLine="480" w:firstLineChars="200"/>
        <w:rPr>
          <w:rFonts w:hint="eastAsia" w:ascii="宋体" w:hAnsi="宋体"/>
          <w:color w:val="000000"/>
          <w:kern w:val="0"/>
          <w:sz w:val="24"/>
          <w:lang w:eastAsia="zh-CN"/>
        </w:rPr>
      </w:pPr>
    </w:p>
    <w:p>
      <w:pPr>
        <w:rPr>
          <w:rFonts w:hint="eastAsia"/>
          <w:lang w:eastAsia="zh-CN"/>
        </w:rPr>
      </w:pPr>
    </w:p>
    <w:p>
      <w:pPr>
        <w:pStyle w:val="2"/>
        <w:numPr>
          <w:ilvl w:val="0"/>
          <w:numId w:val="3"/>
        </w:numPr>
        <w:jc w:val="center"/>
        <w:rPr>
          <w:rFonts w:hint="eastAsia" w:ascii="宋体" w:hAnsi="宋体"/>
          <w:color w:val="000000"/>
          <w:kern w:val="0"/>
          <w:sz w:val="24"/>
          <w:szCs w:val="24"/>
          <w:lang w:eastAsia="zh-CN"/>
        </w:rPr>
      </w:pPr>
      <w:r>
        <w:rPr>
          <w:rFonts w:hint="eastAsia" w:ascii="宋体" w:hAnsi="宋体"/>
          <w:color w:val="000000"/>
          <w:kern w:val="0"/>
          <w:sz w:val="24"/>
          <w:szCs w:val="24"/>
          <w:lang w:eastAsia="zh-CN"/>
        </w:rPr>
        <w:t>基金的类型</w:t>
      </w:r>
    </w:p>
    <w:p>
      <w:pPr>
        <w:spacing w:beforeLines="0" w:afterLines="0"/>
        <w:ind w:firstLine="480" w:firstLineChars="200"/>
        <w:rPr>
          <w:rFonts w:hint="eastAsia" w:ascii="宋体" w:hAnsi="宋体"/>
          <w:color w:val="000000"/>
          <w:kern w:val="0"/>
          <w:sz w:val="24"/>
          <w:lang w:eastAsia="zh-CN"/>
        </w:rPr>
      </w:pPr>
      <w:r>
        <w:rPr>
          <w:rFonts w:hint="eastAsia" w:ascii="宋体" w:hAnsi="宋体"/>
          <w:color w:val="000000"/>
          <w:kern w:val="0"/>
          <w:sz w:val="24"/>
          <w:lang w:eastAsia="zh-CN"/>
        </w:rPr>
        <w:t>货币市场基金。</w:t>
      </w:r>
    </w:p>
    <w:bookmarkEnd w:id="16"/>
    <w:bookmarkEnd w:id="17"/>
    <w:bookmarkEnd w:id="18"/>
    <w:bookmarkEnd w:id="19"/>
    <w:p>
      <w:pPr>
        <w:pStyle w:val="24"/>
        <w:adjustRightInd w:val="0"/>
        <w:snapToGrid w:val="0"/>
        <w:spacing w:after="0" w:line="360" w:lineRule="auto"/>
        <w:ind w:firstLine="480" w:firstLineChars="200"/>
        <w:jc w:val="left"/>
        <w:rPr>
          <w:sz w:val="24"/>
        </w:rPr>
      </w:pPr>
      <w:bookmarkStart w:id="20" w:name="_Toc55791176"/>
      <w:bookmarkStart w:id="21" w:name="_Toc256666918"/>
      <w:bookmarkStart w:id="22" w:name="_Toc256666798"/>
      <w:bookmarkStart w:id="23" w:name="_Toc88969266"/>
    </w:p>
    <w:p>
      <w:pPr>
        <w:pStyle w:val="2"/>
        <w:spacing w:before="120" w:beforeLines="50" w:after="120" w:afterLines="50" w:line="360" w:lineRule="auto"/>
        <w:ind w:firstLine="241" w:firstLineChars="100"/>
        <w:jc w:val="center"/>
        <w:rPr>
          <w:rFonts w:ascii="宋体" w:hAnsi="宋体"/>
          <w:color w:val="000000"/>
          <w:kern w:val="0"/>
          <w:sz w:val="24"/>
          <w:szCs w:val="24"/>
        </w:rPr>
      </w:pPr>
      <w:bookmarkStart w:id="24" w:name="_Toc482624798"/>
      <w:bookmarkStart w:id="25" w:name="_Toc23324"/>
      <w:r>
        <w:rPr>
          <w:rFonts w:hint="eastAsia" w:ascii="宋体" w:hAnsi="宋体"/>
          <w:color w:val="000000"/>
          <w:kern w:val="0"/>
          <w:sz w:val="24"/>
          <w:szCs w:val="24"/>
          <w:lang w:eastAsia="zh-CN"/>
        </w:rPr>
        <w:t>六、</w:t>
      </w:r>
      <w:r>
        <w:rPr>
          <w:rFonts w:hint="eastAsia" w:ascii="宋体" w:hAnsi="宋体"/>
          <w:color w:val="000000"/>
          <w:kern w:val="0"/>
          <w:sz w:val="24"/>
          <w:szCs w:val="24"/>
        </w:rPr>
        <w:t>基金的投资</w:t>
      </w:r>
      <w:bookmarkEnd w:id="24"/>
      <w:bookmarkEnd w:id="25"/>
    </w:p>
    <w:bookmarkEnd w:id="20"/>
    <w:bookmarkEnd w:id="21"/>
    <w:bookmarkEnd w:id="22"/>
    <w:bookmarkEnd w:id="23"/>
    <w:p>
      <w:pPr>
        <w:spacing w:line="360" w:lineRule="auto"/>
        <w:ind w:firstLine="480" w:firstLineChars="200"/>
        <w:rPr>
          <w:rFonts w:ascii="宋体" w:hAnsi="宋体"/>
          <w:color w:val="000000"/>
          <w:kern w:val="0"/>
          <w:sz w:val="24"/>
        </w:rPr>
      </w:pPr>
      <w:bookmarkStart w:id="26" w:name="_Toc88969271"/>
      <w:r>
        <w:rPr>
          <w:rFonts w:hint="eastAsia" w:ascii="宋体" w:hAnsi="宋体"/>
          <w:color w:val="000000"/>
          <w:kern w:val="0"/>
          <w:sz w:val="24"/>
        </w:rPr>
        <w:t>（一）</w:t>
      </w:r>
      <w:r>
        <w:rPr>
          <w:rFonts w:ascii="宋体" w:hAnsi="宋体"/>
          <w:color w:val="000000"/>
          <w:kern w:val="0"/>
          <w:sz w:val="24"/>
        </w:rPr>
        <w:t>投资目标</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在保持本金安全和资产流动性基础上追求较高的当期收益。</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（二）投资范围</w:t>
      </w:r>
    </w:p>
    <w:p>
      <w:pPr>
        <w:spacing w:line="360" w:lineRule="auto"/>
        <w:ind w:firstLine="424" w:firstLineChars="177"/>
        <w:rPr>
          <w:rFonts w:ascii="宋体" w:hAnsi="宋体"/>
          <w:color w:val="000000"/>
          <w:kern w:val="0"/>
          <w:sz w:val="24"/>
        </w:rPr>
      </w:pPr>
      <w:bookmarkStart w:id="27" w:name="OLE_LINK4"/>
      <w:r>
        <w:rPr>
          <w:rFonts w:hint="eastAsia" w:ascii="宋体" w:hAnsi="宋体"/>
          <w:color w:val="000000"/>
          <w:kern w:val="0"/>
          <w:sz w:val="24"/>
        </w:rPr>
        <w:t>1、现金；</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2、期限在1年以内（含1年）的银行存款、债券回购、中央银行票据、同业存单；</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3、剩余期限在397天以内（含397天）的债券、非金融企业债务融资工具、资产支持证券；</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4、中国证监会、中国人民银行认可的其它具有良好流动性的货币市场工具。</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如法律法规或监管机构以后允许货币市场基金投资其他产品，基金管理人在履行适当的程序后，可以将其纳入投资范围</w:t>
      </w:r>
      <w:r>
        <w:rPr>
          <w:rFonts w:hint="eastAsia" w:ascii="宋体" w:hAnsi="宋体" w:cs="Arial"/>
          <w:bCs/>
          <w:sz w:val="24"/>
        </w:rPr>
        <w:t>。</w:t>
      </w:r>
    </w:p>
    <w:bookmarkEnd w:id="27"/>
    <w:p>
      <w:pPr>
        <w:spacing w:line="360" w:lineRule="auto"/>
        <w:ind w:firstLine="424" w:firstLineChars="177"/>
        <w:rPr>
          <w:rFonts w:ascii="宋体" w:hAnsi="宋体"/>
          <w:color w:val="000000"/>
          <w:kern w:val="0"/>
          <w:sz w:val="24"/>
        </w:rPr>
      </w:pPr>
      <w:r>
        <w:rPr>
          <w:rFonts w:hint="eastAsia" w:ascii="宋体" w:hAnsi="宋体"/>
          <w:color w:val="000000"/>
          <w:kern w:val="0"/>
          <w:sz w:val="24"/>
        </w:rPr>
        <w:t>（三）</w:t>
      </w:r>
      <w:r>
        <w:rPr>
          <w:rFonts w:ascii="宋体" w:hAnsi="宋体"/>
          <w:color w:val="000000"/>
          <w:kern w:val="0"/>
          <w:sz w:val="24"/>
        </w:rPr>
        <w:t>投资策略</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本基金将综合宏观经济运行状况，货币政策、财政政策等政府宏观经济状况及政策，分析资本市场资金供给状况的变动趋势，预测市场利率水平变动趋势。在此基础上，综合考虑各类投资品种的流动性、收益性以及信用风险状况，进行积极的投资组合管理。</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1、类属配置策略</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类属配置指组合在央行票据、债券回购、短期债券以及现金等投资品种之间的配置比例。本基金通过分析各类货币市场工具的市场规模、信用等级、流动性、市场供求、票息及付息频率等确定不同类别资产的具体配置比例，寻找具有投资价值的投资品种，并通过控制存款的比例、保留充足的可变现资产和平均安排回购到期期限，保证组合的充分流动性。</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2、久期策略</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结合宏观经济运行态势及利率预测分析，本基金将动态确定并调整基金组合平均剩余期限。预测利率将进入下降通道时，适当延长投资品种的平均期限；预测市场利率将进入上升通道时，适当缩短投资品种的平均期限。</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3、套利策略</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本基金根据对货币市场变动趋势、各市场和品种之间的风险收益差异的充分研究和论证，贯彻谨慎投资的原则，加强对前沿的研究，充分把握市场无风险套利机会，通过跨市场套利和跨期限套利等策略，提高基金投资收益。</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4、现金流管理策略</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本基金作为现金管理工具，具有较高的流动性要求，基金管理人将对基金的申购赎回情况、季节性资金流动情况和日历效应等因素进行跟踪，通过留存现金、持有高流动性债券、降低组合久期等方式动态调整并有效分配基金的现金流，在保持充分流动性的基础上争取较高收益。</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5、债券回购投资策略</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本基金基于对资金面走势的判断，选择回购品种和期限。若资产配置中有逆回购，则在判断资金面趋于宽松的情况下，优先进行相对较长期限逆回购配置；反之，则进行相对较短期限逆回购操作。在组合进行杠杆操作时，根据资金面的松紧，决定正回购的操作期限。</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6、利率债的投资策略</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本基金在对国内外经济趋势的分析和预测的基础上，通过对利率期限结构变化趋势和债券市场供求关系变化进行分析和预测，决定国债、央行票据、政策性金融债等利率债品种的投资比例和期限结构配置，在合理控制风险的前提下，综合考虑组合的流动性，决定利率债投资品种和期限。</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7、信用债的投资策略</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为了保障基金资产的安全，本基金将按照相关法规仅投资于具有满足信用等级要求的债券。基金管理人通过对市场公开发行的短期融资券、中期票据、企业债、公司债等信用债品种进行研究和筛选，形成信用债券投资备选库。在信用债券投资备选库基础上，结合本基金的投资与配置需要，通过分析比较剩余期限、到期收益率、流动性等特征，挑选适当的信用债个券进行投资。</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8、资产支持证券的投资策略</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pPr>
        <w:spacing w:line="360" w:lineRule="auto"/>
        <w:ind w:firstLine="424" w:firstLineChars="177"/>
        <w:rPr>
          <w:rFonts w:ascii="宋体" w:hAnsi="宋体"/>
          <w:sz w:val="24"/>
        </w:rPr>
      </w:pPr>
      <w:r>
        <w:rPr>
          <w:rFonts w:hint="eastAsia" w:ascii="宋体" w:hAnsi="宋体"/>
          <w:color w:val="000000"/>
          <w:kern w:val="0"/>
          <w:sz w:val="24"/>
        </w:rPr>
        <w:t>（</w:t>
      </w:r>
      <w:r>
        <w:rPr>
          <w:rFonts w:hint="eastAsia" w:ascii="宋体" w:hAnsi="宋体"/>
          <w:color w:val="000000"/>
          <w:kern w:val="0"/>
          <w:sz w:val="24"/>
          <w:lang w:eastAsia="zh-CN"/>
        </w:rPr>
        <w:t>四</w:t>
      </w:r>
      <w:r>
        <w:rPr>
          <w:rFonts w:hint="eastAsia" w:ascii="宋体" w:hAnsi="宋体"/>
          <w:color w:val="000000"/>
          <w:kern w:val="0"/>
          <w:sz w:val="24"/>
        </w:rPr>
        <w:t>）业绩比</w:t>
      </w:r>
      <w:r>
        <w:rPr>
          <w:rFonts w:hint="eastAsia" w:ascii="宋体" w:hAnsi="宋体"/>
          <w:sz w:val="24"/>
        </w:rPr>
        <w:t>较基准</w:t>
      </w:r>
    </w:p>
    <w:p>
      <w:pPr>
        <w:spacing w:line="360" w:lineRule="auto"/>
        <w:ind w:firstLine="424" w:firstLineChars="177"/>
        <w:rPr>
          <w:rFonts w:ascii="宋体" w:hAnsi="宋体"/>
          <w:sz w:val="24"/>
        </w:rPr>
      </w:pPr>
      <w:r>
        <w:rPr>
          <w:rFonts w:hint="eastAsia" w:ascii="宋体" w:hAnsi="宋体"/>
          <w:sz w:val="24"/>
        </w:rPr>
        <w:t>本基金的业绩比较基准为：活期存款利率（税后）</w:t>
      </w:r>
    </w:p>
    <w:p>
      <w:pPr>
        <w:spacing w:line="360" w:lineRule="auto"/>
        <w:ind w:firstLine="424" w:firstLineChars="177"/>
        <w:rPr>
          <w:rFonts w:ascii="宋体" w:hAnsi="宋体"/>
          <w:sz w:val="24"/>
        </w:rPr>
      </w:pPr>
      <w:r>
        <w:rPr>
          <w:rFonts w:hint="eastAsia" w:ascii="宋体" w:hAnsi="宋体"/>
          <w:sz w:val="24"/>
        </w:rPr>
        <w:t>本基金为货币市场基金，具有低风险、高流动性的特征。基于本基金的投资范围和投资比例限制，选用上述业绩比较基准能够忠实反映本基金的风险收益特征。</w:t>
      </w:r>
    </w:p>
    <w:p>
      <w:pPr>
        <w:spacing w:line="360" w:lineRule="auto"/>
        <w:ind w:firstLine="424" w:firstLineChars="177"/>
        <w:rPr>
          <w:rFonts w:ascii="宋体" w:hAnsi="宋体"/>
          <w:sz w:val="24"/>
        </w:rPr>
      </w:pPr>
      <w:r>
        <w:rPr>
          <w:rFonts w:hint="eastAsia" w:ascii="宋体" w:hAnsi="宋体"/>
          <w:sz w:val="24"/>
        </w:rPr>
        <w:t>如果今后法律法规发生变化，或者有其他代表性更强、更科学客观的业绩比较基准适用于本基金时，经基金管理人和基金托管人协商一致后，本基金可以在报中国证监会备案后变更业绩比较基准并及时公告，而无需召开基金份额持有人大会。</w:t>
      </w:r>
    </w:p>
    <w:p>
      <w:pPr>
        <w:spacing w:line="360" w:lineRule="auto"/>
        <w:ind w:firstLine="424" w:firstLineChars="177"/>
        <w:rPr>
          <w:rFonts w:ascii="宋体" w:hAnsi="宋体"/>
          <w:sz w:val="24"/>
        </w:rPr>
      </w:pPr>
      <w:r>
        <w:rPr>
          <w:rFonts w:hint="eastAsia" w:ascii="宋体" w:hAnsi="宋体"/>
          <w:sz w:val="24"/>
        </w:rPr>
        <w:t>（</w:t>
      </w:r>
      <w:r>
        <w:rPr>
          <w:rFonts w:hint="eastAsia" w:ascii="宋体" w:hAnsi="宋体"/>
          <w:sz w:val="24"/>
          <w:lang w:eastAsia="zh-CN"/>
        </w:rPr>
        <w:t>五</w:t>
      </w:r>
      <w:r>
        <w:rPr>
          <w:rFonts w:hint="eastAsia" w:ascii="宋体" w:hAnsi="宋体"/>
          <w:sz w:val="24"/>
        </w:rPr>
        <w:t>）风险收益特征</w:t>
      </w:r>
    </w:p>
    <w:p>
      <w:pPr>
        <w:spacing w:line="360" w:lineRule="auto"/>
        <w:ind w:firstLine="424" w:firstLineChars="177"/>
        <w:rPr>
          <w:rFonts w:ascii="宋体" w:hAnsi="宋体"/>
          <w:sz w:val="24"/>
        </w:rPr>
      </w:pPr>
      <w:r>
        <w:rPr>
          <w:rFonts w:hint="eastAsia" w:ascii="宋体" w:hAnsi="宋体"/>
          <w:sz w:val="24"/>
        </w:rPr>
        <w:t>本基金为货币市场基金，属于证券投资基金中的低风险品种，其预期收益和预期风险均低于债券型基金、混合型基金及股票型基金。</w:t>
      </w:r>
      <w:bookmarkStart w:id="28" w:name="_Hlt81032199"/>
      <w:bookmarkEnd w:id="28"/>
      <w:bookmarkStart w:id="29" w:name="_Hlt88821694"/>
      <w:bookmarkEnd w:id="29"/>
      <w:bookmarkStart w:id="30" w:name="_Toc256666799"/>
      <w:bookmarkStart w:id="31" w:name="_Toc256666919"/>
    </w:p>
    <w:p>
      <w:pPr>
        <w:spacing w:line="360" w:lineRule="auto"/>
        <w:ind w:firstLine="424" w:firstLineChars="177"/>
        <w:rPr>
          <w:rFonts w:ascii="宋体" w:hAnsi="宋体"/>
          <w:bCs/>
          <w:sz w:val="24"/>
        </w:rPr>
      </w:pPr>
      <w:r>
        <w:rPr>
          <w:rFonts w:hint="eastAsia" w:ascii="宋体" w:hAnsi="宋体"/>
          <w:bCs/>
          <w:sz w:val="24"/>
        </w:rPr>
        <w:t>（</w:t>
      </w:r>
      <w:r>
        <w:rPr>
          <w:rFonts w:hint="eastAsia" w:ascii="宋体" w:hAnsi="宋体"/>
          <w:bCs/>
          <w:sz w:val="24"/>
          <w:lang w:eastAsia="zh-CN"/>
        </w:rPr>
        <w:t>六</w:t>
      </w:r>
      <w:r>
        <w:rPr>
          <w:rFonts w:hint="eastAsia" w:ascii="宋体" w:hAnsi="宋体"/>
          <w:bCs/>
          <w:sz w:val="24"/>
        </w:rPr>
        <w:t>）基金投资组合报告</w:t>
      </w:r>
    </w:p>
    <w:p>
      <w:pPr>
        <w:spacing w:line="360" w:lineRule="auto"/>
        <w:ind w:firstLine="424" w:firstLineChars="177"/>
        <w:rPr>
          <w:rFonts w:ascii="宋体" w:hAnsi="宋体"/>
          <w:bCs/>
          <w:sz w:val="24"/>
        </w:rPr>
      </w:pPr>
      <w:r>
        <w:rPr>
          <w:rFonts w:hint="eastAsia" w:ascii="宋体" w:hAnsi="宋体"/>
          <w:bCs/>
          <w:sz w:val="24"/>
        </w:rPr>
        <w:t>基金管理人的董事会及董事保证本报告所载资料不存在虚假记载、误导性陈述或重大遗漏，并对其内容的真实性、准确性和完整性承担个别及连带责任。</w:t>
      </w:r>
    </w:p>
    <w:p>
      <w:pPr>
        <w:spacing w:line="360" w:lineRule="auto"/>
        <w:ind w:firstLine="424" w:firstLineChars="177"/>
        <w:rPr>
          <w:rFonts w:hint="eastAsia" w:ascii="宋体" w:hAnsi="宋体"/>
          <w:bCs/>
          <w:sz w:val="24"/>
        </w:rPr>
      </w:pPr>
      <w:r>
        <w:rPr>
          <w:rFonts w:hint="eastAsia" w:ascii="宋体" w:hAnsi="宋体"/>
          <w:bCs/>
          <w:sz w:val="24"/>
        </w:rPr>
        <w:t>基金托管人根据本基金合同规定，复核了本报告中的净值表现和投资组合报告等内容，保证复核内容不存在虚假记载、误导性陈述或者重大遗漏。</w:t>
      </w:r>
    </w:p>
    <w:p>
      <w:pPr>
        <w:spacing w:line="360" w:lineRule="auto"/>
        <w:ind w:firstLine="424" w:firstLineChars="177"/>
        <w:rPr>
          <w:rFonts w:hint="eastAsia" w:ascii="宋体" w:hAnsi="宋体"/>
          <w:bCs/>
          <w:sz w:val="24"/>
        </w:rPr>
      </w:pPr>
      <w:r>
        <w:rPr>
          <w:rFonts w:hint="eastAsia" w:ascii="宋体" w:hAnsi="宋体"/>
          <w:bCs/>
          <w:sz w:val="24"/>
        </w:rPr>
        <w:t>本投资组合报告所载数据截至2017年3月31日，本报告中所列财务数据未经审计。</w:t>
      </w:r>
      <w:bookmarkStart w:id="41" w:name="_GoBack"/>
      <w:bookmarkEnd w:id="41"/>
    </w:p>
    <w:p>
      <w:pPr>
        <w:spacing w:line="360" w:lineRule="auto"/>
        <w:ind w:firstLine="424" w:firstLineChars="177"/>
        <w:rPr>
          <w:rFonts w:ascii="宋体" w:hAnsi="宋体"/>
          <w:sz w:val="24"/>
        </w:rPr>
      </w:pPr>
      <w:r>
        <w:rPr>
          <w:rFonts w:hint="eastAsia" w:ascii="宋体" w:hAnsi="宋体"/>
          <w:sz w:val="24"/>
        </w:rPr>
        <w:t>1、报告期末基金资产组合情况（金额单位：人民币元）</w:t>
      </w:r>
    </w:p>
    <w:tbl>
      <w:tblPr>
        <w:tblStyle w:val="33"/>
        <w:tblW w:w="8850" w:type="dxa"/>
        <w:tblInd w:w="0" w:type="dxa"/>
        <w:tblLayout w:type="fixed"/>
        <w:tblCellMar>
          <w:top w:w="0" w:type="dxa"/>
          <w:left w:w="0" w:type="dxa"/>
          <w:bottom w:w="0" w:type="dxa"/>
          <w:right w:w="0" w:type="dxa"/>
        </w:tblCellMar>
      </w:tblPr>
      <w:tblGrid>
        <w:gridCol w:w="950"/>
        <w:gridCol w:w="3369"/>
        <w:gridCol w:w="2495"/>
        <w:gridCol w:w="2036"/>
      </w:tblGrid>
      <w:tr>
        <w:tblPrEx>
          <w:tblLayout w:type="fixed"/>
          <w:tblCellMar>
            <w:top w:w="0" w:type="dxa"/>
            <w:left w:w="0" w:type="dxa"/>
            <w:bottom w:w="0" w:type="dxa"/>
            <w:right w:w="0" w:type="dxa"/>
          </w:tblCellMar>
        </w:tblPrEx>
        <w:tc>
          <w:tcPr>
            <w:tcW w:w="95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序号</w:t>
            </w:r>
          </w:p>
        </w:tc>
        <w:tc>
          <w:tcPr>
            <w:tcW w:w="3369"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项目</w:t>
            </w:r>
          </w:p>
        </w:tc>
        <w:tc>
          <w:tcPr>
            <w:tcW w:w="2495"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金额(元)</w:t>
            </w:r>
          </w:p>
        </w:tc>
        <w:tc>
          <w:tcPr>
            <w:tcW w:w="2036"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占基金总资产的比例（%）</w:t>
            </w:r>
          </w:p>
        </w:tc>
      </w:tr>
      <w:tr>
        <w:tblPrEx>
          <w:tblLayout w:type="fixed"/>
          <w:tblCellMar>
            <w:top w:w="0" w:type="dxa"/>
            <w:left w:w="0" w:type="dxa"/>
            <w:bottom w:w="0" w:type="dxa"/>
            <w:right w:w="0" w:type="dxa"/>
          </w:tblCellMar>
        </w:tblPrEx>
        <w:tc>
          <w:tcPr>
            <w:tcW w:w="95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w:t>
            </w:r>
          </w:p>
        </w:tc>
        <w:tc>
          <w:tcPr>
            <w:tcW w:w="3369"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固定收益投资</w:t>
            </w:r>
          </w:p>
        </w:tc>
        <w:tc>
          <w:tcPr>
            <w:tcW w:w="24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1,581,514,297.94</w:t>
            </w:r>
          </w:p>
        </w:tc>
        <w:tc>
          <w:tcPr>
            <w:tcW w:w="203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50.61</w:t>
            </w:r>
          </w:p>
        </w:tc>
      </w:tr>
      <w:tr>
        <w:tblPrEx>
          <w:tblLayout w:type="fixed"/>
          <w:tblCellMar>
            <w:top w:w="0" w:type="dxa"/>
            <w:left w:w="0" w:type="dxa"/>
            <w:bottom w:w="0" w:type="dxa"/>
            <w:right w:w="0" w:type="dxa"/>
          </w:tblCellMar>
        </w:tblPrEx>
        <w:tc>
          <w:tcPr>
            <w:tcW w:w="95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315" w:lineRule="atLeast"/>
              <w:jc w:val="left"/>
              <w:rPr>
                <w:rFonts w:ascii="宋体" w:hAnsi="宋体"/>
                <w:bCs/>
                <w:sz w:val="24"/>
              </w:rPr>
            </w:pPr>
          </w:p>
        </w:tc>
        <w:tc>
          <w:tcPr>
            <w:tcW w:w="3369"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其中：债券</w:t>
            </w:r>
          </w:p>
        </w:tc>
        <w:tc>
          <w:tcPr>
            <w:tcW w:w="24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1,581,514,297.94</w:t>
            </w:r>
          </w:p>
        </w:tc>
        <w:tc>
          <w:tcPr>
            <w:tcW w:w="203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50.61</w:t>
            </w:r>
          </w:p>
        </w:tc>
      </w:tr>
      <w:tr>
        <w:tblPrEx>
          <w:tblLayout w:type="fixed"/>
          <w:tblCellMar>
            <w:top w:w="0" w:type="dxa"/>
            <w:left w:w="0" w:type="dxa"/>
            <w:bottom w:w="0" w:type="dxa"/>
            <w:right w:w="0" w:type="dxa"/>
          </w:tblCellMar>
        </w:tblPrEx>
        <w:tc>
          <w:tcPr>
            <w:tcW w:w="95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315" w:lineRule="atLeast"/>
              <w:jc w:val="left"/>
              <w:rPr>
                <w:rFonts w:ascii="宋体" w:hAnsi="宋体"/>
                <w:bCs/>
                <w:sz w:val="24"/>
              </w:rPr>
            </w:pPr>
          </w:p>
        </w:tc>
        <w:tc>
          <w:tcPr>
            <w:tcW w:w="3369"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750"/>
              <w:jc w:val="left"/>
              <w:rPr>
                <w:rFonts w:ascii="宋体" w:hAnsi="宋体"/>
                <w:bCs/>
                <w:sz w:val="24"/>
              </w:rPr>
            </w:pPr>
            <w:r>
              <w:rPr>
                <w:rFonts w:hint="eastAsia" w:ascii="宋体" w:hAnsi="宋体"/>
                <w:bCs/>
                <w:sz w:val="24"/>
              </w:rPr>
              <w:t>资产支持证券</w:t>
            </w:r>
          </w:p>
        </w:tc>
        <w:tc>
          <w:tcPr>
            <w:tcW w:w="24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w:t>
            </w:r>
          </w:p>
        </w:tc>
        <w:tc>
          <w:tcPr>
            <w:tcW w:w="203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w:t>
            </w:r>
          </w:p>
        </w:tc>
      </w:tr>
      <w:tr>
        <w:tblPrEx>
          <w:tblLayout w:type="fixed"/>
          <w:tblCellMar>
            <w:top w:w="0" w:type="dxa"/>
            <w:left w:w="0" w:type="dxa"/>
            <w:bottom w:w="0" w:type="dxa"/>
            <w:right w:w="0" w:type="dxa"/>
          </w:tblCellMar>
        </w:tblPrEx>
        <w:tc>
          <w:tcPr>
            <w:tcW w:w="95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2</w:t>
            </w:r>
          </w:p>
        </w:tc>
        <w:tc>
          <w:tcPr>
            <w:tcW w:w="3369"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买入返售金融资产</w:t>
            </w:r>
          </w:p>
        </w:tc>
        <w:tc>
          <w:tcPr>
            <w:tcW w:w="24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1,178,031,143.65</w:t>
            </w:r>
          </w:p>
        </w:tc>
        <w:tc>
          <w:tcPr>
            <w:tcW w:w="203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37.70</w:t>
            </w:r>
          </w:p>
        </w:tc>
      </w:tr>
      <w:tr>
        <w:tblPrEx>
          <w:tblLayout w:type="fixed"/>
          <w:tblCellMar>
            <w:top w:w="0" w:type="dxa"/>
            <w:left w:w="0" w:type="dxa"/>
            <w:bottom w:w="0" w:type="dxa"/>
            <w:right w:w="0" w:type="dxa"/>
          </w:tblCellMar>
        </w:tblPrEx>
        <w:tc>
          <w:tcPr>
            <w:tcW w:w="95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315" w:lineRule="atLeast"/>
              <w:jc w:val="left"/>
              <w:rPr>
                <w:rFonts w:ascii="宋体" w:hAnsi="宋体"/>
                <w:bCs/>
                <w:sz w:val="24"/>
              </w:rPr>
            </w:pPr>
          </w:p>
        </w:tc>
        <w:tc>
          <w:tcPr>
            <w:tcW w:w="3369"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其中：买断式回购的买入返售金融资产</w:t>
            </w:r>
          </w:p>
        </w:tc>
        <w:tc>
          <w:tcPr>
            <w:tcW w:w="24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w:t>
            </w:r>
          </w:p>
        </w:tc>
        <w:tc>
          <w:tcPr>
            <w:tcW w:w="203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w:t>
            </w:r>
          </w:p>
        </w:tc>
      </w:tr>
      <w:tr>
        <w:tblPrEx>
          <w:tblLayout w:type="fixed"/>
          <w:tblCellMar>
            <w:top w:w="0" w:type="dxa"/>
            <w:left w:w="0" w:type="dxa"/>
            <w:bottom w:w="0" w:type="dxa"/>
            <w:right w:w="0" w:type="dxa"/>
          </w:tblCellMar>
        </w:tblPrEx>
        <w:tc>
          <w:tcPr>
            <w:tcW w:w="95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3</w:t>
            </w:r>
          </w:p>
        </w:tc>
        <w:tc>
          <w:tcPr>
            <w:tcW w:w="3369"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银行存款和结算备付金合计</w:t>
            </w:r>
          </w:p>
        </w:tc>
        <w:tc>
          <w:tcPr>
            <w:tcW w:w="24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350,904,942.98</w:t>
            </w:r>
          </w:p>
        </w:tc>
        <w:tc>
          <w:tcPr>
            <w:tcW w:w="203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11.23</w:t>
            </w:r>
          </w:p>
        </w:tc>
      </w:tr>
      <w:tr>
        <w:tblPrEx>
          <w:tblLayout w:type="fixed"/>
          <w:tblCellMar>
            <w:top w:w="0" w:type="dxa"/>
            <w:left w:w="0" w:type="dxa"/>
            <w:bottom w:w="0" w:type="dxa"/>
            <w:right w:w="0" w:type="dxa"/>
          </w:tblCellMar>
        </w:tblPrEx>
        <w:tc>
          <w:tcPr>
            <w:tcW w:w="95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4</w:t>
            </w:r>
          </w:p>
        </w:tc>
        <w:tc>
          <w:tcPr>
            <w:tcW w:w="3369"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其他资产</w:t>
            </w:r>
          </w:p>
        </w:tc>
        <w:tc>
          <w:tcPr>
            <w:tcW w:w="24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14,197,925.68</w:t>
            </w:r>
          </w:p>
        </w:tc>
        <w:tc>
          <w:tcPr>
            <w:tcW w:w="203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0.45</w:t>
            </w:r>
          </w:p>
        </w:tc>
      </w:tr>
      <w:tr>
        <w:tblPrEx>
          <w:tblLayout w:type="fixed"/>
          <w:tblCellMar>
            <w:top w:w="0" w:type="dxa"/>
            <w:left w:w="0" w:type="dxa"/>
            <w:bottom w:w="0" w:type="dxa"/>
            <w:right w:w="0" w:type="dxa"/>
          </w:tblCellMar>
        </w:tblPrEx>
        <w:tc>
          <w:tcPr>
            <w:tcW w:w="95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5</w:t>
            </w:r>
          </w:p>
        </w:tc>
        <w:tc>
          <w:tcPr>
            <w:tcW w:w="3369"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合计</w:t>
            </w:r>
          </w:p>
        </w:tc>
        <w:tc>
          <w:tcPr>
            <w:tcW w:w="24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3,124,648,310.25</w:t>
            </w:r>
          </w:p>
        </w:tc>
        <w:tc>
          <w:tcPr>
            <w:tcW w:w="203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100.00</w:t>
            </w:r>
          </w:p>
        </w:tc>
      </w:tr>
    </w:tbl>
    <w:p>
      <w:pPr>
        <w:spacing w:line="360" w:lineRule="auto"/>
        <w:ind w:firstLine="424" w:firstLineChars="177"/>
        <w:rPr>
          <w:rFonts w:ascii="宋体" w:hAnsi="宋体"/>
          <w:sz w:val="24"/>
        </w:rPr>
      </w:pPr>
      <w:r>
        <w:rPr>
          <w:rFonts w:hint="eastAsia" w:ascii="宋体" w:hAnsi="宋体"/>
          <w:sz w:val="24"/>
        </w:rPr>
        <w:t>2、报告期债券回购融资情况</w:t>
      </w:r>
    </w:p>
    <w:tbl>
      <w:tblPr>
        <w:tblStyle w:val="33"/>
        <w:tblW w:w="8870" w:type="dxa"/>
        <w:tblInd w:w="0" w:type="dxa"/>
        <w:tblLayout w:type="fixed"/>
        <w:tblCellMar>
          <w:top w:w="0" w:type="dxa"/>
          <w:left w:w="0" w:type="dxa"/>
          <w:bottom w:w="0" w:type="dxa"/>
          <w:right w:w="0" w:type="dxa"/>
        </w:tblCellMar>
      </w:tblPr>
      <w:tblGrid>
        <w:gridCol w:w="703"/>
        <w:gridCol w:w="3431"/>
        <w:gridCol w:w="2195"/>
        <w:gridCol w:w="2541"/>
      </w:tblGrid>
      <w:tr>
        <w:tblPrEx>
          <w:tblLayout w:type="fixed"/>
          <w:tblCellMar>
            <w:top w:w="0" w:type="dxa"/>
            <w:left w:w="0" w:type="dxa"/>
            <w:bottom w:w="0" w:type="dxa"/>
            <w:right w:w="0" w:type="dxa"/>
          </w:tblCellMar>
        </w:tblPrEx>
        <w:tc>
          <w:tcPr>
            <w:tcW w:w="703"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序号</w:t>
            </w:r>
          </w:p>
        </w:tc>
        <w:tc>
          <w:tcPr>
            <w:tcW w:w="3431"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项目</w:t>
            </w:r>
          </w:p>
        </w:tc>
        <w:tc>
          <w:tcPr>
            <w:tcW w:w="2195"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金额(元)</w:t>
            </w:r>
          </w:p>
        </w:tc>
        <w:tc>
          <w:tcPr>
            <w:tcW w:w="2541"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占基金资产净值比例（％）</w:t>
            </w:r>
          </w:p>
        </w:tc>
      </w:tr>
      <w:tr>
        <w:tblPrEx>
          <w:tblLayout w:type="fixed"/>
          <w:tblCellMar>
            <w:top w:w="0" w:type="dxa"/>
            <w:left w:w="0" w:type="dxa"/>
            <w:bottom w:w="0" w:type="dxa"/>
            <w:right w:w="0" w:type="dxa"/>
          </w:tblCellMar>
        </w:tblPrEx>
        <w:tc>
          <w:tcPr>
            <w:tcW w:w="703"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w:t>
            </w:r>
          </w:p>
        </w:tc>
        <w:tc>
          <w:tcPr>
            <w:tcW w:w="343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报告期内债券回购融资余额</w:t>
            </w:r>
          </w:p>
        </w:tc>
        <w:tc>
          <w:tcPr>
            <w:tcW w:w="4736" w:type="dxa"/>
            <w:gridSpan w:val="2"/>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right"/>
              <w:rPr>
                <w:rFonts w:ascii="宋体" w:hAnsi="宋体"/>
                <w:bCs/>
                <w:sz w:val="24"/>
              </w:rPr>
            </w:pPr>
            <w:r>
              <w:rPr>
                <w:rFonts w:hint="eastAsia" w:ascii="宋体" w:hAnsi="宋体"/>
                <w:bCs/>
                <w:sz w:val="24"/>
              </w:rPr>
              <w:t>3.59</w:t>
            </w:r>
          </w:p>
        </w:tc>
      </w:tr>
      <w:tr>
        <w:tblPrEx>
          <w:tblLayout w:type="fixed"/>
          <w:tblCellMar>
            <w:top w:w="0" w:type="dxa"/>
            <w:left w:w="0" w:type="dxa"/>
            <w:bottom w:w="0" w:type="dxa"/>
            <w:right w:w="0" w:type="dxa"/>
          </w:tblCellMar>
        </w:tblPrEx>
        <w:tc>
          <w:tcPr>
            <w:tcW w:w="703"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315" w:lineRule="atLeast"/>
              <w:jc w:val="left"/>
              <w:rPr>
                <w:rFonts w:ascii="宋体" w:hAnsi="宋体"/>
                <w:bCs/>
                <w:sz w:val="24"/>
              </w:rPr>
            </w:pPr>
          </w:p>
        </w:tc>
        <w:tc>
          <w:tcPr>
            <w:tcW w:w="343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其中：买断式回购融资</w:t>
            </w:r>
          </w:p>
        </w:tc>
        <w:tc>
          <w:tcPr>
            <w:tcW w:w="21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w:t>
            </w:r>
          </w:p>
        </w:tc>
        <w:tc>
          <w:tcPr>
            <w:tcW w:w="254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w:t>
            </w:r>
          </w:p>
        </w:tc>
      </w:tr>
      <w:tr>
        <w:tblPrEx>
          <w:tblLayout w:type="fixed"/>
          <w:tblCellMar>
            <w:top w:w="0" w:type="dxa"/>
            <w:left w:w="0" w:type="dxa"/>
            <w:bottom w:w="0" w:type="dxa"/>
            <w:right w:w="0" w:type="dxa"/>
          </w:tblCellMar>
        </w:tblPrEx>
        <w:tc>
          <w:tcPr>
            <w:tcW w:w="703"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2</w:t>
            </w:r>
          </w:p>
        </w:tc>
        <w:tc>
          <w:tcPr>
            <w:tcW w:w="343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报告期末债券回购融资余额</w:t>
            </w:r>
          </w:p>
        </w:tc>
        <w:tc>
          <w:tcPr>
            <w:tcW w:w="21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w:t>
            </w:r>
          </w:p>
        </w:tc>
        <w:tc>
          <w:tcPr>
            <w:tcW w:w="254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w:t>
            </w:r>
          </w:p>
        </w:tc>
      </w:tr>
      <w:tr>
        <w:tblPrEx>
          <w:tblLayout w:type="fixed"/>
          <w:tblCellMar>
            <w:top w:w="0" w:type="dxa"/>
            <w:left w:w="0" w:type="dxa"/>
            <w:bottom w:w="0" w:type="dxa"/>
            <w:right w:w="0" w:type="dxa"/>
          </w:tblCellMar>
        </w:tblPrEx>
        <w:tc>
          <w:tcPr>
            <w:tcW w:w="703"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315" w:lineRule="atLeast"/>
              <w:jc w:val="left"/>
              <w:rPr>
                <w:rFonts w:ascii="宋体" w:hAnsi="宋体"/>
                <w:bCs/>
                <w:sz w:val="24"/>
              </w:rPr>
            </w:pPr>
          </w:p>
        </w:tc>
        <w:tc>
          <w:tcPr>
            <w:tcW w:w="343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其中：买断式回购融资</w:t>
            </w:r>
          </w:p>
        </w:tc>
        <w:tc>
          <w:tcPr>
            <w:tcW w:w="21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w:t>
            </w:r>
          </w:p>
        </w:tc>
        <w:tc>
          <w:tcPr>
            <w:tcW w:w="254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w:t>
            </w:r>
          </w:p>
        </w:tc>
      </w:tr>
    </w:tbl>
    <w:p>
      <w:pPr>
        <w:spacing w:line="360" w:lineRule="auto"/>
        <w:ind w:firstLine="424" w:firstLineChars="177"/>
        <w:rPr>
          <w:rFonts w:ascii="宋体" w:hAnsi="宋体"/>
          <w:sz w:val="24"/>
        </w:rPr>
      </w:pPr>
      <w:r>
        <w:rPr>
          <w:rFonts w:hint="eastAsia" w:ascii="宋体" w:hAnsi="宋体"/>
          <w:sz w:val="24"/>
        </w:rPr>
        <w:t>注：报告期内债券回购融资余额占基金资产净值的比例为报告期内每个交易日融资余额占资产净值比例的简单平均值。</w:t>
      </w:r>
    </w:p>
    <w:p>
      <w:pPr>
        <w:spacing w:line="360" w:lineRule="auto"/>
        <w:ind w:firstLine="424" w:firstLineChars="177"/>
        <w:rPr>
          <w:rFonts w:ascii="宋体" w:hAnsi="宋体"/>
          <w:sz w:val="24"/>
        </w:rPr>
      </w:pPr>
      <w:r>
        <w:rPr>
          <w:rFonts w:hint="eastAsia" w:ascii="宋体" w:hAnsi="宋体"/>
          <w:sz w:val="24"/>
        </w:rPr>
        <w:t>债券正回购的资金余额超过基金资产净值的20%的说明</w:t>
      </w:r>
      <w:r>
        <w:rPr>
          <w:rFonts w:hint="eastAsia" w:ascii="宋体" w:hAnsi="宋体"/>
          <w:sz w:val="24"/>
          <w:lang w:eastAsia="zh-CN"/>
        </w:rPr>
        <w:t>：</w:t>
      </w:r>
    </w:p>
    <w:p>
      <w:pPr>
        <w:spacing w:line="360" w:lineRule="auto"/>
        <w:ind w:firstLine="424" w:firstLineChars="177"/>
        <w:rPr>
          <w:rFonts w:ascii="宋体" w:hAnsi="宋体"/>
          <w:sz w:val="24"/>
        </w:rPr>
      </w:pPr>
      <w:r>
        <w:rPr>
          <w:rFonts w:hint="eastAsia" w:ascii="宋体" w:hAnsi="宋体"/>
          <w:sz w:val="24"/>
        </w:rPr>
        <w:t>在本报告期内本基金债券正回购的资金余额未超过资产净值的20%。</w:t>
      </w:r>
    </w:p>
    <w:p>
      <w:pPr>
        <w:spacing w:line="360" w:lineRule="auto"/>
        <w:ind w:firstLine="424" w:firstLineChars="177"/>
        <w:rPr>
          <w:rFonts w:ascii="宋体" w:hAnsi="宋体"/>
          <w:sz w:val="24"/>
        </w:rPr>
      </w:pPr>
      <w:r>
        <w:rPr>
          <w:rFonts w:hint="eastAsia" w:ascii="宋体" w:hAnsi="宋体"/>
          <w:sz w:val="24"/>
        </w:rPr>
        <w:t>3、基金投资组合平均剩余期限</w:t>
      </w:r>
    </w:p>
    <w:p>
      <w:pPr>
        <w:spacing w:line="360" w:lineRule="auto"/>
        <w:ind w:firstLine="424" w:firstLineChars="177"/>
        <w:rPr>
          <w:rFonts w:ascii="宋体" w:hAnsi="宋体"/>
          <w:sz w:val="24"/>
        </w:rPr>
      </w:pPr>
      <w:r>
        <w:rPr>
          <w:rFonts w:hint="eastAsia" w:ascii="宋体" w:hAnsi="宋体"/>
          <w:sz w:val="24"/>
        </w:rPr>
        <w:t>（1）投资组合平均剩余期限基本情况</w:t>
      </w:r>
    </w:p>
    <w:tbl>
      <w:tblPr>
        <w:tblStyle w:val="33"/>
        <w:tblW w:w="8850" w:type="dxa"/>
        <w:tblInd w:w="0" w:type="dxa"/>
        <w:tblLayout w:type="fixed"/>
        <w:tblCellMar>
          <w:top w:w="0" w:type="dxa"/>
          <w:left w:w="0" w:type="dxa"/>
          <w:bottom w:w="0" w:type="dxa"/>
          <w:right w:w="0" w:type="dxa"/>
        </w:tblCellMar>
      </w:tblPr>
      <w:tblGrid>
        <w:gridCol w:w="6007"/>
        <w:gridCol w:w="2843"/>
      </w:tblGrid>
      <w:tr>
        <w:tblPrEx>
          <w:tblLayout w:type="fixed"/>
          <w:tblCellMar>
            <w:top w:w="0" w:type="dxa"/>
            <w:left w:w="0" w:type="dxa"/>
            <w:bottom w:w="0" w:type="dxa"/>
            <w:right w:w="0" w:type="dxa"/>
          </w:tblCellMar>
        </w:tblPrEx>
        <w:tc>
          <w:tcPr>
            <w:tcW w:w="6007"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项目</w:t>
            </w:r>
          </w:p>
        </w:tc>
        <w:tc>
          <w:tcPr>
            <w:tcW w:w="2843"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天数</w:t>
            </w:r>
          </w:p>
        </w:tc>
      </w:tr>
      <w:tr>
        <w:tblPrEx>
          <w:tblLayout w:type="fixed"/>
          <w:tblCellMar>
            <w:top w:w="0" w:type="dxa"/>
            <w:left w:w="0" w:type="dxa"/>
            <w:bottom w:w="0" w:type="dxa"/>
            <w:right w:w="0" w:type="dxa"/>
          </w:tblCellMar>
        </w:tblPrEx>
        <w:tc>
          <w:tcPr>
            <w:tcW w:w="6007"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报告期末投资组合平均剩余期限</w:t>
            </w:r>
          </w:p>
        </w:tc>
        <w:tc>
          <w:tcPr>
            <w:tcW w:w="284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59</w:t>
            </w:r>
          </w:p>
        </w:tc>
      </w:tr>
      <w:tr>
        <w:tblPrEx>
          <w:tblLayout w:type="fixed"/>
          <w:tblCellMar>
            <w:top w:w="0" w:type="dxa"/>
            <w:left w:w="0" w:type="dxa"/>
            <w:bottom w:w="0" w:type="dxa"/>
            <w:right w:w="0" w:type="dxa"/>
          </w:tblCellMar>
        </w:tblPrEx>
        <w:tc>
          <w:tcPr>
            <w:tcW w:w="6007"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报告期内投资组合平均剩余期限最高值</w:t>
            </w:r>
          </w:p>
        </w:tc>
        <w:tc>
          <w:tcPr>
            <w:tcW w:w="284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106</w:t>
            </w:r>
          </w:p>
        </w:tc>
      </w:tr>
      <w:tr>
        <w:tblPrEx>
          <w:tblLayout w:type="fixed"/>
          <w:tblCellMar>
            <w:top w:w="0" w:type="dxa"/>
            <w:left w:w="0" w:type="dxa"/>
            <w:bottom w:w="0" w:type="dxa"/>
            <w:right w:w="0" w:type="dxa"/>
          </w:tblCellMar>
        </w:tblPrEx>
        <w:tc>
          <w:tcPr>
            <w:tcW w:w="6007"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报告期内投资组合平均剩余期限最低值</w:t>
            </w:r>
          </w:p>
        </w:tc>
        <w:tc>
          <w:tcPr>
            <w:tcW w:w="284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17</w:t>
            </w:r>
          </w:p>
        </w:tc>
      </w:tr>
    </w:tbl>
    <w:p>
      <w:pPr>
        <w:spacing w:line="360" w:lineRule="auto"/>
        <w:ind w:firstLine="424" w:firstLineChars="177"/>
        <w:rPr>
          <w:rFonts w:hint="eastAsia" w:ascii="宋体" w:hAnsi="宋体"/>
          <w:sz w:val="24"/>
          <w:lang w:eastAsia="zh-CN"/>
        </w:rPr>
      </w:pPr>
      <w:r>
        <w:rPr>
          <w:rFonts w:hint="eastAsia" w:ascii="宋体" w:hAnsi="宋体"/>
          <w:sz w:val="24"/>
        </w:rPr>
        <w:t>报告期内投资组合平均剩余期限超过120天情况说明</w:t>
      </w:r>
      <w:r>
        <w:rPr>
          <w:rFonts w:hint="eastAsia" w:ascii="宋体" w:hAnsi="宋体"/>
          <w:sz w:val="24"/>
          <w:lang w:eastAsia="zh-CN"/>
        </w:rPr>
        <w:t>：</w:t>
      </w:r>
    </w:p>
    <w:p>
      <w:pPr>
        <w:spacing w:line="360" w:lineRule="auto"/>
        <w:ind w:firstLine="424" w:firstLineChars="177"/>
        <w:rPr>
          <w:rFonts w:ascii="宋体" w:hAnsi="宋体"/>
          <w:sz w:val="24"/>
        </w:rPr>
      </w:pPr>
      <w:r>
        <w:rPr>
          <w:rFonts w:hint="eastAsia" w:ascii="宋体" w:hAnsi="宋体"/>
          <w:sz w:val="24"/>
        </w:rPr>
        <w:t>本基金本报告期内投资组合平均剩余期限未发生超过120天的情况。</w:t>
      </w:r>
    </w:p>
    <w:p>
      <w:pPr>
        <w:spacing w:line="360" w:lineRule="auto"/>
        <w:ind w:firstLine="424" w:firstLineChars="177"/>
        <w:rPr>
          <w:rFonts w:ascii="宋体" w:hAnsi="宋体"/>
          <w:sz w:val="24"/>
        </w:rPr>
      </w:pPr>
      <w:r>
        <w:rPr>
          <w:rFonts w:hint="eastAsia" w:ascii="宋体" w:hAnsi="宋体"/>
          <w:sz w:val="24"/>
        </w:rPr>
        <w:t>（2）报告期末投资组合平均剩余期限分布比例</w:t>
      </w:r>
    </w:p>
    <w:tbl>
      <w:tblPr>
        <w:tblStyle w:val="33"/>
        <w:tblW w:w="8850" w:type="dxa"/>
        <w:tblInd w:w="0" w:type="dxa"/>
        <w:tblLayout w:type="fixed"/>
        <w:tblCellMar>
          <w:top w:w="0" w:type="dxa"/>
          <w:left w:w="0" w:type="dxa"/>
          <w:bottom w:w="0" w:type="dxa"/>
          <w:right w:w="0" w:type="dxa"/>
        </w:tblCellMar>
      </w:tblPr>
      <w:tblGrid>
        <w:gridCol w:w="964"/>
        <w:gridCol w:w="3078"/>
        <w:gridCol w:w="2404"/>
        <w:gridCol w:w="2404"/>
      </w:tblGrid>
      <w:tr>
        <w:tblPrEx>
          <w:tblLayout w:type="fixed"/>
          <w:tblCellMar>
            <w:top w:w="0" w:type="dxa"/>
            <w:left w:w="0" w:type="dxa"/>
            <w:bottom w:w="0" w:type="dxa"/>
            <w:right w:w="0" w:type="dxa"/>
          </w:tblCellMar>
        </w:tblPrEx>
        <w:tc>
          <w:tcPr>
            <w:tcW w:w="964"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序号</w:t>
            </w:r>
          </w:p>
        </w:tc>
        <w:tc>
          <w:tcPr>
            <w:tcW w:w="3078"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平均剩余期限</w:t>
            </w:r>
          </w:p>
        </w:tc>
        <w:tc>
          <w:tcPr>
            <w:tcW w:w="2404"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各期限资产占基金资产净值的比例（%）</w:t>
            </w:r>
          </w:p>
        </w:tc>
        <w:tc>
          <w:tcPr>
            <w:tcW w:w="2404"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各期限负债占基金资产净值的比例（%）</w:t>
            </w:r>
          </w:p>
        </w:tc>
      </w:tr>
      <w:tr>
        <w:tblPrEx>
          <w:tblLayout w:type="fixed"/>
          <w:tblCellMar>
            <w:top w:w="0" w:type="dxa"/>
            <w:left w:w="0" w:type="dxa"/>
            <w:bottom w:w="0" w:type="dxa"/>
            <w:right w:w="0" w:type="dxa"/>
          </w:tblCellMar>
        </w:tblPrEx>
        <w:tc>
          <w:tcPr>
            <w:tcW w:w="964"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1</w:t>
            </w:r>
          </w:p>
        </w:tc>
        <w:tc>
          <w:tcPr>
            <w:tcW w:w="3078"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30天以内</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56.36</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r>
      <w:tr>
        <w:tblPrEx>
          <w:tblLayout w:type="fixed"/>
          <w:tblCellMar>
            <w:top w:w="0" w:type="dxa"/>
            <w:left w:w="0" w:type="dxa"/>
            <w:bottom w:w="0" w:type="dxa"/>
            <w:right w:w="0" w:type="dxa"/>
          </w:tblCellMar>
        </w:tblPrEx>
        <w:tc>
          <w:tcPr>
            <w:tcW w:w="964"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315" w:lineRule="atLeast"/>
              <w:jc w:val="left"/>
              <w:rPr>
                <w:rFonts w:ascii="宋体" w:hAnsi="宋体"/>
                <w:sz w:val="24"/>
              </w:rPr>
            </w:pPr>
          </w:p>
        </w:tc>
        <w:tc>
          <w:tcPr>
            <w:tcW w:w="3078"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其中：剩余存续期超过397天的浮动利率债</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r>
      <w:tr>
        <w:tblPrEx>
          <w:tblLayout w:type="fixed"/>
          <w:tblCellMar>
            <w:top w:w="0" w:type="dxa"/>
            <w:left w:w="0" w:type="dxa"/>
            <w:bottom w:w="0" w:type="dxa"/>
            <w:right w:w="0" w:type="dxa"/>
          </w:tblCellMar>
        </w:tblPrEx>
        <w:tc>
          <w:tcPr>
            <w:tcW w:w="964"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2</w:t>
            </w:r>
          </w:p>
        </w:tc>
        <w:tc>
          <w:tcPr>
            <w:tcW w:w="3078"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30天(含)—60天</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14.70</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r>
      <w:tr>
        <w:tblPrEx>
          <w:tblLayout w:type="fixed"/>
          <w:tblCellMar>
            <w:top w:w="0" w:type="dxa"/>
            <w:left w:w="0" w:type="dxa"/>
            <w:bottom w:w="0" w:type="dxa"/>
            <w:right w:w="0" w:type="dxa"/>
          </w:tblCellMar>
        </w:tblPrEx>
        <w:tc>
          <w:tcPr>
            <w:tcW w:w="964"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315" w:lineRule="atLeast"/>
              <w:jc w:val="left"/>
              <w:rPr>
                <w:rFonts w:ascii="宋体" w:hAnsi="宋体"/>
                <w:sz w:val="24"/>
              </w:rPr>
            </w:pPr>
          </w:p>
        </w:tc>
        <w:tc>
          <w:tcPr>
            <w:tcW w:w="3078"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其中：剩余存续期超过397天的浮动利率债</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r>
      <w:tr>
        <w:tblPrEx>
          <w:tblLayout w:type="fixed"/>
          <w:tblCellMar>
            <w:top w:w="0" w:type="dxa"/>
            <w:left w:w="0" w:type="dxa"/>
            <w:bottom w:w="0" w:type="dxa"/>
            <w:right w:w="0" w:type="dxa"/>
          </w:tblCellMar>
        </w:tblPrEx>
        <w:tc>
          <w:tcPr>
            <w:tcW w:w="964"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3</w:t>
            </w:r>
          </w:p>
        </w:tc>
        <w:tc>
          <w:tcPr>
            <w:tcW w:w="3078"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60天（含）—90天</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3.18</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r>
      <w:tr>
        <w:tblPrEx>
          <w:tblLayout w:type="fixed"/>
          <w:tblCellMar>
            <w:top w:w="0" w:type="dxa"/>
            <w:left w:w="0" w:type="dxa"/>
            <w:bottom w:w="0" w:type="dxa"/>
            <w:right w:w="0" w:type="dxa"/>
          </w:tblCellMar>
        </w:tblPrEx>
        <w:tc>
          <w:tcPr>
            <w:tcW w:w="964"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315" w:lineRule="atLeast"/>
              <w:jc w:val="left"/>
              <w:rPr>
                <w:rFonts w:ascii="宋体" w:hAnsi="宋体"/>
                <w:sz w:val="24"/>
              </w:rPr>
            </w:pPr>
          </w:p>
        </w:tc>
        <w:tc>
          <w:tcPr>
            <w:tcW w:w="3078"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其中：剩余存续期超过397天的浮动利率债</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r>
      <w:tr>
        <w:tblPrEx>
          <w:tblLayout w:type="fixed"/>
          <w:tblCellMar>
            <w:top w:w="0" w:type="dxa"/>
            <w:left w:w="0" w:type="dxa"/>
            <w:bottom w:w="0" w:type="dxa"/>
            <w:right w:w="0" w:type="dxa"/>
          </w:tblCellMar>
        </w:tblPrEx>
        <w:tc>
          <w:tcPr>
            <w:tcW w:w="964"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4</w:t>
            </w:r>
          </w:p>
        </w:tc>
        <w:tc>
          <w:tcPr>
            <w:tcW w:w="3078"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90天(含)—120天</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7.97</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r>
      <w:tr>
        <w:tblPrEx>
          <w:tblLayout w:type="fixed"/>
          <w:tblCellMar>
            <w:top w:w="0" w:type="dxa"/>
            <w:left w:w="0" w:type="dxa"/>
            <w:bottom w:w="0" w:type="dxa"/>
            <w:right w:w="0" w:type="dxa"/>
          </w:tblCellMar>
        </w:tblPrEx>
        <w:tc>
          <w:tcPr>
            <w:tcW w:w="964"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315" w:lineRule="atLeast"/>
              <w:jc w:val="left"/>
              <w:rPr>
                <w:rFonts w:ascii="宋体" w:hAnsi="宋体"/>
                <w:sz w:val="24"/>
              </w:rPr>
            </w:pPr>
          </w:p>
        </w:tc>
        <w:tc>
          <w:tcPr>
            <w:tcW w:w="3078"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其中：剩余存续期超过397天的浮动利率债</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r>
      <w:tr>
        <w:tblPrEx>
          <w:tblLayout w:type="fixed"/>
          <w:tblCellMar>
            <w:top w:w="0" w:type="dxa"/>
            <w:left w:w="0" w:type="dxa"/>
            <w:bottom w:w="0" w:type="dxa"/>
            <w:right w:w="0" w:type="dxa"/>
          </w:tblCellMar>
        </w:tblPrEx>
        <w:tc>
          <w:tcPr>
            <w:tcW w:w="964"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5</w:t>
            </w:r>
          </w:p>
        </w:tc>
        <w:tc>
          <w:tcPr>
            <w:tcW w:w="3078"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120天(含)—397天（含）</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17.38</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r>
      <w:tr>
        <w:tblPrEx>
          <w:tblLayout w:type="fixed"/>
          <w:tblCellMar>
            <w:top w:w="0" w:type="dxa"/>
            <w:left w:w="0" w:type="dxa"/>
            <w:bottom w:w="0" w:type="dxa"/>
            <w:right w:w="0" w:type="dxa"/>
          </w:tblCellMar>
        </w:tblPrEx>
        <w:tc>
          <w:tcPr>
            <w:tcW w:w="964"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315" w:lineRule="atLeast"/>
              <w:jc w:val="left"/>
              <w:rPr>
                <w:rFonts w:ascii="宋体" w:hAnsi="宋体"/>
                <w:sz w:val="24"/>
              </w:rPr>
            </w:pPr>
          </w:p>
        </w:tc>
        <w:tc>
          <w:tcPr>
            <w:tcW w:w="3078"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其中：剩余存续期超过397天的浮动利率债</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r>
      <w:tr>
        <w:tblPrEx>
          <w:tblLayout w:type="fixed"/>
          <w:tblCellMar>
            <w:top w:w="0" w:type="dxa"/>
            <w:left w:w="0" w:type="dxa"/>
            <w:bottom w:w="0" w:type="dxa"/>
            <w:right w:w="0" w:type="dxa"/>
          </w:tblCellMar>
        </w:tblPrEx>
        <w:tc>
          <w:tcPr>
            <w:tcW w:w="4042" w:type="dxa"/>
            <w:gridSpan w:val="2"/>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合计</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99.59</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r>
    </w:tbl>
    <w:p>
      <w:pPr>
        <w:spacing w:line="360" w:lineRule="auto"/>
        <w:ind w:firstLine="424" w:firstLineChars="177"/>
        <w:rPr>
          <w:rFonts w:ascii="宋体" w:hAnsi="宋体"/>
          <w:sz w:val="24"/>
        </w:rPr>
      </w:pPr>
      <w:r>
        <w:rPr>
          <w:rFonts w:hint="eastAsia" w:ascii="宋体" w:hAnsi="宋体"/>
          <w:sz w:val="24"/>
        </w:rPr>
        <w:t>4、报告期内投资组合平均剩余存续期超过240天情况说明</w:t>
      </w:r>
    </w:p>
    <w:p>
      <w:pPr>
        <w:spacing w:line="360" w:lineRule="auto"/>
        <w:ind w:firstLine="424" w:firstLineChars="177"/>
        <w:rPr>
          <w:rFonts w:ascii="宋体" w:hAnsi="宋体"/>
          <w:sz w:val="24"/>
        </w:rPr>
      </w:pPr>
      <w:r>
        <w:rPr>
          <w:rFonts w:hint="eastAsia" w:ascii="宋体" w:hAnsi="宋体"/>
          <w:sz w:val="24"/>
        </w:rPr>
        <w:t>本基金本报告期未出现平均剩余存续期超过240天的情况。</w:t>
      </w:r>
    </w:p>
    <w:p>
      <w:pPr>
        <w:spacing w:line="360" w:lineRule="auto"/>
        <w:ind w:firstLine="424" w:firstLineChars="177"/>
        <w:rPr>
          <w:rFonts w:ascii="宋体" w:hAnsi="宋体"/>
          <w:sz w:val="24"/>
        </w:rPr>
      </w:pPr>
      <w:r>
        <w:rPr>
          <w:rFonts w:hint="eastAsia" w:ascii="宋体" w:hAnsi="宋体"/>
          <w:sz w:val="24"/>
        </w:rPr>
        <w:t>5、报告期末按债券品种分类的债券投资组合</w:t>
      </w:r>
    </w:p>
    <w:tbl>
      <w:tblPr>
        <w:tblStyle w:val="33"/>
        <w:tblW w:w="8850" w:type="dxa"/>
        <w:tblInd w:w="0" w:type="dxa"/>
        <w:tblLayout w:type="fixed"/>
        <w:tblCellMar>
          <w:top w:w="0" w:type="dxa"/>
          <w:left w:w="0" w:type="dxa"/>
          <w:bottom w:w="0" w:type="dxa"/>
          <w:right w:w="0" w:type="dxa"/>
        </w:tblCellMar>
      </w:tblPr>
      <w:tblGrid>
        <w:gridCol w:w="710"/>
        <w:gridCol w:w="3151"/>
        <w:gridCol w:w="2519"/>
        <w:gridCol w:w="2470"/>
      </w:tblGrid>
      <w:tr>
        <w:tblPrEx>
          <w:tblLayout w:type="fixed"/>
          <w:tblCellMar>
            <w:top w:w="0" w:type="dxa"/>
            <w:left w:w="0" w:type="dxa"/>
            <w:bottom w:w="0" w:type="dxa"/>
            <w:right w:w="0" w:type="dxa"/>
          </w:tblCellMar>
        </w:tblPrEx>
        <w:tc>
          <w:tcPr>
            <w:tcW w:w="71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序号</w:t>
            </w:r>
          </w:p>
        </w:tc>
        <w:tc>
          <w:tcPr>
            <w:tcW w:w="3151"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债券品种</w:t>
            </w:r>
          </w:p>
        </w:tc>
        <w:tc>
          <w:tcPr>
            <w:tcW w:w="2519"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摊余成本(元)</w:t>
            </w:r>
          </w:p>
        </w:tc>
        <w:tc>
          <w:tcPr>
            <w:tcW w:w="2470"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占基金资产净值比例（％）</w:t>
            </w:r>
          </w:p>
        </w:tc>
      </w:tr>
      <w:tr>
        <w:tblPrEx>
          <w:tblLayout w:type="fixed"/>
          <w:tblCellMar>
            <w:top w:w="0" w:type="dxa"/>
            <w:left w:w="0" w:type="dxa"/>
            <w:bottom w:w="0" w:type="dxa"/>
            <w:right w:w="0" w:type="dxa"/>
          </w:tblCellMar>
        </w:tblPrEx>
        <w:tc>
          <w:tcPr>
            <w:tcW w:w="7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1</w:t>
            </w:r>
          </w:p>
        </w:tc>
        <w:tc>
          <w:tcPr>
            <w:tcW w:w="315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国家债券</w:t>
            </w:r>
          </w:p>
        </w:tc>
        <w:tc>
          <w:tcPr>
            <w:tcW w:w="2519"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c>
          <w:tcPr>
            <w:tcW w:w="24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r>
      <w:tr>
        <w:tblPrEx>
          <w:tblLayout w:type="fixed"/>
          <w:tblCellMar>
            <w:top w:w="0" w:type="dxa"/>
            <w:left w:w="0" w:type="dxa"/>
            <w:bottom w:w="0" w:type="dxa"/>
            <w:right w:w="0" w:type="dxa"/>
          </w:tblCellMar>
        </w:tblPrEx>
        <w:tc>
          <w:tcPr>
            <w:tcW w:w="7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2</w:t>
            </w:r>
          </w:p>
        </w:tc>
        <w:tc>
          <w:tcPr>
            <w:tcW w:w="315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央行票据</w:t>
            </w:r>
          </w:p>
        </w:tc>
        <w:tc>
          <w:tcPr>
            <w:tcW w:w="2519"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c>
          <w:tcPr>
            <w:tcW w:w="24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r>
      <w:tr>
        <w:tblPrEx>
          <w:tblLayout w:type="fixed"/>
          <w:tblCellMar>
            <w:top w:w="0" w:type="dxa"/>
            <w:left w:w="0" w:type="dxa"/>
            <w:bottom w:w="0" w:type="dxa"/>
            <w:right w:w="0" w:type="dxa"/>
          </w:tblCellMar>
        </w:tblPrEx>
        <w:tc>
          <w:tcPr>
            <w:tcW w:w="7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3</w:t>
            </w:r>
          </w:p>
        </w:tc>
        <w:tc>
          <w:tcPr>
            <w:tcW w:w="315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金融债券</w:t>
            </w:r>
          </w:p>
        </w:tc>
        <w:tc>
          <w:tcPr>
            <w:tcW w:w="2519"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299,879,937.44</w:t>
            </w:r>
          </w:p>
        </w:tc>
        <w:tc>
          <w:tcPr>
            <w:tcW w:w="24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9.60</w:t>
            </w:r>
          </w:p>
        </w:tc>
      </w:tr>
      <w:tr>
        <w:tblPrEx>
          <w:tblLayout w:type="fixed"/>
          <w:tblCellMar>
            <w:top w:w="0" w:type="dxa"/>
            <w:left w:w="0" w:type="dxa"/>
            <w:bottom w:w="0" w:type="dxa"/>
            <w:right w:w="0" w:type="dxa"/>
          </w:tblCellMar>
        </w:tblPrEx>
        <w:tc>
          <w:tcPr>
            <w:tcW w:w="7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315" w:lineRule="atLeast"/>
              <w:jc w:val="left"/>
              <w:rPr>
                <w:rFonts w:ascii="宋体" w:hAnsi="宋体"/>
                <w:sz w:val="24"/>
              </w:rPr>
            </w:pPr>
          </w:p>
        </w:tc>
        <w:tc>
          <w:tcPr>
            <w:tcW w:w="315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其中：政策性金融债</w:t>
            </w:r>
          </w:p>
        </w:tc>
        <w:tc>
          <w:tcPr>
            <w:tcW w:w="2519"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299,879,937.44</w:t>
            </w:r>
          </w:p>
        </w:tc>
        <w:tc>
          <w:tcPr>
            <w:tcW w:w="24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9.60</w:t>
            </w:r>
          </w:p>
        </w:tc>
      </w:tr>
      <w:tr>
        <w:tblPrEx>
          <w:tblLayout w:type="fixed"/>
          <w:tblCellMar>
            <w:top w:w="0" w:type="dxa"/>
            <w:left w:w="0" w:type="dxa"/>
            <w:bottom w:w="0" w:type="dxa"/>
            <w:right w:w="0" w:type="dxa"/>
          </w:tblCellMar>
        </w:tblPrEx>
        <w:tc>
          <w:tcPr>
            <w:tcW w:w="7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4</w:t>
            </w:r>
          </w:p>
        </w:tc>
        <w:tc>
          <w:tcPr>
            <w:tcW w:w="315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企业债券</w:t>
            </w:r>
          </w:p>
        </w:tc>
        <w:tc>
          <w:tcPr>
            <w:tcW w:w="2519"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c>
          <w:tcPr>
            <w:tcW w:w="24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r>
      <w:tr>
        <w:tblPrEx>
          <w:tblLayout w:type="fixed"/>
          <w:tblCellMar>
            <w:top w:w="0" w:type="dxa"/>
            <w:left w:w="0" w:type="dxa"/>
            <w:bottom w:w="0" w:type="dxa"/>
            <w:right w:w="0" w:type="dxa"/>
          </w:tblCellMar>
        </w:tblPrEx>
        <w:tc>
          <w:tcPr>
            <w:tcW w:w="7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5</w:t>
            </w:r>
          </w:p>
        </w:tc>
        <w:tc>
          <w:tcPr>
            <w:tcW w:w="315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企业短期融资券</w:t>
            </w:r>
          </w:p>
        </w:tc>
        <w:tc>
          <w:tcPr>
            <w:tcW w:w="2519"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590,101,883.16</w:t>
            </w:r>
          </w:p>
        </w:tc>
        <w:tc>
          <w:tcPr>
            <w:tcW w:w="24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18.89</w:t>
            </w:r>
          </w:p>
        </w:tc>
      </w:tr>
      <w:tr>
        <w:tblPrEx>
          <w:tblLayout w:type="fixed"/>
          <w:tblCellMar>
            <w:top w:w="0" w:type="dxa"/>
            <w:left w:w="0" w:type="dxa"/>
            <w:bottom w:w="0" w:type="dxa"/>
            <w:right w:w="0" w:type="dxa"/>
          </w:tblCellMar>
        </w:tblPrEx>
        <w:tc>
          <w:tcPr>
            <w:tcW w:w="7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6</w:t>
            </w:r>
          </w:p>
        </w:tc>
        <w:tc>
          <w:tcPr>
            <w:tcW w:w="315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中期票据</w:t>
            </w:r>
          </w:p>
        </w:tc>
        <w:tc>
          <w:tcPr>
            <w:tcW w:w="2519"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c>
          <w:tcPr>
            <w:tcW w:w="24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r>
      <w:tr>
        <w:tblPrEx>
          <w:tblLayout w:type="fixed"/>
          <w:tblCellMar>
            <w:top w:w="0" w:type="dxa"/>
            <w:left w:w="0" w:type="dxa"/>
            <w:bottom w:w="0" w:type="dxa"/>
            <w:right w:w="0" w:type="dxa"/>
          </w:tblCellMar>
        </w:tblPrEx>
        <w:tc>
          <w:tcPr>
            <w:tcW w:w="7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7</w:t>
            </w:r>
          </w:p>
        </w:tc>
        <w:tc>
          <w:tcPr>
            <w:tcW w:w="315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同业存单</w:t>
            </w:r>
          </w:p>
        </w:tc>
        <w:tc>
          <w:tcPr>
            <w:tcW w:w="2519"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691,532,477.34</w:t>
            </w:r>
          </w:p>
        </w:tc>
        <w:tc>
          <w:tcPr>
            <w:tcW w:w="24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22.14</w:t>
            </w:r>
          </w:p>
        </w:tc>
      </w:tr>
      <w:tr>
        <w:tblPrEx>
          <w:tblLayout w:type="fixed"/>
          <w:tblCellMar>
            <w:top w:w="0" w:type="dxa"/>
            <w:left w:w="0" w:type="dxa"/>
            <w:bottom w:w="0" w:type="dxa"/>
            <w:right w:w="0" w:type="dxa"/>
          </w:tblCellMar>
        </w:tblPrEx>
        <w:tc>
          <w:tcPr>
            <w:tcW w:w="7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8</w:t>
            </w:r>
          </w:p>
        </w:tc>
        <w:tc>
          <w:tcPr>
            <w:tcW w:w="315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其他</w:t>
            </w:r>
          </w:p>
        </w:tc>
        <w:tc>
          <w:tcPr>
            <w:tcW w:w="2519"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c>
          <w:tcPr>
            <w:tcW w:w="24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r>
      <w:tr>
        <w:tblPrEx>
          <w:tblLayout w:type="fixed"/>
          <w:tblCellMar>
            <w:top w:w="0" w:type="dxa"/>
            <w:left w:w="0" w:type="dxa"/>
            <w:bottom w:w="0" w:type="dxa"/>
            <w:right w:w="0" w:type="dxa"/>
          </w:tblCellMar>
        </w:tblPrEx>
        <w:tc>
          <w:tcPr>
            <w:tcW w:w="7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9</w:t>
            </w:r>
          </w:p>
        </w:tc>
        <w:tc>
          <w:tcPr>
            <w:tcW w:w="315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合计</w:t>
            </w:r>
          </w:p>
        </w:tc>
        <w:tc>
          <w:tcPr>
            <w:tcW w:w="2519"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1,581,514,297.94</w:t>
            </w:r>
          </w:p>
        </w:tc>
        <w:tc>
          <w:tcPr>
            <w:tcW w:w="24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50.64</w:t>
            </w:r>
          </w:p>
        </w:tc>
      </w:tr>
      <w:tr>
        <w:tblPrEx>
          <w:tblLayout w:type="fixed"/>
          <w:tblCellMar>
            <w:top w:w="0" w:type="dxa"/>
            <w:left w:w="0" w:type="dxa"/>
            <w:bottom w:w="0" w:type="dxa"/>
            <w:right w:w="0" w:type="dxa"/>
          </w:tblCellMar>
        </w:tblPrEx>
        <w:tc>
          <w:tcPr>
            <w:tcW w:w="7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10</w:t>
            </w:r>
          </w:p>
        </w:tc>
        <w:tc>
          <w:tcPr>
            <w:tcW w:w="315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剩余存续期超过397天的浮动利率债券</w:t>
            </w:r>
          </w:p>
        </w:tc>
        <w:tc>
          <w:tcPr>
            <w:tcW w:w="2519"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c>
          <w:tcPr>
            <w:tcW w:w="24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r>
    </w:tbl>
    <w:p>
      <w:pPr>
        <w:spacing w:line="360" w:lineRule="auto"/>
        <w:ind w:firstLine="424" w:firstLineChars="177"/>
        <w:rPr>
          <w:rFonts w:ascii="宋体" w:hAnsi="宋体"/>
          <w:bCs/>
          <w:sz w:val="24"/>
        </w:rPr>
      </w:pPr>
      <w:r>
        <w:rPr>
          <w:rFonts w:hint="eastAsia" w:ascii="宋体" w:hAnsi="宋体"/>
          <w:bCs/>
          <w:sz w:val="24"/>
        </w:rPr>
        <w:t>6、</w:t>
      </w:r>
      <w:r>
        <w:rPr>
          <w:rFonts w:hint="eastAsia" w:ascii="宋体" w:hAnsi="宋体"/>
          <w:b w:val="0"/>
          <w:bCs/>
          <w:color w:val="auto"/>
          <w:kern w:val="2"/>
          <w:sz w:val="24"/>
          <w:szCs w:val="24"/>
          <w:u w:val="none"/>
        </w:rPr>
        <w:t>报告期末按摊余成本占基金资产净值比例大小排名的前十名债券投资明细</w:t>
      </w:r>
    </w:p>
    <w:tbl>
      <w:tblPr>
        <w:tblStyle w:val="33"/>
        <w:tblW w:w="9170" w:type="dxa"/>
        <w:tblInd w:w="0" w:type="dxa"/>
        <w:tblLayout w:type="fixed"/>
        <w:tblCellMar>
          <w:top w:w="0" w:type="dxa"/>
          <w:left w:w="0" w:type="dxa"/>
          <w:bottom w:w="0" w:type="dxa"/>
          <w:right w:w="0" w:type="dxa"/>
        </w:tblCellMar>
      </w:tblPr>
      <w:tblGrid>
        <w:gridCol w:w="810"/>
        <w:gridCol w:w="1366"/>
        <w:gridCol w:w="2157"/>
        <w:gridCol w:w="1481"/>
        <w:gridCol w:w="1912"/>
        <w:gridCol w:w="1444"/>
      </w:tblGrid>
      <w:tr>
        <w:tblPrEx>
          <w:tblLayout w:type="fixed"/>
          <w:tblCellMar>
            <w:top w:w="0" w:type="dxa"/>
            <w:left w:w="0" w:type="dxa"/>
            <w:bottom w:w="0" w:type="dxa"/>
            <w:right w:w="0" w:type="dxa"/>
          </w:tblCellMar>
        </w:tblPrEx>
        <w:tc>
          <w:tcPr>
            <w:tcW w:w="81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序号</w:t>
            </w:r>
          </w:p>
        </w:tc>
        <w:tc>
          <w:tcPr>
            <w:tcW w:w="1366"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债券代码</w:t>
            </w:r>
          </w:p>
        </w:tc>
        <w:tc>
          <w:tcPr>
            <w:tcW w:w="2157"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债券名称</w:t>
            </w:r>
          </w:p>
        </w:tc>
        <w:tc>
          <w:tcPr>
            <w:tcW w:w="1481"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债券数量</w:t>
            </w:r>
          </w:p>
        </w:tc>
        <w:tc>
          <w:tcPr>
            <w:tcW w:w="1912"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摊余成本</w:t>
            </w:r>
          </w:p>
        </w:tc>
        <w:tc>
          <w:tcPr>
            <w:tcW w:w="1444"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占基金资产净值比例</w:t>
            </w:r>
          </w:p>
        </w:tc>
      </w:tr>
      <w:tr>
        <w:tblPrEx>
          <w:tblLayout w:type="fixed"/>
          <w:tblCellMar>
            <w:top w:w="0" w:type="dxa"/>
            <w:left w:w="0" w:type="dxa"/>
            <w:bottom w:w="0" w:type="dxa"/>
            <w:right w:w="0" w:type="dxa"/>
          </w:tblCellMar>
        </w:tblPrEx>
        <w:tc>
          <w:tcPr>
            <w:tcW w:w="8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center"/>
              <w:rPr>
                <w:rFonts w:ascii="宋体" w:hAnsi="宋体"/>
                <w:bCs/>
                <w:sz w:val="24"/>
              </w:rPr>
            </w:pPr>
            <w:r>
              <w:rPr>
                <w:rFonts w:hint="eastAsia" w:ascii="宋体" w:hAnsi="宋体"/>
                <w:bCs/>
                <w:sz w:val="24"/>
              </w:rPr>
              <w:t>1</w:t>
            </w:r>
          </w:p>
        </w:tc>
        <w:tc>
          <w:tcPr>
            <w:tcW w:w="136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011754006</w:t>
            </w:r>
          </w:p>
        </w:tc>
        <w:tc>
          <w:tcPr>
            <w:tcW w:w="2157"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17金隅SCP001</w:t>
            </w:r>
          </w:p>
        </w:tc>
        <w:tc>
          <w:tcPr>
            <w:tcW w:w="148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1,500,000</w:t>
            </w:r>
          </w:p>
        </w:tc>
        <w:tc>
          <w:tcPr>
            <w:tcW w:w="1912"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150,072,257.86</w:t>
            </w:r>
          </w:p>
        </w:tc>
        <w:tc>
          <w:tcPr>
            <w:tcW w:w="144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center"/>
              <w:rPr>
                <w:rFonts w:ascii="宋体" w:hAnsi="宋体"/>
                <w:bCs/>
                <w:sz w:val="24"/>
              </w:rPr>
            </w:pPr>
            <w:r>
              <w:rPr>
                <w:rFonts w:hint="eastAsia" w:ascii="宋体" w:hAnsi="宋体"/>
                <w:bCs/>
                <w:sz w:val="24"/>
              </w:rPr>
              <w:t>4.80</w:t>
            </w:r>
          </w:p>
        </w:tc>
      </w:tr>
      <w:tr>
        <w:tblPrEx>
          <w:tblLayout w:type="fixed"/>
          <w:tblCellMar>
            <w:top w:w="0" w:type="dxa"/>
            <w:left w:w="0" w:type="dxa"/>
            <w:bottom w:w="0" w:type="dxa"/>
            <w:right w:w="0" w:type="dxa"/>
          </w:tblCellMar>
        </w:tblPrEx>
        <w:tc>
          <w:tcPr>
            <w:tcW w:w="8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center"/>
              <w:rPr>
                <w:rFonts w:ascii="宋体" w:hAnsi="宋体"/>
                <w:bCs/>
                <w:sz w:val="24"/>
              </w:rPr>
            </w:pPr>
            <w:r>
              <w:rPr>
                <w:rFonts w:hint="eastAsia" w:ascii="宋体" w:hAnsi="宋体"/>
                <w:bCs/>
                <w:sz w:val="24"/>
              </w:rPr>
              <w:t>2</w:t>
            </w:r>
          </w:p>
        </w:tc>
        <w:tc>
          <w:tcPr>
            <w:tcW w:w="136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170203</w:t>
            </w:r>
          </w:p>
        </w:tc>
        <w:tc>
          <w:tcPr>
            <w:tcW w:w="2157"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17国开03</w:t>
            </w:r>
          </w:p>
        </w:tc>
        <w:tc>
          <w:tcPr>
            <w:tcW w:w="148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1,000,000</w:t>
            </w:r>
          </w:p>
        </w:tc>
        <w:tc>
          <w:tcPr>
            <w:tcW w:w="1912"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99,910,856.01</w:t>
            </w:r>
          </w:p>
        </w:tc>
        <w:tc>
          <w:tcPr>
            <w:tcW w:w="144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center"/>
              <w:rPr>
                <w:rFonts w:ascii="宋体" w:hAnsi="宋体"/>
                <w:bCs/>
                <w:sz w:val="24"/>
              </w:rPr>
            </w:pPr>
            <w:r>
              <w:rPr>
                <w:rFonts w:hint="eastAsia" w:ascii="宋体" w:hAnsi="宋体"/>
                <w:bCs/>
                <w:sz w:val="24"/>
              </w:rPr>
              <w:t>3.20</w:t>
            </w:r>
          </w:p>
        </w:tc>
      </w:tr>
      <w:tr>
        <w:tblPrEx>
          <w:tblLayout w:type="fixed"/>
          <w:tblCellMar>
            <w:top w:w="0" w:type="dxa"/>
            <w:left w:w="0" w:type="dxa"/>
            <w:bottom w:w="0" w:type="dxa"/>
            <w:right w:w="0" w:type="dxa"/>
          </w:tblCellMar>
        </w:tblPrEx>
        <w:tc>
          <w:tcPr>
            <w:tcW w:w="8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center"/>
              <w:rPr>
                <w:rFonts w:ascii="宋体" w:hAnsi="宋体"/>
                <w:bCs/>
                <w:sz w:val="24"/>
              </w:rPr>
            </w:pPr>
            <w:r>
              <w:rPr>
                <w:rFonts w:hint="eastAsia" w:ascii="宋体" w:hAnsi="宋体"/>
                <w:bCs/>
                <w:sz w:val="24"/>
              </w:rPr>
              <w:t>3</w:t>
            </w:r>
          </w:p>
        </w:tc>
        <w:tc>
          <w:tcPr>
            <w:tcW w:w="136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111693776</w:t>
            </w:r>
          </w:p>
        </w:tc>
        <w:tc>
          <w:tcPr>
            <w:tcW w:w="2157"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16包商银行CD028</w:t>
            </w:r>
          </w:p>
        </w:tc>
        <w:tc>
          <w:tcPr>
            <w:tcW w:w="148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1,000,000</w:t>
            </w:r>
          </w:p>
        </w:tc>
        <w:tc>
          <w:tcPr>
            <w:tcW w:w="1912"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99,406,770.39</w:t>
            </w:r>
          </w:p>
        </w:tc>
        <w:tc>
          <w:tcPr>
            <w:tcW w:w="144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center"/>
              <w:rPr>
                <w:rFonts w:ascii="宋体" w:hAnsi="宋体"/>
                <w:bCs/>
                <w:sz w:val="24"/>
              </w:rPr>
            </w:pPr>
            <w:r>
              <w:rPr>
                <w:rFonts w:hint="eastAsia" w:ascii="宋体" w:hAnsi="宋体"/>
                <w:bCs/>
                <w:sz w:val="24"/>
              </w:rPr>
              <w:t>3.18</w:t>
            </w:r>
          </w:p>
        </w:tc>
      </w:tr>
      <w:tr>
        <w:tblPrEx>
          <w:tblLayout w:type="fixed"/>
          <w:tblCellMar>
            <w:top w:w="0" w:type="dxa"/>
            <w:left w:w="0" w:type="dxa"/>
            <w:bottom w:w="0" w:type="dxa"/>
            <w:right w:w="0" w:type="dxa"/>
          </w:tblCellMar>
        </w:tblPrEx>
        <w:tc>
          <w:tcPr>
            <w:tcW w:w="8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center"/>
              <w:rPr>
                <w:rFonts w:ascii="宋体" w:hAnsi="宋体"/>
                <w:bCs/>
                <w:sz w:val="24"/>
              </w:rPr>
            </w:pPr>
            <w:r>
              <w:rPr>
                <w:rFonts w:hint="eastAsia" w:ascii="宋体" w:hAnsi="宋体"/>
                <w:bCs/>
                <w:sz w:val="24"/>
              </w:rPr>
              <w:t>4</w:t>
            </w:r>
          </w:p>
        </w:tc>
        <w:tc>
          <w:tcPr>
            <w:tcW w:w="136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111719051</w:t>
            </w:r>
          </w:p>
        </w:tc>
        <w:tc>
          <w:tcPr>
            <w:tcW w:w="2157"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17恒丰银行CD051</w:t>
            </w:r>
          </w:p>
        </w:tc>
        <w:tc>
          <w:tcPr>
            <w:tcW w:w="148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1,000,000</w:t>
            </w:r>
          </w:p>
        </w:tc>
        <w:tc>
          <w:tcPr>
            <w:tcW w:w="1912"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99,263,484.72</w:t>
            </w:r>
          </w:p>
        </w:tc>
        <w:tc>
          <w:tcPr>
            <w:tcW w:w="144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center"/>
              <w:rPr>
                <w:rFonts w:ascii="宋体" w:hAnsi="宋体"/>
                <w:bCs/>
                <w:sz w:val="24"/>
              </w:rPr>
            </w:pPr>
            <w:r>
              <w:rPr>
                <w:rFonts w:hint="eastAsia" w:ascii="宋体" w:hAnsi="宋体"/>
                <w:bCs/>
                <w:sz w:val="24"/>
              </w:rPr>
              <w:t>3.18</w:t>
            </w:r>
          </w:p>
        </w:tc>
      </w:tr>
      <w:tr>
        <w:tblPrEx>
          <w:tblLayout w:type="fixed"/>
          <w:tblCellMar>
            <w:top w:w="0" w:type="dxa"/>
            <w:left w:w="0" w:type="dxa"/>
            <w:bottom w:w="0" w:type="dxa"/>
            <w:right w:w="0" w:type="dxa"/>
          </w:tblCellMar>
        </w:tblPrEx>
        <w:tc>
          <w:tcPr>
            <w:tcW w:w="8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center"/>
              <w:rPr>
                <w:rFonts w:ascii="宋体" w:hAnsi="宋体"/>
                <w:bCs/>
                <w:sz w:val="24"/>
              </w:rPr>
            </w:pPr>
            <w:r>
              <w:rPr>
                <w:rFonts w:hint="eastAsia" w:ascii="宋体" w:hAnsi="宋体"/>
                <w:bCs/>
                <w:sz w:val="24"/>
              </w:rPr>
              <w:t>5</w:t>
            </w:r>
          </w:p>
        </w:tc>
        <w:tc>
          <w:tcPr>
            <w:tcW w:w="136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111792619</w:t>
            </w:r>
          </w:p>
        </w:tc>
        <w:tc>
          <w:tcPr>
            <w:tcW w:w="2157"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17宁波银行CD046</w:t>
            </w:r>
          </w:p>
        </w:tc>
        <w:tc>
          <w:tcPr>
            <w:tcW w:w="148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1,000,000</w:t>
            </w:r>
          </w:p>
        </w:tc>
        <w:tc>
          <w:tcPr>
            <w:tcW w:w="1912"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98,221,958.09</w:t>
            </w:r>
          </w:p>
        </w:tc>
        <w:tc>
          <w:tcPr>
            <w:tcW w:w="144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center"/>
              <w:rPr>
                <w:rFonts w:ascii="宋体" w:hAnsi="宋体"/>
                <w:bCs/>
                <w:sz w:val="24"/>
              </w:rPr>
            </w:pPr>
            <w:r>
              <w:rPr>
                <w:rFonts w:hint="eastAsia" w:ascii="宋体" w:hAnsi="宋体"/>
                <w:bCs/>
                <w:sz w:val="24"/>
              </w:rPr>
              <w:t>3.14</w:t>
            </w:r>
          </w:p>
        </w:tc>
      </w:tr>
      <w:tr>
        <w:tblPrEx>
          <w:tblLayout w:type="fixed"/>
          <w:tblCellMar>
            <w:top w:w="0" w:type="dxa"/>
            <w:left w:w="0" w:type="dxa"/>
            <w:bottom w:w="0" w:type="dxa"/>
            <w:right w:w="0" w:type="dxa"/>
          </w:tblCellMar>
        </w:tblPrEx>
        <w:tc>
          <w:tcPr>
            <w:tcW w:w="8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center"/>
              <w:rPr>
                <w:rFonts w:ascii="宋体" w:hAnsi="宋体"/>
                <w:bCs/>
                <w:sz w:val="24"/>
              </w:rPr>
            </w:pPr>
            <w:r>
              <w:rPr>
                <w:rFonts w:hint="eastAsia" w:ascii="宋体" w:hAnsi="宋体"/>
                <w:bCs/>
                <w:sz w:val="24"/>
              </w:rPr>
              <w:t>6</w:t>
            </w:r>
          </w:p>
        </w:tc>
        <w:tc>
          <w:tcPr>
            <w:tcW w:w="136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011698269</w:t>
            </w:r>
          </w:p>
        </w:tc>
        <w:tc>
          <w:tcPr>
            <w:tcW w:w="2157"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16南航股SCP005</w:t>
            </w:r>
          </w:p>
        </w:tc>
        <w:tc>
          <w:tcPr>
            <w:tcW w:w="148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600,000</w:t>
            </w:r>
          </w:p>
        </w:tc>
        <w:tc>
          <w:tcPr>
            <w:tcW w:w="1912"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60,062,190.16</w:t>
            </w:r>
          </w:p>
        </w:tc>
        <w:tc>
          <w:tcPr>
            <w:tcW w:w="144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center"/>
              <w:rPr>
                <w:rFonts w:ascii="宋体" w:hAnsi="宋体"/>
                <w:bCs/>
                <w:sz w:val="24"/>
              </w:rPr>
            </w:pPr>
            <w:r>
              <w:rPr>
                <w:rFonts w:hint="eastAsia" w:ascii="宋体" w:hAnsi="宋体"/>
                <w:bCs/>
                <w:sz w:val="24"/>
              </w:rPr>
              <w:t>1.92</w:t>
            </w:r>
          </w:p>
        </w:tc>
      </w:tr>
      <w:tr>
        <w:tblPrEx>
          <w:tblLayout w:type="fixed"/>
          <w:tblCellMar>
            <w:top w:w="0" w:type="dxa"/>
            <w:left w:w="0" w:type="dxa"/>
            <w:bottom w:w="0" w:type="dxa"/>
            <w:right w:w="0" w:type="dxa"/>
          </w:tblCellMar>
        </w:tblPrEx>
        <w:tc>
          <w:tcPr>
            <w:tcW w:w="8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center"/>
              <w:rPr>
                <w:rFonts w:ascii="宋体" w:hAnsi="宋体"/>
                <w:bCs/>
                <w:sz w:val="24"/>
              </w:rPr>
            </w:pPr>
            <w:r>
              <w:rPr>
                <w:rFonts w:hint="eastAsia" w:ascii="宋体" w:hAnsi="宋体"/>
                <w:bCs/>
                <w:sz w:val="24"/>
              </w:rPr>
              <w:t>7</w:t>
            </w:r>
          </w:p>
        </w:tc>
        <w:tc>
          <w:tcPr>
            <w:tcW w:w="136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160419</w:t>
            </w:r>
          </w:p>
        </w:tc>
        <w:tc>
          <w:tcPr>
            <w:tcW w:w="2157"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16农发19</w:t>
            </w:r>
          </w:p>
        </w:tc>
        <w:tc>
          <w:tcPr>
            <w:tcW w:w="148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600,000</w:t>
            </w:r>
          </w:p>
        </w:tc>
        <w:tc>
          <w:tcPr>
            <w:tcW w:w="1912"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59,866,271.50</w:t>
            </w:r>
          </w:p>
        </w:tc>
        <w:tc>
          <w:tcPr>
            <w:tcW w:w="144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center"/>
              <w:rPr>
                <w:rFonts w:ascii="宋体" w:hAnsi="宋体"/>
                <w:bCs/>
                <w:sz w:val="24"/>
              </w:rPr>
            </w:pPr>
            <w:r>
              <w:rPr>
                <w:rFonts w:hint="eastAsia" w:ascii="宋体" w:hAnsi="宋体"/>
                <w:bCs/>
                <w:sz w:val="24"/>
              </w:rPr>
              <w:t>1.92</w:t>
            </w:r>
          </w:p>
        </w:tc>
      </w:tr>
      <w:tr>
        <w:tblPrEx>
          <w:tblLayout w:type="fixed"/>
          <w:tblCellMar>
            <w:top w:w="0" w:type="dxa"/>
            <w:left w:w="0" w:type="dxa"/>
            <w:bottom w:w="0" w:type="dxa"/>
            <w:right w:w="0" w:type="dxa"/>
          </w:tblCellMar>
        </w:tblPrEx>
        <w:tc>
          <w:tcPr>
            <w:tcW w:w="8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center"/>
              <w:rPr>
                <w:rFonts w:ascii="宋体" w:hAnsi="宋体"/>
                <w:bCs/>
                <w:sz w:val="24"/>
              </w:rPr>
            </w:pPr>
            <w:r>
              <w:rPr>
                <w:rFonts w:hint="eastAsia" w:ascii="宋体" w:hAnsi="宋体"/>
                <w:bCs/>
                <w:sz w:val="24"/>
              </w:rPr>
              <w:t>8</w:t>
            </w:r>
          </w:p>
        </w:tc>
        <w:tc>
          <w:tcPr>
            <w:tcW w:w="136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140438</w:t>
            </w:r>
          </w:p>
        </w:tc>
        <w:tc>
          <w:tcPr>
            <w:tcW w:w="2157"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14农发38</w:t>
            </w:r>
          </w:p>
        </w:tc>
        <w:tc>
          <w:tcPr>
            <w:tcW w:w="148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500,000</w:t>
            </w:r>
          </w:p>
        </w:tc>
        <w:tc>
          <w:tcPr>
            <w:tcW w:w="1912"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50,243,817.92</w:t>
            </w:r>
          </w:p>
        </w:tc>
        <w:tc>
          <w:tcPr>
            <w:tcW w:w="144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center"/>
              <w:rPr>
                <w:rFonts w:ascii="宋体" w:hAnsi="宋体"/>
                <w:bCs/>
                <w:sz w:val="24"/>
              </w:rPr>
            </w:pPr>
            <w:r>
              <w:rPr>
                <w:rFonts w:hint="eastAsia" w:ascii="宋体" w:hAnsi="宋体"/>
                <w:bCs/>
                <w:sz w:val="24"/>
              </w:rPr>
              <w:t>1.61</w:t>
            </w:r>
          </w:p>
        </w:tc>
      </w:tr>
      <w:tr>
        <w:tblPrEx>
          <w:tblLayout w:type="fixed"/>
          <w:tblCellMar>
            <w:top w:w="0" w:type="dxa"/>
            <w:left w:w="0" w:type="dxa"/>
            <w:bottom w:w="0" w:type="dxa"/>
            <w:right w:w="0" w:type="dxa"/>
          </w:tblCellMar>
        </w:tblPrEx>
        <w:tc>
          <w:tcPr>
            <w:tcW w:w="8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center"/>
              <w:rPr>
                <w:rFonts w:ascii="宋体" w:hAnsi="宋体"/>
                <w:bCs/>
                <w:sz w:val="24"/>
              </w:rPr>
            </w:pPr>
            <w:r>
              <w:rPr>
                <w:rFonts w:hint="eastAsia" w:ascii="宋体" w:hAnsi="宋体"/>
                <w:bCs/>
                <w:sz w:val="24"/>
              </w:rPr>
              <w:t>9</w:t>
            </w:r>
          </w:p>
        </w:tc>
        <w:tc>
          <w:tcPr>
            <w:tcW w:w="136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011698084</w:t>
            </w:r>
          </w:p>
        </w:tc>
        <w:tc>
          <w:tcPr>
            <w:tcW w:w="2157"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16厦翔业SCP008</w:t>
            </w:r>
          </w:p>
        </w:tc>
        <w:tc>
          <w:tcPr>
            <w:tcW w:w="148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500,000</w:t>
            </w:r>
          </w:p>
        </w:tc>
        <w:tc>
          <w:tcPr>
            <w:tcW w:w="1912"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50,072,751.38</w:t>
            </w:r>
          </w:p>
        </w:tc>
        <w:tc>
          <w:tcPr>
            <w:tcW w:w="144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center"/>
              <w:rPr>
                <w:rFonts w:ascii="宋体" w:hAnsi="宋体"/>
                <w:bCs/>
                <w:sz w:val="24"/>
              </w:rPr>
            </w:pPr>
            <w:r>
              <w:rPr>
                <w:rFonts w:hint="eastAsia" w:ascii="宋体" w:hAnsi="宋体"/>
                <w:bCs/>
                <w:sz w:val="24"/>
              </w:rPr>
              <w:t>1.60</w:t>
            </w:r>
          </w:p>
        </w:tc>
      </w:tr>
      <w:tr>
        <w:tblPrEx>
          <w:tblLayout w:type="fixed"/>
          <w:tblCellMar>
            <w:top w:w="0" w:type="dxa"/>
            <w:left w:w="0" w:type="dxa"/>
            <w:bottom w:w="0" w:type="dxa"/>
            <w:right w:w="0" w:type="dxa"/>
          </w:tblCellMar>
        </w:tblPrEx>
        <w:tc>
          <w:tcPr>
            <w:tcW w:w="8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center"/>
              <w:rPr>
                <w:rFonts w:ascii="宋体" w:hAnsi="宋体"/>
                <w:bCs/>
                <w:sz w:val="24"/>
              </w:rPr>
            </w:pPr>
            <w:r>
              <w:rPr>
                <w:rFonts w:hint="eastAsia" w:ascii="宋体" w:hAnsi="宋体"/>
                <w:bCs/>
                <w:sz w:val="24"/>
              </w:rPr>
              <w:t>10</w:t>
            </w:r>
          </w:p>
        </w:tc>
        <w:tc>
          <w:tcPr>
            <w:tcW w:w="136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011756003</w:t>
            </w:r>
          </w:p>
        </w:tc>
        <w:tc>
          <w:tcPr>
            <w:tcW w:w="2157"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17鲁高速SCP001</w:t>
            </w:r>
          </w:p>
        </w:tc>
        <w:tc>
          <w:tcPr>
            <w:tcW w:w="148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500,000</w:t>
            </w:r>
          </w:p>
        </w:tc>
        <w:tc>
          <w:tcPr>
            <w:tcW w:w="1912"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50,004,983.43</w:t>
            </w:r>
          </w:p>
        </w:tc>
        <w:tc>
          <w:tcPr>
            <w:tcW w:w="144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center"/>
              <w:rPr>
                <w:rFonts w:ascii="宋体" w:hAnsi="宋体"/>
                <w:bCs/>
                <w:sz w:val="24"/>
              </w:rPr>
            </w:pPr>
            <w:r>
              <w:rPr>
                <w:rFonts w:hint="eastAsia" w:ascii="宋体" w:hAnsi="宋体"/>
                <w:bCs/>
                <w:sz w:val="24"/>
              </w:rPr>
              <w:t>1.60</w:t>
            </w:r>
          </w:p>
        </w:tc>
      </w:tr>
    </w:tbl>
    <w:p>
      <w:pPr>
        <w:widowControl/>
        <w:spacing w:before="30" w:line="315" w:lineRule="atLeast"/>
        <w:ind w:left="15" w:firstLine="425"/>
        <w:jc w:val="left"/>
        <w:rPr>
          <w:rFonts w:ascii="宋体" w:hAnsi="宋体"/>
          <w:sz w:val="24"/>
        </w:rPr>
      </w:pPr>
      <w:r>
        <w:rPr>
          <w:rFonts w:hint="eastAsia" w:ascii="宋体" w:hAnsi="宋体"/>
          <w:sz w:val="24"/>
        </w:rPr>
        <w:t>7、“影子定价”与“摊余成本法”确定的基金资产净值的偏离</w:t>
      </w:r>
    </w:p>
    <w:tbl>
      <w:tblPr>
        <w:tblStyle w:val="33"/>
        <w:tblW w:w="8850" w:type="dxa"/>
        <w:tblInd w:w="0" w:type="dxa"/>
        <w:tblLayout w:type="fixed"/>
        <w:tblCellMar>
          <w:top w:w="0" w:type="dxa"/>
          <w:left w:w="0" w:type="dxa"/>
          <w:bottom w:w="0" w:type="dxa"/>
          <w:right w:w="0" w:type="dxa"/>
        </w:tblCellMar>
      </w:tblPr>
      <w:tblGrid>
        <w:gridCol w:w="5656"/>
        <w:gridCol w:w="3194"/>
      </w:tblGrid>
      <w:tr>
        <w:tblPrEx>
          <w:tblLayout w:type="fixed"/>
          <w:tblCellMar>
            <w:top w:w="0" w:type="dxa"/>
            <w:left w:w="0" w:type="dxa"/>
            <w:bottom w:w="0" w:type="dxa"/>
            <w:right w:w="0" w:type="dxa"/>
          </w:tblCellMar>
        </w:tblPrEx>
        <w:tc>
          <w:tcPr>
            <w:tcW w:w="5656"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项目</w:t>
            </w:r>
          </w:p>
        </w:tc>
        <w:tc>
          <w:tcPr>
            <w:tcW w:w="3194"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偏离情况</w:t>
            </w:r>
          </w:p>
        </w:tc>
      </w:tr>
      <w:tr>
        <w:tblPrEx>
          <w:tblLayout w:type="fixed"/>
          <w:tblCellMar>
            <w:top w:w="0" w:type="dxa"/>
            <w:left w:w="0" w:type="dxa"/>
            <w:bottom w:w="0" w:type="dxa"/>
            <w:right w:w="0" w:type="dxa"/>
          </w:tblCellMar>
        </w:tblPrEx>
        <w:tc>
          <w:tcPr>
            <w:tcW w:w="5656"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报告期内偏离度的绝对值在0.25(含)-0.5%间的次数</w:t>
            </w:r>
          </w:p>
        </w:tc>
        <w:tc>
          <w:tcPr>
            <w:tcW w:w="319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r>
      <w:tr>
        <w:tblPrEx>
          <w:tblLayout w:type="fixed"/>
          <w:tblCellMar>
            <w:top w:w="0" w:type="dxa"/>
            <w:left w:w="0" w:type="dxa"/>
            <w:bottom w:w="0" w:type="dxa"/>
            <w:right w:w="0" w:type="dxa"/>
          </w:tblCellMar>
        </w:tblPrEx>
        <w:tc>
          <w:tcPr>
            <w:tcW w:w="5656"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报告期内偏离度的最高值</w:t>
            </w:r>
          </w:p>
        </w:tc>
        <w:tc>
          <w:tcPr>
            <w:tcW w:w="319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0.0214%</w:t>
            </w:r>
          </w:p>
        </w:tc>
      </w:tr>
      <w:tr>
        <w:tblPrEx>
          <w:tblLayout w:type="fixed"/>
          <w:tblCellMar>
            <w:top w:w="0" w:type="dxa"/>
            <w:left w:w="0" w:type="dxa"/>
            <w:bottom w:w="0" w:type="dxa"/>
            <w:right w:w="0" w:type="dxa"/>
          </w:tblCellMar>
        </w:tblPrEx>
        <w:tc>
          <w:tcPr>
            <w:tcW w:w="5656"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报告期内偏离度的最低值</w:t>
            </w:r>
          </w:p>
        </w:tc>
        <w:tc>
          <w:tcPr>
            <w:tcW w:w="319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-0.0544%</w:t>
            </w:r>
          </w:p>
        </w:tc>
      </w:tr>
      <w:tr>
        <w:tblPrEx>
          <w:tblLayout w:type="fixed"/>
          <w:tblCellMar>
            <w:top w:w="0" w:type="dxa"/>
            <w:left w:w="0" w:type="dxa"/>
            <w:bottom w:w="0" w:type="dxa"/>
            <w:right w:w="0" w:type="dxa"/>
          </w:tblCellMar>
        </w:tblPrEx>
        <w:tc>
          <w:tcPr>
            <w:tcW w:w="5656"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报告期内每个工作日偏离度的绝对值的简单平均值</w:t>
            </w:r>
          </w:p>
        </w:tc>
        <w:tc>
          <w:tcPr>
            <w:tcW w:w="319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0.0093%</w:t>
            </w:r>
          </w:p>
        </w:tc>
      </w:tr>
    </w:tbl>
    <w:p>
      <w:pPr>
        <w:widowControl/>
        <w:spacing w:before="30" w:line="315" w:lineRule="atLeast"/>
        <w:ind w:left="15" w:leftChars="7" w:firstLine="480" w:firstLineChars="200"/>
        <w:jc w:val="left"/>
        <w:rPr>
          <w:rFonts w:ascii="宋体" w:hAnsi="宋体"/>
          <w:sz w:val="24"/>
        </w:rPr>
      </w:pPr>
      <w:r>
        <w:rPr>
          <w:rFonts w:hint="eastAsia" w:ascii="宋体" w:hAnsi="宋体"/>
          <w:sz w:val="24"/>
        </w:rPr>
        <w:t>报告期内负偏离度的绝对值达到0.25%情况说明</w:t>
      </w:r>
      <w:r>
        <w:rPr>
          <w:rFonts w:hint="eastAsia" w:ascii="宋体" w:hAnsi="宋体"/>
          <w:sz w:val="24"/>
          <w:lang w:eastAsia="zh-CN"/>
        </w:rPr>
        <w:t>：</w:t>
      </w:r>
    </w:p>
    <w:p>
      <w:pPr>
        <w:widowControl/>
        <w:spacing w:before="30" w:line="315" w:lineRule="atLeast"/>
        <w:ind w:left="15"/>
        <w:jc w:val="left"/>
        <w:rPr>
          <w:rFonts w:ascii="宋体" w:hAnsi="宋体"/>
          <w:sz w:val="24"/>
        </w:rPr>
      </w:pPr>
      <w:r>
        <w:rPr>
          <w:rFonts w:hint="eastAsia" w:ascii="宋体" w:hAnsi="宋体"/>
          <w:sz w:val="24"/>
        </w:rPr>
        <w:t>  本报告期内本货币市场基金负偏离度的绝对值未超过0.25%。</w:t>
      </w:r>
    </w:p>
    <w:p>
      <w:pPr>
        <w:widowControl/>
        <w:spacing w:before="30" w:line="315" w:lineRule="atLeast"/>
        <w:ind w:left="15" w:leftChars="7" w:firstLine="480" w:firstLineChars="200"/>
        <w:jc w:val="left"/>
        <w:rPr>
          <w:rFonts w:ascii="宋体" w:hAnsi="宋体"/>
          <w:sz w:val="24"/>
        </w:rPr>
      </w:pPr>
      <w:r>
        <w:rPr>
          <w:rFonts w:hint="eastAsia" w:ascii="宋体" w:hAnsi="宋体"/>
          <w:sz w:val="24"/>
        </w:rPr>
        <w:t>报告期内正偏离度的绝对值达到0.5%情况说明</w:t>
      </w:r>
      <w:r>
        <w:rPr>
          <w:rFonts w:hint="eastAsia" w:ascii="宋体" w:hAnsi="宋体"/>
          <w:sz w:val="24"/>
          <w:lang w:eastAsia="zh-CN"/>
        </w:rPr>
        <w:t>：</w:t>
      </w:r>
    </w:p>
    <w:p>
      <w:pPr>
        <w:widowControl/>
        <w:spacing w:before="30" w:line="315" w:lineRule="atLeast"/>
        <w:ind w:left="15"/>
        <w:jc w:val="left"/>
        <w:rPr>
          <w:rFonts w:ascii="微软雅黑" w:hAnsi="微软雅黑" w:eastAsia="微软雅黑" w:cs="宋体"/>
          <w:color w:val="555555"/>
          <w:kern w:val="0"/>
          <w:szCs w:val="21"/>
        </w:rPr>
      </w:pPr>
      <w:r>
        <w:rPr>
          <w:rFonts w:hint="eastAsia" w:ascii="宋体" w:hAnsi="宋体"/>
          <w:sz w:val="24"/>
        </w:rPr>
        <w:t>  本报告期内本货币市场基金正偏离度的绝对值未超过0.5%。</w:t>
      </w:r>
    </w:p>
    <w:p>
      <w:pPr>
        <w:widowControl/>
        <w:spacing w:before="30" w:line="315" w:lineRule="atLeast"/>
        <w:ind w:left="15" w:firstLine="425"/>
        <w:jc w:val="left"/>
        <w:rPr>
          <w:rFonts w:ascii="宋体" w:hAnsi="宋体"/>
          <w:sz w:val="24"/>
        </w:rPr>
      </w:pPr>
      <w:r>
        <w:rPr>
          <w:rFonts w:hint="eastAsia" w:ascii="宋体" w:hAnsi="宋体"/>
          <w:bCs/>
          <w:sz w:val="24"/>
        </w:rPr>
        <w:t>8、</w:t>
      </w:r>
      <w:r>
        <w:rPr>
          <w:rFonts w:hint="eastAsia" w:ascii="宋体" w:hAnsi="宋体"/>
          <w:sz w:val="24"/>
        </w:rPr>
        <w:t>报告期末按公允价值占基金资产净值比例大小排名的前十名资产支持证券投资明细</w:t>
      </w:r>
    </w:p>
    <w:p>
      <w:pPr>
        <w:widowControl/>
        <w:spacing w:before="30" w:line="315" w:lineRule="atLeast"/>
        <w:ind w:left="15" w:firstLine="372"/>
        <w:jc w:val="left"/>
        <w:rPr>
          <w:rFonts w:ascii="宋体" w:hAnsi="宋体"/>
          <w:sz w:val="24"/>
        </w:rPr>
      </w:pPr>
      <w:r>
        <w:rPr>
          <w:rFonts w:hint="eastAsia" w:ascii="宋体" w:hAnsi="宋体"/>
          <w:sz w:val="24"/>
        </w:rPr>
        <w:t> 本基金本报告期末未持有资产支持证券。</w:t>
      </w:r>
    </w:p>
    <w:p>
      <w:pPr>
        <w:widowControl/>
        <w:spacing w:before="30" w:line="315" w:lineRule="atLeast"/>
        <w:ind w:left="15" w:firstLine="425"/>
        <w:jc w:val="left"/>
        <w:rPr>
          <w:rFonts w:ascii="宋体" w:hAnsi="宋体"/>
          <w:sz w:val="24"/>
        </w:rPr>
      </w:pPr>
      <w:r>
        <w:rPr>
          <w:rFonts w:hint="eastAsia" w:ascii="宋体" w:hAnsi="宋体"/>
          <w:sz w:val="24"/>
        </w:rPr>
        <w:t>9、投资组合报告附注</w:t>
      </w:r>
    </w:p>
    <w:p>
      <w:pPr>
        <w:widowControl/>
        <w:spacing w:before="30" w:line="315" w:lineRule="atLeast"/>
        <w:ind w:left="15" w:firstLine="425"/>
        <w:jc w:val="left"/>
        <w:rPr>
          <w:rFonts w:ascii="宋体" w:hAnsi="宋体"/>
          <w:sz w:val="24"/>
        </w:rPr>
      </w:pPr>
      <w:r>
        <w:rPr>
          <w:rFonts w:hint="eastAsia" w:ascii="宋体" w:hAnsi="宋体"/>
          <w:sz w:val="24"/>
        </w:rPr>
        <w:t>（1）基金计价方法说明</w:t>
      </w:r>
    </w:p>
    <w:p>
      <w:pPr>
        <w:widowControl/>
        <w:spacing w:before="30" w:line="315" w:lineRule="atLeast"/>
        <w:ind w:left="15" w:firstLine="425"/>
        <w:jc w:val="left"/>
        <w:rPr>
          <w:rFonts w:ascii="宋体" w:hAnsi="宋体"/>
          <w:sz w:val="24"/>
        </w:rPr>
      </w:pPr>
      <w:r>
        <w:rPr>
          <w:rFonts w:hint="eastAsia" w:ascii="宋体" w:hAnsi="宋体"/>
          <w:sz w:val="24"/>
        </w:rPr>
        <w:t> 本基金采用摊余成本法计价，即计价对象以买入成本列示，按实际利率并考虑其买入时的溢价与折价，在其剩余期限内摊销，每日计提收益。本基金采用固定份额净值，基金账面份额净值始终保持1.00元。</w:t>
      </w:r>
    </w:p>
    <w:p>
      <w:pPr>
        <w:widowControl/>
        <w:spacing w:before="30" w:line="315" w:lineRule="atLeast"/>
        <w:ind w:left="15" w:firstLine="425"/>
        <w:jc w:val="left"/>
        <w:rPr>
          <w:rFonts w:ascii="宋体" w:hAnsi="宋体"/>
          <w:sz w:val="24"/>
        </w:rPr>
      </w:pPr>
      <w:r>
        <w:rPr>
          <w:rFonts w:hint="eastAsia" w:ascii="宋体" w:hAnsi="宋体"/>
          <w:sz w:val="24"/>
        </w:rPr>
        <w:t>（2）报告期内本基金投资的前十名证券的发行主体没有被监管部门立案调查，或在报告编制日前一年内受到公开谴责、处罚。</w:t>
      </w:r>
    </w:p>
    <w:p>
      <w:pPr>
        <w:widowControl/>
        <w:spacing w:before="30" w:line="315" w:lineRule="atLeast"/>
        <w:ind w:left="15" w:firstLine="425"/>
        <w:jc w:val="left"/>
        <w:rPr>
          <w:rFonts w:ascii="宋体" w:hAnsi="宋体"/>
          <w:sz w:val="24"/>
        </w:rPr>
      </w:pPr>
      <w:r>
        <w:rPr>
          <w:rFonts w:hint="eastAsia" w:ascii="宋体" w:hAnsi="宋体"/>
          <w:sz w:val="24"/>
        </w:rPr>
        <w:t>（3）其他资产构成</w:t>
      </w:r>
    </w:p>
    <w:tbl>
      <w:tblPr>
        <w:tblStyle w:val="33"/>
        <w:tblW w:w="8850" w:type="dxa"/>
        <w:tblInd w:w="0" w:type="dxa"/>
        <w:tblLayout w:type="fixed"/>
        <w:tblCellMar>
          <w:top w:w="0" w:type="dxa"/>
          <w:left w:w="0" w:type="dxa"/>
          <w:bottom w:w="0" w:type="dxa"/>
          <w:right w:w="0" w:type="dxa"/>
        </w:tblCellMar>
      </w:tblPr>
      <w:tblGrid>
        <w:gridCol w:w="967"/>
        <w:gridCol w:w="3728"/>
        <w:gridCol w:w="4155"/>
      </w:tblGrid>
      <w:tr>
        <w:tblPrEx>
          <w:tblLayout w:type="fixed"/>
          <w:tblCellMar>
            <w:top w:w="0" w:type="dxa"/>
            <w:left w:w="0" w:type="dxa"/>
            <w:bottom w:w="0" w:type="dxa"/>
            <w:right w:w="0" w:type="dxa"/>
          </w:tblCellMar>
        </w:tblPrEx>
        <w:tc>
          <w:tcPr>
            <w:tcW w:w="967"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序号</w:t>
            </w:r>
          </w:p>
        </w:tc>
        <w:tc>
          <w:tcPr>
            <w:tcW w:w="3728"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名称</w:t>
            </w:r>
          </w:p>
        </w:tc>
        <w:tc>
          <w:tcPr>
            <w:tcW w:w="4155"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金额(元)</w:t>
            </w:r>
          </w:p>
        </w:tc>
      </w:tr>
      <w:tr>
        <w:tblPrEx>
          <w:tblLayout w:type="fixed"/>
          <w:tblCellMar>
            <w:top w:w="0" w:type="dxa"/>
            <w:left w:w="0" w:type="dxa"/>
            <w:bottom w:w="0" w:type="dxa"/>
            <w:right w:w="0" w:type="dxa"/>
          </w:tblCellMar>
        </w:tblPrEx>
        <w:tc>
          <w:tcPr>
            <w:tcW w:w="967"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1</w:t>
            </w:r>
          </w:p>
        </w:tc>
        <w:tc>
          <w:tcPr>
            <w:tcW w:w="3728"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存出保证金</w:t>
            </w:r>
          </w:p>
        </w:tc>
        <w:tc>
          <w:tcPr>
            <w:tcW w:w="415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r>
      <w:tr>
        <w:tblPrEx>
          <w:tblLayout w:type="fixed"/>
          <w:tblCellMar>
            <w:top w:w="0" w:type="dxa"/>
            <w:left w:w="0" w:type="dxa"/>
            <w:bottom w:w="0" w:type="dxa"/>
            <w:right w:w="0" w:type="dxa"/>
          </w:tblCellMar>
        </w:tblPrEx>
        <w:tc>
          <w:tcPr>
            <w:tcW w:w="967"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2</w:t>
            </w:r>
          </w:p>
        </w:tc>
        <w:tc>
          <w:tcPr>
            <w:tcW w:w="3728"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应收证券清算款</w:t>
            </w:r>
          </w:p>
        </w:tc>
        <w:tc>
          <w:tcPr>
            <w:tcW w:w="415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r>
      <w:tr>
        <w:tblPrEx>
          <w:tblLayout w:type="fixed"/>
          <w:tblCellMar>
            <w:top w:w="0" w:type="dxa"/>
            <w:left w:w="0" w:type="dxa"/>
            <w:bottom w:w="0" w:type="dxa"/>
            <w:right w:w="0" w:type="dxa"/>
          </w:tblCellMar>
        </w:tblPrEx>
        <w:tc>
          <w:tcPr>
            <w:tcW w:w="967"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3</w:t>
            </w:r>
          </w:p>
        </w:tc>
        <w:tc>
          <w:tcPr>
            <w:tcW w:w="3728"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应收利息</w:t>
            </w:r>
          </w:p>
        </w:tc>
        <w:tc>
          <w:tcPr>
            <w:tcW w:w="415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14,194,018.68</w:t>
            </w:r>
          </w:p>
        </w:tc>
      </w:tr>
      <w:tr>
        <w:tblPrEx>
          <w:tblLayout w:type="fixed"/>
          <w:tblCellMar>
            <w:top w:w="0" w:type="dxa"/>
            <w:left w:w="0" w:type="dxa"/>
            <w:bottom w:w="0" w:type="dxa"/>
            <w:right w:w="0" w:type="dxa"/>
          </w:tblCellMar>
        </w:tblPrEx>
        <w:tc>
          <w:tcPr>
            <w:tcW w:w="967"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4</w:t>
            </w:r>
          </w:p>
        </w:tc>
        <w:tc>
          <w:tcPr>
            <w:tcW w:w="3728"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应收申购款</w:t>
            </w:r>
          </w:p>
        </w:tc>
        <w:tc>
          <w:tcPr>
            <w:tcW w:w="415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3,907.00</w:t>
            </w:r>
          </w:p>
        </w:tc>
      </w:tr>
      <w:tr>
        <w:tblPrEx>
          <w:tblLayout w:type="fixed"/>
          <w:tblCellMar>
            <w:top w:w="0" w:type="dxa"/>
            <w:left w:w="0" w:type="dxa"/>
            <w:bottom w:w="0" w:type="dxa"/>
            <w:right w:w="0" w:type="dxa"/>
          </w:tblCellMar>
        </w:tblPrEx>
        <w:tc>
          <w:tcPr>
            <w:tcW w:w="967"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5</w:t>
            </w:r>
          </w:p>
        </w:tc>
        <w:tc>
          <w:tcPr>
            <w:tcW w:w="3728"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其他应收款</w:t>
            </w:r>
          </w:p>
        </w:tc>
        <w:tc>
          <w:tcPr>
            <w:tcW w:w="415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r>
      <w:tr>
        <w:tblPrEx>
          <w:tblLayout w:type="fixed"/>
          <w:tblCellMar>
            <w:top w:w="0" w:type="dxa"/>
            <w:left w:w="0" w:type="dxa"/>
            <w:bottom w:w="0" w:type="dxa"/>
            <w:right w:w="0" w:type="dxa"/>
          </w:tblCellMar>
        </w:tblPrEx>
        <w:tc>
          <w:tcPr>
            <w:tcW w:w="967"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6</w:t>
            </w:r>
          </w:p>
        </w:tc>
        <w:tc>
          <w:tcPr>
            <w:tcW w:w="3728"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其他</w:t>
            </w:r>
          </w:p>
        </w:tc>
        <w:tc>
          <w:tcPr>
            <w:tcW w:w="415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r>
      <w:tr>
        <w:tblPrEx>
          <w:tblLayout w:type="fixed"/>
          <w:tblCellMar>
            <w:top w:w="0" w:type="dxa"/>
            <w:left w:w="0" w:type="dxa"/>
            <w:bottom w:w="0" w:type="dxa"/>
            <w:right w:w="0" w:type="dxa"/>
          </w:tblCellMar>
        </w:tblPrEx>
        <w:tc>
          <w:tcPr>
            <w:tcW w:w="967"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7</w:t>
            </w:r>
          </w:p>
        </w:tc>
        <w:tc>
          <w:tcPr>
            <w:tcW w:w="3728"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合计</w:t>
            </w:r>
          </w:p>
        </w:tc>
        <w:tc>
          <w:tcPr>
            <w:tcW w:w="415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14,197,925.68</w:t>
            </w:r>
          </w:p>
        </w:tc>
      </w:tr>
    </w:tbl>
    <w:p>
      <w:pPr>
        <w:pStyle w:val="25"/>
        <w:spacing w:before="30" w:beforeAutospacing="0" w:after="0" w:afterAutospacing="0" w:line="315" w:lineRule="atLeast"/>
        <w:ind w:left="15"/>
        <w:rPr>
          <w:rFonts w:cs="Times New Roman"/>
          <w:kern w:val="2"/>
        </w:rPr>
      </w:pPr>
      <w:r>
        <w:rPr>
          <w:rFonts w:hint="eastAsia" w:cs="Times New Roman"/>
          <w:kern w:val="2"/>
        </w:rPr>
        <w:t>（4）</w:t>
      </w:r>
      <w:r>
        <w:rPr>
          <w:rFonts w:hint="eastAsia" w:cs="Times New Roman"/>
          <w:bCs/>
          <w:kern w:val="2"/>
        </w:rPr>
        <w:t>投资组合报告附注的其他文字描述</w:t>
      </w:r>
    </w:p>
    <w:p>
      <w:pPr>
        <w:pStyle w:val="25"/>
        <w:spacing w:before="30" w:beforeAutospacing="0" w:after="0" w:afterAutospacing="0" w:line="315" w:lineRule="atLeast"/>
        <w:ind w:left="15"/>
        <w:rPr>
          <w:rFonts w:cs="Times New Roman"/>
          <w:kern w:val="2"/>
        </w:rPr>
      </w:pPr>
      <w:r>
        <w:rPr>
          <w:rFonts w:hint="eastAsia" w:cs="Times New Roman"/>
          <w:kern w:val="2"/>
        </w:rPr>
        <w:t>   由于四舍五入的原因，分项之和与合计项之间可能存在尾差。</w:t>
      </w:r>
    </w:p>
    <w:p>
      <w:pPr>
        <w:widowControl/>
        <w:spacing w:before="30" w:line="315" w:lineRule="atLeast"/>
        <w:ind w:left="15" w:firstLine="372"/>
        <w:jc w:val="left"/>
        <w:rPr>
          <w:rFonts w:ascii="宋体" w:hAnsi="宋体"/>
          <w:sz w:val="24"/>
        </w:rPr>
      </w:pPr>
      <w:r>
        <w:rPr>
          <w:rFonts w:hint="eastAsia" w:ascii="宋体" w:hAnsi="宋体"/>
          <w:sz w:val="24"/>
        </w:rPr>
        <w:t>（九）开放式基金份额变动</w:t>
      </w:r>
    </w:p>
    <w:p>
      <w:pPr>
        <w:widowControl/>
        <w:autoSpaceDE w:val="0"/>
        <w:autoSpaceDN w:val="0"/>
        <w:adjustRightInd w:val="0"/>
        <w:spacing w:line="360" w:lineRule="auto"/>
        <w:jc w:val="right"/>
        <w:rPr>
          <w:rFonts w:ascii="宋体" w:hAnsi="宋体" w:cs="宋体"/>
          <w:kern w:val="0"/>
          <w:sz w:val="24"/>
        </w:rPr>
      </w:pPr>
      <w:r>
        <w:rPr>
          <w:rFonts w:hint="eastAsia" w:ascii="宋体" w:cs="宋体"/>
          <w:color w:val="000000"/>
          <w:kern w:val="0"/>
          <w:sz w:val="24"/>
        </w:rPr>
        <w:t>单位：份</w:t>
      </w:r>
    </w:p>
    <w:tbl>
      <w:tblPr>
        <w:tblStyle w:val="33"/>
        <w:tblW w:w="8782" w:type="dxa"/>
        <w:tblInd w:w="108" w:type="dxa"/>
        <w:tblLayout w:type="fixed"/>
        <w:tblCellMar>
          <w:top w:w="0" w:type="dxa"/>
          <w:left w:w="108" w:type="dxa"/>
          <w:bottom w:w="0" w:type="dxa"/>
          <w:right w:w="108" w:type="dxa"/>
        </w:tblCellMar>
      </w:tblPr>
      <w:tblGrid>
        <w:gridCol w:w="4009"/>
        <w:gridCol w:w="2369"/>
        <w:gridCol w:w="2404"/>
      </w:tblGrid>
      <w:tr>
        <w:tblPrEx>
          <w:tblLayout w:type="fixed"/>
          <w:tblCellMar>
            <w:top w:w="0" w:type="dxa"/>
            <w:left w:w="108" w:type="dxa"/>
            <w:bottom w:w="0" w:type="dxa"/>
            <w:right w:w="108" w:type="dxa"/>
          </w:tblCellMar>
        </w:tblPrEx>
        <w:tc>
          <w:tcPr>
            <w:tcW w:w="4009" w:type="dxa"/>
            <w:tcBorders>
              <w:top w:val="single" w:color="000000" w:sz="8" w:space="0"/>
              <w:left w:val="single" w:color="000000" w:sz="8" w:space="0"/>
              <w:bottom w:val="single" w:color="000000" w:sz="6" w:space="0"/>
              <w:right w:val="single" w:color="000000" w:sz="8" w:space="0"/>
            </w:tcBorders>
            <w:vAlign w:val="center"/>
          </w:tcPr>
          <w:p>
            <w:pPr>
              <w:widowControl/>
              <w:jc w:val="left"/>
              <w:rPr>
                <w:kern w:val="0"/>
                <w:sz w:val="20"/>
                <w:szCs w:val="20"/>
              </w:rPr>
            </w:pPr>
          </w:p>
        </w:tc>
        <w:tc>
          <w:tcPr>
            <w:tcW w:w="2369" w:type="dxa"/>
            <w:tcBorders>
              <w:top w:val="single" w:color="000000" w:sz="8" w:space="0"/>
              <w:left w:val="single" w:color="000000" w:sz="8" w:space="0"/>
              <w:bottom w:val="single" w:color="000000" w:sz="6" w:space="0"/>
              <w:right w:val="single" w:color="000000" w:sz="8" w:space="0"/>
            </w:tcBorders>
            <w:vAlign w:val="center"/>
          </w:tcPr>
          <w:p>
            <w:pPr>
              <w:pStyle w:val="74"/>
              <w:wordWrap w:val="0"/>
              <w:spacing w:line="360" w:lineRule="auto"/>
            </w:pPr>
            <w:r>
              <w:rPr>
                <w:rFonts w:hint="eastAsia" w:cs="Times New Roman"/>
                <w:kern w:val="2"/>
              </w:rPr>
              <w:t>富荣货币A</w:t>
            </w:r>
          </w:p>
        </w:tc>
        <w:tc>
          <w:tcPr>
            <w:tcW w:w="2404" w:type="dxa"/>
            <w:tcBorders>
              <w:top w:val="single" w:color="000000" w:sz="8" w:space="0"/>
              <w:left w:val="single" w:color="000000" w:sz="8" w:space="0"/>
              <w:bottom w:val="single" w:color="000000" w:sz="6" w:space="0"/>
              <w:right w:val="single" w:color="000000" w:sz="8" w:space="0"/>
            </w:tcBorders>
            <w:vAlign w:val="center"/>
          </w:tcPr>
          <w:p>
            <w:pPr>
              <w:pStyle w:val="74"/>
              <w:wordWrap w:val="0"/>
              <w:spacing w:line="360" w:lineRule="auto"/>
            </w:pPr>
            <w:r>
              <w:rPr>
                <w:rFonts w:hint="eastAsia" w:cs="Times New Roman"/>
                <w:kern w:val="2"/>
              </w:rPr>
              <w:t>富荣货币B</w:t>
            </w:r>
          </w:p>
        </w:tc>
      </w:tr>
      <w:tr>
        <w:tblPrEx>
          <w:tblLayout w:type="fixed"/>
          <w:tblCellMar>
            <w:top w:w="0" w:type="dxa"/>
            <w:left w:w="108" w:type="dxa"/>
            <w:bottom w:w="0" w:type="dxa"/>
            <w:right w:w="108" w:type="dxa"/>
          </w:tblCellMar>
        </w:tblPrEx>
        <w:tc>
          <w:tcPr>
            <w:tcW w:w="4009" w:type="dxa"/>
            <w:tcBorders>
              <w:top w:val="single" w:color="000000" w:sz="8" w:space="0"/>
              <w:left w:val="single" w:color="000000" w:sz="8" w:space="0"/>
              <w:bottom w:val="single" w:color="000000" w:sz="6" w:space="0"/>
              <w:right w:val="single" w:color="000000" w:sz="8" w:space="0"/>
            </w:tcBorders>
            <w:vAlign w:val="center"/>
          </w:tcPr>
          <w:p>
            <w:pPr>
              <w:widowControl/>
              <w:spacing w:before="30" w:line="315" w:lineRule="atLeast"/>
              <w:ind w:left="15"/>
              <w:jc w:val="left"/>
            </w:pPr>
            <w:r>
              <w:rPr>
                <w:rFonts w:hint="eastAsia" w:ascii="宋体" w:hAnsi="宋体"/>
                <w:sz w:val="24"/>
              </w:rPr>
              <w:t>报告期期初基金份额总额</w:t>
            </w:r>
          </w:p>
        </w:tc>
        <w:tc>
          <w:tcPr>
            <w:tcW w:w="2369"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pPr>
            <w:r>
              <w:rPr>
                <w:rFonts w:hint="eastAsia" w:cs="Times New Roman"/>
                <w:kern w:val="2"/>
              </w:rPr>
              <w:t>197,688,722.98</w:t>
            </w:r>
          </w:p>
        </w:tc>
        <w:tc>
          <w:tcPr>
            <w:tcW w:w="2404"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rPr>
                <w:rFonts w:cs="Times New Roman"/>
                <w:kern w:val="2"/>
              </w:rPr>
            </w:pPr>
            <w:r>
              <w:rPr>
                <w:rFonts w:hint="eastAsia" w:cs="Times New Roman"/>
                <w:kern w:val="2"/>
              </w:rPr>
              <w:t>2,910,059,324.23</w:t>
            </w:r>
          </w:p>
        </w:tc>
      </w:tr>
      <w:tr>
        <w:tblPrEx>
          <w:tblLayout w:type="fixed"/>
          <w:tblCellMar>
            <w:top w:w="0" w:type="dxa"/>
            <w:left w:w="108" w:type="dxa"/>
            <w:bottom w:w="0" w:type="dxa"/>
            <w:right w:w="108" w:type="dxa"/>
          </w:tblCellMar>
        </w:tblPrEx>
        <w:tc>
          <w:tcPr>
            <w:tcW w:w="4009" w:type="dxa"/>
            <w:tcBorders>
              <w:top w:val="single" w:color="000000" w:sz="8" w:space="0"/>
              <w:left w:val="single" w:color="000000" w:sz="8" w:space="0"/>
              <w:bottom w:val="single" w:color="000000" w:sz="6" w:space="0"/>
              <w:right w:val="single" w:color="000000" w:sz="8" w:space="0"/>
            </w:tcBorders>
            <w:vAlign w:val="center"/>
          </w:tcPr>
          <w:p>
            <w:pPr>
              <w:pStyle w:val="73"/>
              <w:wordWrap w:val="0"/>
              <w:spacing w:line="360" w:lineRule="auto"/>
            </w:pPr>
            <w:r>
              <w:rPr>
                <w:rFonts w:hint="eastAsia" w:cs="Times New Roman"/>
                <w:kern w:val="2"/>
              </w:rPr>
              <w:t>报告期期间基金总申购份额</w:t>
            </w:r>
          </w:p>
        </w:tc>
        <w:tc>
          <w:tcPr>
            <w:tcW w:w="2369"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pPr>
            <w:r>
              <w:rPr>
                <w:rFonts w:hint="eastAsia" w:hAnsi="Calibri"/>
                <w:color w:val="000000"/>
              </w:rPr>
              <w:t>4</w:t>
            </w:r>
            <w:r>
              <w:rPr>
                <w:rFonts w:hint="eastAsia" w:cs="Times New Roman"/>
                <w:kern w:val="2"/>
              </w:rPr>
              <w:t>0,885,047.03</w:t>
            </w:r>
          </w:p>
        </w:tc>
        <w:tc>
          <w:tcPr>
            <w:tcW w:w="2404"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pPr>
            <w:r>
              <w:rPr>
                <w:rFonts w:hint="eastAsia" w:hAnsi="Calibri"/>
                <w:color w:val="000000"/>
              </w:rPr>
              <w:t>3,713,586,571.11</w:t>
            </w:r>
          </w:p>
        </w:tc>
      </w:tr>
      <w:tr>
        <w:tblPrEx>
          <w:tblLayout w:type="fixed"/>
          <w:tblCellMar>
            <w:top w:w="0" w:type="dxa"/>
            <w:left w:w="108" w:type="dxa"/>
            <w:bottom w:w="0" w:type="dxa"/>
            <w:right w:w="108" w:type="dxa"/>
          </w:tblCellMar>
        </w:tblPrEx>
        <w:tc>
          <w:tcPr>
            <w:tcW w:w="4009" w:type="dxa"/>
            <w:tcBorders>
              <w:top w:val="single" w:color="000000" w:sz="8" w:space="0"/>
              <w:left w:val="single" w:color="000000" w:sz="8" w:space="0"/>
              <w:bottom w:val="single" w:color="000000" w:sz="6" w:space="0"/>
              <w:right w:val="single" w:color="000000" w:sz="8" w:space="0"/>
            </w:tcBorders>
            <w:vAlign w:val="center"/>
          </w:tcPr>
          <w:p>
            <w:pPr>
              <w:pStyle w:val="73"/>
              <w:wordWrap w:val="0"/>
              <w:spacing w:line="360" w:lineRule="auto"/>
            </w:pPr>
            <w:r>
              <w:rPr>
                <w:rFonts w:hint="eastAsia" w:cs="Times New Roman"/>
                <w:kern w:val="2"/>
              </w:rPr>
              <w:t>报告期期间基金总赎回份额</w:t>
            </w:r>
          </w:p>
        </w:tc>
        <w:tc>
          <w:tcPr>
            <w:tcW w:w="2369"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pPr>
            <w:r>
              <w:rPr>
                <w:rFonts w:hint="eastAsia" w:cs="Times New Roman"/>
                <w:kern w:val="2"/>
              </w:rPr>
              <w:t>200,660,107.23</w:t>
            </w:r>
          </w:p>
        </w:tc>
        <w:tc>
          <w:tcPr>
            <w:tcW w:w="2404"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pPr>
            <w:r>
              <w:rPr>
                <w:rFonts w:hint="eastAsia" w:cs="Times New Roman"/>
                <w:kern w:val="2"/>
              </w:rPr>
              <w:t>3,538,256,753.73</w:t>
            </w:r>
          </w:p>
        </w:tc>
      </w:tr>
      <w:tr>
        <w:tblPrEx>
          <w:tblLayout w:type="fixed"/>
          <w:tblCellMar>
            <w:top w:w="0" w:type="dxa"/>
            <w:left w:w="108" w:type="dxa"/>
            <w:bottom w:w="0" w:type="dxa"/>
            <w:right w:w="108" w:type="dxa"/>
          </w:tblCellMar>
        </w:tblPrEx>
        <w:tc>
          <w:tcPr>
            <w:tcW w:w="4009" w:type="dxa"/>
            <w:tcBorders>
              <w:top w:val="single" w:color="000000" w:sz="8" w:space="0"/>
              <w:left w:val="single" w:color="000000" w:sz="8" w:space="0"/>
              <w:bottom w:val="single" w:color="000000" w:sz="6" w:space="0"/>
              <w:right w:val="single" w:color="000000" w:sz="8" w:space="0"/>
            </w:tcBorders>
            <w:vAlign w:val="center"/>
          </w:tcPr>
          <w:p>
            <w:pPr>
              <w:pStyle w:val="73"/>
              <w:wordWrap w:val="0"/>
              <w:spacing w:line="360" w:lineRule="auto"/>
            </w:pPr>
            <w:r>
              <w:rPr>
                <w:rFonts w:hint="eastAsia" w:cs="Times New Roman"/>
                <w:kern w:val="2"/>
              </w:rPr>
              <w:t>报告期期末基金份额总额</w:t>
            </w:r>
          </w:p>
        </w:tc>
        <w:tc>
          <w:tcPr>
            <w:tcW w:w="2369"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pPr>
            <w:r>
              <w:rPr>
                <w:rFonts w:hint="eastAsia" w:cs="Times New Roman"/>
                <w:kern w:val="2"/>
              </w:rPr>
              <w:t>37,913,662.78</w:t>
            </w:r>
          </w:p>
        </w:tc>
        <w:tc>
          <w:tcPr>
            <w:tcW w:w="2404"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pPr>
            <w:r>
              <w:rPr>
                <w:rFonts w:hint="eastAsia" w:cs="Times New Roman"/>
                <w:kern w:val="2"/>
              </w:rPr>
              <w:t>3,085,389,141.61</w:t>
            </w:r>
          </w:p>
        </w:tc>
      </w:tr>
    </w:tbl>
    <w:p>
      <w:pPr>
        <w:widowControl/>
        <w:spacing w:before="30" w:line="315" w:lineRule="atLeast"/>
        <w:ind w:left="15" w:firstLine="372"/>
        <w:jc w:val="left"/>
        <w:rPr>
          <w:rFonts w:ascii="宋体" w:hAnsi="宋体"/>
          <w:sz w:val="24"/>
        </w:rPr>
      </w:pPr>
      <w:r>
        <w:rPr>
          <w:rFonts w:hint="eastAsia" w:ascii="宋体" w:hAnsi="宋体"/>
          <w:sz w:val="24"/>
        </w:rPr>
        <w:t>（十）基金管理人运用固有资金投资本基金交易明细</w:t>
      </w:r>
    </w:p>
    <w:tbl>
      <w:tblPr>
        <w:tblStyle w:val="33"/>
        <w:tblW w:w="8801" w:type="dxa"/>
        <w:tblInd w:w="108" w:type="dxa"/>
        <w:tblLayout w:type="fixed"/>
        <w:tblCellMar>
          <w:top w:w="0" w:type="dxa"/>
          <w:left w:w="108" w:type="dxa"/>
          <w:bottom w:w="0" w:type="dxa"/>
          <w:right w:w="108" w:type="dxa"/>
        </w:tblCellMar>
      </w:tblPr>
      <w:tblGrid>
        <w:gridCol w:w="796"/>
        <w:gridCol w:w="1460"/>
        <w:gridCol w:w="1637"/>
        <w:gridCol w:w="1777"/>
        <w:gridCol w:w="1843"/>
        <w:gridCol w:w="1288"/>
      </w:tblGrid>
      <w:tr>
        <w:tblPrEx>
          <w:tblLayout w:type="fixed"/>
          <w:tblCellMar>
            <w:top w:w="0" w:type="dxa"/>
            <w:left w:w="108" w:type="dxa"/>
            <w:bottom w:w="0" w:type="dxa"/>
            <w:right w:w="108" w:type="dxa"/>
          </w:tblCellMar>
        </w:tblPrEx>
        <w:tc>
          <w:tcPr>
            <w:tcW w:w="796" w:type="dxa"/>
            <w:tcBorders>
              <w:top w:val="single" w:color="000000" w:sz="8" w:space="0"/>
              <w:left w:val="single" w:color="000000" w:sz="8" w:space="0"/>
              <w:bottom w:val="single" w:color="000000" w:sz="6" w:space="0"/>
              <w:right w:val="single" w:color="000000" w:sz="8" w:space="0"/>
            </w:tcBorders>
            <w:vAlign w:val="center"/>
          </w:tcPr>
          <w:p>
            <w:pPr>
              <w:pStyle w:val="74"/>
              <w:spacing w:line="360" w:lineRule="auto"/>
            </w:pPr>
            <w:r>
              <w:rPr>
                <w:rFonts w:hint="eastAsia" w:cs="Times New Roman"/>
                <w:kern w:val="2"/>
              </w:rPr>
              <w:t>序号</w:t>
            </w:r>
          </w:p>
        </w:tc>
        <w:tc>
          <w:tcPr>
            <w:tcW w:w="1460" w:type="dxa"/>
            <w:tcBorders>
              <w:top w:val="single" w:color="000000" w:sz="8" w:space="0"/>
              <w:left w:val="single" w:color="000000" w:sz="8" w:space="0"/>
              <w:bottom w:val="single" w:color="000000" w:sz="6" w:space="0"/>
              <w:right w:val="single" w:color="000000" w:sz="8" w:space="0"/>
            </w:tcBorders>
            <w:vAlign w:val="center"/>
          </w:tcPr>
          <w:p>
            <w:pPr>
              <w:pStyle w:val="74"/>
              <w:spacing w:line="360" w:lineRule="auto"/>
              <w:rPr>
                <w:rFonts w:cs="Times New Roman"/>
                <w:kern w:val="2"/>
              </w:rPr>
            </w:pPr>
            <w:r>
              <w:rPr>
                <w:rFonts w:hint="eastAsia" w:cs="Times New Roman"/>
                <w:kern w:val="2"/>
              </w:rPr>
              <w:t>交易方式</w:t>
            </w:r>
          </w:p>
        </w:tc>
        <w:tc>
          <w:tcPr>
            <w:tcW w:w="1637" w:type="dxa"/>
            <w:tcBorders>
              <w:top w:val="single" w:color="000000" w:sz="8" w:space="0"/>
              <w:left w:val="single" w:color="000000" w:sz="8" w:space="0"/>
              <w:bottom w:val="single" w:color="000000" w:sz="6" w:space="0"/>
              <w:right w:val="single" w:color="000000" w:sz="8" w:space="0"/>
            </w:tcBorders>
            <w:vAlign w:val="center"/>
          </w:tcPr>
          <w:p>
            <w:pPr>
              <w:pStyle w:val="74"/>
              <w:spacing w:line="360" w:lineRule="auto"/>
              <w:rPr>
                <w:rFonts w:cs="Times New Roman"/>
                <w:kern w:val="2"/>
              </w:rPr>
            </w:pPr>
            <w:r>
              <w:rPr>
                <w:rFonts w:hint="eastAsia" w:cs="Times New Roman"/>
                <w:kern w:val="2"/>
              </w:rPr>
              <w:t>交易日期</w:t>
            </w:r>
          </w:p>
        </w:tc>
        <w:tc>
          <w:tcPr>
            <w:tcW w:w="1777" w:type="dxa"/>
            <w:tcBorders>
              <w:top w:val="single" w:color="000000" w:sz="8" w:space="0"/>
              <w:left w:val="single" w:color="000000" w:sz="8" w:space="0"/>
              <w:bottom w:val="single" w:color="000000" w:sz="6" w:space="0"/>
              <w:right w:val="single" w:color="000000" w:sz="8" w:space="0"/>
            </w:tcBorders>
            <w:vAlign w:val="center"/>
          </w:tcPr>
          <w:p>
            <w:pPr>
              <w:pStyle w:val="74"/>
              <w:spacing w:line="360" w:lineRule="auto"/>
              <w:rPr>
                <w:rFonts w:cs="Times New Roman"/>
                <w:kern w:val="2"/>
              </w:rPr>
            </w:pPr>
            <w:r>
              <w:rPr>
                <w:rFonts w:hint="eastAsia" w:cs="Times New Roman"/>
                <w:kern w:val="2"/>
              </w:rPr>
              <w:t>交易份额</w:t>
            </w:r>
          </w:p>
        </w:tc>
        <w:tc>
          <w:tcPr>
            <w:tcW w:w="1843" w:type="dxa"/>
            <w:tcBorders>
              <w:top w:val="single" w:color="000000" w:sz="8" w:space="0"/>
              <w:left w:val="single" w:color="000000" w:sz="8" w:space="0"/>
              <w:bottom w:val="single" w:color="000000" w:sz="6" w:space="0"/>
              <w:right w:val="single" w:color="000000" w:sz="8" w:space="0"/>
            </w:tcBorders>
            <w:vAlign w:val="center"/>
          </w:tcPr>
          <w:p>
            <w:pPr>
              <w:pStyle w:val="74"/>
              <w:spacing w:line="360" w:lineRule="auto"/>
              <w:rPr>
                <w:rFonts w:cs="Times New Roman"/>
                <w:kern w:val="2"/>
              </w:rPr>
            </w:pPr>
            <w:r>
              <w:rPr>
                <w:rFonts w:hint="eastAsia" w:cs="Times New Roman"/>
                <w:kern w:val="2"/>
              </w:rPr>
              <w:t>交易金额</w:t>
            </w:r>
          </w:p>
        </w:tc>
        <w:tc>
          <w:tcPr>
            <w:tcW w:w="1288" w:type="dxa"/>
            <w:tcBorders>
              <w:top w:val="single" w:color="000000" w:sz="8" w:space="0"/>
              <w:left w:val="single" w:color="000000" w:sz="8" w:space="0"/>
              <w:bottom w:val="single" w:color="000000" w:sz="6" w:space="0"/>
              <w:right w:val="single" w:color="000000" w:sz="8" w:space="0"/>
            </w:tcBorders>
            <w:vAlign w:val="center"/>
          </w:tcPr>
          <w:p>
            <w:pPr>
              <w:pStyle w:val="74"/>
              <w:spacing w:line="360" w:lineRule="auto"/>
              <w:rPr>
                <w:rFonts w:cs="Times New Roman"/>
                <w:kern w:val="2"/>
              </w:rPr>
            </w:pPr>
            <w:r>
              <w:rPr>
                <w:rFonts w:hint="eastAsia" w:cs="Times New Roman"/>
                <w:kern w:val="2"/>
              </w:rPr>
              <w:t>适用费率</w:t>
            </w:r>
          </w:p>
        </w:tc>
      </w:tr>
      <w:tr>
        <w:tblPrEx>
          <w:tblLayout w:type="fixed"/>
          <w:tblCellMar>
            <w:top w:w="0" w:type="dxa"/>
            <w:left w:w="108" w:type="dxa"/>
            <w:bottom w:w="0" w:type="dxa"/>
            <w:right w:w="108" w:type="dxa"/>
          </w:tblCellMar>
        </w:tblPrEx>
        <w:tc>
          <w:tcPr>
            <w:tcW w:w="796" w:type="dxa"/>
            <w:tcBorders>
              <w:top w:val="single" w:color="000000" w:sz="8" w:space="0"/>
              <w:left w:val="single" w:color="000000" w:sz="8" w:space="0"/>
              <w:bottom w:val="single" w:color="000000" w:sz="6" w:space="0"/>
              <w:right w:val="single" w:color="000000" w:sz="8" w:space="0"/>
            </w:tcBorders>
            <w:vAlign w:val="center"/>
          </w:tcPr>
          <w:p>
            <w:pPr>
              <w:pStyle w:val="73"/>
              <w:spacing w:line="360" w:lineRule="auto"/>
              <w:jc w:val="center"/>
              <w:rPr>
                <w:rFonts w:cs="Times New Roman"/>
                <w:kern w:val="2"/>
              </w:rPr>
            </w:pPr>
            <w:r>
              <w:rPr>
                <w:rFonts w:hint="eastAsia" w:cs="Times New Roman"/>
                <w:kern w:val="2"/>
              </w:rPr>
              <w:t>1</w:t>
            </w:r>
          </w:p>
        </w:tc>
        <w:tc>
          <w:tcPr>
            <w:tcW w:w="1460" w:type="dxa"/>
            <w:tcBorders>
              <w:top w:val="single" w:color="000000" w:sz="8" w:space="0"/>
              <w:left w:val="single" w:color="000000" w:sz="8" w:space="0"/>
              <w:bottom w:val="single" w:color="000000" w:sz="6" w:space="0"/>
              <w:right w:val="single" w:color="000000" w:sz="8" w:space="0"/>
            </w:tcBorders>
            <w:vAlign w:val="center"/>
          </w:tcPr>
          <w:p>
            <w:pPr>
              <w:pStyle w:val="73"/>
              <w:spacing w:line="360" w:lineRule="auto"/>
              <w:jc w:val="center"/>
              <w:rPr>
                <w:rFonts w:cs="Times New Roman"/>
                <w:kern w:val="2"/>
              </w:rPr>
            </w:pPr>
            <w:r>
              <w:rPr>
                <w:rFonts w:hint="eastAsia" w:cs="Times New Roman"/>
                <w:kern w:val="2"/>
              </w:rPr>
              <w:t>赎回</w:t>
            </w:r>
          </w:p>
        </w:tc>
        <w:tc>
          <w:tcPr>
            <w:tcW w:w="1637" w:type="dxa"/>
            <w:tcBorders>
              <w:top w:val="single" w:color="000000" w:sz="8" w:space="0"/>
              <w:left w:val="single" w:color="000000" w:sz="8" w:space="0"/>
              <w:bottom w:val="single" w:color="000000" w:sz="6" w:space="0"/>
              <w:right w:val="single" w:color="000000" w:sz="8" w:space="0"/>
            </w:tcBorders>
            <w:vAlign w:val="center"/>
          </w:tcPr>
          <w:p>
            <w:pPr>
              <w:pStyle w:val="73"/>
              <w:wordWrap w:val="0"/>
              <w:spacing w:line="360" w:lineRule="auto"/>
              <w:rPr>
                <w:rFonts w:cs="Times New Roman"/>
                <w:kern w:val="2"/>
              </w:rPr>
            </w:pPr>
            <w:r>
              <w:rPr>
                <w:rFonts w:hint="eastAsia" w:cs="Times New Roman"/>
                <w:kern w:val="2"/>
              </w:rPr>
              <w:t>2017-01-13</w:t>
            </w:r>
          </w:p>
        </w:tc>
        <w:tc>
          <w:tcPr>
            <w:tcW w:w="1777" w:type="dxa"/>
            <w:tcBorders>
              <w:top w:val="single" w:color="000000" w:sz="8" w:space="0"/>
              <w:left w:val="single" w:color="000000" w:sz="8" w:space="0"/>
              <w:bottom w:val="single" w:color="000000" w:sz="6" w:space="0"/>
              <w:right w:val="single" w:color="000000" w:sz="8" w:space="0"/>
            </w:tcBorders>
            <w:vAlign w:val="center"/>
          </w:tcPr>
          <w:p>
            <w:pPr>
              <w:pStyle w:val="73"/>
              <w:wordWrap w:val="0"/>
              <w:spacing w:line="360" w:lineRule="auto"/>
              <w:rPr>
                <w:rFonts w:cs="Times New Roman"/>
                <w:kern w:val="2"/>
              </w:rPr>
            </w:pPr>
            <w:r>
              <w:rPr>
                <w:rFonts w:hint="eastAsia" w:cs="Times New Roman"/>
                <w:kern w:val="2"/>
              </w:rPr>
              <w:t>1,500,000.00</w:t>
            </w:r>
          </w:p>
        </w:tc>
        <w:tc>
          <w:tcPr>
            <w:tcW w:w="1843" w:type="dxa"/>
            <w:tcBorders>
              <w:top w:val="single" w:color="000000" w:sz="8" w:space="0"/>
              <w:left w:val="single" w:color="000000" w:sz="8" w:space="0"/>
              <w:bottom w:val="single" w:color="000000" w:sz="6" w:space="0"/>
              <w:right w:val="single" w:color="000000" w:sz="8" w:space="0"/>
            </w:tcBorders>
            <w:vAlign w:val="center"/>
          </w:tcPr>
          <w:p>
            <w:pPr>
              <w:pStyle w:val="73"/>
              <w:wordWrap w:val="0"/>
              <w:spacing w:line="360" w:lineRule="auto"/>
              <w:rPr>
                <w:rFonts w:cs="Times New Roman"/>
                <w:kern w:val="2"/>
              </w:rPr>
            </w:pPr>
            <w:r>
              <w:rPr>
                <w:rFonts w:hint="eastAsia" w:cs="Times New Roman"/>
                <w:kern w:val="2"/>
              </w:rPr>
              <w:t>1,500,000.00</w:t>
            </w:r>
          </w:p>
        </w:tc>
        <w:tc>
          <w:tcPr>
            <w:tcW w:w="1288" w:type="dxa"/>
            <w:tcBorders>
              <w:top w:val="single" w:color="000000" w:sz="8" w:space="0"/>
              <w:left w:val="single" w:color="000000" w:sz="8" w:space="0"/>
              <w:bottom w:val="single" w:color="000000" w:sz="6" w:space="0"/>
              <w:right w:val="single" w:color="000000" w:sz="8" w:space="0"/>
            </w:tcBorders>
            <w:vAlign w:val="center"/>
          </w:tcPr>
          <w:p>
            <w:pPr>
              <w:pStyle w:val="73"/>
              <w:wordWrap w:val="0"/>
              <w:spacing w:line="360" w:lineRule="auto"/>
              <w:rPr>
                <w:rFonts w:cs="Times New Roman"/>
                <w:kern w:val="2"/>
              </w:rPr>
            </w:pPr>
            <w:r>
              <w:rPr>
                <w:rFonts w:hint="eastAsia" w:cs="Times New Roman"/>
                <w:kern w:val="2"/>
              </w:rPr>
              <w:t>-</w:t>
            </w:r>
          </w:p>
        </w:tc>
      </w:tr>
      <w:tr>
        <w:tblPrEx>
          <w:tblLayout w:type="fixed"/>
          <w:tblCellMar>
            <w:top w:w="0" w:type="dxa"/>
            <w:left w:w="108" w:type="dxa"/>
            <w:bottom w:w="0" w:type="dxa"/>
            <w:right w:w="108" w:type="dxa"/>
          </w:tblCellMar>
        </w:tblPrEx>
        <w:tc>
          <w:tcPr>
            <w:tcW w:w="796" w:type="dxa"/>
            <w:tcBorders>
              <w:top w:val="single" w:color="000000" w:sz="8" w:space="0"/>
              <w:left w:val="single" w:color="000000" w:sz="8" w:space="0"/>
              <w:bottom w:val="single" w:color="000000" w:sz="6" w:space="0"/>
              <w:right w:val="single" w:color="000000" w:sz="8" w:space="0"/>
            </w:tcBorders>
            <w:vAlign w:val="center"/>
          </w:tcPr>
          <w:p>
            <w:pPr>
              <w:pStyle w:val="73"/>
              <w:wordWrap w:val="0"/>
              <w:spacing w:line="360" w:lineRule="auto"/>
              <w:jc w:val="center"/>
              <w:rPr>
                <w:rFonts w:cs="Times New Roman"/>
                <w:kern w:val="2"/>
              </w:rPr>
            </w:pPr>
            <w:r>
              <w:rPr>
                <w:rFonts w:hint="eastAsia" w:cs="Times New Roman"/>
                <w:kern w:val="2"/>
              </w:rPr>
              <w:t>2</w:t>
            </w:r>
          </w:p>
        </w:tc>
        <w:tc>
          <w:tcPr>
            <w:tcW w:w="1460" w:type="dxa"/>
            <w:tcBorders>
              <w:top w:val="single" w:color="000000" w:sz="8" w:space="0"/>
              <w:left w:val="single" w:color="000000" w:sz="8" w:space="0"/>
              <w:bottom w:val="single" w:color="000000" w:sz="6" w:space="0"/>
              <w:right w:val="single" w:color="000000" w:sz="8" w:space="0"/>
            </w:tcBorders>
            <w:vAlign w:val="center"/>
          </w:tcPr>
          <w:p>
            <w:pPr>
              <w:pStyle w:val="73"/>
              <w:wordWrap w:val="0"/>
              <w:spacing w:line="360" w:lineRule="auto"/>
              <w:jc w:val="center"/>
              <w:rPr>
                <w:rFonts w:cs="Times New Roman"/>
                <w:kern w:val="2"/>
              </w:rPr>
            </w:pPr>
            <w:r>
              <w:rPr>
                <w:rFonts w:hint="eastAsia" w:cs="Times New Roman"/>
                <w:kern w:val="2"/>
              </w:rPr>
              <w:t>赎回</w:t>
            </w:r>
          </w:p>
        </w:tc>
        <w:tc>
          <w:tcPr>
            <w:tcW w:w="1637" w:type="dxa"/>
            <w:tcBorders>
              <w:top w:val="single" w:color="000000" w:sz="8" w:space="0"/>
              <w:left w:val="single" w:color="000000" w:sz="8" w:space="0"/>
              <w:bottom w:val="single" w:color="000000" w:sz="6" w:space="0"/>
              <w:right w:val="single" w:color="000000" w:sz="8" w:space="0"/>
            </w:tcBorders>
            <w:vAlign w:val="center"/>
          </w:tcPr>
          <w:p>
            <w:pPr>
              <w:pStyle w:val="73"/>
              <w:wordWrap w:val="0"/>
              <w:spacing w:line="360" w:lineRule="auto"/>
              <w:rPr>
                <w:rFonts w:cs="Times New Roman"/>
                <w:kern w:val="2"/>
              </w:rPr>
            </w:pPr>
            <w:r>
              <w:rPr>
                <w:rFonts w:hint="eastAsia" w:cs="Times New Roman"/>
                <w:kern w:val="2"/>
              </w:rPr>
              <w:t>2017-02-27</w:t>
            </w:r>
          </w:p>
        </w:tc>
        <w:tc>
          <w:tcPr>
            <w:tcW w:w="1777" w:type="dxa"/>
            <w:tcBorders>
              <w:top w:val="single" w:color="000000" w:sz="8" w:space="0"/>
              <w:left w:val="single" w:color="000000" w:sz="8" w:space="0"/>
              <w:bottom w:val="single" w:color="000000" w:sz="6" w:space="0"/>
              <w:right w:val="single" w:color="000000" w:sz="8" w:space="0"/>
            </w:tcBorders>
            <w:vAlign w:val="center"/>
          </w:tcPr>
          <w:p>
            <w:pPr>
              <w:pStyle w:val="73"/>
              <w:wordWrap w:val="0"/>
              <w:spacing w:line="360" w:lineRule="auto"/>
              <w:rPr>
                <w:rFonts w:cs="Times New Roman"/>
                <w:kern w:val="2"/>
              </w:rPr>
            </w:pPr>
            <w:r>
              <w:rPr>
                <w:rFonts w:hint="eastAsia" w:cs="Times New Roman"/>
                <w:kern w:val="2"/>
              </w:rPr>
              <w:t>2,000,000.00</w:t>
            </w:r>
          </w:p>
        </w:tc>
        <w:tc>
          <w:tcPr>
            <w:tcW w:w="1843" w:type="dxa"/>
            <w:tcBorders>
              <w:top w:val="single" w:color="000000" w:sz="8" w:space="0"/>
              <w:left w:val="single" w:color="000000" w:sz="8" w:space="0"/>
              <w:bottom w:val="single" w:color="000000" w:sz="6" w:space="0"/>
              <w:right w:val="single" w:color="000000" w:sz="8" w:space="0"/>
            </w:tcBorders>
            <w:vAlign w:val="center"/>
          </w:tcPr>
          <w:p>
            <w:pPr>
              <w:pStyle w:val="73"/>
              <w:wordWrap w:val="0"/>
              <w:spacing w:line="360" w:lineRule="auto"/>
              <w:rPr>
                <w:rFonts w:cs="Times New Roman"/>
                <w:kern w:val="2"/>
              </w:rPr>
            </w:pPr>
            <w:r>
              <w:rPr>
                <w:rFonts w:hint="eastAsia" w:cs="Times New Roman"/>
                <w:kern w:val="2"/>
              </w:rPr>
              <w:t>2,000,000.00</w:t>
            </w:r>
          </w:p>
        </w:tc>
        <w:tc>
          <w:tcPr>
            <w:tcW w:w="1288" w:type="dxa"/>
            <w:tcBorders>
              <w:top w:val="single" w:color="000000" w:sz="8" w:space="0"/>
              <w:left w:val="single" w:color="000000" w:sz="8" w:space="0"/>
              <w:bottom w:val="single" w:color="000000" w:sz="6" w:space="0"/>
              <w:right w:val="single" w:color="000000" w:sz="8" w:space="0"/>
            </w:tcBorders>
            <w:vAlign w:val="center"/>
          </w:tcPr>
          <w:p>
            <w:pPr>
              <w:pStyle w:val="73"/>
              <w:wordWrap w:val="0"/>
              <w:spacing w:line="360" w:lineRule="auto"/>
              <w:rPr>
                <w:rFonts w:cs="Times New Roman"/>
                <w:kern w:val="2"/>
              </w:rPr>
            </w:pPr>
            <w:r>
              <w:rPr>
                <w:rFonts w:hint="eastAsia" w:cs="Times New Roman"/>
                <w:kern w:val="2"/>
              </w:rPr>
              <w:t>-</w:t>
            </w:r>
          </w:p>
        </w:tc>
      </w:tr>
      <w:tr>
        <w:tblPrEx>
          <w:tblLayout w:type="fixed"/>
          <w:tblCellMar>
            <w:top w:w="0" w:type="dxa"/>
            <w:left w:w="108" w:type="dxa"/>
            <w:bottom w:w="0" w:type="dxa"/>
            <w:right w:w="108" w:type="dxa"/>
          </w:tblCellMar>
        </w:tblPrEx>
        <w:tc>
          <w:tcPr>
            <w:tcW w:w="796" w:type="dxa"/>
            <w:tcBorders>
              <w:top w:val="single" w:color="000000" w:sz="8" w:space="0"/>
              <w:left w:val="single" w:color="000000" w:sz="8" w:space="0"/>
              <w:bottom w:val="single" w:color="000000" w:sz="6" w:space="0"/>
              <w:right w:val="single" w:color="000000" w:sz="8" w:space="0"/>
            </w:tcBorders>
            <w:vAlign w:val="center"/>
          </w:tcPr>
          <w:p>
            <w:pPr>
              <w:pStyle w:val="73"/>
              <w:wordWrap w:val="0"/>
              <w:spacing w:line="360" w:lineRule="auto"/>
              <w:jc w:val="center"/>
              <w:rPr>
                <w:rFonts w:cs="Times New Roman"/>
                <w:kern w:val="2"/>
              </w:rPr>
            </w:pPr>
            <w:r>
              <w:rPr>
                <w:rFonts w:hint="eastAsia" w:cs="Times New Roman"/>
                <w:kern w:val="2"/>
              </w:rPr>
              <w:t>3</w:t>
            </w:r>
          </w:p>
        </w:tc>
        <w:tc>
          <w:tcPr>
            <w:tcW w:w="1460" w:type="dxa"/>
            <w:tcBorders>
              <w:top w:val="single" w:color="000000" w:sz="8" w:space="0"/>
              <w:left w:val="single" w:color="000000" w:sz="8" w:space="0"/>
              <w:bottom w:val="single" w:color="000000" w:sz="6" w:space="0"/>
              <w:right w:val="single" w:color="000000" w:sz="8" w:space="0"/>
            </w:tcBorders>
            <w:vAlign w:val="center"/>
          </w:tcPr>
          <w:p>
            <w:pPr>
              <w:pStyle w:val="73"/>
              <w:wordWrap w:val="0"/>
              <w:spacing w:line="360" w:lineRule="auto"/>
              <w:jc w:val="center"/>
              <w:rPr>
                <w:rFonts w:cs="Times New Roman"/>
                <w:kern w:val="2"/>
              </w:rPr>
            </w:pPr>
            <w:r>
              <w:rPr>
                <w:rFonts w:hint="eastAsia" w:cs="Times New Roman"/>
                <w:kern w:val="2"/>
              </w:rPr>
              <w:t>赎回</w:t>
            </w:r>
          </w:p>
        </w:tc>
        <w:tc>
          <w:tcPr>
            <w:tcW w:w="1637" w:type="dxa"/>
            <w:tcBorders>
              <w:top w:val="single" w:color="000000" w:sz="8" w:space="0"/>
              <w:left w:val="single" w:color="000000" w:sz="8" w:space="0"/>
              <w:bottom w:val="single" w:color="000000" w:sz="6" w:space="0"/>
              <w:right w:val="single" w:color="000000" w:sz="8" w:space="0"/>
            </w:tcBorders>
            <w:vAlign w:val="center"/>
          </w:tcPr>
          <w:p>
            <w:pPr>
              <w:pStyle w:val="73"/>
              <w:wordWrap w:val="0"/>
              <w:spacing w:line="360" w:lineRule="auto"/>
              <w:rPr>
                <w:rFonts w:cs="Times New Roman"/>
                <w:kern w:val="2"/>
              </w:rPr>
            </w:pPr>
            <w:r>
              <w:rPr>
                <w:rFonts w:hint="eastAsia" w:cs="Times New Roman"/>
                <w:kern w:val="2"/>
              </w:rPr>
              <w:t>2017-03-30</w:t>
            </w:r>
          </w:p>
        </w:tc>
        <w:tc>
          <w:tcPr>
            <w:tcW w:w="1777" w:type="dxa"/>
            <w:tcBorders>
              <w:top w:val="single" w:color="000000" w:sz="8" w:space="0"/>
              <w:left w:val="single" w:color="000000" w:sz="8" w:space="0"/>
              <w:bottom w:val="single" w:color="000000" w:sz="6" w:space="0"/>
              <w:right w:val="single" w:color="000000" w:sz="8" w:space="0"/>
            </w:tcBorders>
            <w:vAlign w:val="center"/>
          </w:tcPr>
          <w:p>
            <w:pPr>
              <w:pStyle w:val="73"/>
              <w:wordWrap w:val="0"/>
              <w:spacing w:line="360" w:lineRule="auto"/>
              <w:rPr>
                <w:rFonts w:cs="Times New Roman"/>
                <w:kern w:val="2"/>
              </w:rPr>
            </w:pPr>
            <w:r>
              <w:rPr>
                <w:rFonts w:hint="eastAsia" w:cs="Times New Roman"/>
                <w:kern w:val="2"/>
              </w:rPr>
              <w:t>2,000,000.00</w:t>
            </w:r>
          </w:p>
        </w:tc>
        <w:tc>
          <w:tcPr>
            <w:tcW w:w="1843" w:type="dxa"/>
            <w:tcBorders>
              <w:top w:val="single" w:color="000000" w:sz="8" w:space="0"/>
              <w:left w:val="single" w:color="000000" w:sz="8" w:space="0"/>
              <w:bottom w:val="single" w:color="000000" w:sz="6" w:space="0"/>
              <w:right w:val="single" w:color="000000" w:sz="8" w:space="0"/>
            </w:tcBorders>
            <w:vAlign w:val="center"/>
          </w:tcPr>
          <w:p>
            <w:pPr>
              <w:pStyle w:val="73"/>
              <w:wordWrap w:val="0"/>
              <w:spacing w:line="360" w:lineRule="auto"/>
              <w:rPr>
                <w:rFonts w:cs="Times New Roman"/>
                <w:kern w:val="2"/>
              </w:rPr>
            </w:pPr>
            <w:r>
              <w:rPr>
                <w:rFonts w:hint="eastAsia" w:cs="Times New Roman"/>
                <w:kern w:val="2"/>
              </w:rPr>
              <w:t>2,000,000.00</w:t>
            </w:r>
          </w:p>
        </w:tc>
        <w:tc>
          <w:tcPr>
            <w:tcW w:w="1288" w:type="dxa"/>
            <w:tcBorders>
              <w:top w:val="single" w:color="000000" w:sz="8" w:space="0"/>
              <w:left w:val="single" w:color="000000" w:sz="8" w:space="0"/>
              <w:bottom w:val="single" w:color="000000" w:sz="6" w:space="0"/>
              <w:right w:val="single" w:color="000000" w:sz="8" w:space="0"/>
            </w:tcBorders>
            <w:vAlign w:val="center"/>
          </w:tcPr>
          <w:p>
            <w:pPr>
              <w:pStyle w:val="73"/>
              <w:wordWrap w:val="0"/>
              <w:spacing w:line="360" w:lineRule="auto"/>
              <w:rPr>
                <w:rFonts w:cs="Times New Roman"/>
                <w:kern w:val="2"/>
              </w:rPr>
            </w:pPr>
            <w:r>
              <w:rPr>
                <w:rFonts w:hint="eastAsia" w:cs="Times New Roman"/>
                <w:kern w:val="2"/>
              </w:rPr>
              <w:t>-</w:t>
            </w:r>
          </w:p>
        </w:tc>
      </w:tr>
      <w:tr>
        <w:tblPrEx>
          <w:tblLayout w:type="fixed"/>
        </w:tblPrEx>
        <w:tc>
          <w:tcPr>
            <w:tcW w:w="796" w:type="dxa"/>
            <w:tcBorders>
              <w:top w:val="single" w:color="000000" w:sz="8" w:space="0"/>
              <w:left w:val="single" w:color="000000" w:sz="8" w:space="0"/>
              <w:bottom w:val="single" w:color="000000" w:sz="6" w:space="0"/>
              <w:right w:val="single" w:color="000000" w:sz="8" w:space="0"/>
            </w:tcBorders>
            <w:vAlign w:val="center"/>
          </w:tcPr>
          <w:p>
            <w:pPr>
              <w:pStyle w:val="74"/>
              <w:wordWrap w:val="0"/>
              <w:spacing w:line="360" w:lineRule="auto"/>
              <w:rPr>
                <w:rFonts w:cs="Times New Roman"/>
                <w:kern w:val="2"/>
              </w:rPr>
            </w:pPr>
            <w:r>
              <w:rPr>
                <w:rFonts w:hint="eastAsia" w:cs="Times New Roman"/>
                <w:kern w:val="2"/>
              </w:rPr>
              <w:t>合计</w:t>
            </w:r>
          </w:p>
        </w:tc>
        <w:tc>
          <w:tcPr>
            <w:tcW w:w="1460" w:type="dxa"/>
            <w:tcBorders>
              <w:top w:val="single" w:color="000000" w:sz="8" w:space="0"/>
              <w:left w:val="single" w:color="000000" w:sz="8" w:space="0"/>
              <w:bottom w:val="single" w:color="000000" w:sz="6" w:space="0"/>
              <w:right w:val="single" w:color="000000" w:sz="8" w:space="0"/>
            </w:tcBorders>
            <w:vAlign w:val="center"/>
          </w:tcPr>
          <w:p>
            <w:pPr>
              <w:widowControl/>
              <w:jc w:val="left"/>
              <w:rPr>
                <w:rFonts w:ascii="宋体" w:hAnsi="宋体"/>
                <w:sz w:val="24"/>
              </w:rPr>
            </w:pPr>
          </w:p>
        </w:tc>
        <w:tc>
          <w:tcPr>
            <w:tcW w:w="1637" w:type="dxa"/>
            <w:tcBorders>
              <w:top w:val="single" w:color="000000" w:sz="8" w:space="0"/>
              <w:left w:val="single" w:color="000000" w:sz="8" w:space="0"/>
              <w:bottom w:val="single" w:color="000000" w:sz="6" w:space="0"/>
              <w:right w:val="single" w:color="000000" w:sz="8" w:space="0"/>
            </w:tcBorders>
            <w:vAlign w:val="center"/>
          </w:tcPr>
          <w:p>
            <w:pPr>
              <w:widowControl/>
              <w:jc w:val="left"/>
              <w:rPr>
                <w:rFonts w:ascii="宋体" w:hAnsi="宋体"/>
                <w:sz w:val="24"/>
              </w:rPr>
            </w:pPr>
          </w:p>
        </w:tc>
        <w:tc>
          <w:tcPr>
            <w:tcW w:w="1777" w:type="dxa"/>
            <w:tcBorders>
              <w:top w:val="single" w:color="000000" w:sz="8" w:space="0"/>
              <w:left w:val="single" w:color="000000" w:sz="8" w:space="0"/>
              <w:bottom w:val="single" w:color="000000" w:sz="6" w:space="0"/>
              <w:right w:val="single" w:color="000000" w:sz="8" w:space="0"/>
            </w:tcBorders>
            <w:vAlign w:val="center"/>
          </w:tcPr>
          <w:p>
            <w:pPr>
              <w:pStyle w:val="74"/>
              <w:wordWrap w:val="0"/>
              <w:spacing w:line="360" w:lineRule="auto"/>
              <w:rPr>
                <w:rFonts w:cs="Times New Roman"/>
                <w:kern w:val="2"/>
              </w:rPr>
            </w:pPr>
            <w:r>
              <w:rPr>
                <w:rFonts w:hint="eastAsia" w:cs="Times New Roman"/>
                <w:kern w:val="2"/>
              </w:rPr>
              <w:t>5,500,000.00</w:t>
            </w:r>
          </w:p>
        </w:tc>
        <w:tc>
          <w:tcPr>
            <w:tcW w:w="1843" w:type="dxa"/>
            <w:tcBorders>
              <w:top w:val="single" w:color="000000" w:sz="8" w:space="0"/>
              <w:left w:val="single" w:color="000000" w:sz="8" w:space="0"/>
              <w:bottom w:val="single" w:color="000000" w:sz="6" w:space="0"/>
              <w:right w:val="single" w:color="000000" w:sz="8" w:space="0"/>
            </w:tcBorders>
            <w:vAlign w:val="center"/>
          </w:tcPr>
          <w:p>
            <w:pPr>
              <w:pStyle w:val="74"/>
              <w:wordWrap w:val="0"/>
              <w:spacing w:line="360" w:lineRule="auto"/>
              <w:rPr>
                <w:rFonts w:cs="Times New Roman"/>
                <w:kern w:val="2"/>
              </w:rPr>
            </w:pPr>
            <w:r>
              <w:rPr>
                <w:rFonts w:hint="eastAsia" w:cs="Times New Roman"/>
                <w:kern w:val="2"/>
              </w:rPr>
              <w:t>5,500,000.00</w:t>
            </w:r>
          </w:p>
        </w:tc>
        <w:tc>
          <w:tcPr>
            <w:tcW w:w="1288" w:type="dxa"/>
            <w:tcBorders>
              <w:top w:val="single" w:color="000000" w:sz="8" w:space="0"/>
              <w:left w:val="single" w:color="000000" w:sz="8" w:space="0"/>
              <w:bottom w:val="single" w:color="000000" w:sz="6" w:space="0"/>
              <w:right w:val="single" w:color="000000" w:sz="8" w:space="0"/>
            </w:tcBorders>
            <w:vAlign w:val="center"/>
          </w:tcPr>
          <w:p>
            <w:pPr>
              <w:widowControl/>
              <w:jc w:val="left"/>
              <w:rPr>
                <w:rFonts w:ascii="宋体" w:hAnsi="宋体"/>
                <w:sz w:val="24"/>
              </w:rPr>
            </w:pPr>
          </w:p>
        </w:tc>
      </w:tr>
    </w:tbl>
    <w:p>
      <w:pPr>
        <w:widowControl/>
        <w:spacing w:before="30" w:line="315" w:lineRule="atLeast"/>
        <w:ind w:left="15" w:firstLine="372"/>
        <w:jc w:val="left"/>
        <w:rPr>
          <w:rFonts w:ascii="宋体" w:hAnsi="宋体"/>
          <w:sz w:val="24"/>
        </w:rPr>
      </w:pPr>
      <w:r>
        <w:rPr>
          <w:rFonts w:hint="eastAsia" w:ascii="宋体" w:hAnsi="宋体"/>
          <w:sz w:val="24"/>
        </w:rPr>
        <w:t>（十一）影响投资者决策的其他重要信息</w:t>
      </w:r>
    </w:p>
    <w:p>
      <w:pPr>
        <w:pStyle w:val="71"/>
        <w:widowControl/>
        <w:numPr>
          <w:ilvl w:val="-1"/>
          <w:numId w:val="0"/>
        </w:numPr>
        <w:spacing w:before="30" w:line="315" w:lineRule="atLeast"/>
        <w:ind w:left="387" w:firstLine="0" w:firstLineChars="0"/>
        <w:jc w:val="left"/>
        <w:rPr>
          <w:rFonts w:hint="eastAsia" w:ascii="宋体" w:hAnsi="宋体"/>
          <w:b w:val="0"/>
          <w:bCs w:val="0"/>
          <w:sz w:val="24"/>
          <w:highlight w:val="none"/>
        </w:rPr>
      </w:pPr>
      <w:r>
        <w:rPr>
          <w:rFonts w:hint="eastAsia" w:ascii="宋体" w:hAnsi="宋体"/>
          <w:b w:val="0"/>
          <w:bCs w:val="0"/>
          <w:sz w:val="24"/>
          <w:highlight w:val="none"/>
          <w:lang w:val="en-US" w:eastAsia="zh-CN"/>
        </w:rPr>
        <w:t>1、</w:t>
      </w:r>
      <w:r>
        <w:rPr>
          <w:rFonts w:hint="eastAsia" w:ascii="宋体" w:hAnsi="宋体"/>
          <w:b w:val="0"/>
          <w:bCs w:val="0"/>
          <w:sz w:val="24"/>
          <w:highlight w:val="none"/>
        </w:rPr>
        <w:t>报告期内单一投资者持有基金份额比例达到或超过</w:t>
      </w:r>
      <w:r>
        <w:rPr>
          <w:rFonts w:ascii="宋体" w:hAnsi="宋体"/>
          <w:b w:val="0"/>
          <w:bCs w:val="0"/>
          <w:sz w:val="24"/>
          <w:highlight w:val="none"/>
        </w:rPr>
        <w:t>20%</w:t>
      </w:r>
      <w:r>
        <w:rPr>
          <w:rFonts w:hint="eastAsia" w:ascii="宋体" w:hAnsi="宋体"/>
          <w:b w:val="0"/>
          <w:bCs w:val="0"/>
          <w:sz w:val="24"/>
          <w:highlight w:val="none"/>
        </w:rPr>
        <w:t>的情况</w:t>
      </w:r>
    </w:p>
    <w:tbl>
      <w:tblPr>
        <w:tblStyle w:val="33"/>
        <w:tblW w:w="11199" w:type="dxa"/>
        <w:tblInd w:w="-1026" w:type="dxa"/>
        <w:tblLayout w:type="fixed"/>
        <w:tblCellMar>
          <w:top w:w="0" w:type="dxa"/>
          <w:left w:w="108" w:type="dxa"/>
          <w:bottom w:w="0" w:type="dxa"/>
          <w:right w:w="108" w:type="dxa"/>
        </w:tblCellMar>
      </w:tblPr>
      <w:tblGrid>
        <w:gridCol w:w="425"/>
        <w:gridCol w:w="425"/>
        <w:gridCol w:w="1844"/>
        <w:gridCol w:w="1984"/>
        <w:gridCol w:w="1985"/>
        <w:gridCol w:w="1984"/>
        <w:gridCol w:w="1701"/>
        <w:gridCol w:w="851"/>
      </w:tblGrid>
      <w:tr>
        <w:tblPrEx>
          <w:tblLayout w:type="fixed"/>
          <w:tblCellMar>
            <w:top w:w="0" w:type="dxa"/>
            <w:left w:w="108" w:type="dxa"/>
            <w:bottom w:w="0" w:type="dxa"/>
            <w:right w:w="108" w:type="dxa"/>
          </w:tblCellMar>
        </w:tblPrEx>
        <w:tc>
          <w:tcPr>
            <w:tcW w:w="425" w:type="dxa"/>
            <w:vMerge w:val="restart"/>
            <w:tcBorders>
              <w:top w:val="single" w:color="000000" w:sz="8" w:space="0"/>
              <w:left w:val="single" w:color="000000" w:sz="8" w:space="0"/>
              <w:bottom w:val="single" w:color="000000" w:sz="6" w:space="0"/>
              <w:right w:val="single" w:color="000000" w:sz="8" w:space="0"/>
            </w:tcBorders>
            <w:vAlign w:val="center"/>
          </w:tcPr>
          <w:p>
            <w:pPr>
              <w:pStyle w:val="74"/>
              <w:wordWrap w:val="0"/>
              <w:spacing w:line="360" w:lineRule="auto"/>
              <w:rPr>
                <w:rFonts w:asciiTheme="minorEastAsia" w:hAnsiTheme="minorEastAsia" w:eastAsiaTheme="minorEastAsia"/>
                <w:sz w:val="21"/>
                <w:szCs w:val="21"/>
              </w:rPr>
            </w:pPr>
            <w:r>
              <w:rPr>
                <w:rFonts w:hint="eastAsia" w:asciiTheme="minorEastAsia" w:hAnsiTheme="minorEastAsia" w:eastAsiaTheme="minorEastAsia"/>
                <w:b/>
                <w:color w:val="000000"/>
                <w:sz w:val="21"/>
                <w:szCs w:val="21"/>
              </w:rPr>
              <w:t>投资者类别</w:t>
            </w:r>
          </w:p>
        </w:tc>
        <w:tc>
          <w:tcPr>
            <w:tcW w:w="8222" w:type="dxa"/>
            <w:gridSpan w:val="5"/>
            <w:tcBorders>
              <w:top w:val="single" w:color="000000" w:sz="8" w:space="0"/>
              <w:left w:val="single" w:color="000000" w:sz="8" w:space="0"/>
              <w:bottom w:val="single" w:color="000000" w:sz="6" w:space="0"/>
              <w:right w:val="single" w:color="000000" w:sz="8" w:space="0"/>
            </w:tcBorders>
            <w:vAlign w:val="center"/>
          </w:tcPr>
          <w:p>
            <w:pPr>
              <w:pStyle w:val="74"/>
              <w:wordWrap w:val="0"/>
              <w:spacing w:line="360" w:lineRule="auto"/>
              <w:rPr>
                <w:rFonts w:asciiTheme="minorEastAsia" w:hAnsiTheme="minorEastAsia" w:eastAsiaTheme="minorEastAsia"/>
                <w:sz w:val="21"/>
                <w:szCs w:val="21"/>
              </w:rPr>
            </w:pPr>
            <w:r>
              <w:rPr>
                <w:rFonts w:hint="eastAsia" w:asciiTheme="minorEastAsia" w:hAnsiTheme="minorEastAsia" w:eastAsiaTheme="minorEastAsia"/>
                <w:color w:val="000000"/>
                <w:sz w:val="21"/>
                <w:szCs w:val="21"/>
              </w:rPr>
              <w:t>报告期内持有基金份额变化情况</w:t>
            </w:r>
          </w:p>
        </w:tc>
        <w:tc>
          <w:tcPr>
            <w:tcW w:w="2552" w:type="dxa"/>
            <w:gridSpan w:val="2"/>
            <w:tcBorders>
              <w:top w:val="single" w:color="000000" w:sz="8" w:space="0"/>
              <w:left w:val="single" w:color="000000" w:sz="8" w:space="0"/>
              <w:bottom w:val="single" w:color="000000" w:sz="6" w:space="0"/>
              <w:right w:val="single" w:color="000000" w:sz="8" w:space="0"/>
            </w:tcBorders>
            <w:vAlign w:val="center"/>
          </w:tcPr>
          <w:p>
            <w:pPr>
              <w:pStyle w:val="74"/>
              <w:wordWrap w:val="0"/>
              <w:spacing w:line="360" w:lineRule="auto"/>
              <w:rPr>
                <w:rFonts w:asciiTheme="minorEastAsia" w:hAnsiTheme="minorEastAsia" w:eastAsiaTheme="minorEastAsia"/>
                <w:sz w:val="21"/>
                <w:szCs w:val="21"/>
              </w:rPr>
            </w:pPr>
            <w:r>
              <w:rPr>
                <w:rFonts w:hint="eastAsia" w:asciiTheme="minorEastAsia" w:hAnsiTheme="minorEastAsia" w:eastAsiaTheme="minorEastAsia"/>
                <w:color w:val="000000"/>
                <w:sz w:val="21"/>
                <w:szCs w:val="21"/>
              </w:rPr>
              <w:t>报告期末持有基金情况</w:t>
            </w:r>
          </w:p>
        </w:tc>
      </w:tr>
      <w:tr>
        <w:tblPrEx>
          <w:tblLayout w:type="fixed"/>
          <w:tblCellMar>
            <w:top w:w="0" w:type="dxa"/>
            <w:left w:w="108" w:type="dxa"/>
            <w:bottom w:w="0" w:type="dxa"/>
            <w:right w:w="108" w:type="dxa"/>
          </w:tblCellMar>
        </w:tblPrEx>
        <w:tc>
          <w:tcPr>
            <w:tcW w:w="425" w:type="dxa"/>
            <w:vMerge w:val="continue"/>
            <w:tcBorders>
              <w:top w:val="single" w:color="000000" w:sz="8" w:space="0"/>
              <w:left w:val="single" w:color="000000" w:sz="8" w:space="0"/>
              <w:bottom w:val="single" w:color="000000" w:sz="6" w:space="0"/>
              <w:right w:val="single" w:color="000000" w:sz="8" w:space="0"/>
            </w:tcBorders>
            <w:vAlign w:val="center"/>
          </w:tcPr>
          <w:p>
            <w:pPr>
              <w:widowControl/>
              <w:spacing w:line="360" w:lineRule="auto"/>
              <w:jc w:val="left"/>
              <w:rPr>
                <w:rFonts w:cs="宋体" w:asciiTheme="minorEastAsia" w:hAnsiTheme="minorEastAsia" w:eastAsiaTheme="minorEastAsia"/>
                <w:kern w:val="0"/>
                <w:szCs w:val="21"/>
              </w:rPr>
            </w:pPr>
          </w:p>
        </w:tc>
        <w:tc>
          <w:tcPr>
            <w:tcW w:w="425" w:type="dxa"/>
            <w:tcBorders>
              <w:top w:val="single" w:color="000000" w:sz="8" w:space="0"/>
              <w:left w:val="single" w:color="000000" w:sz="8" w:space="0"/>
              <w:bottom w:val="single" w:color="000000" w:sz="6" w:space="0"/>
              <w:right w:val="single" w:color="000000" w:sz="8" w:space="0"/>
            </w:tcBorders>
            <w:vAlign w:val="center"/>
          </w:tcPr>
          <w:p>
            <w:pPr>
              <w:pStyle w:val="74"/>
              <w:wordWrap w:val="0"/>
              <w:spacing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序号</w:t>
            </w:r>
          </w:p>
        </w:tc>
        <w:tc>
          <w:tcPr>
            <w:tcW w:w="1844" w:type="dxa"/>
            <w:tcBorders>
              <w:top w:val="single" w:color="000000" w:sz="8" w:space="0"/>
              <w:left w:val="single" w:color="000000" w:sz="8" w:space="0"/>
              <w:bottom w:val="single" w:color="000000" w:sz="6" w:space="0"/>
              <w:right w:val="single" w:color="000000" w:sz="8" w:space="0"/>
            </w:tcBorders>
            <w:vAlign w:val="center"/>
          </w:tcPr>
          <w:p>
            <w:pPr>
              <w:pStyle w:val="74"/>
              <w:wordWrap w:val="0"/>
              <w:spacing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持有基金份额比例达到或者超过</w:t>
            </w:r>
            <w:r>
              <w:rPr>
                <w:rFonts w:asciiTheme="minorEastAsia" w:hAnsiTheme="minorEastAsia" w:eastAsiaTheme="minorEastAsia"/>
                <w:sz w:val="21"/>
                <w:szCs w:val="21"/>
              </w:rPr>
              <w:t>20%的时间区间</w:t>
            </w:r>
          </w:p>
        </w:tc>
        <w:tc>
          <w:tcPr>
            <w:tcW w:w="1984" w:type="dxa"/>
            <w:tcBorders>
              <w:top w:val="single" w:color="000000" w:sz="8" w:space="0"/>
              <w:left w:val="single" w:color="000000" w:sz="8" w:space="0"/>
              <w:bottom w:val="single" w:color="000000" w:sz="6" w:space="0"/>
              <w:right w:val="single" w:color="000000" w:sz="8" w:space="0"/>
            </w:tcBorders>
            <w:vAlign w:val="center"/>
          </w:tcPr>
          <w:p>
            <w:pPr>
              <w:pStyle w:val="74"/>
              <w:wordWrap w:val="0"/>
              <w:spacing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期初份额</w:t>
            </w:r>
          </w:p>
        </w:tc>
        <w:tc>
          <w:tcPr>
            <w:tcW w:w="1985" w:type="dxa"/>
            <w:tcBorders>
              <w:top w:val="single" w:color="000000" w:sz="8" w:space="0"/>
              <w:left w:val="single" w:color="000000" w:sz="8" w:space="0"/>
              <w:bottom w:val="single" w:color="000000" w:sz="6" w:space="0"/>
              <w:right w:val="single" w:color="000000" w:sz="8" w:space="0"/>
            </w:tcBorders>
            <w:vAlign w:val="center"/>
          </w:tcPr>
          <w:p>
            <w:pPr>
              <w:pStyle w:val="74"/>
              <w:wordWrap w:val="0"/>
              <w:spacing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申购份额</w:t>
            </w:r>
          </w:p>
        </w:tc>
        <w:tc>
          <w:tcPr>
            <w:tcW w:w="1984" w:type="dxa"/>
            <w:tcBorders>
              <w:top w:val="single" w:color="000000" w:sz="8" w:space="0"/>
              <w:left w:val="single" w:color="000000" w:sz="8" w:space="0"/>
              <w:bottom w:val="single" w:color="000000" w:sz="6" w:space="0"/>
              <w:right w:val="single" w:color="000000" w:sz="8" w:space="0"/>
            </w:tcBorders>
            <w:vAlign w:val="center"/>
          </w:tcPr>
          <w:p>
            <w:pPr>
              <w:pStyle w:val="74"/>
              <w:wordWrap w:val="0"/>
              <w:spacing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赎回份额</w:t>
            </w:r>
          </w:p>
        </w:tc>
        <w:tc>
          <w:tcPr>
            <w:tcW w:w="1701" w:type="dxa"/>
            <w:tcBorders>
              <w:top w:val="single" w:color="000000" w:sz="8" w:space="0"/>
              <w:left w:val="single" w:color="000000" w:sz="8" w:space="0"/>
              <w:bottom w:val="single" w:color="000000" w:sz="6" w:space="0"/>
              <w:right w:val="single" w:color="000000" w:sz="8" w:space="0"/>
            </w:tcBorders>
            <w:vAlign w:val="center"/>
          </w:tcPr>
          <w:p>
            <w:pPr>
              <w:pStyle w:val="74"/>
              <w:wordWrap w:val="0"/>
              <w:spacing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持有份额</w:t>
            </w:r>
          </w:p>
        </w:tc>
        <w:tc>
          <w:tcPr>
            <w:tcW w:w="851" w:type="dxa"/>
            <w:tcBorders>
              <w:top w:val="single" w:color="000000" w:sz="8" w:space="0"/>
              <w:left w:val="single" w:color="000000" w:sz="8" w:space="0"/>
              <w:bottom w:val="single" w:color="000000" w:sz="6" w:space="0"/>
              <w:right w:val="single" w:color="000000" w:sz="8" w:space="0"/>
            </w:tcBorders>
            <w:vAlign w:val="center"/>
          </w:tcPr>
          <w:p>
            <w:pPr>
              <w:pStyle w:val="74"/>
              <w:wordWrap w:val="0"/>
              <w:spacing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份额占比</w:t>
            </w:r>
            <w:r>
              <w:rPr>
                <w:rFonts w:asciiTheme="minorEastAsia" w:hAnsiTheme="minorEastAsia" w:eastAsiaTheme="minorEastAsia"/>
                <w:sz w:val="21"/>
                <w:szCs w:val="21"/>
              </w:rPr>
              <w:t>(%)</w:t>
            </w:r>
          </w:p>
        </w:tc>
      </w:tr>
      <w:tr>
        <w:tblPrEx>
          <w:tblLayout w:type="fixed"/>
          <w:tblCellMar>
            <w:top w:w="0" w:type="dxa"/>
            <w:left w:w="108" w:type="dxa"/>
            <w:bottom w:w="0" w:type="dxa"/>
            <w:right w:w="108" w:type="dxa"/>
          </w:tblCellMar>
        </w:tblPrEx>
        <w:tc>
          <w:tcPr>
            <w:tcW w:w="425" w:type="dxa"/>
            <w:vMerge w:val="restart"/>
            <w:tcBorders>
              <w:top w:val="single" w:color="000000" w:sz="8" w:space="0"/>
              <w:left w:val="single" w:color="000000" w:sz="8" w:space="0"/>
              <w:bottom w:val="single" w:color="000000" w:sz="6" w:space="0"/>
              <w:right w:val="single" w:color="000000" w:sz="8" w:space="0"/>
            </w:tcBorders>
            <w:vAlign w:val="center"/>
          </w:tcPr>
          <w:p>
            <w:pPr>
              <w:pStyle w:val="73"/>
              <w:wordWrap w:val="0"/>
              <w:spacing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机构</w:t>
            </w:r>
          </w:p>
        </w:tc>
        <w:tc>
          <w:tcPr>
            <w:tcW w:w="425" w:type="dxa"/>
            <w:tcBorders>
              <w:top w:val="single" w:color="000000" w:sz="8" w:space="0"/>
              <w:left w:val="single" w:color="000000" w:sz="8" w:space="0"/>
              <w:bottom w:val="single" w:color="000000" w:sz="6" w:space="0"/>
              <w:right w:val="single" w:color="000000" w:sz="8" w:space="0"/>
            </w:tcBorders>
            <w:vAlign w:val="center"/>
          </w:tcPr>
          <w:p>
            <w:pPr>
              <w:pStyle w:val="74"/>
              <w:wordWrap w:val="0"/>
              <w:spacing w:line="360" w:lineRule="auto"/>
              <w:rPr>
                <w:rFonts w:asciiTheme="minorEastAsia" w:hAnsiTheme="minorEastAsia" w:eastAsiaTheme="minorEastAsia"/>
                <w:sz w:val="21"/>
                <w:szCs w:val="21"/>
              </w:rPr>
            </w:pPr>
            <w:r>
              <w:rPr>
                <w:rFonts w:asciiTheme="minorEastAsia" w:hAnsiTheme="minorEastAsia" w:eastAsiaTheme="minorEastAsia"/>
                <w:color w:val="000000"/>
                <w:sz w:val="21"/>
                <w:szCs w:val="21"/>
              </w:rPr>
              <w:t>1</w:t>
            </w:r>
          </w:p>
        </w:tc>
        <w:tc>
          <w:tcPr>
            <w:tcW w:w="1844" w:type="dxa"/>
            <w:tcBorders>
              <w:top w:val="single" w:color="000000" w:sz="8" w:space="0"/>
              <w:left w:val="single" w:color="000000" w:sz="8" w:space="0"/>
              <w:bottom w:val="single" w:color="000000" w:sz="6" w:space="0"/>
              <w:right w:val="single" w:color="000000" w:sz="8" w:space="0"/>
            </w:tcBorders>
          </w:tcPr>
          <w:p>
            <w:pPr>
              <w:pStyle w:val="75"/>
              <w:wordWrap w:val="0"/>
              <w:spacing w:line="360" w:lineRule="auto"/>
              <w:ind w:right="105"/>
              <w:jc w:val="both"/>
              <w:rPr>
                <w:rFonts w:asciiTheme="minorEastAsia" w:hAnsiTheme="minorEastAsia" w:eastAsiaTheme="minorEastAsia"/>
                <w:color w:val="000000"/>
                <w:sz w:val="21"/>
                <w:szCs w:val="21"/>
              </w:rPr>
            </w:pPr>
            <w:r>
              <w:rPr>
                <w:rFonts w:asciiTheme="minorEastAsia" w:hAnsiTheme="minorEastAsia" w:eastAsiaTheme="minorEastAsia"/>
                <w:color w:val="000000"/>
                <w:sz w:val="21"/>
                <w:szCs w:val="21"/>
              </w:rPr>
              <w:t xml:space="preserve">2017-01-01  </w:t>
            </w:r>
            <w:r>
              <w:rPr>
                <w:rFonts w:hint="eastAsia" w:asciiTheme="minorEastAsia" w:hAnsiTheme="minorEastAsia" w:eastAsiaTheme="minorEastAsia"/>
                <w:color w:val="000000"/>
                <w:sz w:val="21"/>
                <w:szCs w:val="21"/>
              </w:rPr>
              <w:t>至</w:t>
            </w:r>
          </w:p>
          <w:p>
            <w:pPr>
              <w:pStyle w:val="75"/>
              <w:wordWrap w:val="0"/>
              <w:spacing w:line="360" w:lineRule="auto"/>
              <w:ind w:right="105"/>
              <w:jc w:val="both"/>
              <w:rPr>
                <w:rFonts w:asciiTheme="minorEastAsia" w:hAnsiTheme="minorEastAsia" w:eastAsiaTheme="minorEastAsia"/>
                <w:color w:val="000000"/>
                <w:sz w:val="21"/>
                <w:szCs w:val="21"/>
              </w:rPr>
            </w:pPr>
            <w:r>
              <w:rPr>
                <w:rFonts w:asciiTheme="minorEastAsia" w:hAnsiTheme="minorEastAsia" w:eastAsiaTheme="minorEastAsia"/>
                <w:color w:val="000000"/>
                <w:sz w:val="21"/>
                <w:szCs w:val="21"/>
              </w:rPr>
              <w:t>2017-02-14</w:t>
            </w:r>
          </w:p>
          <w:p>
            <w:pPr>
              <w:pStyle w:val="75"/>
              <w:spacing w:line="360" w:lineRule="auto"/>
              <w:ind w:right="105"/>
              <w:jc w:val="both"/>
              <w:rPr>
                <w:rFonts w:asciiTheme="minorEastAsia" w:hAnsiTheme="minorEastAsia" w:eastAsiaTheme="minorEastAsia"/>
                <w:sz w:val="21"/>
                <w:szCs w:val="21"/>
              </w:rPr>
            </w:pPr>
            <w:r>
              <w:rPr>
                <w:rFonts w:hint="eastAsia" w:asciiTheme="minorEastAsia" w:hAnsiTheme="minorEastAsia" w:eastAsiaTheme="minorEastAsia"/>
                <w:color w:val="000000"/>
                <w:sz w:val="21"/>
                <w:szCs w:val="21"/>
              </w:rPr>
              <w:t xml:space="preserve">2017-03-31至2017-03-31 </w:t>
            </w:r>
          </w:p>
        </w:tc>
        <w:tc>
          <w:tcPr>
            <w:tcW w:w="1984"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rPr>
                <w:rFonts w:asciiTheme="minorEastAsia" w:hAnsiTheme="minorEastAsia" w:eastAsiaTheme="minorEastAsia"/>
                <w:sz w:val="21"/>
                <w:szCs w:val="21"/>
              </w:rPr>
            </w:pPr>
            <w:r>
              <w:rPr>
                <w:rFonts w:asciiTheme="minorEastAsia" w:hAnsiTheme="minorEastAsia" w:eastAsiaTheme="minorEastAsia"/>
                <w:color w:val="000000"/>
                <w:sz w:val="21"/>
                <w:szCs w:val="21"/>
              </w:rPr>
              <w:t>1,000,000,000.00</w:t>
            </w:r>
          </w:p>
        </w:tc>
        <w:tc>
          <w:tcPr>
            <w:tcW w:w="1985"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rPr>
                <w:rFonts w:asciiTheme="minorEastAsia" w:hAnsiTheme="minorEastAsia" w:eastAsiaTheme="minorEastAsia"/>
                <w:sz w:val="21"/>
                <w:szCs w:val="21"/>
              </w:rPr>
            </w:pPr>
            <w:r>
              <w:rPr>
                <w:rFonts w:asciiTheme="minorEastAsia" w:hAnsiTheme="minorEastAsia" w:eastAsiaTheme="minorEastAsia"/>
                <w:color w:val="000000"/>
                <w:sz w:val="21"/>
                <w:szCs w:val="21"/>
              </w:rPr>
              <w:t>1,203,687,853.64</w:t>
            </w:r>
          </w:p>
        </w:tc>
        <w:tc>
          <w:tcPr>
            <w:tcW w:w="1984"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rPr>
                <w:rFonts w:asciiTheme="minorEastAsia" w:hAnsiTheme="minorEastAsia" w:eastAsiaTheme="minorEastAsia"/>
                <w:sz w:val="21"/>
                <w:szCs w:val="21"/>
              </w:rPr>
            </w:pPr>
            <w:r>
              <w:rPr>
                <w:rFonts w:asciiTheme="minorEastAsia" w:hAnsiTheme="minorEastAsia" w:eastAsiaTheme="minorEastAsia"/>
                <w:color w:val="000000"/>
                <w:sz w:val="21"/>
                <w:szCs w:val="21"/>
              </w:rPr>
              <w:t>1,603,687,853.64</w:t>
            </w:r>
          </w:p>
        </w:tc>
        <w:tc>
          <w:tcPr>
            <w:tcW w:w="1701"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rPr>
                <w:rFonts w:asciiTheme="minorEastAsia" w:hAnsiTheme="minorEastAsia" w:eastAsiaTheme="minorEastAsia"/>
                <w:sz w:val="21"/>
                <w:szCs w:val="21"/>
              </w:rPr>
            </w:pPr>
            <w:r>
              <w:rPr>
                <w:rFonts w:asciiTheme="minorEastAsia" w:hAnsiTheme="minorEastAsia" w:eastAsiaTheme="minorEastAsia"/>
                <w:color w:val="000000"/>
                <w:sz w:val="21"/>
                <w:szCs w:val="21"/>
              </w:rPr>
              <w:t>600,000,000.00</w:t>
            </w:r>
          </w:p>
        </w:tc>
        <w:tc>
          <w:tcPr>
            <w:tcW w:w="851"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rPr>
                <w:rFonts w:asciiTheme="minorEastAsia" w:hAnsiTheme="minorEastAsia" w:eastAsiaTheme="minorEastAsia"/>
                <w:sz w:val="21"/>
                <w:szCs w:val="21"/>
              </w:rPr>
            </w:pPr>
            <w:r>
              <w:rPr>
                <w:rFonts w:asciiTheme="minorEastAsia" w:hAnsiTheme="minorEastAsia" w:eastAsiaTheme="minorEastAsia"/>
                <w:color w:val="000000"/>
                <w:sz w:val="21"/>
                <w:szCs w:val="21"/>
              </w:rPr>
              <w:t>19.25</w:t>
            </w:r>
          </w:p>
        </w:tc>
      </w:tr>
      <w:tr>
        <w:tblPrEx>
          <w:tblLayout w:type="fixed"/>
          <w:tblCellMar>
            <w:top w:w="0" w:type="dxa"/>
            <w:left w:w="108" w:type="dxa"/>
            <w:bottom w:w="0" w:type="dxa"/>
            <w:right w:w="108" w:type="dxa"/>
          </w:tblCellMar>
        </w:tblPrEx>
        <w:tc>
          <w:tcPr>
            <w:tcW w:w="425" w:type="dxa"/>
            <w:vMerge w:val="continue"/>
            <w:tcBorders>
              <w:top w:val="single" w:color="000000" w:sz="8" w:space="0"/>
              <w:left w:val="single" w:color="000000" w:sz="8" w:space="0"/>
              <w:bottom w:val="single" w:color="000000" w:sz="6" w:space="0"/>
              <w:right w:val="single" w:color="000000" w:sz="8" w:space="0"/>
            </w:tcBorders>
            <w:vAlign w:val="center"/>
          </w:tcPr>
          <w:p>
            <w:pPr>
              <w:widowControl/>
              <w:spacing w:line="360" w:lineRule="auto"/>
              <w:jc w:val="left"/>
              <w:rPr>
                <w:rFonts w:cs="宋体" w:asciiTheme="minorEastAsia" w:hAnsiTheme="minorEastAsia" w:eastAsiaTheme="minorEastAsia"/>
                <w:kern w:val="0"/>
                <w:szCs w:val="21"/>
              </w:rPr>
            </w:pPr>
          </w:p>
        </w:tc>
        <w:tc>
          <w:tcPr>
            <w:tcW w:w="425" w:type="dxa"/>
            <w:tcBorders>
              <w:top w:val="single" w:color="000000" w:sz="8" w:space="0"/>
              <w:left w:val="single" w:color="000000" w:sz="8" w:space="0"/>
              <w:bottom w:val="single" w:color="000000" w:sz="6" w:space="0"/>
              <w:right w:val="single" w:color="000000" w:sz="8" w:space="0"/>
            </w:tcBorders>
            <w:vAlign w:val="center"/>
          </w:tcPr>
          <w:p>
            <w:pPr>
              <w:pStyle w:val="74"/>
              <w:wordWrap w:val="0"/>
              <w:spacing w:line="360" w:lineRule="auto"/>
              <w:rPr>
                <w:rFonts w:asciiTheme="minorEastAsia" w:hAnsiTheme="minorEastAsia" w:eastAsiaTheme="minorEastAsia"/>
                <w:sz w:val="21"/>
                <w:szCs w:val="21"/>
              </w:rPr>
            </w:pPr>
            <w:r>
              <w:rPr>
                <w:rFonts w:asciiTheme="minorEastAsia" w:hAnsiTheme="minorEastAsia" w:eastAsiaTheme="minorEastAsia"/>
                <w:color w:val="000000"/>
                <w:sz w:val="21"/>
                <w:szCs w:val="21"/>
              </w:rPr>
              <w:t>2</w:t>
            </w:r>
          </w:p>
        </w:tc>
        <w:tc>
          <w:tcPr>
            <w:tcW w:w="1844"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jc w:val="both"/>
              <w:rPr>
                <w:rFonts w:asciiTheme="minorEastAsia" w:hAnsiTheme="minorEastAsia" w:eastAsiaTheme="minorEastAsia"/>
                <w:color w:val="000000"/>
                <w:sz w:val="21"/>
                <w:szCs w:val="21"/>
              </w:rPr>
            </w:pPr>
            <w:r>
              <w:rPr>
                <w:rFonts w:asciiTheme="minorEastAsia" w:hAnsiTheme="minorEastAsia" w:eastAsiaTheme="minorEastAsia"/>
                <w:color w:val="000000"/>
                <w:sz w:val="21"/>
                <w:szCs w:val="21"/>
              </w:rPr>
              <w:t xml:space="preserve">2017-01-19  </w:t>
            </w:r>
            <w:r>
              <w:rPr>
                <w:rFonts w:hint="eastAsia" w:asciiTheme="minorEastAsia" w:hAnsiTheme="minorEastAsia" w:eastAsiaTheme="minorEastAsia"/>
                <w:color w:val="000000"/>
                <w:sz w:val="21"/>
                <w:szCs w:val="21"/>
              </w:rPr>
              <w:t>至</w:t>
            </w:r>
          </w:p>
          <w:p>
            <w:pPr>
              <w:pStyle w:val="75"/>
              <w:wordWrap w:val="0"/>
              <w:spacing w:line="360" w:lineRule="auto"/>
              <w:jc w:val="both"/>
              <w:rPr>
                <w:rFonts w:asciiTheme="minorEastAsia" w:hAnsiTheme="minorEastAsia" w:eastAsiaTheme="minorEastAsia"/>
                <w:color w:val="000000"/>
                <w:sz w:val="21"/>
                <w:szCs w:val="21"/>
              </w:rPr>
            </w:pPr>
            <w:r>
              <w:rPr>
                <w:rFonts w:asciiTheme="minorEastAsia" w:hAnsiTheme="minorEastAsia" w:eastAsiaTheme="minorEastAsia"/>
                <w:color w:val="000000"/>
                <w:sz w:val="21"/>
                <w:szCs w:val="21"/>
              </w:rPr>
              <w:t xml:space="preserve">2017-02-10 </w:t>
            </w:r>
          </w:p>
          <w:p>
            <w:pPr>
              <w:pStyle w:val="75"/>
              <w:spacing w:line="360" w:lineRule="auto"/>
              <w:jc w:val="both"/>
              <w:rPr>
                <w:rFonts w:asciiTheme="minorEastAsia" w:hAnsiTheme="minorEastAsia" w:eastAsiaTheme="minorEastAsia"/>
                <w:sz w:val="21"/>
                <w:szCs w:val="21"/>
              </w:rPr>
            </w:pPr>
            <w:r>
              <w:rPr>
                <w:rFonts w:hint="eastAsia" w:asciiTheme="minorEastAsia" w:hAnsiTheme="minorEastAsia" w:eastAsiaTheme="minorEastAsia"/>
                <w:color w:val="000000"/>
                <w:sz w:val="21"/>
                <w:szCs w:val="21"/>
              </w:rPr>
              <w:t xml:space="preserve">2017-02-14至2017-03-31 </w:t>
            </w:r>
          </w:p>
        </w:tc>
        <w:tc>
          <w:tcPr>
            <w:tcW w:w="1984"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rPr>
                <w:rFonts w:asciiTheme="minorEastAsia" w:hAnsiTheme="minorEastAsia" w:eastAsiaTheme="minorEastAsia"/>
                <w:sz w:val="21"/>
                <w:szCs w:val="21"/>
              </w:rPr>
            </w:pPr>
            <w:r>
              <w:rPr>
                <w:rFonts w:asciiTheme="minorEastAsia" w:hAnsiTheme="minorEastAsia" w:eastAsiaTheme="minorEastAsia"/>
                <w:color w:val="000000"/>
                <w:sz w:val="21"/>
                <w:szCs w:val="21"/>
              </w:rPr>
              <w:t>50,002,638.89</w:t>
            </w:r>
          </w:p>
        </w:tc>
        <w:tc>
          <w:tcPr>
            <w:tcW w:w="1985"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rPr>
                <w:rFonts w:asciiTheme="minorEastAsia" w:hAnsiTheme="minorEastAsia" w:eastAsiaTheme="minorEastAsia"/>
                <w:sz w:val="21"/>
                <w:szCs w:val="21"/>
              </w:rPr>
            </w:pPr>
            <w:r>
              <w:rPr>
                <w:rFonts w:asciiTheme="minorEastAsia" w:hAnsiTheme="minorEastAsia" w:eastAsiaTheme="minorEastAsia"/>
                <w:color w:val="000000"/>
                <w:sz w:val="21"/>
                <w:szCs w:val="21"/>
              </w:rPr>
              <w:t>502,155,335.78</w:t>
            </w:r>
          </w:p>
        </w:tc>
        <w:tc>
          <w:tcPr>
            <w:tcW w:w="1984"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rPr>
                <w:rFonts w:asciiTheme="minorEastAsia" w:hAnsiTheme="minorEastAsia" w:eastAsiaTheme="minorEastAsia"/>
                <w:sz w:val="21"/>
                <w:szCs w:val="21"/>
              </w:rPr>
            </w:pPr>
            <w:r>
              <w:rPr>
                <w:rFonts w:asciiTheme="minorEastAsia" w:hAnsiTheme="minorEastAsia" w:eastAsiaTheme="minorEastAsia"/>
                <w:color w:val="000000"/>
                <w:sz w:val="21"/>
                <w:szCs w:val="21"/>
              </w:rPr>
              <w:t>-</w:t>
            </w:r>
          </w:p>
        </w:tc>
        <w:tc>
          <w:tcPr>
            <w:tcW w:w="1701"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rPr>
                <w:rFonts w:asciiTheme="minorEastAsia" w:hAnsiTheme="minorEastAsia" w:eastAsiaTheme="minorEastAsia"/>
                <w:sz w:val="21"/>
                <w:szCs w:val="21"/>
              </w:rPr>
            </w:pPr>
            <w:r>
              <w:rPr>
                <w:rFonts w:asciiTheme="minorEastAsia" w:hAnsiTheme="minorEastAsia" w:eastAsiaTheme="minorEastAsia"/>
                <w:color w:val="000000"/>
                <w:sz w:val="21"/>
                <w:szCs w:val="21"/>
              </w:rPr>
              <w:t>552,157,974.67</w:t>
            </w:r>
          </w:p>
        </w:tc>
        <w:tc>
          <w:tcPr>
            <w:tcW w:w="851"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rPr>
                <w:rFonts w:asciiTheme="minorEastAsia" w:hAnsiTheme="minorEastAsia" w:eastAsiaTheme="minorEastAsia"/>
                <w:sz w:val="21"/>
                <w:szCs w:val="21"/>
              </w:rPr>
            </w:pPr>
            <w:r>
              <w:rPr>
                <w:rFonts w:asciiTheme="minorEastAsia" w:hAnsiTheme="minorEastAsia" w:eastAsiaTheme="minorEastAsia"/>
                <w:color w:val="000000"/>
                <w:sz w:val="21"/>
                <w:szCs w:val="21"/>
              </w:rPr>
              <w:t>17.71</w:t>
            </w:r>
          </w:p>
        </w:tc>
      </w:tr>
      <w:tr>
        <w:tblPrEx>
          <w:tblLayout w:type="fixed"/>
          <w:tblCellMar>
            <w:top w:w="0" w:type="dxa"/>
            <w:left w:w="108" w:type="dxa"/>
            <w:bottom w:w="0" w:type="dxa"/>
            <w:right w:w="108" w:type="dxa"/>
          </w:tblCellMar>
        </w:tblPrEx>
        <w:tc>
          <w:tcPr>
            <w:tcW w:w="425" w:type="dxa"/>
            <w:vMerge w:val="continue"/>
            <w:tcBorders>
              <w:top w:val="single" w:color="000000" w:sz="8" w:space="0"/>
              <w:left w:val="single" w:color="000000" w:sz="8" w:space="0"/>
              <w:bottom w:val="single" w:color="000000" w:sz="6" w:space="0"/>
              <w:right w:val="single" w:color="000000" w:sz="8" w:space="0"/>
            </w:tcBorders>
            <w:vAlign w:val="center"/>
          </w:tcPr>
          <w:p>
            <w:pPr>
              <w:widowControl/>
              <w:spacing w:line="360" w:lineRule="auto"/>
              <w:jc w:val="left"/>
              <w:rPr>
                <w:rFonts w:cs="宋体" w:asciiTheme="minorEastAsia" w:hAnsiTheme="minorEastAsia" w:eastAsiaTheme="minorEastAsia"/>
                <w:kern w:val="0"/>
                <w:szCs w:val="21"/>
              </w:rPr>
            </w:pPr>
          </w:p>
        </w:tc>
        <w:tc>
          <w:tcPr>
            <w:tcW w:w="425" w:type="dxa"/>
            <w:tcBorders>
              <w:top w:val="single" w:color="000000" w:sz="8" w:space="0"/>
              <w:left w:val="single" w:color="000000" w:sz="8" w:space="0"/>
              <w:bottom w:val="single" w:color="000000" w:sz="6" w:space="0"/>
              <w:right w:val="single" w:color="000000" w:sz="8" w:space="0"/>
            </w:tcBorders>
            <w:vAlign w:val="center"/>
          </w:tcPr>
          <w:p>
            <w:pPr>
              <w:pStyle w:val="74"/>
              <w:wordWrap w:val="0"/>
              <w:spacing w:line="360" w:lineRule="auto"/>
              <w:rPr>
                <w:rFonts w:asciiTheme="minorEastAsia" w:hAnsiTheme="minorEastAsia" w:eastAsiaTheme="minorEastAsia"/>
                <w:sz w:val="21"/>
                <w:szCs w:val="21"/>
              </w:rPr>
            </w:pPr>
            <w:r>
              <w:rPr>
                <w:rFonts w:asciiTheme="minorEastAsia" w:hAnsiTheme="minorEastAsia" w:eastAsiaTheme="minorEastAsia"/>
                <w:color w:val="000000"/>
                <w:sz w:val="21"/>
                <w:szCs w:val="21"/>
              </w:rPr>
              <w:t>3</w:t>
            </w:r>
          </w:p>
        </w:tc>
        <w:tc>
          <w:tcPr>
            <w:tcW w:w="1844"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jc w:val="both"/>
              <w:rPr>
                <w:rFonts w:asciiTheme="minorEastAsia" w:hAnsiTheme="minorEastAsia" w:eastAsiaTheme="minorEastAsia"/>
                <w:color w:val="000000"/>
                <w:sz w:val="21"/>
                <w:szCs w:val="21"/>
              </w:rPr>
            </w:pPr>
            <w:r>
              <w:rPr>
                <w:rFonts w:asciiTheme="minorEastAsia" w:hAnsiTheme="minorEastAsia" w:eastAsiaTheme="minorEastAsia"/>
                <w:color w:val="000000"/>
                <w:sz w:val="21"/>
                <w:szCs w:val="21"/>
              </w:rPr>
              <w:t xml:space="preserve">2017-02-14   </w:t>
            </w:r>
            <w:r>
              <w:rPr>
                <w:rFonts w:hint="eastAsia" w:asciiTheme="minorEastAsia" w:hAnsiTheme="minorEastAsia" w:eastAsiaTheme="minorEastAsia"/>
                <w:color w:val="000000"/>
                <w:sz w:val="21"/>
                <w:szCs w:val="21"/>
              </w:rPr>
              <w:t>至</w:t>
            </w:r>
          </w:p>
          <w:p>
            <w:pPr>
              <w:pStyle w:val="75"/>
              <w:wordWrap w:val="0"/>
              <w:spacing w:line="360" w:lineRule="auto"/>
              <w:jc w:val="both"/>
              <w:rPr>
                <w:rFonts w:asciiTheme="minorEastAsia" w:hAnsiTheme="minorEastAsia" w:eastAsiaTheme="minorEastAsia"/>
                <w:sz w:val="21"/>
                <w:szCs w:val="21"/>
              </w:rPr>
            </w:pPr>
            <w:r>
              <w:rPr>
                <w:rFonts w:asciiTheme="minorEastAsia" w:hAnsiTheme="minorEastAsia" w:eastAsiaTheme="minorEastAsia"/>
                <w:color w:val="000000"/>
                <w:sz w:val="21"/>
                <w:szCs w:val="21"/>
              </w:rPr>
              <w:t>2017-03-31</w:t>
            </w:r>
          </w:p>
        </w:tc>
        <w:tc>
          <w:tcPr>
            <w:tcW w:w="1984"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rPr>
                <w:rFonts w:asciiTheme="minorEastAsia" w:hAnsiTheme="minorEastAsia" w:eastAsiaTheme="minorEastAsia"/>
                <w:sz w:val="21"/>
                <w:szCs w:val="21"/>
              </w:rPr>
            </w:pPr>
            <w:r>
              <w:rPr>
                <w:rFonts w:asciiTheme="minorEastAsia" w:hAnsiTheme="minorEastAsia" w:eastAsiaTheme="minorEastAsia"/>
                <w:color w:val="000000"/>
                <w:sz w:val="21"/>
                <w:szCs w:val="21"/>
              </w:rPr>
              <w:t>500,026,388.89</w:t>
            </w:r>
          </w:p>
        </w:tc>
        <w:tc>
          <w:tcPr>
            <w:tcW w:w="1985"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rPr>
                <w:rFonts w:asciiTheme="minorEastAsia" w:hAnsiTheme="minorEastAsia" w:eastAsiaTheme="minorEastAsia"/>
                <w:sz w:val="21"/>
                <w:szCs w:val="21"/>
              </w:rPr>
            </w:pPr>
            <w:r>
              <w:rPr>
                <w:rFonts w:asciiTheme="minorEastAsia" w:hAnsiTheme="minorEastAsia" w:eastAsiaTheme="minorEastAsia"/>
                <w:color w:val="000000"/>
                <w:sz w:val="21"/>
                <w:szCs w:val="21"/>
              </w:rPr>
              <w:t>302,260,541.49</w:t>
            </w:r>
          </w:p>
        </w:tc>
        <w:tc>
          <w:tcPr>
            <w:tcW w:w="1984"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rPr>
                <w:rFonts w:asciiTheme="minorEastAsia" w:hAnsiTheme="minorEastAsia" w:eastAsiaTheme="minorEastAsia"/>
                <w:sz w:val="21"/>
                <w:szCs w:val="21"/>
              </w:rPr>
            </w:pPr>
            <w:r>
              <w:rPr>
                <w:rFonts w:asciiTheme="minorEastAsia" w:hAnsiTheme="minorEastAsia" w:eastAsiaTheme="minorEastAsia"/>
                <w:color w:val="000000"/>
                <w:sz w:val="21"/>
                <w:szCs w:val="21"/>
              </w:rPr>
              <w:t>300,000,000.00</w:t>
            </w:r>
          </w:p>
        </w:tc>
        <w:tc>
          <w:tcPr>
            <w:tcW w:w="1701"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rPr>
                <w:rFonts w:asciiTheme="minorEastAsia" w:hAnsiTheme="minorEastAsia" w:eastAsiaTheme="minorEastAsia"/>
                <w:sz w:val="21"/>
                <w:szCs w:val="21"/>
              </w:rPr>
            </w:pPr>
            <w:r>
              <w:rPr>
                <w:rFonts w:asciiTheme="minorEastAsia" w:hAnsiTheme="minorEastAsia" w:eastAsiaTheme="minorEastAsia"/>
                <w:color w:val="000000"/>
                <w:sz w:val="21"/>
                <w:szCs w:val="21"/>
              </w:rPr>
              <w:t>502,286,930.38</w:t>
            </w:r>
          </w:p>
        </w:tc>
        <w:tc>
          <w:tcPr>
            <w:tcW w:w="851"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rPr>
                <w:rFonts w:asciiTheme="minorEastAsia" w:hAnsiTheme="minorEastAsia" w:eastAsiaTheme="minorEastAsia"/>
                <w:sz w:val="21"/>
                <w:szCs w:val="21"/>
              </w:rPr>
            </w:pPr>
            <w:r>
              <w:rPr>
                <w:rFonts w:asciiTheme="minorEastAsia" w:hAnsiTheme="minorEastAsia" w:eastAsiaTheme="minorEastAsia"/>
                <w:color w:val="000000"/>
                <w:sz w:val="21"/>
                <w:szCs w:val="21"/>
              </w:rPr>
              <w:t>16.11</w:t>
            </w:r>
          </w:p>
        </w:tc>
      </w:tr>
      <w:tr>
        <w:tblPrEx>
          <w:tblLayout w:type="fixed"/>
          <w:tblCellMar>
            <w:top w:w="0" w:type="dxa"/>
            <w:left w:w="108" w:type="dxa"/>
            <w:bottom w:w="0" w:type="dxa"/>
            <w:right w:w="108" w:type="dxa"/>
          </w:tblCellMar>
        </w:tblPrEx>
        <w:tc>
          <w:tcPr>
            <w:tcW w:w="11199" w:type="dxa"/>
            <w:gridSpan w:val="8"/>
            <w:tcBorders>
              <w:top w:val="single" w:color="000000" w:sz="8" w:space="0"/>
              <w:left w:val="single" w:color="000000" w:sz="8" w:space="0"/>
              <w:bottom w:val="single" w:color="000000" w:sz="6" w:space="0"/>
              <w:right w:val="single" w:color="000000" w:sz="8" w:space="0"/>
            </w:tcBorders>
            <w:vAlign w:val="center"/>
          </w:tcPr>
          <w:p>
            <w:pPr>
              <w:pStyle w:val="74"/>
              <w:wordWrap w:val="0"/>
              <w:spacing w:line="360" w:lineRule="auto"/>
              <w:rPr>
                <w:rFonts w:asciiTheme="minorEastAsia" w:hAnsiTheme="minorEastAsia" w:eastAsiaTheme="minorEastAsia"/>
                <w:sz w:val="21"/>
                <w:szCs w:val="21"/>
              </w:rPr>
            </w:pPr>
            <w:r>
              <w:rPr>
                <w:rFonts w:hint="eastAsia" w:asciiTheme="minorEastAsia" w:hAnsiTheme="minorEastAsia" w:eastAsiaTheme="minorEastAsia"/>
                <w:color w:val="000000"/>
                <w:sz w:val="21"/>
                <w:szCs w:val="21"/>
              </w:rPr>
              <w:t>产品特有风险</w:t>
            </w:r>
          </w:p>
        </w:tc>
      </w:tr>
      <w:tr>
        <w:tblPrEx>
          <w:tblLayout w:type="fixed"/>
          <w:tblCellMar>
            <w:top w:w="0" w:type="dxa"/>
            <w:left w:w="108" w:type="dxa"/>
            <w:bottom w:w="0" w:type="dxa"/>
            <w:right w:w="108" w:type="dxa"/>
          </w:tblCellMar>
        </w:tblPrEx>
        <w:tc>
          <w:tcPr>
            <w:tcW w:w="11199" w:type="dxa"/>
            <w:gridSpan w:val="8"/>
            <w:tcBorders>
              <w:top w:val="single" w:color="000000" w:sz="8" w:space="0"/>
              <w:left w:val="single" w:color="000000" w:sz="8" w:space="0"/>
              <w:bottom w:val="single" w:color="000000" w:sz="6" w:space="0"/>
              <w:right w:val="single" w:color="000000" w:sz="8" w:space="0"/>
            </w:tcBorders>
            <w:vAlign w:val="center"/>
          </w:tcPr>
          <w:p>
            <w:pPr>
              <w:pStyle w:val="73"/>
              <w:wordWrap w:val="0"/>
              <w:spacing w:before="0" w:line="360" w:lineRule="auto"/>
              <w:ind w:left="17" w:firstLine="480" w:firstLineChars="200"/>
              <w:rPr>
                <w:rFonts w:asciiTheme="minorEastAsia" w:hAnsiTheme="minorEastAsia" w:eastAsiaTheme="minorEastAsia"/>
                <w:color w:val="000000"/>
              </w:rPr>
            </w:pPr>
            <w:r>
              <w:rPr>
                <w:rFonts w:hint="eastAsia" w:asciiTheme="minorEastAsia" w:hAnsiTheme="minorEastAsia" w:eastAsiaTheme="minorEastAsia"/>
                <w:color w:val="000000"/>
              </w:rPr>
              <w:t>本报告期本基金存在单一投资者持有基金份额比例达到或者超过20%的情况，未来或存在如下风险，敬请投资者留意：</w:t>
            </w:r>
          </w:p>
          <w:p>
            <w:pPr>
              <w:pStyle w:val="73"/>
              <w:wordWrap w:val="0"/>
              <w:spacing w:before="0" w:line="360" w:lineRule="auto"/>
              <w:ind w:left="17" w:firstLine="480" w:firstLineChars="200"/>
              <w:rPr>
                <w:rFonts w:asciiTheme="minorEastAsia" w:hAnsiTheme="minorEastAsia" w:eastAsiaTheme="minorEastAsia"/>
                <w:color w:val="000000"/>
              </w:rPr>
            </w:pPr>
            <w:r>
              <w:rPr>
                <w:rFonts w:hint="eastAsia" w:asciiTheme="minorEastAsia" w:hAnsiTheme="minorEastAsia" w:eastAsiaTheme="minorEastAsia"/>
                <w:color w:val="000000"/>
              </w:rPr>
              <w:t>（1）赎回申请延期办理的风险</w:t>
            </w:r>
          </w:p>
          <w:p>
            <w:pPr>
              <w:pStyle w:val="73"/>
              <w:wordWrap w:val="0"/>
              <w:spacing w:before="0" w:line="360" w:lineRule="auto"/>
              <w:ind w:left="17" w:firstLine="480" w:firstLineChars="200"/>
              <w:rPr>
                <w:rFonts w:asciiTheme="minorEastAsia" w:hAnsiTheme="minorEastAsia" w:eastAsiaTheme="minorEastAsia"/>
                <w:color w:val="000000"/>
              </w:rPr>
            </w:pPr>
            <w:r>
              <w:rPr>
                <w:rFonts w:hint="eastAsia" w:asciiTheme="minorEastAsia" w:hAnsiTheme="minorEastAsia" w:eastAsiaTheme="minorEastAsia"/>
                <w:color w:val="000000"/>
              </w:rPr>
              <w:t>持有份额比例较高的投资者（</w:t>
            </w:r>
            <w:r>
              <w:rPr>
                <w:rFonts w:asciiTheme="minorEastAsia" w:hAnsiTheme="minorEastAsia" w:eastAsiaTheme="minorEastAsia"/>
                <w:color w:val="000000"/>
              </w:rPr>
              <w:t>"</w:t>
            </w:r>
            <w:r>
              <w:rPr>
                <w:rFonts w:hint="eastAsia" w:asciiTheme="minorEastAsia" w:hAnsiTheme="minorEastAsia" w:eastAsiaTheme="minorEastAsia"/>
                <w:color w:val="000000"/>
              </w:rPr>
              <w:t>高比例投资者</w:t>
            </w:r>
            <w:r>
              <w:rPr>
                <w:rFonts w:asciiTheme="minorEastAsia" w:hAnsiTheme="minorEastAsia" w:eastAsiaTheme="minorEastAsia"/>
                <w:color w:val="000000"/>
              </w:rPr>
              <w:t>"</w:t>
            </w:r>
            <w:r>
              <w:rPr>
                <w:rFonts w:hint="eastAsia" w:asciiTheme="minorEastAsia" w:hAnsiTheme="minorEastAsia" w:eastAsiaTheme="minorEastAsia"/>
                <w:color w:val="000000"/>
              </w:rPr>
              <w:t>）大额赎回时易构成本基金发生巨额赎回，中小投资者可能面临赎回申请需要与高比例投资者按同比例部分延期办理的风险。</w:t>
            </w:r>
          </w:p>
          <w:p>
            <w:pPr>
              <w:pStyle w:val="73"/>
              <w:wordWrap w:val="0"/>
              <w:spacing w:before="0" w:line="360" w:lineRule="auto"/>
              <w:ind w:left="17" w:firstLine="480" w:firstLineChars="200"/>
              <w:rPr>
                <w:rFonts w:asciiTheme="minorEastAsia" w:hAnsiTheme="minorEastAsia" w:eastAsiaTheme="minorEastAsia"/>
                <w:color w:val="000000"/>
              </w:rPr>
            </w:pPr>
            <w:r>
              <w:rPr>
                <w:rFonts w:hint="eastAsia" w:asciiTheme="minorEastAsia" w:hAnsiTheme="minorEastAsia" w:eastAsiaTheme="minorEastAsia"/>
                <w:color w:val="000000"/>
              </w:rPr>
              <w:t>（2）基金资产净值大幅波动的风险</w:t>
            </w:r>
          </w:p>
          <w:p>
            <w:pPr>
              <w:pStyle w:val="73"/>
              <w:wordWrap w:val="0"/>
              <w:spacing w:before="0" w:line="360" w:lineRule="auto"/>
              <w:ind w:left="17" w:firstLine="480" w:firstLineChars="200"/>
              <w:rPr>
                <w:rFonts w:asciiTheme="minorEastAsia" w:hAnsiTheme="minorEastAsia" w:eastAsiaTheme="minorEastAsia"/>
                <w:color w:val="000000"/>
              </w:rPr>
            </w:pPr>
            <w:r>
              <w:rPr>
                <w:rFonts w:hint="eastAsia" w:asciiTheme="minorEastAsia" w:hAnsiTheme="minorEastAsia" w:eastAsiaTheme="minorEastAsia"/>
                <w:color w:val="000000"/>
              </w:rPr>
              <w:t>高比例投资者大额赎回时，基金管理人进行基金财产变现可能会对基金资产净值造成较大波动。</w:t>
            </w:r>
          </w:p>
          <w:p>
            <w:pPr>
              <w:pStyle w:val="73"/>
              <w:wordWrap w:val="0"/>
              <w:spacing w:before="0" w:line="360" w:lineRule="auto"/>
              <w:ind w:left="17" w:firstLine="480" w:firstLineChars="200"/>
              <w:rPr>
                <w:rFonts w:asciiTheme="minorEastAsia" w:hAnsiTheme="minorEastAsia" w:eastAsiaTheme="minorEastAsia"/>
                <w:color w:val="000000"/>
              </w:rPr>
            </w:pPr>
            <w:r>
              <w:rPr>
                <w:rFonts w:hint="eastAsia" w:asciiTheme="minorEastAsia" w:hAnsiTheme="minorEastAsia" w:eastAsiaTheme="minorEastAsia"/>
                <w:color w:val="000000"/>
              </w:rPr>
              <w:t>（3）提前终止基金合同的风险</w:t>
            </w:r>
          </w:p>
          <w:p>
            <w:pPr>
              <w:pStyle w:val="73"/>
              <w:wordWrap w:val="0"/>
              <w:spacing w:before="0" w:line="360" w:lineRule="auto"/>
              <w:ind w:left="17" w:firstLine="480" w:firstLineChars="200"/>
              <w:rPr>
                <w:rFonts w:asciiTheme="minorEastAsia" w:hAnsiTheme="minorEastAsia" w:eastAsiaTheme="minorEastAsia"/>
                <w:color w:val="000000"/>
              </w:rPr>
            </w:pPr>
            <w:r>
              <w:rPr>
                <w:rFonts w:hint="eastAsia" w:asciiTheme="minorEastAsia" w:hAnsiTheme="minorEastAsia" w:eastAsiaTheme="minorEastAsia"/>
                <w:color w:val="000000"/>
              </w:rPr>
              <w:t xml:space="preserve">多名高比例投资者赎回后，可能出现基金资产净值低于5000万元的情形，根据本合同约定，若连续六十个工作日出现基金资产净值低于5000万元情形的，基金管理人将向中国证监会报告并提出解决方案，如转换运作方式、与其他基金合并或者终止基金合同等，还将召开基金份额持有人大会进行表决。 </w:t>
            </w:r>
          </w:p>
          <w:p>
            <w:pPr>
              <w:pStyle w:val="73"/>
              <w:wordWrap w:val="0"/>
              <w:spacing w:before="0" w:line="360" w:lineRule="auto"/>
              <w:ind w:left="17" w:firstLine="480" w:firstLineChars="200"/>
              <w:rPr>
                <w:rFonts w:asciiTheme="minorEastAsia" w:hAnsiTheme="minorEastAsia" w:eastAsiaTheme="minorEastAsia"/>
                <w:color w:val="000000"/>
              </w:rPr>
            </w:pPr>
            <w:r>
              <w:rPr>
                <w:rFonts w:hint="eastAsia" w:asciiTheme="minorEastAsia" w:hAnsiTheme="minorEastAsia" w:eastAsiaTheme="minorEastAsia"/>
                <w:color w:val="000000"/>
              </w:rPr>
              <w:t>（4）基金规模较小导致的风险</w:t>
            </w:r>
          </w:p>
          <w:p>
            <w:pPr>
              <w:pStyle w:val="73"/>
              <w:wordWrap w:val="0"/>
              <w:spacing w:before="0" w:line="360" w:lineRule="auto"/>
              <w:ind w:left="17" w:firstLine="480" w:firstLineChars="200"/>
              <w:rPr>
                <w:rFonts w:asciiTheme="minorEastAsia" w:hAnsiTheme="minorEastAsia" w:eastAsiaTheme="minorEastAsia"/>
                <w:color w:val="000000"/>
              </w:rPr>
            </w:pPr>
            <w:r>
              <w:rPr>
                <w:rFonts w:hint="eastAsia" w:asciiTheme="minorEastAsia" w:hAnsiTheme="minorEastAsia" w:eastAsiaTheme="minorEastAsia"/>
                <w:color w:val="000000"/>
              </w:rPr>
              <w:t>高比例投资者赎回后，可能导致基金规模较小，基金投资可能面临一定困难。</w:t>
            </w:r>
          </w:p>
          <w:p>
            <w:pPr>
              <w:pStyle w:val="73"/>
              <w:wordWrap w:val="0"/>
              <w:spacing w:before="0" w:line="360" w:lineRule="auto"/>
              <w:ind w:left="17" w:firstLine="480" w:firstLineChars="200"/>
              <w:rPr>
                <w:rFonts w:asciiTheme="minorEastAsia" w:hAnsiTheme="minorEastAsia" w:eastAsiaTheme="minorEastAsia"/>
                <w:sz w:val="21"/>
                <w:szCs w:val="21"/>
              </w:rPr>
            </w:pPr>
            <w:r>
              <w:rPr>
                <w:rFonts w:hint="eastAsia" w:asciiTheme="minorEastAsia" w:hAnsiTheme="minorEastAsia" w:eastAsiaTheme="minorEastAsia"/>
                <w:color w:val="000000"/>
              </w:rPr>
              <w:t>本基金管理人将继续勤勉尽责，执行相关投资策略，力争实现投资目标。</w:t>
            </w:r>
          </w:p>
        </w:tc>
      </w:tr>
    </w:tbl>
    <w:p>
      <w:pPr>
        <w:pStyle w:val="71"/>
        <w:widowControl/>
        <w:numPr>
          <w:ilvl w:val="-1"/>
          <w:numId w:val="0"/>
        </w:numPr>
        <w:spacing w:before="30" w:line="315" w:lineRule="atLeast"/>
        <w:ind w:left="0" w:firstLine="0" w:firstLineChars="0"/>
        <w:jc w:val="left"/>
        <w:rPr>
          <w:rFonts w:ascii="宋体" w:hAnsi="宋体"/>
          <w:b w:val="0"/>
          <w:bCs w:val="0"/>
          <w:sz w:val="24"/>
        </w:rPr>
      </w:pPr>
      <w:r>
        <w:rPr>
          <w:rFonts w:hint="eastAsia" w:ascii="宋体" w:hAnsi="宋体"/>
          <w:b w:val="0"/>
          <w:bCs w:val="0"/>
          <w:sz w:val="24"/>
          <w:lang w:val="en-US" w:eastAsia="zh-CN"/>
        </w:rPr>
        <w:t>2、</w:t>
      </w:r>
      <w:r>
        <w:rPr>
          <w:rFonts w:hint="eastAsia" w:ascii="宋体" w:hAnsi="宋体"/>
          <w:b w:val="0"/>
          <w:bCs w:val="0"/>
          <w:sz w:val="24"/>
        </w:rPr>
        <w:t>影响投资者决策的其他重要信息</w:t>
      </w:r>
    </w:p>
    <w:p>
      <w:pPr>
        <w:pStyle w:val="71"/>
        <w:widowControl/>
        <w:spacing w:before="30" w:line="315" w:lineRule="atLeast"/>
        <w:ind w:left="747" w:firstLine="0" w:firstLineChars="0"/>
        <w:jc w:val="left"/>
        <w:rPr>
          <w:rFonts w:hint="eastAsia" w:ascii="宋体" w:hAnsi="宋体"/>
          <w:sz w:val="24"/>
        </w:rPr>
      </w:pPr>
      <w:r>
        <w:rPr>
          <w:rFonts w:hint="eastAsia" w:ascii="宋体" w:hAnsi="宋体"/>
          <w:sz w:val="24"/>
        </w:rPr>
        <w:t>本报告期内未出现影响投资者决策的其他重要信息。</w:t>
      </w:r>
    </w:p>
    <w:p>
      <w:pPr>
        <w:pStyle w:val="71"/>
        <w:widowControl/>
        <w:spacing w:before="30" w:line="315" w:lineRule="atLeast"/>
        <w:ind w:left="747" w:firstLine="0" w:firstLineChars="0"/>
        <w:jc w:val="left"/>
        <w:rPr>
          <w:rFonts w:hint="eastAsia" w:ascii="宋体" w:hAnsi="宋体"/>
          <w:sz w:val="24"/>
        </w:rPr>
      </w:pPr>
    </w:p>
    <w:p>
      <w:pPr>
        <w:spacing w:line="360" w:lineRule="auto"/>
        <w:ind w:firstLine="424" w:firstLineChars="177"/>
        <w:rPr>
          <w:rFonts w:ascii="宋体" w:hAnsi="宋体"/>
          <w:bCs/>
          <w:sz w:val="24"/>
        </w:rPr>
      </w:pPr>
      <w:r>
        <w:rPr>
          <w:rFonts w:hint="eastAsia" w:ascii="宋体" w:hAnsi="宋体"/>
          <w:bCs/>
          <w:sz w:val="24"/>
        </w:rPr>
        <w:t>（十二）基金净值表现</w:t>
      </w:r>
    </w:p>
    <w:p>
      <w:pPr>
        <w:spacing w:line="360" w:lineRule="auto"/>
        <w:ind w:firstLine="424" w:firstLineChars="177"/>
        <w:rPr>
          <w:rFonts w:ascii="宋体" w:hAnsi="宋体"/>
          <w:bCs/>
          <w:sz w:val="24"/>
        </w:rPr>
      </w:pPr>
      <w:r>
        <w:rPr>
          <w:rFonts w:hint="eastAsia" w:ascii="宋体" w:hAnsi="宋体"/>
          <w:bCs/>
          <w:sz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pPr>
        <w:spacing w:line="360" w:lineRule="auto"/>
        <w:ind w:firstLine="424" w:firstLineChars="177"/>
        <w:rPr>
          <w:rFonts w:ascii="宋体" w:hAnsi="宋体"/>
          <w:bCs/>
          <w:sz w:val="24"/>
        </w:rPr>
      </w:pPr>
      <w:r>
        <w:rPr>
          <w:rFonts w:hint="eastAsia" w:ascii="宋体" w:hAnsi="宋体"/>
          <w:bCs/>
          <w:sz w:val="24"/>
        </w:rPr>
        <w:t>（1）富荣货币A（</w:t>
      </w:r>
      <w:r>
        <w:rPr>
          <w:rFonts w:hint="eastAsia" w:ascii="宋体" w:hAnsi="宋体"/>
          <w:color w:val="000000"/>
          <w:kern w:val="0"/>
          <w:sz w:val="24"/>
        </w:rPr>
        <w:t>基金代码：</w:t>
      </w:r>
      <w:r>
        <w:rPr>
          <w:rFonts w:ascii="宋体" w:hAnsi="宋体"/>
          <w:color w:val="000000"/>
          <w:kern w:val="0"/>
          <w:sz w:val="24"/>
        </w:rPr>
        <w:t>003467</w:t>
      </w:r>
      <w:r>
        <w:rPr>
          <w:rFonts w:hint="eastAsia" w:ascii="宋体" w:hAnsi="宋体"/>
          <w:bCs/>
          <w:sz w:val="24"/>
        </w:rPr>
        <w:t>）</w:t>
      </w:r>
    </w:p>
    <w:tbl>
      <w:tblPr>
        <w:tblStyle w:val="34"/>
        <w:tblW w:w="87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9"/>
        <w:gridCol w:w="1249"/>
        <w:gridCol w:w="1249"/>
        <w:gridCol w:w="1249"/>
        <w:gridCol w:w="1249"/>
        <w:gridCol w:w="1249"/>
        <w:gridCol w:w="1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1" w:hRule="atLeast"/>
        </w:trPr>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阶段</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净值收益率①</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净值收益率标准差②</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业绩比较基准收益率③</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业绩比较基准收益率标准差④</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①</w:t>
            </w:r>
            <w:r>
              <w:rPr>
                <w:rFonts w:ascii="宋体" w:hAnsi="宋体"/>
                <w:color w:val="000000"/>
                <w:kern w:val="0"/>
                <w:sz w:val="24"/>
              </w:rPr>
              <w:t>-</w:t>
            </w:r>
            <w:r>
              <w:rPr>
                <w:rFonts w:hint="eastAsia" w:ascii="宋体" w:hAnsi="宋体"/>
                <w:color w:val="000000"/>
                <w:kern w:val="0"/>
                <w:sz w:val="24"/>
              </w:rPr>
              <w:t>③</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②</w:t>
            </w:r>
            <w:r>
              <w:rPr>
                <w:rFonts w:ascii="宋体" w:hAnsi="宋体"/>
                <w:color w:val="000000"/>
                <w:kern w:val="0"/>
                <w:sz w:val="24"/>
              </w:rPr>
              <w:t>-</w:t>
            </w:r>
            <w:r>
              <w:rPr>
                <w:rFonts w:hint="eastAsia" w:ascii="宋体" w:hAnsi="宋体"/>
                <w:color w:val="000000"/>
                <w:kern w:val="0"/>
                <w:sz w:val="24"/>
              </w:rPr>
              <w:t>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trPr>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2016.12.26~2016.12.31</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0.0796%</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0.0059%</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0.0058%</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0.0000%</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0.0738%</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0.0059%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trPr>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2017.01.01~2017.03.31</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0.7873%</w:t>
            </w:r>
          </w:p>
        </w:tc>
        <w:tc>
          <w:tcPr>
            <w:tcW w:w="1249" w:type="dxa"/>
            <w:vAlign w:val="center"/>
          </w:tcPr>
          <w:p>
            <w:pPr>
              <w:autoSpaceDE w:val="0"/>
              <w:autoSpaceDN w:val="0"/>
              <w:adjustRightInd w:val="0"/>
              <w:jc w:val="center"/>
              <w:rPr>
                <w:rFonts w:ascii="宋体" w:hAnsi="宋体"/>
                <w:color w:val="000000"/>
                <w:kern w:val="0"/>
                <w:sz w:val="24"/>
              </w:rPr>
            </w:pPr>
            <w:r>
              <w:rPr>
                <w:rFonts w:ascii="宋体" w:hAnsi="宋体"/>
                <w:color w:val="000000"/>
                <w:kern w:val="0"/>
                <w:sz w:val="24"/>
              </w:rPr>
              <w:t>0.0033%</w:t>
            </w:r>
          </w:p>
        </w:tc>
        <w:tc>
          <w:tcPr>
            <w:tcW w:w="1249" w:type="dxa"/>
            <w:vAlign w:val="center"/>
          </w:tcPr>
          <w:p>
            <w:pPr>
              <w:autoSpaceDE w:val="0"/>
              <w:autoSpaceDN w:val="0"/>
              <w:adjustRightInd w:val="0"/>
              <w:jc w:val="center"/>
              <w:rPr>
                <w:rFonts w:ascii="宋体" w:hAnsi="宋体"/>
                <w:color w:val="000000"/>
                <w:kern w:val="0"/>
                <w:sz w:val="24"/>
              </w:rPr>
            </w:pPr>
            <w:r>
              <w:rPr>
                <w:rFonts w:ascii="宋体" w:hAnsi="宋体"/>
                <w:color w:val="000000"/>
                <w:kern w:val="0"/>
                <w:sz w:val="24"/>
              </w:rPr>
              <w:t>0.0875%</w:t>
            </w:r>
          </w:p>
        </w:tc>
        <w:tc>
          <w:tcPr>
            <w:tcW w:w="1249" w:type="dxa"/>
            <w:vAlign w:val="center"/>
          </w:tcPr>
          <w:p>
            <w:pPr>
              <w:autoSpaceDE w:val="0"/>
              <w:autoSpaceDN w:val="0"/>
              <w:adjustRightInd w:val="0"/>
              <w:jc w:val="center"/>
              <w:rPr>
                <w:rFonts w:ascii="宋体" w:hAnsi="宋体"/>
                <w:color w:val="000000"/>
                <w:kern w:val="0"/>
                <w:sz w:val="24"/>
              </w:rPr>
            </w:pPr>
            <w:r>
              <w:rPr>
                <w:rFonts w:ascii="宋体" w:hAnsi="宋体"/>
                <w:color w:val="000000"/>
                <w:kern w:val="0"/>
                <w:sz w:val="24"/>
              </w:rPr>
              <w:t>0.0000%</w:t>
            </w:r>
          </w:p>
        </w:tc>
        <w:tc>
          <w:tcPr>
            <w:tcW w:w="1249" w:type="dxa"/>
            <w:vAlign w:val="center"/>
          </w:tcPr>
          <w:p>
            <w:pPr>
              <w:autoSpaceDE w:val="0"/>
              <w:autoSpaceDN w:val="0"/>
              <w:adjustRightInd w:val="0"/>
              <w:jc w:val="center"/>
              <w:rPr>
                <w:rFonts w:ascii="宋体" w:hAnsi="宋体"/>
                <w:color w:val="000000"/>
                <w:kern w:val="0"/>
                <w:sz w:val="24"/>
              </w:rPr>
            </w:pPr>
            <w:r>
              <w:rPr>
                <w:rFonts w:ascii="宋体" w:hAnsi="宋体"/>
                <w:color w:val="000000"/>
                <w:kern w:val="0"/>
                <w:sz w:val="24"/>
              </w:rPr>
              <w:t>0.6998%</w:t>
            </w:r>
          </w:p>
        </w:tc>
        <w:tc>
          <w:tcPr>
            <w:tcW w:w="1249" w:type="dxa"/>
            <w:vAlign w:val="center"/>
          </w:tcPr>
          <w:p>
            <w:pPr>
              <w:autoSpaceDE w:val="0"/>
              <w:autoSpaceDN w:val="0"/>
              <w:adjustRightInd w:val="0"/>
              <w:jc w:val="center"/>
              <w:rPr>
                <w:rFonts w:ascii="宋体" w:hAnsi="宋体"/>
                <w:color w:val="000000"/>
                <w:kern w:val="0"/>
                <w:sz w:val="24"/>
              </w:rPr>
            </w:pPr>
            <w:r>
              <w:rPr>
                <w:rFonts w:ascii="宋体" w:hAnsi="宋体"/>
                <w:color w:val="000000"/>
                <w:kern w:val="0"/>
                <w:sz w:val="24"/>
              </w:rPr>
              <w:t>0.0033%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trPr>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2016.12.26~2017.03.31</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0.8676%</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0.0037%</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0.0933%</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0.0000%</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0.7743%</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0.0037%</w:t>
            </w:r>
          </w:p>
        </w:tc>
      </w:tr>
    </w:tbl>
    <w:p>
      <w:pPr>
        <w:spacing w:line="360" w:lineRule="auto"/>
        <w:ind w:firstLine="424" w:firstLineChars="177"/>
        <w:rPr>
          <w:rFonts w:ascii="宋体" w:hAnsi="宋体"/>
          <w:bCs/>
          <w:sz w:val="24"/>
        </w:rPr>
      </w:pPr>
    </w:p>
    <w:p>
      <w:pPr>
        <w:spacing w:line="360" w:lineRule="auto"/>
        <w:ind w:firstLine="424" w:firstLineChars="177"/>
        <w:rPr>
          <w:rFonts w:ascii="宋体" w:hAnsi="宋体"/>
          <w:bCs/>
          <w:sz w:val="24"/>
        </w:rPr>
      </w:pPr>
      <w:r>
        <w:rPr>
          <w:rFonts w:hint="eastAsia" w:ascii="宋体" w:hAnsi="宋体"/>
          <w:bCs/>
          <w:sz w:val="24"/>
        </w:rPr>
        <w:t>（2）富荣货币B（</w:t>
      </w:r>
      <w:r>
        <w:rPr>
          <w:rFonts w:hint="eastAsia" w:ascii="宋体" w:hAnsi="宋体"/>
          <w:color w:val="000000"/>
          <w:kern w:val="0"/>
          <w:sz w:val="24"/>
        </w:rPr>
        <w:t>基金代码：</w:t>
      </w:r>
      <w:r>
        <w:rPr>
          <w:rFonts w:ascii="宋体" w:hAnsi="宋体"/>
          <w:color w:val="000000"/>
          <w:kern w:val="0"/>
          <w:sz w:val="24"/>
        </w:rPr>
        <w:t>00346</w:t>
      </w:r>
      <w:r>
        <w:rPr>
          <w:rFonts w:hint="eastAsia" w:ascii="宋体" w:hAnsi="宋体"/>
          <w:color w:val="000000"/>
          <w:kern w:val="0"/>
          <w:sz w:val="24"/>
        </w:rPr>
        <w:t>8</w:t>
      </w:r>
      <w:r>
        <w:rPr>
          <w:rFonts w:hint="eastAsia" w:ascii="宋体" w:hAnsi="宋体"/>
          <w:bCs/>
          <w:sz w:val="24"/>
        </w:rPr>
        <w:t>）</w:t>
      </w:r>
    </w:p>
    <w:tbl>
      <w:tblPr>
        <w:tblStyle w:val="34"/>
        <w:tblW w:w="87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9"/>
        <w:gridCol w:w="1249"/>
        <w:gridCol w:w="1249"/>
        <w:gridCol w:w="1249"/>
        <w:gridCol w:w="1249"/>
        <w:gridCol w:w="1249"/>
        <w:gridCol w:w="1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1" w:hRule="atLeast"/>
        </w:trPr>
        <w:tc>
          <w:tcPr>
            <w:tcW w:w="1249" w:type="dxa"/>
            <w:vAlign w:val="center"/>
          </w:tcPr>
          <w:p>
            <w:pPr>
              <w:autoSpaceDE w:val="0"/>
              <w:autoSpaceDN w:val="0"/>
              <w:adjustRightInd w:val="0"/>
              <w:jc w:val="center"/>
              <w:rPr>
                <w:rFonts w:ascii="仿宋_GB2312" w:eastAsia="仿宋_GB2312" w:cs="仿宋_GB2312"/>
                <w:color w:val="000000"/>
                <w:kern w:val="0"/>
                <w:szCs w:val="21"/>
              </w:rPr>
            </w:pPr>
            <w:r>
              <w:rPr>
                <w:rFonts w:hint="eastAsia" w:ascii="宋体" w:hAnsi="宋体"/>
                <w:sz w:val="24"/>
              </w:rPr>
              <w:t>阶段</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净值收益率①</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净值收益率标准差②</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业绩比较基准收益率③</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业绩比较基准收益率标准差④</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①</w:t>
            </w:r>
            <w:r>
              <w:rPr>
                <w:rFonts w:ascii="宋体" w:hAnsi="宋体"/>
                <w:color w:val="000000"/>
                <w:kern w:val="0"/>
                <w:sz w:val="24"/>
              </w:rPr>
              <w:t>-</w:t>
            </w:r>
            <w:r>
              <w:rPr>
                <w:rFonts w:hint="eastAsia" w:ascii="宋体" w:hAnsi="宋体"/>
                <w:color w:val="000000"/>
                <w:kern w:val="0"/>
                <w:sz w:val="24"/>
              </w:rPr>
              <w:t>③</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②</w:t>
            </w:r>
            <w:r>
              <w:rPr>
                <w:rFonts w:ascii="宋体" w:hAnsi="宋体"/>
                <w:color w:val="000000"/>
                <w:kern w:val="0"/>
                <w:sz w:val="24"/>
              </w:rPr>
              <w:t>-</w:t>
            </w:r>
            <w:r>
              <w:rPr>
                <w:rFonts w:hint="eastAsia" w:ascii="宋体" w:hAnsi="宋体"/>
                <w:color w:val="000000"/>
                <w:kern w:val="0"/>
                <w:sz w:val="24"/>
              </w:rPr>
              <w:t>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trPr>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2016.12.26~2016.12.31</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0.0829%</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0.0057%</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0.0058%</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0.0000%</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0.0771%</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0.0057%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trPr>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2017.01.01~2017.03.31</w:t>
            </w:r>
          </w:p>
        </w:tc>
        <w:tc>
          <w:tcPr>
            <w:tcW w:w="1249" w:type="dxa"/>
            <w:vAlign w:val="center"/>
          </w:tcPr>
          <w:p>
            <w:pPr>
              <w:autoSpaceDE w:val="0"/>
              <w:autoSpaceDN w:val="0"/>
              <w:adjustRightInd w:val="0"/>
              <w:jc w:val="center"/>
              <w:rPr>
                <w:rFonts w:ascii="宋体" w:hAnsi="宋体"/>
                <w:color w:val="000000"/>
                <w:kern w:val="0"/>
                <w:sz w:val="24"/>
              </w:rPr>
            </w:pPr>
            <w:r>
              <w:rPr>
                <w:rFonts w:ascii="宋体" w:hAnsi="宋体"/>
                <w:color w:val="000000"/>
                <w:kern w:val="0"/>
                <w:sz w:val="24"/>
              </w:rPr>
              <w:t>0.8483%</w:t>
            </w:r>
          </w:p>
        </w:tc>
        <w:tc>
          <w:tcPr>
            <w:tcW w:w="1249" w:type="dxa"/>
            <w:vAlign w:val="center"/>
          </w:tcPr>
          <w:p>
            <w:pPr>
              <w:autoSpaceDE w:val="0"/>
              <w:autoSpaceDN w:val="0"/>
              <w:adjustRightInd w:val="0"/>
              <w:jc w:val="center"/>
              <w:rPr>
                <w:rFonts w:ascii="宋体" w:hAnsi="宋体"/>
                <w:color w:val="000000"/>
                <w:kern w:val="0"/>
                <w:sz w:val="24"/>
              </w:rPr>
            </w:pPr>
            <w:r>
              <w:rPr>
                <w:rFonts w:ascii="宋体" w:hAnsi="宋体"/>
                <w:color w:val="000000"/>
                <w:kern w:val="0"/>
                <w:sz w:val="24"/>
              </w:rPr>
              <w:t>0.0033%</w:t>
            </w:r>
          </w:p>
        </w:tc>
        <w:tc>
          <w:tcPr>
            <w:tcW w:w="1249" w:type="dxa"/>
            <w:vAlign w:val="center"/>
          </w:tcPr>
          <w:p>
            <w:pPr>
              <w:autoSpaceDE w:val="0"/>
              <w:autoSpaceDN w:val="0"/>
              <w:adjustRightInd w:val="0"/>
              <w:jc w:val="center"/>
              <w:rPr>
                <w:rFonts w:ascii="宋体" w:hAnsi="宋体"/>
                <w:color w:val="000000"/>
                <w:kern w:val="0"/>
                <w:sz w:val="24"/>
              </w:rPr>
            </w:pPr>
            <w:r>
              <w:rPr>
                <w:rFonts w:ascii="宋体" w:hAnsi="宋体"/>
                <w:color w:val="000000"/>
                <w:kern w:val="0"/>
                <w:sz w:val="24"/>
              </w:rPr>
              <w:t>0.0875%</w:t>
            </w:r>
          </w:p>
        </w:tc>
        <w:tc>
          <w:tcPr>
            <w:tcW w:w="1249" w:type="dxa"/>
            <w:vAlign w:val="center"/>
          </w:tcPr>
          <w:p>
            <w:pPr>
              <w:autoSpaceDE w:val="0"/>
              <w:autoSpaceDN w:val="0"/>
              <w:adjustRightInd w:val="0"/>
              <w:jc w:val="center"/>
              <w:rPr>
                <w:rFonts w:ascii="宋体" w:hAnsi="宋体"/>
                <w:color w:val="000000"/>
                <w:kern w:val="0"/>
                <w:sz w:val="24"/>
              </w:rPr>
            </w:pPr>
            <w:r>
              <w:rPr>
                <w:rFonts w:ascii="宋体" w:hAnsi="宋体"/>
                <w:color w:val="000000"/>
                <w:kern w:val="0"/>
                <w:sz w:val="24"/>
              </w:rPr>
              <w:t>0.0000%</w:t>
            </w:r>
          </w:p>
        </w:tc>
        <w:tc>
          <w:tcPr>
            <w:tcW w:w="1249" w:type="dxa"/>
            <w:vAlign w:val="center"/>
          </w:tcPr>
          <w:p>
            <w:pPr>
              <w:autoSpaceDE w:val="0"/>
              <w:autoSpaceDN w:val="0"/>
              <w:adjustRightInd w:val="0"/>
              <w:jc w:val="center"/>
              <w:rPr>
                <w:rFonts w:ascii="宋体" w:hAnsi="宋体"/>
                <w:color w:val="000000"/>
                <w:kern w:val="0"/>
                <w:sz w:val="24"/>
              </w:rPr>
            </w:pPr>
            <w:r>
              <w:rPr>
                <w:rFonts w:ascii="宋体" w:hAnsi="宋体"/>
                <w:color w:val="000000"/>
                <w:kern w:val="0"/>
                <w:sz w:val="24"/>
              </w:rPr>
              <w:t>0.7608%</w:t>
            </w:r>
          </w:p>
        </w:tc>
        <w:tc>
          <w:tcPr>
            <w:tcW w:w="1249" w:type="dxa"/>
            <w:vAlign w:val="center"/>
          </w:tcPr>
          <w:p>
            <w:pPr>
              <w:autoSpaceDE w:val="0"/>
              <w:autoSpaceDN w:val="0"/>
              <w:adjustRightInd w:val="0"/>
              <w:jc w:val="center"/>
              <w:rPr>
                <w:rFonts w:ascii="宋体" w:hAnsi="宋体"/>
                <w:color w:val="000000"/>
                <w:kern w:val="0"/>
                <w:sz w:val="24"/>
              </w:rPr>
            </w:pPr>
            <w:r>
              <w:rPr>
                <w:rFonts w:ascii="宋体" w:hAnsi="宋体"/>
                <w:color w:val="000000"/>
                <w:kern w:val="0"/>
                <w:sz w:val="24"/>
              </w:rPr>
              <w:t>0.0033%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trPr>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2016.12.26~2017.03.31</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0.9319%</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0.0036%</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0.0933%</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0.0000%</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0.8386%</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0.0036%</w:t>
            </w:r>
          </w:p>
        </w:tc>
      </w:tr>
    </w:tbl>
    <w:p>
      <w:pPr>
        <w:spacing w:line="360" w:lineRule="auto"/>
        <w:ind w:firstLine="424" w:firstLineChars="177"/>
        <w:rPr>
          <w:rFonts w:ascii="宋体" w:hAnsi="宋体"/>
          <w:color w:val="000000"/>
          <w:kern w:val="0"/>
          <w:sz w:val="24"/>
        </w:rPr>
      </w:pPr>
      <w:r>
        <w:rPr>
          <w:rFonts w:hint="eastAsia" w:ascii="宋体" w:hAnsi="宋体"/>
          <w:color w:val="000000"/>
          <w:kern w:val="0"/>
          <w:sz w:val="24"/>
        </w:rPr>
        <w:t>注：本基金的业绩比较基准为：活期存款利率（税后）。</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2、自基金合同生效以来基金累计净值收益率变动及其与同期业绩比较基准收益率变动的比较</w:t>
      </w:r>
    </w:p>
    <w:p>
      <w:pPr>
        <w:spacing w:line="360" w:lineRule="auto"/>
        <w:ind w:firstLine="424" w:firstLineChars="177"/>
        <w:rPr>
          <w:rFonts w:ascii="宋体" w:hAnsi="宋体"/>
          <w:color w:val="000000"/>
          <w:kern w:val="0"/>
          <w:sz w:val="24"/>
        </w:rPr>
      </w:pPr>
      <w:r>
        <w:rPr>
          <w:rFonts w:ascii="宋体" w:hAnsi="宋体"/>
          <w:color w:val="0000FF"/>
          <w:kern w:val="0"/>
          <w:sz w:val="24"/>
          <w:u w:val="none"/>
        </w:rPr>
        <w:drawing>
          <wp:inline distT="0" distB="0" distL="0" distR="0">
            <wp:extent cx="5486400" cy="3270250"/>
            <wp:effectExtent l="0" t="0" r="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5486400" cy="3270648"/>
                    </a:xfrm>
                    <a:prstGeom prst="rect">
                      <a:avLst/>
                    </a:prstGeom>
                    <a:noFill/>
                    <a:ln>
                      <a:noFill/>
                    </a:ln>
                  </pic:spPr>
                </pic:pic>
              </a:graphicData>
            </a:graphic>
          </wp:inline>
        </w:drawing>
      </w:r>
    </w:p>
    <w:p>
      <w:pPr>
        <w:spacing w:line="360" w:lineRule="auto"/>
        <w:ind w:firstLine="424" w:firstLineChars="177"/>
        <w:rPr>
          <w:rFonts w:ascii="宋体" w:hAnsi="宋体"/>
          <w:color w:val="000000"/>
          <w:kern w:val="0"/>
          <w:sz w:val="24"/>
        </w:rPr>
      </w:pPr>
      <w:r>
        <w:rPr>
          <w:rFonts w:ascii="宋体" w:hAnsi="宋体"/>
          <w:color w:val="0000FF"/>
          <w:kern w:val="0"/>
          <w:sz w:val="24"/>
          <w:u w:val="none"/>
        </w:rPr>
        <w:drawing>
          <wp:inline distT="0" distB="0" distL="0" distR="0">
            <wp:extent cx="5486400" cy="3270250"/>
            <wp:effectExtent l="0" t="0" r="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486400" cy="3270648"/>
                    </a:xfrm>
                    <a:prstGeom prst="rect">
                      <a:avLst/>
                    </a:prstGeom>
                    <a:noFill/>
                    <a:ln>
                      <a:noFill/>
                    </a:ln>
                  </pic:spPr>
                </pic:pic>
              </a:graphicData>
            </a:graphic>
          </wp:inline>
        </w:drawing>
      </w:r>
    </w:p>
    <w:p>
      <w:pPr>
        <w:spacing w:line="360" w:lineRule="auto"/>
        <w:ind w:firstLine="424" w:firstLineChars="177"/>
        <w:rPr>
          <w:rFonts w:ascii="宋体" w:hAnsi="宋体"/>
          <w:color w:val="000000"/>
          <w:kern w:val="0"/>
          <w:sz w:val="24"/>
        </w:rPr>
      </w:pPr>
      <w:r>
        <w:rPr>
          <w:rFonts w:hint="eastAsia" w:ascii="宋体" w:hAnsi="宋体"/>
          <w:color w:val="000000"/>
          <w:kern w:val="0"/>
          <w:sz w:val="24"/>
        </w:rPr>
        <w:t>注：①本基金的建仓期为自</w:t>
      </w:r>
      <w:r>
        <w:rPr>
          <w:rFonts w:ascii="宋体" w:hAnsi="宋体"/>
          <w:color w:val="000000"/>
          <w:kern w:val="0"/>
          <w:sz w:val="24"/>
        </w:rPr>
        <w:t>2016</w:t>
      </w:r>
      <w:r>
        <w:rPr>
          <w:rFonts w:hint="eastAsia" w:ascii="宋体" w:hAnsi="宋体"/>
          <w:color w:val="000000"/>
          <w:kern w:val="0"/>
          <w:sz w:val="24"/>
        </w:rPr>
        <w:t>年</w:t>
      </w:r>
      <w:r>
        <w:rPr>
          <w:rFonts w:ascii="宋体" w:hAnsi="宋体"/>
          <w:color w:val="000000"/>
          <w:kern w:val="0"/>
          <w:sz w:val="24"/>
        </w:rPr>
        <w:t>12</w:t>
      </w:r>
      <w:r>
        <w:rPr>
          <w:rFonts w:hint="eastAsia" w:ascii="宋体" w:hAnsi="宋体"/>
          <w:color w:val="000000"/>
          <w:kern w:val="0"/>
          <w:sz w:val="24"/>
        </w:rPr>
        <w:t>月</w:t>
      </w:r>
      <w:r>
        <w:rPr>
          <w:rFonts w:ascii="宋体" w:hAnsi="宋体"/>
          <w:color w:val="000000"/>
          <w:kern w:val="0"/>
          <w:sz w:val="24"/>
        </w:rPr>
        <w:t>26</w:t>
      </w:r>
      <w:r>
        <w:rPr>
          <w:rFonts w:hint="eastAsia" w:ascii="宋体" w:hAnsi="宋体"/>
          <w:color w:val="000000"/>
          <w:kern w:val="0"/>
          <w:sz w:val="24"/>
        </w:rPr>
        <w:t>日基金合同生效日起</w:t>
      </w:r>
      <w:r>
        <w:rPr>
          <w:rFonts w:ascii="宋体" w:hAnsi="宋体"/>
          <w:color w:val="000000"/>
          <w:kern w:val="0"/>
          <w:sz w:val="24"/>
        </w:rPr>
        <w:t>6</w:t>
      </w:r>
      <w:r>
        <w:rPr>
          <w:rFonts w:hint="eastAsia" w:ascii="宋体" w:hAnsi="宋体"/>
          <w:color w:val="000000"/>
          <w:kern w:val="0"/>
          <w:sz w:val="24"/>
        </w:rPr>
        <w:t>个月</w:t>
      </w:r>
      <w:r>
        <w:rPr>
          <w:rFonts w:ascii="宋体" w:hAnsi="宋体"/>
          <w:color w:val="000000"/>
          <w:kern w:val="0"/>
          <w:sz w:val="24"/>
        </w:rPr>
        <w:t>,</w:t>
      </w:r>
      <w:r>
        <w:rPr>
          <w:rFonts w:hint="eastAsia" w:ascii="宋体" w:hAnsi="宋体"/>
          <w:color w:val="000000"/>
          <w:kern w:val="0"/>
          <w:sz w:val="24"/>
        </w:rPr>
        <w:t>目前仍处于建仓期；</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②基金合同生效日（</w:t>
      </w:r>
      <w:r>
        <w:rPr>
          <w:rFonts w:ascii="宋体" w:hAnsi="宋体"/>
          <w:color w:val="000000"/>
          <w:kern w:val="0"/>
          <w:sz w:val="24"/>
        </w:rPr>
        <w:t>2016</w:t>
      </w:r>
      <w:r>
        <w:rPr>
          <w:rFonts w:hint="eastAsia" w:ascii="宋体" w:hAnsi="宋体"/>
          <w:color w:val="000000"/>
          <w:kern w:val="0"/>
          <w:sz w:val="24"/>
        </w:rPr>
        <w:t>年</w:t>
      </w:r>
      <w:r>
        <w:rPr>
          <w:rFonts w:ascii="宋体" w:hAnsi="宋体"/>
          <w:color w:val="000000"/>
          <w:kern w:val="0"/>
          <w:sz w:val="24"/>
        </w:rPr>
        <w:t>12</w:t>
      </w:r>
      <w:r>
        <w:rPr>
          <w:rFonts w:hint="eastAsia" w:ascii="宋体" w:hAnsi="宋体"/>
          <w:color w:val="000000"/>
          <w:kern w:val="0"/>
          <w:sz w:val="24"/>
        </w:rPr>
        <w:t>月</w:t>
      </w:r>
      <w:r>
        <w:rPr>
          <w:rFonts w:ascii="宋体" w:hAnsi="宋体"/>
          <w:color w:val="000000"/>
          <w:kern w:val="0"/>
          <w:sz w:val="24"/>
        </w:rPr>
        <w:t>26</w:t>
      </w:r>
      <w:r>
        <w:rPr>
          <w:rFonts w:hint="eastAsia" w:ascii="宋体" w:hAnsi="宋体"/>
          <w:color w:val="000000"/>
          <w:kern w:val="0"/>
          <w:sz w:val="24"/>
        </w:rPr>
        <w:t>日）起至本报告期末不满一年。</w:t>
      </w:r>
    </w:p>
    <w:bookmarkEnd w:id="26"/>
    <w:bookmarkEnd w:id="30"/>
    <w:bookmarkEnd w:id="31"/>
    <w:p>
      <w:pPr>
        <w:pageBreakBefore/>
        <w:spacing w:before="120" w:beforeLines="50" w:after="120" w:afterLines="50" w:line="360" w:lineRule="auto"/>
        <w:ind w:firstLine="420"/>
        <w:jc w:val="center"/>
        <w:outlineLvl w:val="0"/>
        <w:rPr>
          <w:rFonts w:ascii="宋体" w:hAnsi="宋体"/>
          <w:b/>
          <w:color w:val="000000"/>
          <w:kern w:val="0"/>
          <w:sz w:val="24"/>
        </w:rPr>
      </w:pPr>
      <w:bookmarkStart w:id="32" w:name="_Toc256666802"/>
      <w:bookmarkStart w:id="33" w:name="_Toc895"/>
      <w:bookmarkStart w:id="34" w:name="_Toc194043650"/>
      <w:bookmarkStart w:id="35" w:name="_Toc225576446"/>
      <w:bookmarkStart w:id="36" w:name="_Toc256666922"/>
      <w:bookmarkStart w:id="37" w:name="_Toc482624802"/>
      <w:bookmarkStart w:id="38" w:name="_Toc194043155"/>
      <w:bookmarkStart w:id="39" w:name="_Toc230166639"/>
      <w:bookmarkStart w:id="40" w:name="_Toc225445656"/>
      <w:r>
        <w:rPr>
          <w:rFonts w:hint="eastAsia" w:ascii="宋体" w:hAnsi="宋体"/>
          <w:b/>
          <w:sz w:val="24"/>
          <w:lang w:eastAsia="zh-CN"/>
        </w:rPr>
        <w:t>七、</w:t>
      </w:r>
      <w:r>
        <w:rPr>
          <w:rFonts w:hint="eastAsia" w:ascii="宋体" w:hAnsi="宋体"/>
          <w:b/>
          <w:sz w:val="24"/>
        </w:rPr>
        <w:t>基金的费用与税收</w:t>
      </w:r>
      <w:bookmarkEnd w:id="32"/>
      <w:bookmarkEnd w:id="33"/>
      <w:bookmarkEnd w:id="34"/>
      <w:bookmarkEnd w:id="35"/>
      <w:bookmarkEnd w:id="36"/>
      <w:bookmarkEnd w:id="37"/>
      <w:bookmarkEnd w:id="38"/>
      <w:bookmarkEnd w:id="39"/>
      <w:bookmarkEnd w:id="40"/>
    </w:p>
    <w:p>
      <w:pPr>
        <w:spacing w:line="360" w:lineRule="auto"/>
        <w:ind w:firstLine="480" w:firstLineChars="200"/>
        <w:rPr>
          <w:rFonts w:ascii="宋体" w:hAnsi="宋体"/>
          <w:color w:val="000000"/>
          <w:kern w:val="0"/>
          <w:sz w:val="24"/>
        </w:rPr>
      </w:pPr>
      <w:r>
        <w:rPr>
          <w:rFonts w:hint="eastAsia" w:ascii="宋体" w:hAnsi="宋体"/>
          <w:color w:val="000000"/>
          <w:kern w:val="0"/>
          <w:sz w:val="24"/>
        </w:rPr>
        <w:t>（一）基金费用的种类</w:t>
      </w:r>
    </w:p>
    <w:p>
      <w:pPr>
        <w:spacing w:line="360" w:lineRule="auto"/>
        <w:ind w:firstLine="480" w:firstLineChars="200"/>
        <w:rPr>
          <w:bCs/>
          <w:sz w:val="24"/>
        </w:rPr>
      </w:pPr>
      <w:r>
        <w:rPr>
          <w:bCs/>
          <w:sz w:val="24"/>
        </w:rPr>
        <w:t>1、基金管理人的管理费；</w:t>
      </w:r>
    </w:p>
    <w:p>
      <w:pPr>
        <w:spacing w:line="360" w:lineRule="auto"/>
        <w:ind w:firstLine="480" w:firstLineChars="200"/>
        <w:rPr>
          <w:bCs/>
          <w:sz w:val="24"/>
        </w:rPr>
      </w:pPr>
      <w:r>
        <w:rPr>
          <w:bCs/>
          <w:sz w:val="24"/>
        </w:rPr>
        <w:t>2、基金托管人的托管费；</w:t>
      </w:r>
    </w:p>
    <w:p>
      <w:pPr>
        <w:spacing w:line="360" w:lineRule="auto"/>
        <w:ind w:firstLine="480" w:firstLineChars="200"/>
        <w:rPr>
          <w:bCs/>
          <w:sz w:val="24"/>
        </w:rPr>
      </w:pPr>
      <w:r>
        <w:rPr>
          <w:rFonts w:hint="eastAsia"/>
          <w:bCs/>
          <w:sz w:val="24"/>
        </w:rPr>
        <w:t>3、销售服务费；</w:t>
      </w:r>
    </w:p>
    <w:p>
      <w:pPr>
        <w:spacing w:line="360" w:lineRule="auto"/>
        <w:ind w:firstLine="480" w:firstLineChars="200"/>
        <w:rPr>
          <w:bCs/>
          <w:sz w:val="24"/>
        </w:rPr>
      </w:pPr>
      <w:r>
        <w:rPr>
          <w:bCs/>
          <w:sz w:val="24"/>
        </w:rPr>
        <w:t>4、《基金合同》生效后与基金相关的信息披露费用；</w:t>
      </w:r>
    </w:p>
    <w:p>
      <w:pPr>
        <w:spacing w:line="360" w:lineRule="auto"/>
        <w:ind w:firstLine="480" w:firstLineChars="200"/>
        <w:rPr>
          <w:bCs/>
          <w:sz w:val="24"/>
        </w:rPr>
      </w:pPr>
      <w:r>
        <w:rPr>
          <w:bCs/>
          <w:sz w:val="24"/>
        </w:rPr>
        <w:t>5、《基金合同》生效后与基金相关的会计师费、律师费和诉讼费；</w:t>
      </w:r>
    </w:p>
    <w:p>
      <w:pPr>
        <w:spacing w:line="360" w:lineRule="auto"/>
        <w:ind w:firstLine="480" w:firstLineChars="200"/>
        <w:rPr>
          <w:bCs/>
          <w:sz w:val="24"/>
        </w:rPr>
      </w:pPr>
      <w:r>
        <w:rPr>
          <w:bCs/>
          <w:sz w:val="24"/>
        </w:rPr>
        <w:t>6、基金份额持有人大会费用；</w:t>
      </w:r>
    </w:p>
    <w:p>
      <w:pPr>
        <w:spacing w:line="360" w:lineRule="auto"/>
        <w:ind w:firstLine="480" w:firstLineChars="200"/>
        <w:rPr>
          <w:bCs/>
          <w:sz w:val="24"/>
        </w:rPr>
      </w:pPr>
      <w:r>
        <w:rPr>
          <w:bCs/>
          <w:sz w:val="24"/>
        </w:rPr>
        <w:t>7、基金的证券交易费用；</w:t>
      </w:r>
    </w:p>
    <w:p>
      <w:pPr>
        <w:spacing w:line="360" w:lineRule="auto"/>
        <w:ind w:firstLine="480" w:firstLineChars="200"/>
        <w:rPr>
          <w:bCs/>
          <w:sz w:val="24"/>
        </w:rPr>
      </w:pPr>
      <w:r>
        <w:rPr>
          <w:bCs/>
          <w:sz w:val="24"/>
        </w:rPr>
        <w:t>8、基金的银行汇划费用；</w:t>
      </w:r>
    </w:p>
    <w:p>
      <w:pPr>
        <w:spacing w:line="360" w:lineRule="auto"/>
        <w:ind w:firstLine="480" w:firstLineChars="200"/>
        <w:rPr>
          <w:rFonts w:ascii="宋体" w:hAnsi="宋体"/>
          <w:bCs/>
          <w:sz w:val="24"/>
        </w:rPr>
      </w:pPr>
      <w:r>
        <w:rPr>
          <w:bCs/>
          <w:sz w:val="24"/>
        </w:rPr>
        <w:t>9</w:t>
      </w:r>
      <w:r>
        <w:rPr>
          <w:rFonts w:ascii="宋体" w:hAnsi="宋体"/>
          <w:bCs/>
          <w:sz w:val="24"/>
        </w:rPr>
        <w:t>、</w:t>
      </w:r>
      <w:r>
        <w:rPr>
          <w:rFonts w:hint="eastAsia" w:ascii="宋体" w:hAnsi="宋体"/>
          <w:bCs/>
          <w:sz w:val="24"/>
        </w:rPr>
        <w:t>账户开户费用、账户维护费用；</w:t>
      </w:r>
    </w:p>
    <w:p>
      <w:pPr>
        <w:spacing w:line="360" w:lineRule="auto"/>
        <w:ind w:firstLine="480" w:firstLineChars="200"/>
        <w:rPr>
          <w:rFonts w:ascii="宋体" w:hAnsi="宋体"/>
          <w:bCs/>
          <w:sz w:val="24"/>
        </w:rPr>
      </w:pPr>
      <w:r>
        <w:rPr>
          <w:bCs/>
          <w:sz w:val="24"/>
        </w:rPr>
        <w:t>10、按照国家有关规定和《基金合同》约定，可以在基金财产中列支的其他费用。</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（二）基金费用计提方法、计提标准和支付方式</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1、基金管理人的管理费</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本基金的管理费按前一日基金资产净值的</w:t>
      </w:r>
      <w:r>
        <w:rPr>
          <w:rFonts w:ascii="宋体" w:hAnsi="宋体"/>
          <w:color w:val="000000"/>
          <w:kern w:val="0"/>
          <w:sz w:val="24"/>
        </w:rPr>
        <w:t>0.33</w:t>
      </w:r>
      <w:r>
        <w:rPr>
          <w:rFonts w:hint="eastAsia" w:ascii="宋体" w:hAnsi="宋体"/>
          <w:color w:val="000000"/>
          <w:kern w:val="0"/>
          <w:sz w:val="24"/>
        </w:rPr>
        <w:t>%年费率计提。管理费的计算方法如下：</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H＝E×</w:t>
      </w:r>
      <w:r>
        <w:rPr>
          <w:rFonts w:ascii="宋体" w:hAnsi="宋体"/>
          <w:color w:val="000000"/>
          <w:kern w:val="0"/>
          <w:sz w:val="24"/>
        </w:rPr>
        <w:t>0.33</w:t>
      </w:r>
      <w:r>
        <w:rPr>
          <w:rFonts w:hint="eastAsia" w:ascii="宋体" w:hAnsi="宋体"/>
          <w:color w:val="000000"/>
          <w:kern w:val="0"/>
          <w:sz w:val="24"/>
        </w:rPr>
        <w:t>%÷当年天数</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H 为每日应计提的基金管理费</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E 为前一日基金资产净值</w:t>
      </w:r>
    </w:p>
    <w:p>
      <w:pPr>
        <w:spacing w:line="360" w:lineRule="auto"/>
        <w:ind w:firstLine="480" w:firstLineChars="200"/>
        <w:rPr>
          <w:rFonts w:ascii="宋体" w:hAnsi="宋体"/>
          <w:color w:val="000000"/>
          <w:kern w:val="0"/>
          <w:sz w:val="24"/>
        </w:rPr>
      </w:pPr>
      <w:r>
        <w:rPr>
          <w:bCs/>
          <w:sz w:val="24"/>
        </w:rPr>
        <w:t>基金管理费每日计</w:t>
      </w:r>
      <w:r>
        <w:rPr>
          <w:rFonts w:hint="eastAsia"/>
          <w:bCs/>
          <w:sz w:val="24"/>
        </w:rPr>
        <w:t>提</w:t>
      </w:r>
      <w:r>
        <w:rPr>
          <w:bCs/>
          <w:sz w:val="24"/>
        </w:rPr>
        <w:t>，逐日累计至每月月末，按月支付，由基金管理人向基金托管人发送基金管理费划款指令，基金托管人复核后于次月前5个工作日内从基金财产中一次性支付给基金管理人。若遇法定节假日、公休假等</w:t>
      </w:r>
      <w:r>
        <w:rPr>
          <w:rFonts w:hint="eastAsia"/>
          <w:bCs/>
          <w:sz w:val="24"/>
        </w:rPr>
        <w:t>，</w:t>
      </w:r>
      <w:r>
        <w:rPr>
          <w:bCs/>
          <w:sz w:val="24"/>
        </w:rPr>
        <w:t>支付日期顺延。</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2、基金托管人的基金托管费</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本基金的托管费按前一日基金资产净值的</w:t>
      </w:r>
      <w:r>
        <w:rPr>
          <w:rFonts w:ascii="宋体" w:hAnsi="宋体"/>
          <w:color w:val="000000"/>
          <w:kern w:val="0"/>
          <w:sz w:val="24"/>
        </w:rPr>
        <w:t>0.1</w:t>
      </w:r>
      <w:r>
        <w:rPr>
          <w:rFonts w:hint="eastAsia" w:ascii="宋体" w:hAnsi="宋体"/>
          <w:color w:val="000000"/>
          <w:kern w:val="0"/>
          <w:sz w:val="24"/>
        </w:rPr>
        <w:t>%年费率计提。托管费的计算方法如下：</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H=E×</w:t>
      </w:r>
      <w:r>
        <w:rPr>
          <w:rFonts w:ascii="宋体" w:hAnsi="宋体"/>
          <w:color w:val="000000"/>
          <w:kern w:val="0"/>
          <w:sz w:val="24"/>
        </w:rPr>
        <w:t>0.1</w:t>
      </w:r>
      <w:r>
        <w:rPr>
          <w:rFonts w:hint="eastAsia" w:ascii="宋体" w:hAnsi="宋体"/>
          <w:color w:val="000000"/>
          <w:kern w:val="0"/>
          <w:sz w:val="24"/>
        </w:rPr>
        <w:t>%÷当年天数</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H 为每日应计提的基金托管费</w:t>
      </w:r>
    </w:p>
    <w:p>
      <w:pPr>
        <w:spacing w:line="372" w:lineRule="auto"/>
        <w:ind w:firstLine="480" w:firstLineChars="200"/>
        <w:rPr>
          <w:rFonts w:ascii="宋体" w:hAnsi="宋体"/>
          <w:color w:val="000000"/>
          <w:kern w:val="0"/>
          <w:sz w:val="24"/>
        </w:rPr>
      </w:pPr>
      <w:r>
        <w:rPr>
          <w:rFonts w:hint="eastAsia" w:ascii="宋体" w:hAnsi="宋体"/>
          <w:color w:val="000000"/>
          <w:kern w:val="0"/>
          <w:sz w:val="24"/>
        </w:rPr>
        <w:t>E 为前一日的基金资产净值</w:t>
      </w:r>
    </w:p>
    <w:p>
      <w:pPr>
        <w:spacing w:line="360" w:lineRule="auto"/>
        <w:ind w:firstLine="480" w:firstLineChars="200"/>
        <w:rPr>
          <w:bCs/>
          <w:sz w:val="24"/>
        </w:rPr>
      </w:pPr>
      <w:r>
        <w:rPr>
          <w:bCs/>
          <w:sz w:val="24"/>
        </w:rPr>
        <w:t>基金托管费每日</w:t>
      </w:r>
      <w:r>
        <w:rPr>
          <w:rFonts w:hint="eastAsia"/>
          <w:bCs/>
          <w:sz w:val="24"/>
        </w:rPr>
        <w:t>计提</w:t>
      </w:r>
      <w:r>
        <w:rPr>
          <w:bCs/>
          <w:sz w:val="24"/>
        </w:rPr>
        <w:t>，逐日累计至每月月末，按月支付，由基金管理人向基金托管人发送基金托管费划款指令，基金托管人复核后于次月前5个工作日内从基金财产中一次性支取。若遇法定节假日、公休日等</w:t>
      </w:r>
      <w:r>
        <w:rPr>
          <w:rFonts w:hint="eastAsia"/>
          <w:bCs/>
          <w:sz w:val="24"/>
        </w:rPr>
        <w:t>，</w:t>
      </w:r>
      <w:r>
        <w:rPr>
          <w:bCs/>
          <w:sz w:val="24"/>
        </w:rPr>
        <w:t>支付日期顺延。</w:t>
      </w:r>
    </w:p>
    <w:p>
      <w:pPr>
        <w:spacing w:line="360" w:lineRule="auto"/>
        <w:ind w:firstLine="480" w:firstLineChars="200"/>
        <w:rPr>
          <w:bCs/>
          <w:sz w:val="24"/>
        </w:rPr>
      </w:pPr>
      <w:r>
        <w:rPr>
          <w:rFonts w:hint="eastAsia"/>
          <w:bCs/>
          <w:sz w:val="24"/>
        </w:rPr>
        <w:t>3、基金销售服务费</w:t>
      </w:r>
    </w:p>
    <w:p>
      <w:pPr>
        <w:spacing w:line="360" w:lineRule="auto"/>
        <w:ind w:firstLine="480" w:firstLineChars="200"/>
        <w:rPr>
          <w:bCs/>
          <w:sz w:val="24"/>
        </w:rPr>
      </w:pPr>
      <w:r>
        <w:rPr>
          <w:rFonts w:hint="eastAsia"/>
          <w:bCs/>
          <w:sz w:val="24"/>
        </w:rPr>
        <w:t>本基金 A 类基金份额的年销售服务费率为 0.25%；B 类基金份额的年销售服务费率为 0.01%。销售服务费计提的计算公式具体如下：</w:t>
      </w:r>
    </w:p>
    <w:p>
      <w:pPr>
        <w:spacing w:line="360" w:lineRule="auto"/>
        <w:ind w:firstLine="480" w:firstLineChars="200"/>
        <w:rPr>
          <w:bCs/>
          <w:sz w:val="24"/>
        </w:rPr>
      </w:pPr>
      <w:r>
        <w:rPr>
          <w:rFonts w:hint="eastAsia"/>
          <w:bCs/>
          <w:sz w:val="24"/>
        </w:rPr>
        <w:t>H＝E×该类</w:t>
      </w:r>
      <w:r>
        <w:rPr>
          <w:bCs/>
          <w:sz w:val="24"/>
        </w:rPr>
        <w:t>基金份额的</w:t>
      </w:r>
      <w:r>
        <w:rPr>
          <w:rFonts w:hint="eastAsia"/>
          <w:bCs/>
          <w:sz w:val="24"/>
        </w:rPr>
        <w:t>年销售服务费率÷当年天数</w:t>
      </w:r>
    </w:p>
    <w:p>
      <w:pPr>
        <w:spacing w:line="360" w:lineRule="auto"/>
        <w:ind w:firstLine="480" w:firstLineChars="200"/>
        <w:rPr>
          <w:bCs/>
          <w:sz w:val="24"/>
        </w:rPr>
      </w:pPr>
      <w:r>
        <w:rPr>
          <w:rFonts w:hint="eastAsia"/>
          <w:bCs/>
          <w:sz w:val="24"/>
        </w:rPr>
        <w:t>H 为每日该类基金份额应计提的基金销售服务费</w:t>
      </w:r>
    </w:p>
    <w:p>
      <w:pPr>
        <w:spacing w:line="360" w:lineRule="auto"/>
        <w:ind w:firstLine="480" w:firstLineChars="200"/>
        <w:rPr>
          <w:bCs/>
          <w:sz w:val="24"/>
        </w:rPr>
      </w:pPr>
      <w:r>
        <w:rPr>
          <w:rFonts w:hint="eastAsia"/>
          <w:bCs/>
          <w:sz w:val="24"/>
        </w:rPr>
        <w:t>E 为前一日该类基金份额的基金资产净值</w:t>
      </w:r>
    </w:p>
    <w:p>
      <w:pPr>
        <w:spacing w:line="360" w:lineRule="auto"/>
        <w:ind w:firstLine="480" w:firstLineChars="200"/>
        <w:rPr>
          <w:bCs/>
          <w:sz w:val="24"/>
        </w:rPr>
      </w:pPr>
      <w:r>
        <w:rPr>
          <w:rFonts w:hint="eastAsia"/>
          <w:bCs/>
          <w:sz w:val="24"/>
        </w:rPr>
        <w:t>基金销售服务费每日计提，逐日累计至每月月末，按月支付。由基金管理人向基金托管人发送基金销售服务费划款指令，基金托管人复核后于次月前5 个工作日内从基金财产中一次性支付给注册登记机构，由注册登记机构代付给销售机构。若遇法定节假日、休息日或不可抗力致使无法按时支付的，支付日期顺延至最近可支付日支付。</w:t>
      </w:r>
    </w:p>
    <w:p>
      <w:pPr>
        <w:spacing w:line="360" w:lineRule="auto"/>
        <w:ind w:firstLine="424" w:firstLineChars="177"/>
        <w:rPr>
          <w:rFonts w:ascii="宋体" w:hAnsi="宋体"/>
          <w:color w:val="000000"/>
          <w:kern w:val="0"/>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中第4－10项费用”，根据有关法规及相应协议规定，按费用实际支出金额列入当期费用，由基金托管人从基金财产中支付。</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（三）不列入基金费用的项目</w:t>
      </w:r>
    </w:p>
    <w:p>
      <w:pPr>
        <w:spacing w:line="360" w:lineRule="auto"/>
        <w:ind w:firstLine="424" w:firstLineChars="177"/>
        <w:rPr>
          <w:rFonts w:ascii="宋体" w:hAnsi="宋体"/>
          <w:bCs/>
          <w:sz w:val="24"/>
        </w:rPr>
      </w:pPr>
      <w:r>
        <w:rPr>
          <w:rFonts w:ascii="宋体" w:hAnsi="宋体"/>
          <w:color w:val="000000"/>
          <w:kern w:val="0"/>
          <w:sz w:val="24"/>
        </w:rPr>
        <w:t>下列费用不</w:t>
      </w:r>
      <w:r>
        <w:rPr>
          <w:rFonts w:ascii="宋体" w:hAnsi="宋体"/>
          <w:bCs/>
          <w:sz w:val="24"/>
        </w:rPr>
        <w:t>列入基金费用：</w:t>
      </w:r>
    </w:p>
    <w:p>
      <w:pPr>
        <w:spacing w:line="360" w:lineRule="auto"/>
        <w:ind w:firstLine="480" w:firstLineChars="200"/>
        <w:rPr>
          <w:bCs/>
          <w:sz w:val="24"/>
        </w:rPr>
      </w:pPr>
      <w:r>
        <w:rPr>
          <w:bCs/>
          <w:sz w:val="24"/>
        </w:rPr>
        <w:t>1、基金管理人和基金托管人因未履行或未完全履行义务导致的费用支出或基金财产的损失；</w:t>
      </w:r>
    </w:p>
    <w:p>
      <w:pPr>
        <w:spacing w:line="360" w:lineRule="auto"/>
        <w:ind w:firstLine="480" w:firstLineChars="200"/>
        <w:rPr>
          <w:bCs/>
          <w:sz w:val="24"/>
        </w:rPr>
      </w:pPr>
      <w:r>
        <w:rPr>
          <w:bCs/>
          <w:sz w:val="24"/>
        </w:rPr>
        <w:t>2、基金管理人和基金托管人处理与基金运作无关的事项发生的费用；</w:t>
      </w:r>
    </w:p>
    <w:p>
      <w:pPr>
        <w:spacing w:line="360" w:lineRule="auto"/>
        <w:ind w:firstLine="480" w:firstLineChars="200"/>
        <w:rPr>
          <w:bCs/>
          <w:sz w:val="24"/>
        </w:rPr>
      </w:pPr>
      <w:r>
        <w:rPr>
          <w:bCs/>
          <w:sz w:val="24"/>
        </w:rPr>
        <w:t>3、《基金合同》生效前的相关费用；</w:t>
      </w:r>
    </w:p>
    <w:p>
      <w:pPr>
        <w:spacing w:line="360" w:lineRule="auto"/>
        <w:ind w:firstLine="480" w:firstLineChars="200"/>
        <w:rPr>
          <w:rFonts w:ascii="宋体" w:hAnsi="宋体"/>
          <w:bCs/>
          <w:sz w:val="24"/>
        </w:rPr>
      </w:pPr>
      <w:r>
        <w:rPr>
          <w:bCs/>
          <w:sz w:val="24"/>
        </w:rPr>
        <w:t>4、其他根据相关法律法规及中国证监会的有关规定不得列入基金费用的项目。</w:t>
      </w:r>
    </w:p>
    <w:p>
      <w:pPr>
        <w:spacing w:line="372" w:lineRule="auto"/>
        <w:ind w:firstLine="480" w:firstLineChars="200"/>
        <w:rPr>
          <w:rFonts w:ascii="宋体" w:hAnsi="宋体"/>
          <w:color w:val="000000"/>
          <w:kern w:val="0"/>
          <w:sz w:val="24"/>
        </w:rPr>
      </w:pPr>
      <w:r>
        <w:rPr>
          <w:rFonts w:hint="eastAsia" w:ascii="宋体" w:hAnsi="宋体"/>
          <w:color w:val="000000"/>
          <w:kern w:val="0"/>
          <w:sz w:val="24"/>
        </w:rPr>
        <w:t>（四）基金税收</w:t>
      </w:r>
    </w:p>
    <w:p>
      <w:pPr>
        <w:spacing w:line="372" w:lineRule="auto"/>
        <w:ind w:firstLine="480" w:firstLineChars="200"/>
        <w:rPr>
          <w:rFonts w:ascii="宋体" w:hAnsi="宋体"/>
          <w:color w:val="000000"/>
          <w:kern w:val="0"/>
          <w:sz w:val="24"/>
        </w:rPr>
      </w:pPr>
      <w:r>
        <w:rPr>
          <w:rFonts w:hint="eastAsia" w:ascii="宋体" w:hAnsi="宋体"/>
          <w:color w:val="000000"/>
          <w:kern w:val="0"/>
          <w:sz w:val="24"/>
        </w:rPr>
        <w:t>本基金运作过程中涉及的各纳税主体，其纳税义务按国家税收法律、法规执行。</w:t>
      </w:r>
    </w:p>
    <w:p>
      <w:pPr>
        <w:pStyle w:val="2"/>
        <w:spacing w:before="120" w:beforeLines="50" w:after="120" w:afterLines="50"/>
        <w:ind w:firstLine="241" w:firstLineChars="100"/>
        <w:jc w:val="center"/>
        <w:rPr>
          <w:rFonts w:ascii="宋体" w:hAnsi="宋体"/>
          <w:color w:val="000000"/>
          <w:sz w:val="24"/>
        </w:rPr>
      </w:pPr>
      <w:r>
        <w:rPr>
          <w:rFonts w:hint="default" w:ascii="宋体" w:hAnsi="宋体"/>
          <w:color w:val="000000"/>
          <w:kern w:val="0"/>
          <w:sz w:val="24"/>
          <w:szCs w:val="24"/>
          <w:lang w:eastAsia="zh-CN"/>
        </w:rPr>
        <w:t>八、对招募说明书更新部分的说明</w:t>
      </w:r>
    </w:p>
    <w:p>
      <w:pPr>
        <w:spacing w:beforeLines="0" w:afterLines="0" w:line="360" w:lineRule="auto"/>
        <w:ind w:firstLine="480" w:firstLineChars="200"/>
        <w:rPr>
          <w:rFonts w:hint="eastAsia" w:ascii="宋体" w:hAnsi="宋体"/>
          <w:color w:val="000000"/>
          <w:sz w:val="24"/>
        </w:rPr>
      </w:pPr>
      <w:r>
        <w:rPr>
          <w:rFonts w:hint="eastAsia" w:ascii="宋体" w:hAnsi="宋体"/>
          <w:color w:val="000000"/>
          <w:sz w:val="24"/>
        </w:rPr>
        <w:t>本招募说明书依据《中华人民共和国证券投资基金法》、《</w:t>
      </w:r>
      <w:r>
        <w:rPr>
          <w:rFonts w:ascii="宋体" w:hAnsi="宋体"/>
          <w:color w:val="000000"/>
          <w:sz w:val="24"/>
        </w:rPr>
        <w:t>公开募集证券投资基金运作管理办法</w:t>
      </w:r>
      <w:r>
        <w:rPr>
          <w:rFonts w:hint="eastAsia" w:ascii="宋体" w:hAnsi="宋体"/>
          <w:color w:val="000000"/>
          <w:sz w:val="24"/>
        </w:rPr>
        <w:t>》、《证券投资基金销售管理办法》、《证券投资基金信息披露管理办法》及其它有关法律法规的要求，</w:t>
      </w:r>
      <w:r>
        <w:rPr>
          <w:rFonts w:hint="eastAsia" w:ascii="宋体" w:hAnsi="宋体"/>
          <w:color w:val="000000"/>
          <w:sz w:val="24"/>
          <w:lang w:eastAsia="zh-CN"/>
        </w:rPr>
        <w:t>结合本基金管理人对本基金实施的投资管理活动，</w:t>
      </w:r>
      <w:r>
        <w:rPr>
          <w:rFonts w:hint="eastAsia" w:ascii="宋体" w:hAnsi="宋体"/>
          <w:color w:val="000000"/>
          <w:sz w:val="24"/>
        </w:rPr>
        <w:t>对本基金管理人</w:t>
      </w:r>
      <w:r>
        <w:rPr>
          <w:rFonts w:hint="eastAsia" w:ascii="宋体" w:hAnsi="宋体"/>
          <w:color w:val="000000"/>
          <w:sz w:val="24"/>
          <w:lang w:eastAsia="zh-CN"/>
        </w:rPr>
        <w:t>原公告的</w:t>
      </w:r>
      <w:r>
        <w:rPr>
          <w:rFonts w:hint="eastAsia" w:ascii="宋体" w:hAnsi="宋体"/>
          <w:color w:val="000000"/>
          <w:sz w:val="24"/>
        </w:rPr>
        <w:t>本基金原招募说明</w:t>
      </w:r>
      <w:r>
        <w:rPr>
          <w:rFonts w:hint="eastAsia" w:ascii="宋体" w:hAnsi="宋体"/>
          <w:color w:val="000000"/>
          <w:sz w:val="24"/>
          <w:lang w:eastAsia="zh-CN"/>
        </w:rPr>
        <w:t>书</w:t>
      </w:r>
      <w:r>
        <w:rPr>
          <w:rFonts w:hint="eastAsia" w:ascii="宋体" w:hAnsi="宋体"/>
          <w:color w:val="000000"/>
          <w:sz w:val="24"/>
        </w:rPr>
        <w:t>进行了更新，主要更新的内容如下：</w:t>
      </w:r>
    </w:p>
    <w:p>
      <w:pPr>
        <w:spacing w:beforeLines="0" w:afterLines="0" w:line="360" w:lineRule="auto"/>
        <w:ind w:firstLine="480" w:firstLineChars="200"/>
        <w:rPr>
          <w:rFonts w:ascii="宋体" w:hAnsi="宋体"/>
          <w:color w:val="000000"/>
          <w:sz w:val="24"/>
        </w:rPr>
      </w:pPr>
      <w:r>
        <w:rPr>
          <w:rFonts w:hint="eastAsia" w:ascii="宋体" w:hAnsi="宋体"/>
          <w:color w:val="000000"/>
          <w:sz w:val="24"/>
        </w:rPr>
        <w:t>1、</w:t>
      </w:r>
      <w:r>
        <w:rPr>
          <w:rFonts w:hint="eastAsia" w:ascii="宋体" w:hAnsi="宋体"/>
          <w:color w:val="000000"/>
          <w:sz w:val="24"/>
          <w:lang w:eastAsia="zh-CN"/>
        </w:rPr>
        <w:t>对</w:t>
      </w:r>
      <w:r>
        <w:rPr>
          <w:rFonts w:hint="eastAsia" w:ascii="宋体" w:hAnsi="宋体"/>
          <w:color w:val="000000"/>
          <w:sz w:val="24"/>
        </w:rPr>
        <w:t>“三、基金管理人”</w:t>
      </w:r>
      <w:r>
        <w:rPr>
          <w:rFonts w:hint="eastAsia" w:ascii="宋体" w:hAnsi="宋体"/>
          <w:color w:val="000000"/>
          <w:sz w:val="24"/>
          <w:lang w:eastAsia="zh-CN"/>
        </w:rPr>
        <w:t>部分内容</w:t>
      </w:r>
      <w:r>
        <w:rPr>
          <w:rFonts w:hint="eastAsia" w:ascii="宋体" w:hAnsi="宋体"/>
          <w:color w:val="000000"/>
          <w:sz w:val="24"/>
        </w:rPr>
        <w:t>进行了更新；</w:t>
      </w:r>
    </w:p>
    <w:p>
      <w:pPr>
        <w:spacing w:beforeLines="0" w:afterLines="0" w:line="360" w:lineRule="auto"/>
        <w:ind w:firstLine="480" w:firstLineChars="200"/>
        <w:rPr>
          <w:rFonts w:hint="eastAsia" w:ascii="宋体" w:hAnsi="宋体"/>
          <w:color w:val="000000"/>
          <w:sz w:val="24"/>
        </w:rPr>
      </w:pPr>
      <w:r>
        <w:rPr>
          <w:rFonts w:hint="eastAsia" w:ascii="宋体" w:hAnsi="宋体"/>
          <w:color w:val="000000"/>
          <w:sz w:val="24"/>
        </w:rPr>
        <w:t>2、</w:t>
      </w:r>
      <w:r>
        <w:rPr>
          <w:rFonts w:hint="eastAsia" w:ascii="宋体" w:hAnsi="宋体"/>
          <w:color w:val="000000"/>
          <w:sz w:val="24"/>
          <w:lang w:eastAsia="zh-CN"/>
        </w:rPr>
        <w:t>对</w:t>
      </w:r>
      <w:r>
        <w:rPr>
          <w:rFonts w:hint="eastAsia" w:ascii="宋体" w:hAnsi="宋体"/>
          <w:color w:val="000000"/>
          <w:sz w:val="24"/>
        </w:rPr>
        <w:t>“四、基金托管人”</w:t>
      </w:r>
      <w:r>
        <w:rPr>
          <w:rFonts w:hint="eastAsia" w:ascii="宋体" w:hAnsi="宋体"/>
          <w:color w:val="000000"/>
          <w:sz w:val="24"/>
          <w:lang w:eastAsia="zh-CN"/>
        </w:rPr>
        <w:t>部分内容</w:t>
      </w:r>
      <w:r>
        <w:rPr>
          <w:rFonts w:hint="eastAsia" w:ascii="宋体" w:hAnsi="宋体"/>
          <w:color w:val="000000"/>
          <w:sz w:val="24"/>
        </w:rPr>
        <w:t>进行了更新；</w:t>
      </w:r>
    </w:p>
    <w:p>
      <w:pPr>
        <w:spacing w:beforeLines="0" w:afterLines="0" w:line="360" w:lineRule="auto"/>
        <w:ind w:firstLine="480" w:firstLineChars="200"/>
        <w:rPr>
          <w:rFonts w:hint="eastAsia" w:ascii="宋体" w:hAnsi="宋体"/>
          <w:color w:val="000000"/>
          <w:sz w:val="24"/>
        </w:rPr>
      </w:pPr>
      <w:r>
        <w:rPr>
          <w:rFonts w:hint="eastAsia" w:ascii="宋体" w:hAnsi="宋体"/>
          <w:color w:val="000000"/>
          <w:sz w:val="24"/>
        </w:rPr>
        <w:t>3、</w:t>
      </w:r>
      <w:r>
        <w:rPr>
          <w:rFonts w:hint="eastAsia" w:ascii="宋体" w:hAnsi="宋体"/>
          <w:color w:val="000000"/>
          <w:sz w:val="24"/>
          <w:lang w:eastAsia="zh-CN"/>
        </w:rPr>
        <w:t>对</w:t>
      </w:r>
      <w:r>
        <w:rPr>
          <w:rFonts w:hint="eastAsia" w:ascii="宋体" w:hAnsi="宋体"/>
          <w:color w:val="000000"/>
          <w:sz w:val="24"/>
        </w:rPr>
        <w:t>“五、相关服务机构”</w:t>
      </w:r>
      <w:r>
        <w:rPr>
          <w:rFonts w:hint="eastAsia" w:ascii="宋体" w:hAnsi="宋体"/>
          <w:color w:val="000000"/>
          <w:sz w:val="24"/>
          <w:lang w:eastAsia="zh-CN"/>
        </w:rPr>
        <w:t>部分内容</w:t>
      </w:r>
      <w:r>
        <w:rPr>
          <w:rFonts w:hint="eastAsia" w:ascii="宋体" w:hAnsi="宋体"/>
          <w:color w:val="000000"/>
          <w:sz w:val="24"/>
        </w:rPr>
        <w:t>进行了更新；</w:t>
      </w:r>
    </w:p>
    <w:p>
      <w:pPr>
        <w:spacing w:beforeLines="0" w:afterLines="0" w:line="360" w:lineRule="auto"/>
        <w:ind w:firstLine="480" w:firstLineChars="200"/>
        <w:rPr>
          <w:rFonts w:hint="eastAsia" w:ascii="宋体" w:hAnsi="宋体"/>
          <w:color w:val="000000"/>
          <w:sz w:val="24"/>
        </w:rPr>
      </w:pPr>
      <w:r>
        <w:rPr>
          <w:rFonts w:hint="eastAsia" w:ascii="宋体" w:hAnsi="宋体"/>
          <w:color w:val="000000"/>
          <w:sz w:val="24"/>
        </w:rPr>
        <w:t>4、</w:t>
      </w:r>
      <w:r>
        <w:rPr>
          <w:rFonts w:hint="eastAsia" w:ascii="宋体" w:hAnsi="宋体"/>
          <w:color w:val="000000"/>
          <w:sz w:val="24"/>
          <w:lang w:eastAsia="zh-CN"/>
        </w:rPr>
        <w:t>对</w:t>
      </w:r>
      <w:r>
        <w:rPr>
          <w:rFonts w:hint="eastAsia" w:ascii="宋体" w:hAnsi="宋体"/>
          <w:color w:val="000000"/>
          <w:sz w:val="24"/>
        </w:rPr>
        <w:t>“九、基金的投资”</w:t>
      </w:r>
      <w:r>
        <w:rPr>
          <w:rFonts w:hint="eastAsia" w:ascii="宋体" w:hAnsi="宋体"/>
          <w:color w:val="000000"/>
          <w:sz w:val="24"/>
          <w:lang w:eastAsia="zh-CN"/>
        </w:rPr>
        <w:t>部分内容</w:t>
      </w:r>
      <w:r>
        <w:rPr>
          <w:rFonts w:hint="eastAsia" w:ascii="宋体" w:hAnsi="宋体"/>
          <w:color w:val="000000"/>
          <w:sz w:val="24"/>
        </w:rPr>
        <w:t>进行了更新；</w:t>
      </w:r>
    </w:p>
    <w:p>
      <w:pPr>
        <w:spacing w:beforeLines="0" w:afterLines="0" w:line="360" w:lineRule="auto"/>
        <w:ind w:firstLine="480" w:firstLineChars="200"/>
        <w:rPr>
          <w:rFonts w:ascii="宋体" w:hAnsi="宋体"/>
          <w:color w:val="000000"/>
          <w:sz w:val="24"/>
        </w:rPr>
      </w:pPr>
      <w:r>
        <w:rPr>
          <w:rFonts w:hint="eastAsia" w:ascii="宋体" w:hAnsi="宋体"/>
          <w:color w:val="000000"/>
          <w:sz w:val="24"/>
          <w:lang w:val="en-US" w:eastAsia="zh-CN"/>
        </w:rPr>
        <w:t>5</w:t>
      </w:r>
      <w:r>
        <w:rPr>
          <w:rFonts w:hint="eastAsia" w:ascii="宋体" w:hAnsi="宋体"/>
          <w:color w:val="000000"/>
          <w:sz w:val="24"/>
        </w:rPr>
        <w:t>、</w:t>
      </w:r>
      <w:r>
        <w:rPr>
          <w:rFonts w:hint="eastAsia" w:ascii="宋体" w:hAnsi="宋体"/>
          <w:color w:val="000000"/>
          <w:sz w:val="24"/>
          <w:lang w:eastAsia="zh-CN"/>
        </w:rPr>
        <w:t>对</w:t>
      </w:r>
      <w:r>
        <w:rPr>
          <w:rFonts w:hint="eastAsia" w:ascii="宋体" w:hAnsi="宋体"/>
          <w:color w:val="000000"/>
          <w:sz w:val="24"/>
        </w:rPr>
        <w:t>“二十</w:t>
      </w:r>
      <w:r>
        <w:rPr>
          <w:rFonts w:hint="eastAsia" w:ascii="宋体" w:hAnsi="宋体"/>
          <w:color w:val="000000"/>
          <w:sz w:val="24"/>
          <w:lang w:eastAsia="zh-CN"/>
        </w:rPr>
        <w:t>一</w:t>
      </w:r>
      <w:r>
        <w:rPr>
          <w:rFonts w:hint="eastAsia" w:ascii="宋体" w:hAnsi="宋体"/>
          <w:color w:val="000000"/>
          <w:sz w:val="24"/>
        </w:rPr>
        <w:t>、其它应披露事项”</w:t>
      </w:r>
      <w:r>
        <w:rPr>
          <w:rFonts w:hint="eastAsia" w:ascii="宋体" w:hAnsi="宋体"/>
          <w:color w:val="000000"/>
          <w:sz w:val="24"/>
          <w:lang w:eastAsia="zh-CN"/>
        </w:rPr>
        <w:t>部分内容</w:t>
      </w:r>
      <w:r>
        <w:rPr>
          <w:rFonts w:hint="eastAsia" w:ascii="宋体" w:hAnsi="宋体"/>
          <w:color w:val="000000"/>
          <w:sz w:val="24"/>
        </w:rPr>
        <w:t>进行了更新</w:t>
      </w:r>
      <w:r>
        <w:rPr>
          <w:rFonts w:hint="eastAsia" w:ascii="宋体" w:hAnsi="宋体"/>
          <w:color w:val="000000"/>
          <w:sz w:val="24"/>
          <w:lang w:eastAsia="zh-CN"/>
        </w:rPr>
        <w:t>。</w:t>
      </w:r>
    </w:p>
    <w:p>
      <w:pPr>
        <w:spacing w:line="360" w:lineRule="auto"/>
        <w:rPr>
          <w:rFonts w:ascii="宋体" w:hAnsi="宋体"/>
          <w:color w:val="000000"/>
          <w:sz w:val="24"/>
        </w:rPr>
      </w:pPr>
    </w:p>
    <w:p>
      <w:pPr>
        <w:spacing w:line="360" w:lineRule="auto"/>
        <w:ind w:firstLine="480" w:firstLineChars="200"/>
        <w:jc w:val="right"/>
        <w:rPr>
          <w:rFonts w:ascii="宋体" w:hAnsi="宋体"/>
          <w:color w:val="000000"/>
          <w:kern w:val="0"/>
          <w:sz w:val="24"/>
        </w:rPr>
      </w:pPr>
      <w:r>
        <w:rPr>
          <w:rFonts w:hint="eastAsia" w:ascii="宋体" w:hAnsi="宋体"/>
          <w:color w:val="000000"/>
          <w:kern w:val="0"/>
          <w:sz w:val="24"/>
        </w:rPr>
        <w:t>富荣基金管理有限公司</w:t>
      </w:r>
    </w:p>
    <w:p>
      <w:pPr>
        <w:wordWrap w:val="0"/>
        <w:spacing w:line="360" w:lineRule="auto"/>
        <w:jc w:val="right"/>
        <w:rPr>
          <w:rFonts w:ascii="宋体" w:hAnsi="宋体"/>
          <w:color w:val="000000"/>
          <w:sz w:val="24"/>
        </w:rPr>
      </w:pPr>
      <w:r>
        <w:rPr>
          <w:rFonts w:hint="eastAsia" w:ascii="宋体" w:hAnsi="宋体"/>
          <w:color w:val="000000"/>
          <w:kern w:val="0"/>
          <w:sz w:val="24"/>
        </w:rPr>
        <w:t>二〇一七年</w:t>
      </w:r>
      <w:r>
        <w:rPr>
          <w:rFonts w:hint="eastAsia" w:ascii="宋体" w:hAnsi="宋体"/>
          <w:color w:val="000000"/>
          <w:kern w:val="0"/>
          <w:sz w:val="24"/>
          <w:lang w:eastAsia="zh-CN"/>
        </w:rPr>
        <w:t>七月</w:t>
      </w:r>
      <w:r>
        <w:rPr>
          <w:rFonts w:hint="eastAsia" w:ascii="宋体" w:hAnsi="宋体"/>
          <w:color w:val="000000"/>
          <w:kern w:val="0"/>
          <w:sz w:val="24"/>
          <w:lang w:val="en-US" w:eastAsia="zh-CN"/>
        </w:rPr>
        <w:t xml:space="preserve">  </w:t>
      </w:r>
    </w:p>
    <w:p>
      <w:pPr>
        <w:spacing w:line="360" w:lineRule="auto"/>
        <w:jc w:val="right"/>
        <w:rPr>
          <w:rFonts w:ascii="宋体" w:hAnsi="宋体"/>
          <w:color w:val="000000"/>
          <w:sz w:val="24"/>
        </w:rPr>
      </w:pPr>
    </w:p>
    <w:sectPr>
      <w:headerReference r:id="rId3" w:type="default"/>
      <w:footerReference r:id="rId4" w:type="default"/>
      <w:pgSz w:w="12240" w:h="15840"/>
      <w:pgMar w:top="1440" w:right="1800" w:bottom="1440" w:left="1800" w:header="720" w:footer="720" w:gutter="0"/>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Bold">
    <w:altName w:val="Arial"/>
    <w:panose1 w:val="020B0704020202020204"/>
    <w:charset w:val="00"/>
    <w:family w:val="roman"/>
    <w:pitch w:val="default"/>
    <w:sig w:usb0="00000000" w:usb1="00000000" w:usb2="00000000"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swiss"/>
    <w:pitch w:val="default"/>
    <w:sig w:usb0="80000287" w:usb1="280F3C52" w:usb2="00000016" w:usb3="00000000" w:csb0="0004001F" w:csb1="00000000"/>
  </w:font>
  <w:font w:name="华文细黑">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_GB2312">
    <w:altName w:val="宋体"/>
    <w:panose1 w:val="02010609030101010101"/>
    <w:charset w:val="86"/>
    <w:family w:val="modern"/>
    <w:pitch w:val="default"/>
    <w:sig w:usb0="00000000" w:usb1="00000000" w:usb2="00000010" w:usb3="00000000" w:csb0="00040000" w:csb1="00000000"/>
  </w:font>
  <w:font w:name="隶书">
    <w:panose1 w:val="02010509060101010101"/>
    <w:charset w:val="86"/>
    <w:family w:val="modern"/>
    <w:pitch w:val="default"/>
    <w:sig w:usb0="00000001" w:usb1="080E0000" w:usb2="00000000" w:usb3="00000000" w:csb0="00040000" w:csb1="00000000"/>
  </w:font>
  <w:font w:name="Webdings">
    <w:panose1 w:val="05030102010509060703"/>
    <w:charset w:val="02"/>
    <w:family w:val="roman"/>
    <w:pitch w:val="default"/>
    <w:sig w:usb0="00000000" w:usb1="00000000" w:usb2="00000000" w:usb3="00000000" w:csb0="80000000" w:csb1="00000000"/>
  </w:font>
  <w:font w:name="Verdana">
    <w:panose1 w:val="020B0604030504040204"/>
    <w:charset w:val="00"/>
    <w:family w:val="swiss"/>
    <w:pitch w:val="default"/>
    <w:sig w:usb0="A10006FF" w:usb1="4000205B" w:usb2="00000010" w:usb3="00000000" w:csb0="2000019F" w:csb1="00000000"/>
  </w:font>
  <w:font w:name="ˎ̥">
    <w:altName w:val="Times New Roman"/>
    <w:panose1 w:val="00000000000000000000"/>
    <w:charset w:val="00"/>
    <w:family w:val="auto"/>
    <w:pitch w:val="default"/>
    <w:sig w:usb0="00000000"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w:fldChar w:fldCharType="begin"/>
    </w:r>
    <w:r>
      <w:instrText xml:space="preserve">PAGE   \* MERGEFORMAT</w:instrText>
    </w:r>
    <w:r>
      <w:fldChar w:fldCharType="separate"/>
    </w:r>
    <w:r>
      <w:rPr>
        <w:lang w:val="zh-CN"/>
      </w:rPr>
      <w:t>1</w:t>
    </w:r>
    <w:r>
      <w:rPr>
        <w:lang w:val="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left"/>
    </w:pPr>
    <w:r>
      <w:rPr>
        <w:rFonts w:hint="eastAsia"/>
      </w:rPr>
      <w:t>富荣货币市场基金</w:t>
    </w:r>
    <w:r>
      <w:rPr>
        <w:rFonts w:hint="eastAsia"/>
        <w:lang w:eastAsia="zh-CN"/>
      </w:rPr>
      <w:t>更新的</w:t>
    </w:r>
    <w:r>
      <w:rPr>
        <w:rFonts w:hint="eastAsia"/>
      </w:rPr>
      <w:t>招募说明书</w:t>
    </w:r>
    <w:r>
      <w:rPr>
        <w:rFonts w:hint="eastAsia"/>
        <w:lang w:eastAsia="zh-CN"/>
      </w:rPr>
      <w:t>摘要</w:t>
    </w:r>
    <w:r>
      <w:rPr>
        <w:rFonts w:hint="eastAsia"/>
      </w:rPr>
      <w:t>（</w:t>
    </w:r>
    <w:r>
      <w:rPr>
        <w:rFonts w:hint="eastAsia"/>
        <w:lang w:val="en-US" w:eastAsia="zh-CN"/>
      </w:rPr>
      <w:t>2017年第1号</w:t>
    </w:r>
    <w:r>
      <w:rPr>
        <w:rFonts w:hint="eastAsia"/>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4399BF"/>
    <w:multiLevelType w:val="singleLevel"/>
    <w:tmpl w:val="594399BF"/>
    <w:lvl w:ilvl="0" w:tentative="0">
      <w:start w:val="4"/>
      <w:numFmt w:val="chineseCounting"/>
      <w:suff w:val="nothing"/>
      <w:lvlText w:val="%1、"/>
      <w:lvlJc w:val="left"/>
    </w:lvl>
  </w:abstractNum>
  <w:abstractNum w:abstractNumId="1">
    <w:nsid w:val="6B1D1232"/>
    <w:multiLevelType w:val="multilevel"/>
    <w:tmpl w:val="6B1D1232"/>
    <w:lvl w:ilvl="0" w:tentative="0">
      <w:start w:val="1"/>
      <w:numFmt w:val="decimal"/>
      <w:pStyle w:val="47"/>
      <w:lvlText w:val="%1"/>
      <w:lvlJc w:val="left"/>
      <w:pPr>
        <w:tabs>
          <w:tab w:val="left" w:pos="680"/>
        </w:tabs>
        <w:ind w:left="680" w:hanging="680"/>
      </w:pPr>
      <w:rPr>
        <w:rFonts w:hint="default" w:ascii="Arial Bold" w:hAnsi="Arial Bold" w:eastAsia="宋体"/>
        <w:b/>
        <w:i w:val="0"/>
        <w:sz w:val="24"/>
      </w:rPr>
    </w:lvl>
    <w:lvl w:ilvl="1" w:tentative="0">
      <w:start w:val="1"/>
      <w:numFmt w:val="decimal"/>
      <w:pStyle w:val="57"/>
      <w:lvlText w:val="%1.%2"/>
      <w:lvlJc w:val="left"/>
      <w:pPr>
        <w:tabs>
          <w:tab w:val="left" w:pos="680"/>
        </w:tabs>
        <w:ind w:left="680" w:hanging="680"/>
      </w:pPr>
      <w:rPr>
        <w:rFonts w:hint="eastAsia" w:ascii="宋体" w:eastAsia="宋体"/>
        <w:b/>
        <w:i w:val="0"/>
        <w:sz w:val="21"/>
      </w:rPr>
    </w:lvl>
    <w:lvl w:ilvl="2" w:tentative="0">
      <w:start w:val="1"/>
      <w:numFmt w:val="decimal"/>
      <w:pStyle w:val="43"/>
      <w:lvlText w:val="%1.%2.%3"/>
      <w:lvlJc w:val="left"/>
      <w:pPr>
        <w:tabs>
          <w:tab w:val="left" w:pos="1361"/>
        </w:tabs>
        <w:ind w:left="1361" w:hanging="681"/>
      </w:pPr>
      <w:rPr>
        <w:rFonts w:hint="default"/>
        <w:b/>
        <w:i w:val="0"/>
        <w:sz w:val="17"/>
      </w:rPr>
    </w:lvl>
    <w:lvl w:ilvl="3" w:tentative="0">
      <w:start w:val="1"/>
      <w:numFmt w:val="decimal"/>
      <w:lvlText w:val="(%4)"/>
      <w:lvlJc w:val="left"/>
      <w:pPr>
        <w:tabs>
          <w:tab w:val="left" w:pos="681"/>
        </w:tabs>
        <w:ind w:left="681" w:hanging="681"/>
      </w:pPr>
      <w:rPr>
        <w:rFonts w:hint="default" w:ascii="Arial" w:hAnsi="Arial"/>
        <w:b w:val="0"/>
        <w:i w:val="0"/>
        <w:sz w:val="20"/>
      </w:rPr>
    </w:lvl>
    <w:lvl w:ilvl="4" w:tentative="0">
      <w:start w:val="1"/>
      <w:numFmt w:val="lowerLetter"/>
      <w:pStyle w:val="46"/>
      <w:lvlText w:val="(%5)"/>
      <w:lvlJc w:val="left"/>
      <w:pPr>
        <w:tabs>
          <w:tab w:val="left" w:pos="2608"/>
        </w:tabs>
        <w:ind w:left="2608" w:hanging="567"/>
      </w:pPr>
      <w:rPr>
        <w:rFonts w:hint="default"/>
      </w:rPr>
    </w:lvl>
    <w:lvl w:ilvl="5" w:tentative="0">
      <w:start w:val="1"/>
      <w:numFmt w:val="upperRoman"/>
      <w:pStyle w:val="55"/>
      <w:lvlText w:val="(%6)"/>
      <w:lvlJc w:val="left"/>
      <w:pPr>
        <w:tabs>
          <w:tab w:val="left" w:pos="3288"/>
        </w:tabs>
        <w:ind w:left="3288" w:hanging="680"/>
      </w:pPr>
      <w:rPr>
        <w:rFonts w:hint="default"/>
      </w:rPr>
    </w:lvl>
    <w:lvl w:ilvl="6" w:tentative="0">
      <w:start w:val="1"/>
      <w:numFmt w:val="none"/>
      <w:pStyle w:val="54"/>
      <w:lvlText w:val=""/>
      <w:lvlJc w:val="left"/>
      <w:pPr>
        <w:tabs>
          <w:tab w:val="left" w:pos="3288"/>
        </w:tabs>
        <w:ind w:left="3288" w:hanging="680"/>
      </w:pPr>
      <w:rPr>
        <w:rFonts w:hint="default"/>
      </w:rPr>
    </w:lvl>
    <w:lvl w:ilvl="7" w:tentative="0">
      <w:start w:val="1"/>
      <w:numFmt w:val="none"/>
      <w:pStyle w:val="63"/>
      <w:lvlText w:val=""/>
      <w:lvlJc w:val="left"/>
      <w:pPr>
        <w:tabs>
          <w:tab w:val="left" w:pos="3288"/>
        </w:tabs>
        <w:ind w:left="3288" w:hanging="680"/>
      </w:pPr>
      <w:rPr>
        <w:rFonts w:hint="default"/>
      </w:rPr>
    </w:lvl>
    <w:lvl w:ilvl="8" w:tentative="0">
      <w:start w:val="1"/>
      <w:numFmt w:val="none"/>
      <w:pStyle w:val="51"/>
      <w:lvlText w:val=""/>
      <w:lvlJc w:val="left"/>
      <w:pPr>
        <w:tabs>
          <w:tab w:val="left" w:pos="3288"/>
        </w:tabs>
        <w:ind w:left="3288" w:hanging="680"/>
      </w:pPr>
      <w:rPr>
        <w:rFonts w:hint="default"/>
      </w:rPr>
    </w:lvl>
  </w:abstractNum>
  <w:abstractNum w:abstractNumId="2">
    <w:nsid w:val="6FE147B6"/>
    <w:multiLevelType w:val="singleLevel"/>
    <w:tmpl w:val="6FE147B6"/>
    <w:lvl w:ilvl="0" w:tentative="0">
      <w:start w:val="1"/>
      <w:numFmt w:val="decimal"/>
      <w:pStyle w:val="56"/>
      <w:lvlText w:val="(%1)"/>
      <w:lvlJc w:val="left"/>
      <w:pPr>
        <w:tabs>
          <w:tab w:val="left" w:pos="360"/>
        </w:tabs>
        <w:ind w:left="0" w:firstLine="0"/>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0"/>
  <w:bordersDoNotSurroundFooter w:val="0"/>
  <w:hideSpellingErrors/>
  <w:trackRevisions w:val="1"/>
  <w:documentProtection w:enforcement="0"/>
  <w:defaultTabStop w:val="21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AD5"/>
    <w:rsid w:val="000425CB"/>
    <w:rsid w:val="00042B5E"/>
    <w:rsid w:val="0004310D"/>
    <w:rsid w:val="0004376B"/>
    <w:rsid w:val="000440FF"/>
    <w:rsid w:val="00044813"/>
    <w:rsid w:val="0004499D"/>
    <w:rsid w:val="00044A1D"/>
    <w:rsid w:val="00044BB1"/>
    <w:rsid w:val="000450D2"/>
    <w:rsid w:val="0004576A"/>
    <w:rsid w:val="00045F29"/>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66B"/>
    <w:rsid w:val="00057577"/>
    <w:rsid w:val="00057C18"/>
    <w:rsid w:val="00057F3D"/>
    <w:rsid w:val="00060168"/>
    <w:rsid w:val="00060AE4"/>
    <w:rsid w:val="00061227"/>
    <w:rsid w:val="0006196B"/>
    <w:rsid w:val="00061E6A"/>
    <w:rsid w:val="00062940"/>
    <w:rsid w:val="00062C3A"/>
    <w:rsid w:val="00062CDB"/>
    <w:rsid w:val="00062E27"/>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E32"/>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82A"/>
    <w:rsid w:val="000B28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F41"/>
    <w:rsid w:val="000D30E7"/>
    <w:rsid w:val="000D4975"/>
    <w:rsid w:val="000D4A6D"/>
    <w:rsid w:val="000D7691"/>
    <w:rsid w:val="000D76C9"/>
    <w:rsid w:val="000D7832"/>
    <w:rsid w:val="000D7C36"/>
    <w:rsid w:val="000D7C67"/>
    <w:rsid w:val="000D7D20"/>
    <w:rsid w:val="000D7F72"/>
    <w:rsid w:val="000D7FBA"/>
    <w:rsid w:val="000E06BC"/>
    <w:rsid w:val="000E0ABC"/>
    <w:rsid w:val="000E0F78"/>
    <w:rsid w:val="000E1171"/>
    <w:rsid w:val="000E12A6"/>
    <w:rsid w:val="000E1A47"/>
    <w:rsid w:val="000E24EA"/>
    <w:rsid w:val="000E2562"/>
    <w:rsid w:val="000E40C0"/>
    <w:rsid w:val="000E58CC"/>
    <w:rsid w:val="000E69CC"/>
    <w:rsid w:val="000E6B6F"/>
    <w:rsid w:val="000E7168"/>
    <w:rsid w:val="000E76C7"/>
    <w:rsid w:val="000F04AB"/>
    <w:rsid w:val="000F09DD"/>
    <w:rsid w:val="000F23B8"/>
    <w:rsid w:val="000F254D"/>
    <w:rsid w:val="000F275E"/>
    <w:rsid w:val="000F392C"/>
    <w:rsid w:val="000F3D88"/>
    <w:rsid w:val="000F4559"/>
    <w:rsid w:val="000F4570"/>
    <w:rsid w:val="000F457D"/>
    <w:rsid w:val="000F4A25"/>
    <w:rsid w:val="000F4E27"/>
    <w:rsid w:val="000F4F40"/>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1DAE"/>
    <w:rsid w:val="00162F3C"/>
    <w:rsid w:val="00165BD3"/>
    <w:rsid w:val="001670D0"/>
    <w:rsid w:val="001676AA"/>
    <w:rsid w:val="00167705"/>
    <w:rsid w:val="00167DCD"/>
    <w:rsid w:val="001704DB"/>
    <w:rsid w:val="00170503"/>
    <w:rsid w:val="00170A69"/>
    <w:rsid w:val="001712E6"/>
    <w:rsid w:val="00171561"/>
    <w:rsid w:val="00171A41"/>
    <w:rsid w:val="00171CE1"/>
    <w:rsid w:val="0017209C"/>
    <w:rsid w:val="00172664"/>
    <w:rsid w:val="00172919"/>
    <w:rsid w:val="0017322F"/>
    <w:rsid w:val="001732AD"/>
    <w:rsid w:val="00174429"/>
    <w:rsid w:val="00174F1D"/>
    <w:rsid w:val="00175636"/>
    <w:rsid w:val="00175961"/>
    <w:rsid w:val="00175BBB"/>
    <w:rsid w:val="00175F49"/>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A0826"/>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64DF"/>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AD7"/>
    <w:rsid w:val="001F2B69"/>
    <w:rsid w:val="001F2F00"/>
    <w:rsid w:val="001F33F9"/>
    <w:rsid w:val="001F436E"/>
    <w:rsid w:val="001F502B"/>
    <w:rsid w:val="001F6AA1"/>
    <w:rsid w:val="001F7290"/>
    <w:rsid w:val="001F757E"/>
    <w:rsid w:val="001F7646"/>
    <w:rsid w:val="001F76B8"/>
    <w:rsid w:val="00200053"/>
    <w:rsid w:val="002002F6"/>
    <w:rsid w:val="00201058"/>
    <w:rsid w:val="00201D07"/>
    <w:rsid w:val="00201F0F"/>
    <w:rsid w:val="002020AF"/>
    <w:rsid w:val="002023BF"/>
    <w:rsid w:val="00202638"/>
    <w:rsid w:val="002028A7"/>
    <w:rsid w:val="002029A0"/>
    <w:rsid w:val="00202B33"/>
    <w:rsid w:val="00203602"/>
    <w:rsid w:val="00203901"/>
    <w:rsid w:val="00205379"/>
    <w:rsid w:val="00205417"/>
    <w:rsid w:val="0020619F"/>
    <w:rsid w:val="002064D1"/>
    <w:rsid w:val="002067A9"/>
    <w:rsid w:val="00206837"/>
    <w:rsid w:val="00206DB6"/>
    <w:rsid w:val="00207083"/>
    <w:rsid w:val="002072CA"/>
    <w:rsid w:val="002077E2"/>
    <w:rsid w:val="00207B0A"/>
    <w:rsid w:val="00207C37"/>
    <w:rsid w:val="00210113"/>
    <w:rsid w:val="00210822"/>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2005C"/>
    <w:rsid w:val="00220BF2"/>
    <w:rsid w:val="00221282"/>
    <w:rsid w:val="00221724"/>
    <w:rsid w:val="0022194C"/>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2DF9"/>
    <w:rsid w:val="0025329E"/>
    <w:rsid w:val="00254A3F"/>
    <w:rsid w:val="00255333"/>
    <w:rsid w:val="00255458"/>
    <w:rsid w:val="00255690"/>
    <w:rsid w:val="00256940"/>
    <w:rsid w:val="00256AB5"/>
    <w:rsid w:val="00256FFE"/>
    <w:rsid w:val="00257280"/>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12E3"/>
    <w:rsid w:val="002A136F"/>
    <w:rsid w:val="002A1D69"/>
    <w:rsid w:val="002A27FB"/>
    <w:rsid w:val="002A30A3"/>
    <w:rsid w:val="002A318E"/>
    <w:rsid w:val="002A325B"/>
    <w:rsid w:val="002A455C"/>
    <w:rsid w:val="002A4805"/>
    <w:rsid w:val="002A4849"/>
    <w:rsid w:val="002A4B48"/>
    <w:rsid w:val="002A6B09"/>
    <w:rsid w:val="002A76E0"/>
    <w:rsid w:val="002A7B2A"/>
    <w:rsid w:val="002B0239"/>
    <w:rsid w:val="002B0404"/>
    <w:rsid w:val="002B23C7"/>
    <w:rsid w:val="002B31FA"/>
    <w:rsid w:val="002B4255"/>
    <w:rsid w:val="002B4A63"/>
    <w:rsid w:val="002B51F6"/>
    <w:rsid w:val="002B57E2"/>
    <w:rsid w:val="002B5FD8"/>
    <w:rsid w:val="002B621C"/>
    <w:rsid w:val="002B6B18"/>
    <w:rsid w:val="002B6B31"/>
    <w:rsid w:val="002B6D4E"/>
    <w:rsid w:val="002B6F98"/>
    <w:rsid w:val="002B7BC0"/>
    <w:rsid w:val="002C096D"/>
    <w:rsid w:val="002C0ACA"/>
    <w:rsid w:val="002C1251"/>
    <w:rsid w:val="002C186D"/>
    <w:rsid w:val="002C19B2"/>
    <w:rsid w:val="002C2060"/>
    <w:rsid w:val="002C38AD"/>
    <w:rsid w:val="002C4262"/>
    <w:rsid w:val="002C45A3"/>
    <w:rsid w:val="002C4DF5"/>
    <w:rsid w:val="002C4FD7"/>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507E"/>
    <w:rsid w:val="002D6043"/>
    <w:rsid w:val="002D6055"/>
    <w:rsid w:val="002D696E"/>
    <w:rsid w:val="002D6AC9"/>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C56"/>
    <w:rsid w:val="00300F98"/>
    <w:rsid w:val="00301211"/>
    <w:rsid w:val="00302D0A"/>
    <w:rsid w:val="00303D0A"/>
    <w:rsid w:val="00304A1B"/>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9CC"/>
    <w:rsid w:val="00321A5A"/>
    <w:rsid w:val="00321AE8"/>
    <w:rsid w:val="00321B83"/>
    <w:rsid w:val="00321EBE"/>
    <w:rsid w:val="003221EB"/>
    <w:rsid w:val="0032229B"/>
    <w:rsid w:val="00324570"/>
    <w:rsid w:val="00324C40"/>
    <w:rsid w:val="0032556A"/>
    <w:rsid w:val="003257C1"/>
    <w:rsid w:val="00325E36"/>
    <w:rsid w:val="00325E4C"/>
    <w:rsid w:val="00326761"/>
    <w:rsid w:val="003267E1"/>
    <w:rsid w:val="00327D8B"/>
    <w:rsid w:val="003303C3"/>
    <w:rsid w:val="00330407"/>
    <w:rsid w:val="00330BA8"/>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F09"/>
    <w:rsid w:val="00337561"/>
    <w:rsid w:val="003375FC"/>
    <w:rsid w:val="00342961"/>
    <w:rsid w:val="00342D72"/>
    <w:rsid w:val="00342F04"/>
    <w:rsid w:val="00344456"/>
    <w:rsid w:val="0034494E"/>
    <w:rsid w:val="00344E08"/>
    <w:rsid w:val="00344F02"/>
    <w:rsid w:val="00345704"/>
    <w:rsid w:val="003467D4"/>
    <w:rsid w:val="00346A91"/>
    <w:rsid w:val="00346AE0"/>
    <w:rsid w:val="00347FB2"/>
    <w:rsid w:val="00350711"/>
    <w:rsid w:val="0035083F"/>
    <w:rsid w:val="0035174C"/>
    <w:rsid w:val="00351E5E"/>
    <w:rsid w:val="00352525"/>
    <w:rsid w:val="003525EC"/>
    <w:rsid w:val="00352E46"/>
    <w:rsid w:val="00353087"/>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8CA"/>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AE0"/>
    <w:rsid w:val="003B2127"/>
    <w:rsid w:val="003B313D"/>
    <w:rsid w:val="003B3314"/>
    <w:rsid w:val="003B348F"/>
    <w:rsid w:val="003B49F1"/>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40047D"/>
    <w:rsid w:val="004005CE"/>
    <w:rsid w:val="004012B6"/>
    <w:rsid w:val="004017CC"/>
    <w:rsid w:val="00401EA4"/>
    <w:rsid w:val="00402676"/>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E1E"/>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926"/>
    <w:rsid w:val="00456E31"/>
    <w:rsid w:val="00456F57"/>
    <w:rsid w:val="00457CCF"/>
    <w:rsid w:val="0046140C"/>
    <w:rsid w:val="004618C5"/>
    <w:rsid w:val="00461B6B"/>
    <w:rsid w:val="00461BEE"/>
    <w:rsid w:val="00461F38"/>
    <w:rsid w:val="0046303A"/>
    <w:rsid w:val="004631C3"/>
    <w:rsid w:val="00463275"/>
    <w:rsid w:val="00463CFC"/>
    <w:rsid w:val="0046438D"/>
    <w:rsid w:val="00464682"/>
    <w:rsid w:val="004658B3"/>
    <w:rsid w:val="00465E27"/>
    <w:rsid w:val="00465F76"/>
    <w:rsid w:val="0046627F"/>
    <w:rsid w:val="00466388"/>
    <w:rsid w:val="00466D01"/>
    <w:rsid w:val="00466E6D"/>
    <w:rsid w:val="00467E50"/>
    <w:rsid w:val="0047151C"/>
    <w:rsid w:val="00471934"/>
    <w:rsid w:val="00471BD0"/>
    <w:rsid w:val="00471E58"/>
    <w:rsid w:val="00471F22"/>
    <w:rsid w:val="00472800"/>
    <w:rsid w:val="00473133"/>
    <w:rsid w:val="00473CB8"/>
    <w:rsid w:val="00474F6A"/>
    <w:rsid w:val="00475AF3"/>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F7B"/>
    <w:rsid w:val="004C272D"/>
    <w:rsid w:val="004C33DF"/>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45F6"/>
    <w:rsid w:val="004D4D82"/>
    <w:rsid w:val="004D5CF7"/>
    <w:rsid w:val="004D604E"/>
    <w:rsid w:val="004D6795"/>
    <w:rsid w:val="004D7A31"/>
    <w:rsid w:val="004D7E0D"/>
    <w:rsid w:val="004E14A2"/>
    <w:rsid w:val="004E1F27"/>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E0F"/>
    <w:rsid w:val="00514EB8"/>
    <w:rsid w:val="0051577B"/>
    <w:rsid w:val="00515BB6"/>
    <w:rsid w:val="00516031"/>
    <w:rsid w:val="005167BF"/>
    <w:rsid w:val="00517443"/>
    <w:rsid w:val="00517602"/>
    <w:rsid w:val="00517F25"/>
    <w:rsid w:val="0052021B"/>
    <w:rsid w:val="00520F7B"/>
    <w:rsid w:val="0052106C"/>
    <w:rsid w:val="00521C24"/>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696"/>
    <w:rsid w:val="005577EB"/>
    <w:rsid w:val="00557957"/>
    <w:rsid w:val="0056013A"/>
    <w:rsid w:val="00560992"/>
    <w:rsid w:val="00560F7E"/>
    <w:rsid w:val="00561440"/>
    <w:rsid w:val="005614C2"/>
    <w:rsid w:val="00561AF0"/>
    <w:rsid w:val="00561FC6"/>
    <w:rsid w:val="00562199"/>
    <w:rsid w:val="005621BA"/>
    <w:rsid w:val="0056239F"/>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CD5"/>
    <w:rsid w:val="00582272"/>
    <w:rsid w:val="00582705"/>
    <w:rsid w:val="00582F20"/>
    <w:rsid w:val="00582FE0"/>
    <w:rsid w:val="00583F23"/>
    <w:rsid w:val="005840D7"/>
    <w:rsid w:val="0058436B"/>
    <w:rsid w:val="00584512"/>
    <w:rsid w:val="00584524"/>
    <w:rsid w:val="0058481A"/>
    <w:rsid w:val="00585333"/>
    <w:rsid w:val="00585527"/>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B12"/>
    <w:rsid w:val="005A4C14"/>
    <w:rsid w:val="005A4F8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553B"/>
    <w:rsid w:val="005B6634"/>
    <w:rsid w:val="005B6EBE"/>
    <w:rsid w:val="005B7345"/>
    <w:rsid w:val="005B7AF8"/>
    <w:rsid w:val="005B7D8B"/>
    <w:rsid w:val="005C0242"/>
    <w:rsid w:val="005C04F3"/>
    <w:rsid w:val="005C1C6B"/>
    <w:rsid w:val="005C202B"/>
    <w:rsid w:val="005C22F5"/>
    <w:rsid w:val="005C368A"/>
    <w:rsid w:val="005C387B"/>
    <w:rsid w:val="005C3FA1"/>
    <w:rsid w:val="005C4ED0"/>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BA5"/>
    <w:rsid w:val="005D5BC0"/>
    <w:rsid w:val="005D6257"/>
    <w:rsid w:val="005D62C5"/>
    <w:rsid w:val="005D6602"/>
    <w:rsid w:val="005D677D"/>
    <w:rsid w:val="005D6CBF"/>
    <w:rsid w:val="005D71F2"/>
    <w:rsid w:val="005D791A"/>
    <w:rsid w:val="005D7963"/>
    <w:rsid w:val="005E1693"/>
    <w:rsid w:val="005E20E0"/>
    <w:rsid w:val="005E2209"/>
    <w:rsid w:val="005E25AA"/>
    <w:rsid w:val="005E29B5"/>
    <w:rsid w:val="005E2C9F"/>
    <w:rsid w:val="005E2DED"/>
    <w:rsid w:val="005E388C"/>
    <w:rsid w:val="005E4260"/>
    <w:rsid w:val="005E4AF1"/>
    <w:rsid w:val="005E5457"/>
    <w:rsid w:val="005E579A"/>
    <w:rsid w:val="005E57C9"/>
    <w:rsid w:val="005E61D0"/>
    <w:rsid w:val="005E62B0"/>
    <w:rsid w:val="005E69E1"/>
    <w:rsid w:val="005E69EB"/>
    <w:rsid w:val="005F13A9"/>
    <w:rsid w:val="005F1423"/>
    <w:rsid w:val="005F1BC2"/>
    <w:rsid w:val="005F1C0A"/>
    <w:rsid w:val="005F20EA"/>
    <w:rsid w:val="005F22F8"/>
    <w:rsid w:val="005F25A0"/>
    <w:rsid w:val="005F3D19"/>
    <w:rsid w:val="005F3FE4"/>
    <w:rsid w:val="005F4475"/>
    <w:rsid w:val="005F4A45"/>
    <w:rsid w:val="005F5298"/>
    <w:rsid w:val="005F616B"/>
    <w:rsid w:val="005F617B"/>
    <w:rsid w:val="005F6237"/>
    <w:rsid w:val="005F7760"/>
    <w:rsid w:val="0060064E"/>
    <w:rsid w:val="0060146E"/>
    <w:rsid w:val="00601B87"/>
    <w:rsid w:val="006023AC"/>
    <w:rsid w:val="00602546"/>
    <w:rsid w:val="006029F9"/>
    <w:rsid w:val="00603DFA"/>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55A5"/>
    <w:rsid w:val="00615F36"/>
    <w:rsid w:val="00616025"/>
    <w:rsid w:val="00616C7A"/>
    <w:rsid w:val="00616FA8"/>
    <w:rsid w:val="006170A8"/>
    <w:rsid w:val="006179C0"/>
    <w:rsid w:val="00617E09"/>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CC6"/>
    <w:rsid w:val="00660001"/>
    <w:rsid w:val="00660799"/>
    <w:rsid w:val="00661410"/>
    <w:rsid w:val="00661A7B"/>
    <w:rsid w:val="006621EF"/>
    <w:rsid w:val="0066298B"/>
    <w:rsid w:val="0066317E"/>
    <w:rsid w:val="0066337E"/>
    <w:rsid w:val="006639F6"/>
    <w:rsid w:val="00663B67"/>
    <w:rsid w:val="0066525C"/>
    <w:rsid w:val="006653DB"/>
    <w:rsid w:val="00666352"/>
    <w:rsid w:val="006669C9"/>
    <w:rsid w:val="006669F3"/>
    <w:rsid w:val="00666C69"/>
    <w:rsid w:val="00667569"/>
    <w:rsid w:val="006714B3"/>
    <w:rsid w:val="00671CFC"/>
    <w:rsid w:val="006737C0"/>
    <w:rsid w:val="006739F9"/>
    <w:rsid w:val="00673E8C"/>
    <w:rsid w:val="006747BB"/>
    <w:rsid w:val="00675F97"/>
    <w:rsid w:val="00676245"/>
    <w:rsid w:val="00676CAC"/>
    <w:rsid w:val="00676FB7"/>
    <w:rsid w:val="00677F2F"/>
    <w:rsid w:val="00677FC7"/>
    <w:rsid w:val="00680074"/>
    <w:rsid w:val="0068063F"/>
    <w:rsid w:val="006809CE"/>
    <w:rsid w:val="0068100F"/>
    <w:rsid w:val="006810DA"/>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7"/>
    <w:rsid w:val="006931C2"/>
    <w:rsid w:val="006932F1"/>
    <w:rsid w:val="006933EC"/>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3530"/>
    <w:rsid w:val="006A3DF7"/>
    <w:rsid w:val="006A4614"/>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63F"/>
    <w:rsid w:val="006B5931"/>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E28"/>
    <w:rsid w:val="006C7048"/>
    <w:rsid w:val="006C7192"/>
    <w:rsid w:val="006C7242"/>
    <w:rsid w:val="006C74E2"/>
    <w:rsid w:val="006D011A"/>
    <w:rsid w:val="006D0588"/>
    <w:rsid w:val="006D1077"/>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3BF"/>
    <w:rsid w:val="006D7B4A"/>
    <w:rsid w:val="006D7F61"/>
    <w:rsid w:val="006E0362"/>
    <w:rsid w:val="006E0B4B"/>
    <w:rsid w:val="006E18D7"/>
    <w:rsid w:val="006E1C81"/>
    <w:rsid w:val="006E1E59"/>
    <w:rsid w:val="006E3236"/>
    <w:rsid w:val="006E34A4"/>
    <w:rsid w:val="006E3AFA"/>
    <w:rsid w:val="006E3F76"/>
    <w:rsid w:val="006E40C8"/>
    <w:rsid w:val="006E46A8"/>
    <w:rsid w:val="006E4D3D"/>
    <w:rsid w:val="006E4F00"/>
    <w:rsid w:val="006E597C"/>
    <w:rsid w:val="006E63E3"/>
    <w:rsid w:val="006E649F"/>
    <w:rsid w:val="006E68D2"/>
    <w:rsid w:val="006E744E"/>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F6F"/>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3570"/>
    <w:rsid w:val="00713618"/>
    <w:rsid w:val="007138A4"/>
    <w:rsid w:val="00713DCD"/>
    <w:rsid w:val="0071420A"/>
    <w:rsid w:val="007145C5"/>
    <w:rsid w:val="0071691D"/>
    <w:rsid w:val="0071694B"/>
    <w:rsid w:val="00716FFC"/>
    <w:rsid w:val="00717907"/>
    <w:rsid w:val="00717EC1"/>
    <w:rsid w:val="00720363"/>
    <w:rsid w:val="00720BAB"/>
    <w:rsid w:val="00721A00"/>
    <w:rsid w:val="00722988"/>
    <w:rsid w:val="00722991"/>
    <w:rsid w:val="00722DE2"/>
    <w:rsid w:val="0072400C"/>
    <w:rsid w:val="007241B5"/>
    <w:rsid w:val="00724EF9"/>
    <w:rsid w:val="007254FF"/>
    <w:rsid w:val="00726D96"/>
    <w:rsid w:val="00726DEE"/>
    <w:rsid w:val="00726FF1"/>
    <w:rsid w:val="0072712F"/>
    <w:rsid w:val="007276A9"/>
    <w:rsid w:val="00730A5A"/>
    <w:rsid w:val="00730AE7"/>
    <w:rsid w:val="00730DD8"/>
    <w:rsid w:val="00731155"/>
    <w:rsid w:val="007315CC"/>
    <w:rsid w:val="00731B46"/>
    <w:rsid w:val="00731F8A"/>
    <w:rsid w:val="0073291D"/>
    <w:rsid w:val="00732FD1"/>
    <w:rsid w:val="007335DE"/>
    <w:rsid w:val="0073387B"/>
    <w:rsid w:val="0073438D"/>
    <w:rsid w:val="007345B4"/>
    <w:rsid w:val="00734937"/>
    <w:rsid w:val="007352C1"/>
    <w:rsid w:val="007354F4"/>
    <w:rsid w:val="007360B5"/>
    <w:rsid w:val="00736AB2"/>
    <w:rsid w:val="00736C19"/>
    <w:rsid w:val="00736EDD"/>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4064"/>
    <w:rsid w:val="007540B0"/>
    <w:rsid w:val="007545D4"/>
    <w:rsid w:val="00754887"/>
    <w:rsid w:val="007552AC"/>
    <w:rsid w:val="00755F00"/>
    <w:rsid w:val="00755F29"/>
    <w:rsid w:val="00756404"/>
    <w:rsid w:val="00756D48"/>
    <w:rsid w:val="00756D78"/>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E1"/>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14CA"/>
    <w:rsid w:val="007C250E"/>
    <w:rsid w:val="007C2571"/>
    <w:rsid w:val="007C273F"/>
    <w:rsid w:val="007C29C8"/>
    <w:rsid w:val="007C3530"/>
    <w:rsid w:val="007C36D2"/>
    <w:rsid w:val="007C399B"/>
    <w:rsid w:val="007C3FE1"/>
    <w:rsid w:val="007C4906"/>
    <w:rsid w:val="007C6028"/>
    <w:rsid w:val="007C659E"/>
    <w:rsid w:val="007C6E0D"/>
    <w:rsid w:val="007C7EAB"/>
    <w:rsid w:val="007D0558"/>
    <w:rsid w:val="007D09EC"/>
    <w:rsid w:val="007D0D73"/>
    <w:rsid w:val="007D18D3"/>
    <w:rsid w:val="007D19F7"/>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3A9"/>
    <w:rsid w:val="007E1A5A"/>
    <w:rsid w:val="007E2248"/>
    <w:rsid w:val="007E2380"/>
    <w:rsid w:val="007E3855"/>
    <w:rsid w:val="007E3B2F"/>
    <w:rsid w:val="007E44C4"/>
    <w:rsid w:val="007E4591"/>
    <w:rsid w:val="007E4C8F"/>
    <w:rsid w:val="007E5223"/>
    <w:rsid w:val="007E52DB"/>
    <w:rsid w:val="007E590B"/>
    <w:rsid w:val="007E6877"/>
    <w:rsid w:val="007E7324"/>
    <w:rsid w:val="007E7B68"/>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A7E"/>
    <w:rsid w:val="00834D15"/>
    <w:rsid w:val="00834D55"/>
    <w:rsid w:val="008351B9"/>
    <w:rsid w:val="0083572D"/>
    <w:rsid w:val="0083574F"/>
    <w:rsid w:val="00836537"/>
    <w:rsid w:val="0083673A"/>
    <w:rsid w:val="00836DF4"/>
    <w:rsid w:val="008402B0"/>
    <w:rsid w:val="008403E0"/>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60E06"/>
    <w:rsid w:val="00861029"/>
    <w:rsid w:val="008610F3"/>
    <w:rsid w:val="00862AEF"/>
    <w:rsid w:val="00863CC7"/>
    <w:rsid w:val="00864FD2"/>
    <w:rsid w:val="0086568D"/>
    <w:rsid w:val="00865B2F"/>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21C7"/>
    <w:rsid w:val="00872228"/>
    <w:rsid w:val="00872934"/>
    <w:rsid w:val="00872936"/>
    <w:rsid w:val="00873171"/>
    <w:rsid w:val="008742D5"/>
    <w:rsid w:val="008747EB"/>
    <w:rsid w:val="00874890"/>
    <w:rsid w:val="00876142"/>
    <w:rsid w:val="00876583"/>
    <w:rsid w:val="0087760B"/>
    <w:rsid w:val="00877E2E"/>
    <w:rsid w:val="00877F7E"/>
    <w:rsid w:val="008801EF"/>
    <w:rsid w:val="00880857"/>
    <w:rsid w:val="00880973"/>
    <w:rsid w:val="00880A0F"/>
    <w:rsid w:val="00880CAB"/>
    <w:rsid w:val="00880CF4"/>
    <w:rsid w:val="00880D67"/>
    <w:rsid w:val="0088170A"/>
    <w:rsid w:val="00881CAE"/>
    <w:rsid w:val="0088213C"/>
    <w:rsid w:val="0088298B"/>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948"/>
    <w:rsid w:val="008936FF"/>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AF5"/>
    <w:rsid w:val="008A4CBC"/>
    <w:rsid w:val="008A51C8"/>
    <w:rsid w:val="008A530D"/>
    <w:rsid w:val="008A7004"/>
    <w:rsid w:val="008A755B"/>
    <w:rsid w:val="008A787B"/>
    <w:rsid w:val="008A7AA2"/>
    <w:rsid w:val="008B0961"/>
    <w:rsid w:val="008B1BC6"/>
    <w:rsid w:val="008B305C"/>
    <w:rsid w:val="008B44B1"/>
    <w:rsid w:val="008B4797"/>
    <w:rsid w:val="008B595F"/>
    <w:rsid w:val="008B6201"/>
    <w:rsid w:val="008B6262"/>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32BD"/>
    <w:rsid w:val="008F3635"/>
    <w:rsid w:val="008F3D0A"/>
    <w:rsid w:val="008F3E30"/>
    <w:rsid w:val="008F3FDB"/>
    <w:rsid w:val="008F4C6F"/>
    <w:rsid w:val="008F4F86"/>
    <w:rsid w:val="008F5F56"/>
    <w:rsid w:val="008F65EE"/>
    <w:rsid w:val="008F6915"/>
    <w:rsid w:val="008F6DD9"/>
    <w:rsid w:val="008F795B"/>
    <w:rsid w:val="008F7B95"/>
    <w:rsid w:val="009000F5"/>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42DD"/>
    <w:rsid w:val="009143C3"/>
    <w:rsid w:val="0091523E"/>
    <w:rsid w:val="00915E48"/>
    <w:rsid w:val="00915F88"/>
    <w:rsid w:val="009163F2"/>
    <w:rsid w:val="0091642A"/>
    <w:rsid w:val="00916E94"/>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756"/>
    <w:rsid w:val="0093399A"/>
    <w:rsid w:val="0093483A"/>
    <w:rsid w:val="009348A4"/>
    <w:rsid w:val="009350DC"/>
    <w:rsid w:val="009350F7"/>
    <w:rsid w:val="00935534"/>
    <w:rsid w:val="009357AB"/>
    <w:rsid w:val="009361D9"/>
    <w:rsid w:val="00936551"/>
    <w:rsid w:val="009368FE"/>
    <w:rsid w:val="00936964"/>
    <w:rsid w:val="00936E6F"/>
    <w:rsid w:val="0093755D"/>
    <w:rsid w:val="0094085F"/>
    <w:rsid w:val="00941B86"/>
    <w:rsid w:val="00942588"/>
    <w:rsid w:val="00942B4B"/>
    <w:rsid w:val="009430DE"/>
    <w:rsid w:val="009438C7"/>
    <w:rsid w:val="009440B0"/>
    <w:rsid w:val="00945836"/>
    <w:rsid w:val="00945AFE"/>
    <w:rsid w:val="00945BC9"/>
    <w:rsid w:val="00945C85"/>
    <w:rsid w:val="00945F8F"/>
    <w:rsid w:val="00946294"/>
    <w:rsid w:val="009468A3"/>
    <w:rsid w:val="00946EC2"/>
    <w:rsid w:val="00947CDC"/>
    <w:rsid w:val="009502C6"/>
    <w:rsid w:val="00950C55"/>
    <w:rsid w:val="00951E06"/>
    <w:rsid w:val="00952693"/>
    <w:rsid w:val="00952F44"/>
    <w:rsid w:val="009532EB"/>
    <w:rsid w:val="009536CE"/>
    <w:rsid w:val="009557F4"/>
    <w:rsid w:val="009558AB"/>
    <w:rsid w:val="009558ED"/>
    <w:rsid w:val="00955B2E"/>
    <w:rsid w:val="00955D7D"/>
    <w:rsid w:val="0095689D"/>
    <w:rsid w:val="00956D35"/>
    <w:rsid w:val="00956DA1"/>
    <w:rsid w:val="00957300"/>
    <w:rsid w:val="009579C1"/>
    <w:rsid w:val="00957BDD"/>
    <w:rsid w:val="00957D12"/>
    <w:rsid w:val="009603AC"/>
    <w:rsid w:val="00960B3E"/>
    <w:rsid w:val="00960D3A"/>
    <w:rsid w:val="00960E47"/>
    <w:rsid w:val="009612E1"/>
    <w:rsid w:val="00962C91"/>
    <w:rsid w:val="00962D88"/>
    <w:rsid w:val="00962D8F"/>
    <w:rsid w:val="00962DF3"/>
    <w:rsid w:val="00963197"/>
    <w:rsid w:val="00963646"/>
    <w:rsid w:val="00963D52"/>
    <w:rsid w:val="00964223"/>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587E"/>
    <w:rsid w:val="00985F91"/>
    <w:rsid w:val="0098668E"/>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E67"/>
    <w:rsid w:val="009C65E2"/>
    <w:rsid w:val="009C6EB3"/>
    <w:rsid w:val="009C6F2C"/>
    <w:rsid w:val="009C7047"/>
    <w:rsid w:val="009C77E6"/>
    <w:rsid w:val="009D0556"/>
    <w:rsid w:val="009D0B67"/>
    <w:rsid w:val="009D0FE7"/>
    <w:rsid w:val="009D139C"/>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C05"/>
    <w:rsid w:val="009E40AB"/>
    <w:rsid w:val="009E4DAB"/>
    <w:rsid w:val="009E4F73"/>
    <w:rsid w:val="009E540C"/>
    <w:rsid w:val="009E613D"/>
    <w:rsid w:val="009E71DD"/>
    <w:rsid w:val="009E7936"/>
    <w:rsid w:val="009F0009"/>
    <w:rsid w:val="009F0172"/>
    <w:rsid w:val="009F119D"/>
    <w:rsid w:val="009F17FE"/>
    <w:rsid w:val="009F1FAB"/>
    <w:rsid w:val="009F2124"/>
    <w:rsid w:val="009F3453"/>
    <w:rsid w:val="009F42BD"/>
    <w:rsid w:val="009F461C"/>
    <w:rsid w:val="009F4CCD"/>
    <w:rsid w:val="009F56BD"/>
    <w:rsid w:val="009F6106"/>
    <w:rsid w:val="009F65A0"/>
    <w:rsid w:val="009F66FF"/>
    <w:rsid w:val="009F6935"/>
    <w:rsid w:val="009F761C"/>
    <w:rsid w:val="009F7CCC"/>
    <w:rsid w:val="00A00821"/>
    <w:rsid w:val="00A009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E9C"/>
    <w:rsid w:val="00A23428"/>
    <w:rsid w:val="00A240E8"/>
    <w:rsid w:val="00A244A4"/>
    <w:rsid w:val="00A25299"/>
    <w:rsid w:val="00A257FB"/>
    <w:rsid w:val="00A25BAE"/>
    <w:rsid w:val="00A26C95"/>
    <w:rsid w:val="00A26F24"/>
    <w:rsid w:val="00A27FD6"/>
    <w:rsid w:val="00A30212"/>
    <w:rsid w:val="00A302B5"/>
    <w:rsid w:val="00A308FF"/>
    <w:rsid w:val="00A3094C"/>
    <w:rsid w:val="00A30C04"/>
    <w:rsid w:val="00A319E1"/>
    <w:rsid w:val="00A31A25"/>
    <w:rsid w:val="00A323E4"/>
    <w:rsid w:val="00A33D4F"/>
    <w:rsid w:val="00A33D54"/>
    <w:rsid w:val="00A344EE"/>
    <w:rsid w:val="00A345ED"/>
    <w:rsid w:val="00A34ABC"/>
    <w:rsid w:val="00A358DC"/>
    <w:rsid w:val="00A36A25"/>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505BD"/>
    <w:rsid w:val="00A506CC"/>
    <w:rsid w:val="00A50C4A"/>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C6A"/>
    <w:rsid w:val="00A64B46"/>
    <w:rsid w:val="00A655D9"/>
    <w:rsid w:val="00A65E4A"/>
    <w:rsid w:val="00A6608C"/>
    <w:rsid w:val="00A6655C"/>
    <w:rsid w:val="00A6679A"/>
    <w:rsid w:val="00A67384"/>
    <w:rsid w:val="00A67704"/>
    <w:rsid w:val="00A678D5"/>
    <w:rsid w:val="00A70463"/>
    <w:rsid w:val="00A70576"/>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16B4"/>
    <w:rsid w:val="00A816C8"/>
    <w:rsid w:val="00A818D7"/>
    <w:rsid w:val="00A820D2"/>
    <w:rsid w:val="00A82FCA"/>
    <w:rsid w:val="00A83905"/>
    <w:rsid w:val="00A83B5E"/>
    <w:rsid w:val="00A84014"/>
    <w:rsid w:val="00A8427B"/>
    <w:rsid w:val="00A845C5"/>
    <w:rsid w:val="00A85797"/>
    <w:rsid w:val="00A86AA2"/>
    <w:rsid w:val="00A872C6"/>
    <w:rsid w:val="00A8763E"/>
    <w:rsid w:val="00A87947"/>
    <w:rsid w:val="00A87DDB"/>
    <w:rsid w:val="00A87F10"/>
    <w:rsid w:val="00A9022F"/>
    <w:rsid w:val="00A9024A"/>
    <w:rsid w:val="00A90805"/>
    <w:rsid w:val="00A908F9"/>
    <w:rsid w:val="00A90BE6"/>
    <w:rsid w:val="00A91871"/>
    <w:rsid w:val="00A91950"/>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DE6"/>
    <w:rsid w:val="00AA2612"/>
    <w:rsid w:val="00AA2AE6"/>
    <w:rsid w:val="00AA2B25"/>
    <w:rsid w:val="00AA3996"/>
    <w:rsid w:val="00AA3EA2"/>
    <w:rsid w:val="00AA65BC"/>
    <w:rsid w:val="00AA65C1"/>
    <w:rsid w:val="00AA75BF"/>
    <w:rsid w:val="00AB0091"/>
    <w:rsid w:val="00AB08AC"/>
    <w:rsid w:val="00AB0B35"/>
    <w:rsid w:val="00AB1D36"/>
    <w:rsid w:val="00AB1F4D"/>
    <w:rsid w:val="00AB22BA"/>
    <w:rsid w:val="00AB3C5E"/>
    <w:rsid w:val="00AB4509"/>
    <w:rsid w:val="00AB45E3"/>
    <w:rsid w:val="00AB4B7F"/>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04C"/>
    <w:rsid w:val="00B02EA9"/>
    <w:rsid w:val="00B03493"/>
    <w:rsid w:val="00B036FE"/>
    <w:rsid w:val="00B04032"/>
    <w:rsid w:val="00B05646"/>
    <w:rsid w:val="00B05D17"/>
    <w:rsid w:val="00B0657B"/>
    <w:rsid w:val="00B067DE"/>
    <w:rsid w:val="00B079FB"/>
    <w:rsid w:val="00B07B61"/>
    <w:rsid w:val="00B07C53"/>
    <w:rsid w:val="00B1040D"/>
    <w:rsid w:val="00B109E3"/>
    <w:rsid w:val="00B1105A"/>
    <w:rsid w:val="00B11390"/>
    <w:rsid w:val="00B12064"/>
    <w:rsid w:val="00B122B1"/>
    <w:rsid w:val="00B1265D"/>
    <w:rsid w:val="00B12C7A"/>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8E5"/>
    <w:rsid w:val="00B2368F"/>
    <w:rsid w:val="00B24A47"/>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A16"/>
    <w:rsid w:val="00B70B57"/>
    <w:rsid w:val="00B710C6"/>
    <w:rsid w:val="00B7266C"/>
    <w:rsid w:val="00B72DE1"/>
    <w:rsid w:val="00B72F73"/>
    <w:rsid w:val="00B735C8"/>
    <w:rsid w:val="00B739C1"/>
    <w:rsid w:val="00B741EE"/>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A0003"/>
    <w:rsid w:val="00BA0CD2"/>
    <w:rsid w:val="00BA0E41"/>
    <w:rsid w:val="00BA150E"/>
    <w:rsid w:val="00BA182F"/>
    <w:rsid w:val="00BA1FE0"/>
    <w:rsid w:val="00BA2211"/>
    <w:rsid w:val="00BA2D5C"/>
    <w:rsid w:val="00BA38E5"/>
    <w:rsid w:val="00BA398D"/>
    <w:rsid w:val="00BA475F"/>
    <w:rsid w:val="00BA4E62"/>
    <w:rsid w:val="00BA531F"/>
    <w:rsid w:val="00BA6073"/>
    <w:rsid w:val="00BA6406"/>
    <w:rsid w:val="00BA6904"/>
    <w:rsid w:val="00BA6F09"/>
    <w:rsid w:val="00BA7156"/>
    <w:rsid w:val="00BA724F"/>
    <w:rsid w:val="00BA7B18"/>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39B"/>
    <w:rsid w:val="00BC109B"/>
    <w:rsid w:val="00BC1190"/>
    <w:rsid w:val="00BC1E05"/>
    <w:rsid w:val="00BC2D4C"/>
    <w:rsid w:val="00BC3196"/>
    <w:rsid w:val="00BC3298"/>
    <w:rsid w:val="00BC399E"/>
    <w:rsid w:val="00BC3CDE"/>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5039"/>
    <w:rsid w:val="00BD55D2"/>
    <w:rsid w:val="00BD5713"/>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1253"/>
    <w:rsid w:val="00BF1268"/>
    <w:rsid w:val="00BF12C0"/>
    <w:rsid w:val="00BF2501"/>
    <w:rsid w:val="00BF2B61"/>
    <w:rsid w:val="00BF2DE1"/>
    <w:rsid w:val="00BF3481"/>
    <w:rsid w:val="00BF3516"/>
    <w:rsid w:val="00BF39FF"/>
    <w:rsid w:val="00BF3E9B"/>
    <w:rsid w:val="00BF4618"/>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D"/>
    <w:rsid w:val="00C30DD0"/>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70BDB"/>
    <w:rsid w:val="00C70CBA"/>
    <w:rsid w:val="00C70EA8"/>
    <w:rsid w:val="00C71F82"/>
    <w:rsid w:val="00C728A0"/>
    <w:rsid w:val="00C7372E"/>
    <w:rsid w:val="00C741EA"/>
    <w:rsid w:val="00C741F8"/>
    <w:rsid w:val="00C74417"/>
    <w:rsid w:val="00C75167"/>
    <w:rsid w:val="00C7587D"/>
    <w:rsid w:val="00C76735"/>
    <w:rsid w:val="00C77160"/>
    <w:rsid w:val="00C77BD6"/>
    <w:rsid w:val="00C77ECC"/>
    <w:rsid w:val="00C77F8A"/>
    <w:rsid w:val="00C80790"/>
    <w:rsid w:val="00C8123F"/>
    <w:rsid w:val="00C816F9"/>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BCA"/>
    <w:rsid w:val="00CA7DD7"/>
    <w:rsid w:val="00CA7F8B"/>
    <w:rsid w:val="00CB0AA1"/>
    <w:rsid w:val="00CB0C95"/>
    <w:rsid w:val="00CB146C"/>
    <w:rsid w:val="00CB1BC5"/>
    <w:rsid w:val="00CB1F4D"/>
    <w:rsid w:val="00CB2385"/>
    <w:rsid w:val="00CB295A"/>
    <w:rsid w:val="00CB2D5D"/>
    <w:rsid w:val="00CB4204"/>
    <w:rsid w:val="00CB51FE"/>
    <w:rsid w:val="00CB5C4F"/>
    <w:rsid w:val="00CB6947"/>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669"/>
    <w:rsid w:val="00CF0C4A"/>
    <w:rsid w:val="00CF0D0B"/>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994"/>
    <w:rsid w:val="00D1619E"/>
    <w:rsid w:val="00D17CB8"/>
    <w:rsid w:val="00D17E2A"/>
    <w:rsid w:val="00D17FFD"/>
    <w:rsid w:val="00D200BA"/>
    <w:rsid w:val="00D21289"/>
    <w:rsid w:val="00D216F3"/>
    <w:rsid w:val="00D21885"/>
    <w:rsid w:val="00D21CAA"/>
    <w:rsid w:val="00D225D7"/>
    <w:rsid w:val="00D227B2"/>
    <w:rsid w:val="00D22B68"/>
    <w:rsid w:val="00D230D3"/>
    <w:rsid w:val="00D243D6"/>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710E"/>
    <w:rsid w:val="00D6031A"/>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6572"/>
    <w:rsid w:val="00D96D39"/>
    <w:rsid w:val="00D96F2C"/>
    <w:rsid w:val="00D97461"/>
    <w:rsid w:val="00D97611"/>
    <w:rsid w:val="00D97E6C"/>
    <w:rsid w:val="00DA0531"/>
    <w:rsid w:val="00DA05C0"/>
    <w:rsid w:val="00DA1A13"/>
    <w:rsid w:val="00DA1BAE"/>
    <w:rsid w:val="00DA206C"/>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84B"/>
    <w:rsid w:val="00DD3DC8"/>
    <w:rsid w:val="00DD4BD9"/>
    <w:rsid w:val="00DD5717"/>
    <w:rsid w:val="00DD5A9D"/>
    <w:rsid w:val="00DD5AD7"/>
    <w:rsid w:val="00DD5CC3"/>
    <w:rsid w:val="00DD5F66"/>
    <w:rsid w:val="00DD645A"/>
    <w:rsid w:val="00DD7293"/>
    <w:rsid w:val="00DD7E57"/>
    <w:rsid w:val="00DE06AA"/>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7EB"/>
    <w:rsid w:val="00DE4C70"/>
    <w:rsid w:val="00DE5404"/>
    <w:rsid w:val="00DE568E"/>
    <w:rsid w:val="00DE5913"/>
    <w:rsid w:val="00DE5FD5"/>
    <w:rsid w:val="00DE65F8"/>
    <w:rsid w:val="00DE6ABA"/>
    <w:rsid w:val="00DE6E02"/>
    <w:rsid w:val="00DE7320"/>
    <w:rsid w:val="00DE77B9"/>
    <w:rsid w:val="00DE78FB"/>
    <w:rsid w:val="00DE7DA2"/>
    <w:rsid w:val="00DE7E51"/>
    <w:rsid w:val="00DF08F7"/>
    <w:rsid w:val="00DF0A2F"/>
    <w:rsid w:val="00DF0B69"/>
    <w:rsid w:val="00DF161C"/>
    <w:rsid w:val="00DF19E9"/>
    <w:rsid w:val="00DF1A0D"/>
    <w:rsid w:val="00DF1BC8"/>
    <w:rsid w:val="00DF216C"/>
    <w:rsid w:val="00DF317C"/>
    <w:rsid w:val="00DF3736"/>
    <w:rsid w:val="00DF397D"/>
    <w:rsid w:val="00DF4680"/>
    <w:rsid w:val="00DF554A"/>
    <w:rsid w:val="00DF631D"/>
    <w:rsid w:val="00DF7200"/>
    <w:rsid w:val="00E00227"/>
    <w:rsid w:val="00E004A7"/>
    <w:rsid w:val="00E00972"/>
    <w:rsid w:val="00E00BD1"/>
    <w:rsid w:val="00E00BE0"/>
    <w:rsid w:val="00E00E4D"/>
    <w:rsid w:val="00E0167F"/>
    <w:rsid w:val="00E01E8B"/>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9B9"/>
    <w:rsid w:val="00E30A90"/>
    <w:rsid w:val="00E3167E"/>
    <w:rsid w:val="00E31C78"/>
    <w:rsid w:val="00E31FA4"/>
    <w:rsid w:val="00E33C0E"/>
    <w:rsid w:val="00E33EBD"/>
    <w:rsid w:val="00E34C85"/>
    <w:rsid w:val="00E34F12"/>
    <w:rsid w:val="00E34FF2"/>
    <w:rsid w:val="00E353D2"/>
    <w:rsid w:val="00E35D4C"/>
    <w:rsid w:val="00E3618C"/>
    <w:rsid w:val="00E36C9D"/>
    <w:rsid w:val="00E373D9"/>
    <w:rsid w:val="00E37B77"/>
    <w:rsid w:val="00E37F92"/>
    <w:rsid w:val="00E40109"/>
    <w:rsid w:val="00E40335"/>
    <w:rsid w:val="00E40A7E"/>
    <w:rsid w:val="00E41110"/>
    <w:rsid w:val="00E419BD"/>
    <w:rsid w:val="00E4200D"/>
    <w:rsid w:val="00E42653"/>
    <w:rsid w:val="00E43318"/>
    <w:rsid w:val="00E454EB"/>
    <w:rsid w:val="00E457D6"/>
    <w:rsid w:val="00E46C30"/>
    <w:rsid w:val="00E47A49"/>
    <w:rsid w:val="00E47B64"/>
    <w:rsid w:val="00E506DE"/>
    <w:rsid w:val="00E50A54"/>
    <w:rsid w:val="00E50AC2"/>
    <w:rsid w:val="00E50FE4"/>
    <w:rsid w:val="00E51627"/>
    <w:rsid w:val="00E5214C"/>
    <w:rsid w:val="00E5219F"/>
    <w:rsid w:val="00E521A3"/>
    <w:rsid w:val="00E521D6"/>
    <w:rsid w:val="00E525BC"/>
    <w:rsid w:val="00E5398D"/>
    <w:rsid w:val="00E53E0A"/>
    <w:rsid w:val="00E54324"/>
    <w:rsid w:val="00E55868"/>
    <w:rsid w:val="00E55EA4"/>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3C4"/>
    <w:rsid w:val="00E6475E"/>
    <w:rsid w:val="00E650BB"/>
    <w:rsid w:val="00E65B0E"/>
    <w:rsid w:val="00E6614C"/>
    <w:rsid w:val="00E66FD4"/>
    <w:rsid w:val="00E67118"/>
    <w:rsid w:val="00E67283"/>
    <w:rsid w:val="00E70662"/>
    <w:rsid w:val="00E70976"/>
    <w:rsid w:val="00E70C1C"/>
    <w:rsid w:val="00E717EC"/>
    <w:rsid w:val="00E72031"/>
    <w:rsid w:val="00E7272A"/>
    <w:rsid w:val="00E73C15"/>
    <w:rsid w:val="00E7421F"/>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E37"/>
    <w:rsid w:val="00EB70D7"/>
    <w:rsid w:val="00EB7C10"/>
    <w:rsid w:val="00EC2405"/>
    <w:rsid w:val="00EC2C24"/>
    <w:rsid w:val="00EC2DFE"/>
    <w:rsid w:val="00EC3A6A"/>
    <w:rsid w:val="00EC3B3E"/>
    <w:rsid w:val="00EC3BCD"/>
    <w:rsid w:val="00EC3E8B"/>
    <w:rsid w:val="00EC4E49"/>
    <w:rsid w:val="00EC4F36"/>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DB0"/>
    <w:rsid w:val="00EF68B2"/>
    <w:rsid w:val="00EF73BD"/>
    <w:rsid w:val="00EF75B9"/>
    <w:rsid w:val="00F00755"/>
    <w:rsid w:val="00F00860"/>
    <w:rsid w:val="00F016DB"/>
    <w:rsid w:val="00F019D8"/>
    <w:rsid w:val="00F01F00"/>
    <w:rsid w:val="00F01FC0"/>
    <w:rsid w:val="00F02F5E"/>
    <w:rsid w:val="00F031A4"/>
    <w:rsid w:val="00F032D7"/>
    <w:rsid w:val="00F038DF"/>
    <w:rsid w:val="00F03B78"/>
    <w:rsid w:val="00F04EB1"/>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AEB"/>
    <w:rsid w:val="00F40B92"/>
    <w:rsid w:val="00F40DD9"/>
    <w:rsid w:val="00F40DEC"/>
    <w:rsid w:val="00F4106F"/>
    <w:rsid w:val="00F41103"/>
    <w:rsid w:val="00F41414"/>
    <w:rsid w:val="00F415D6"/>
    <w:rsid w:val="00F42525"/>
    <w:rsid w:val="00F43B90"/>
    <w:rsid w:val="00F43EFD"/>
    <w:rsid w:val="00F44047"/>
    <w:rsid w:val="00F440A7"/>
    <w:rsid w:val="00F44392"/>
    <w:rsid w:val="00F44BD3"/>
    <w:rsid w:val="00F44D75"/>
    <w:rsid w:val="00F44F12"/>
    <w:rsid w:val="00F4542A"/>
    <w:rsid w:val="00F454CB"/>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DB5"/>
    <w:rsid w:val="00F635CF"/>
    <w:rsid w:val="00F6392C"/>
    <w:rsid w:val="00F63FD7"/>
    <w:rsid w:val="00F6443A"/>
    <w:rsid w:val="00F646CD"/>
    <w:rsid w:val="00F64A9F"/>
    <w:rsid w:val="00F658EA"/>
    <w:rsid w:val="00F65A65"/>
    <w:rsid w:val="00F65EC8"/>
    <w:rsid w:val="00F66195"/>
    <w:rsid w:val="00F6651A"/>
    <w:rsid w:val="00F6672F"/>
    <w:rsid w:val="00F66D9B"/>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51C4"/>
    <w:rsid w:val="00F76246"/>
    <w:rsid w:val="00F766CA"/>
    <w:rsid w:val="00F77010"/>
    <w:rsid w:val="00F771A5"/>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D53"/>
    <w:rsid w:val="00F9037E"/>
    <w:rsid w:val="00F9141C"/>
    <w:rsid w:val="00F92296"/>
    <w:rsid w:val="00F922E6"/>
    <w:rsid w:val="00F928E5"/>
    <w:rsid w:val="00F92A02"/>
    <w:rsid w:val="00F92AD1"/>
    <w:rsid w:val="00F92F22"/>
    <w:rsid w:val="00F93DC0"/>
    <w:rsid w:val="00F94387"/>
    <w:rsid w:val="00F94C40"/>
    <w:rsid w:val="00F95718"/>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C003F"/>
    <w:rsid w:val="00FC05E9"/>
    <w:rsid w:val="00FC0E2D"/>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2013"/>
    <w:rsid w:val="00FE2F7F"/>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B44F8B"/>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A61151"/>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497547"/>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0ED2322"/>
    <w:rsid w:val="113E3458"/>
    <w:rsid w:val="11807745"/>
    <w:rsid w:val="11C101AE"/>
    <w:rsid w:val="11D70154"/>
    <w:rsid w:val="12491BA5"/>
    <w:rsid w:val="12A63CA4"/>
    <w:rsid w:val="12D329F3"/>
    <w:rsid w:val="131C29E9"/>
    <w:rsid w:val="133C549C"/>
    <w:rsid w:val="140164DF"/>
    <w:rsid w:val="140B4870"/>
    <w:rsid w:val="1457366A"/>
    <w:rsid w:val="146C3610"/>
    <w:rsid w:val="14775224"/>
    <w:rsid w:val="14D05CA0"/>
    <w:rsid w:val="14EE06E6"/>
    <w:rsid w:val="1505030B"/>
    <w:rsid w:val="15684492"/>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130CD"/>
    <w:rsid w:val="19376A6C"/>
    <w:rsid w:val="195E736E"/>
    <w:rsid w:val="198310E9"/>
    <w:rsid w:val="19A10856"/>
    <w:rsid w:val="19BA37C2"/>
    <w:rsid w:val="19DA1AF8"/>
    <w:rsid w:val="1A065E3F"/>
    <w:rsid w:val="1A302507"/>
    <w:rsid w:val="1A4768A9"/>
    <w:rsid w:val="1AB339DA"/>
    <w:rsid w:val="1AE81CB5"/>
    <w:rsid w:val="1B0A43E8"/>
    <w:rsid w:val="1B23774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B40D7C"/>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ADF071E"/>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0F1475"/>
    <w:rsid w:val="37103EE5"/>
    <w:rsid w:val="3730221B"/>
    <w:rsid w:val="375176C0"/>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A16606"/>
    <w:rsid w:val="40FD2E2B"/>
    <w:rsid w:val="41831B26"/>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8239AB"/>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5910A8"/>
    <w:rsid w:val="53772781"/>
    <w:rsid w:val="53840791"/>
    <w:rsid w:val="53936BC5"/>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3C6D88"/>
    <w:rsid w:val="73707BF4"/>
    <w:rsid w:val="73C64D7F"/>
    <w:rsid w:val="741D578E"/>
    <w:rsid w:val="74491AD5"/>
    <w:rsid w:val="745F6056"/>
    <w:rsid w:val="748B5DC2"/>
    <w:rsid w:val="74E267D1"/>
    <w:rsid w:val="75011284"/>
    <w:rsid w:val="750C2E98"/>
    <w:rsid w:val="754E280E"/>
    <w:rsid w:val="754E3901"/>
    <w:rsid w:val="75787FC9"/>
    <w:rsid w:val="759926FC"/>
    <w:rsid w:val="75AF26A1"/>
    <w:rsid w:val="75C25F0F"/>
    <w:rsid w:val="75DB69E8"/>
    <w:rsid w:val="75F1698E"/>
    <w:rsid w:val="7647739D"/>
    <w:rsid w:val="76D46C00"/>
    <w:rsid w:val="774B5945"/>
    <w:rsid w:val="77B204A9"/>
    <w:rsid w:val="77CE269B"/>
    <w:rsid w:val="77F53716"/>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AF6ECE"/>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0"/>
    <w:pPr>
      <w:autoSpaceDE w:val="0"/>
      <w:autoSpaceDN w:val="0"/>
      <w:adjustRightInd w:val="0"/>
      <w:jc w:val="left"/>
      <w:outlineLvl w:val="1"/>
    </w:pPr>
    <w:rPr>
      <w:rFonts w:ascii="宋体"/>
      <w:kern w:val="0"/>
      <w:sz w:val="20"/>
    </w:rPr>
  </w:style>
  <w:style w:type="paragraph" w:styleId="4">
    <w:name w:val="heading 3"/>
    <w:basedOn w:val="1"/>
    <w:next w:val="1"/>
    <w:qFormat/>
    <w:uiPriority w:val="0"/>
    <w:pPr>
      <w:spacing w:before="120" w:after="120" w:line="360" w:lineRule="auto"/>
      <w:outlineLvl w:val="2"/>
    </w:pPr>
    <w:rPr>
      <w:rFonts w:ascii="宋体"/>
      <w:b/>
      <w:szCs w:val="20"/>
    </w:rPr>
  </w:style>
  <w:style w:type="paragraph" w:styleId="5">
    <w:name w:val="heading 4"/>
    <w:basedOn w:val="1"/>
    <w:next w:val="1"/>
    <w:qFormat/>
    <w:uiPriority w:val="0"/>
    <w:pPr>
      <w:keepNext/>
      <w:keepLines/>
      <w:spacing w:line="360" w:lineRule="auto"/>
      <w:outlineLvl w:val="3"/>
    </w:pPr>
    <w:rPr>
      <w:rFonts w:ascii="Arial" w:hAnsi="Arial"/>
      <w:szCs w:val="20"/>
    </w:rPr>
  </w:style>
  <w:style w:type="paragraph" w:styleId="6">
    <w:name w:val="heading 5"/>
    <w:basedOn w:val="1"/>
    <w:next w:val="1"/>
    <w:qFormat/>
    <w:uiPriority w:val="0"/>
    <w:pPr>
      <w:keepNext/>
      <w:keepLines/>
      <w:adjustRightInd w:val="0"/>
      <w:snapToGrid w:val="0"/>
      <w:spacing w:line="360" w:lineRule="auto"/>
      <w:outlineLvl w:val="4"/>
    </w:pPr>
    <w:rPr>
      <w:szCs w:val="20"/>
    </w:rPr>
  </w:style>
  <w:style w:type="paragraph" w:styleId="7">
    <w:name w:val="heading 6"/>
    <w:basedOn w:val="1"/>
    <w:next w:val="1"/>
    <w:qFormat/>
    <w:uiPriority w:val="0"/>
    <w:pPr>
      <w:keepNext/>
      <w:keepLines/>
      <w:spacing w:before="240" w:after="64" w:line="320" w:lineRule="auto"/>
      <w:outlineLvl w:val="5"/>
    </w:pPr>
    <w:rPr>
      <w:rFonts w:ascii="Arial" w:hAnsi="Arial" w:eastAsia="黑体"/>
      <w:b/>
      <w:sz w:val="24"/>
      <w:szCs w:val="20"/>
    </w:rPr>
  </w:style>
  <w:style w:type="paragraph" w:styleId="8">
    <w:name w:val="heading 7"/>
    <w:basedOn w:val="1"/>
    <w:next w:val="1"/>
    <w:qFormat/>
    <w:uiPriority w:val="0"/>
    <w:pPr>
      <w:keepNext/>
      <w:keepLines/>
      <w:spacing w:before="240" w:after="64" w:line="320" w:lineRule="auto"/>
      <w:outlineLvl w:val="6"/>
    </w:pPr>
    <w:rPr>
      <w:b/>
      <w:sz w:val="24"/>
      <w:szCs w:val="20"/>
    </w:rPr>
  </w:style>
  <w:style w:type="paragraph" w:styleId="9">
    <w:name w:val="heading 8"/>
    <w:basedOn w:val="1"/>
    <w:next w:val="1"/>
    <w:qFormat/>
    <w:uiPriority w:val="0"/>
    <w:pPr>
      <w:keepNext/>
      <w:keepLines/>
      <w:spacing w:before="240" w:after="64" w:line="320" w:lineRule="auto"/>
      <w:outlineLvl w:val="7"/>
    </w:pPr>
    <w:rPr>
      <w:rFonts w:ascii="Arial" w:hAnsi="Arial" w:eastAsia="黑体"/>
      <w:sz w:val="24"/>
      <w:szCs w:val="20"/>
    </w:rPr>
  </w:style>
  <w:style w:type="paragraph" w:styleId="10">
    <w:name w:val="heading 9"/>
    <w:basedOn w:val="1"/>
    <w:next w:val="1"/>
    <w:qFormat/>
    <w:uiPriority w:val="0"/>
    <w:pPr>
      <w:keepNext/>
      <w:keepLines/>
      <w:spacing w:before="240" w:after="64" w:line="320" w:lineRule="auto"/>
      <w:outlineLvl w:val="8"/>
    </w:pPr>
    <w:rPr>
      <w:rFonts w:ascii="Arial" w:hAnsi="Arial" w:eastAsia="黑体"/>
      <w:szCs w:val="20"/>
    </w:rPr>
  </w:style>
  <w:style w:type="character" w:default="1" w:styleId="27">
    <w:name w:val="Default Paragraph Font"/>
    <w:unhideWhenUsed/>
    <w:qFormat/>
    <w:uiPriority w:val="1"/>
  </w:style>
  <w:style w:type="table" w:default="1" w:styleId="33">
    <w:name w:val="Normal Table"/>
    <w:unhideWhenUsed/>
    <w:qFormat/>
    <w:uiPriority w:val="99"/>
    <w:tblPr>
      <w:tblLayout w:type="fixed"/>
      <w:tblCellMar>
        <w:top w:w="0" w:type="dxa"/>
        <w:left w:w="108" w:type="dxa"/>
        <w:bottom w:w="0" w:type="dxa"/>
        <w:right w:w="108" w:type="dxa"/>
      </w:tblCellMar>
    </w:tblPr>
  </w:style>
  <w:style w:type="paragraph" w:styleId="11">
    <w:name w:val="annotation subject"/>
    <w:basedOn w:val="12"/>
    <w:next w:val="12"/>
    <w:semiHidden/>
    <w:qFormat/>
    <w:uiPriority w:val="0"/>
    <w:rPr>
      <w:b/>
      <w:bCs/>
    </w:rPr>
  </w:style>
  <w:style w:type="paragraph" w:styleId="12">
    <w:name w:val="annotation text"/>
    <w:basedOn w:val="1"/>
    <w:link w:val="38"/>
    <w:qFormat/>
    <w:uiPriority w:val="99"/>
    <w:pPr>
      <w:jc w:val="left"/>
    </w:pPr>
  </w:style>
  <w:style w:type="paragraph" w:styleId="13">
    <w:name w:val="Normal Indent"/>
    <w:basedOn w:val="1"/>
    <w:qFormat/>
    <w:uiPriority w:val="0"/>
    <w:pPr>
      <w:ind w:firstLine="420"/>
    </w:pPr>
    <w:rPr>
      <w:szCs w:val="20"/>
    </w:rPr>
  </w:style>
  <w:style w:type="paragraph" w:styleId="14">
    <w:name w:val="Document Map"/>
    <w:basedOn w:val="1"/>
    <w:semiHidden/>
    <w:qFormat/>
    <w:uiPriority w:val="0"/>
    <w:pPr>
      <w:shd w:val="clear" w:color="auto" w:fill="000080"/>
    </w:pPr>
  </w:style>
  <w:style w:type="paragraph" w:styleId="15">
    <w:name w:val="Body Text"/>
    <w:basedOn w:val="1"/>
    <w:qFormat/>
    <w:uiPriority w:val="0"/>
    <w:pPr>
      <w:spacing w:after="120"/>
    </w:pPr>
  </w:style>
  <w:style w:type="paragraph" w:styleId="16">
    <w:name w:val="Body Text Indent"/>
    <w:basedOn w:val="1"/>
    <w:link w:val="41"/>
    <w:qFormat/>
    <w:uiPriority w:val="0"/>
    <w:pPr>
      <w:spacing w:after="120"/>
      <w:ind w:left="420" w:leftChars="200"/>
    </w:pPr>
  </w:style>
  <w:style w:type="paragraph" w:styleId="17">
    <w:name w:val="Plain Text"/>
    <w:basedOn w:val="1"/>
    <w:link w:val="70"/>
    <w:qFormat/>
    <w:uiPriority w:val="0"/>
    <w:rPr>
      <w:rFonts w:ascii="宋体" w:hAnsi="Courier New"/>
      <w:szCs w:val="21"/>
    </w:rPr>
  </w:style>
  <w:style w:type="paragraph" w:styleId="18">
    <w:name w:val="Body Text Indent 2"/>
    <w:basedOn w:val="1"/>
    <w:qFormat/>
    <w:uiPriority w:val="0"/>
    <w:pPr>
      <w:autoSpaceDE w:val="0"/>
      <w:autoSpaceDN w:val="0"/>
      <w:adjustRightInd w:val="0"/>
      <w:spacing w:line="360" w:lineRule="auto"/>
      <w:ind w:firstLine="420" w:firstLineChars="200"/>
    </w:pPr>
    <w:rPr>
      <w:rFonts w:ascii="宋体" w:hAnsi="宋体"/>
      <w:color w:val="0000FF"/>
    </w:rPr>
  </w:style>
  <w:style w:type="paragraph" w:styleId="19">
    <w:name w:val="Balloon Text"/>
    <w:basedOn w:val="1"/>
    <w:semiHidden/>
    <w:qFormat/>
    <w:uiPriority w:val="0"/>
    <w:rPr>
      <w:sz w:val="18"/>
      <w:szCs w:val="18"/>
    </w:rPr>
  </w:style>
  <w:style w:type="paragraph" w:styleId="20">
    <w:name w:val="footer"/>
    <w:basedOn w:val="1"/>
    <w:link w:val="42"/>
    <w:qFormat/>
    <w:uiPriority w:val="99"/>
    <w:pPr>
      <w:tabs>
        <w:tab w:val="center" w:pos="4153"/>
        <w:tab w:val="right" w:pos="8306"/>
      </w:tabs>
      <w:snapToGrid w:val="0"/>
      <w:jc w:val="left"/>
    </w:pPr>
    <w:rPr>
      <w:sz w:val="18"/>
      <w:szCs w:val="18"/>
    </w:rPr>
  </w:style>
  <w:style w:type="paragraph" w:styleId="2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2">
    <w:name w:val="toc 1"/>
    <w:basedOn w:val="1"/>
    <w:next w:val="1"/>
    <w:qFormat/>
    <w:uiPriority w:val="39"/>
    <w:pPr>
      <w:tabs>
        <w:tab w:val="right" w:leader="dot" w:pos="8630"/>
      </w:tabs>
      <w:spacing w:before="120" w:after="120" w:line="360" w:lineRule="auto"/>
      <w:jc w:val="left"/>
    </w:pPr>
    <w:rPr>
      <w:b/>
      <w:bCs/>
      <w:caps/>
      <w:sz w:val="20"/>
      <w:szCs w:val="20"/>
    </w:rPr>
  </w:style>
  <w:style w:type="paragraph" w:styleId="23">
    <w:name w:val="Body Text Indent 3"/>
    <w:basedOn w:val="1"/>
    <w:qFormat/>
    <w:uiPriority w:val="0"/>
    <w:pPr>
      <w:spacing w:after="120"/>
      <w:ind w:left="420" w:leftChars="200"/>
    </w:pPr>
    <w:rPr>
      <w:sz w:val="16"/>
      <w:szCs w:val="16"/>
    </w:rPr>
  </w:style>
  <w:style w:type="paragraph" w:styleId="24">
    <w:name w:val="Body Text 2"/>
    <w:basedOn w:val="1"/>
    <w:qFormat/>
    <w:uiPriority w:val="0"/>
    <w:pPr>
      <w:spacing w:after="120" w:line="480" w:lineRule="auto"/>
    </w:pPr>
  </w:style>
  <w:style w:type="paragraph" w:styleId="25">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26">
    <w:name w:val="Title"/>
    <w:basedOn w:val="1"/>
    <w:qFormat/>
    <w:uiPriority w:val="0"/>
    <w:pPr>
      <w:spacing w:before="240" w:after="60"/>
      <w:jc w:val="center"/>
      <w:outlineLvl w:val="0"/>
    </w:pPr>
    <w:rPr>
      <w:rFonts w:ascii="Arial" w:hAnsi="Arial" w:cs="Arial"/>
      <w:b/>
      <w:bCs/>
      <w:sz w:val="32"/>
      <w:szCs w:val="32"/>
    </w:rPr>
  </w:style>
  <w:style w:type="character" w:styleId="28">
    <w:name w:val="Strong"/>
    <w:basedOn w:val="27"/>
    <w:qFormat/>
    <w:uiPriority w:val="22"/>
    <w:rPr>
      <w:b/>
      <w:bCs/>
    </w:rPr>
  </w:style>
  <w:style w:type="character" w:styleId="29">
    <w:name w:val="page number"/>
    <w:basedOn w:val="27"/>
    <w:qFormat/>
    <w:uiPriority w:val="0"/>
  </w:style>
  <w:style w:type="character" w:styleId="30">
    <w:name w:val="FollowedHyperlink"/>
    <w:qFormat/>
    <w:uiPriority w:val="0"/>
    <w:rPr>
      <w:color w:val="800080"/>
      <w:u w:val="single"/>
    </w:rPr>
  </w:style>
  <w:style w:type="character" w:styleId="31">
    <w:name w:val="Hyperlink"/>
    <w:qFormat/>
    <w:uiPriority w:val="99"/>
    <w:rPr>
      <w:color w:val="0000FF"/>
      <w:u w:val="single"/>
    </w:rPr>
  </w:style>
  <w:style w:type="character" w:styleId="32">
    <w:name w:val="annotation reference"/>
    <w:qFormat/>
    <w:uiPriority w:val="99"/>
    <w:rPr>
      <w:sz w:val="21"/>
      <w:szCs w:val="21"/>
    </w:rPr>
  </w:style>
  <w:style w:type="table" w:styleId="34">
    <w:name w:val="Table Grid"/>
    <w:basedOn w:val="3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35">
    <w:name w:val="read"/>
    <w:basedOn w:val="27"/>
    <w:qFormat/>
    <w:uiPriority w:val="0"/>
  </w:style>
  <w:style w:type="character" w:customStyle="1" w:styleId="36">
    <w:name w:val="标题 1 Char"/>
    <w:link w:val="2"/>
    <w:qFormat/>
    <w:uiPriority w:val="9"/>
    <w:rPr>
      <w:rFonts w:eastAsia="宋体"/>
      <w:b/>
      <w:bCs/>
      <w:kern w:val="44"/>
      <w:sz w:val="44"/>
      <w:szCs w:val="44"/>
      <w:lang w:val="en-US" w:eastAsia="zh-CN" w:bidi="ar-SA"/>
    </w:rPr>
  </w:style>
  <w:style w:type="character" w:customStyle="1" w:styleId="37">
    <w:name w:val="tt11"/>
    <w:qFormat/>
    <w:uiPriority w:val="0"/>
    <w:rPr>
      <w:sz w:val="22"/>
      <w:szCs w:val="22"/>
    </w:rPr>
  </w:style>
  <w:style w:type="character" w:customStyle="1" w:styleId="38">
    <w:name w:val="批注文字 Char"/>
    <w:link w:val="12"/>
    <w:qFormat/>
    <w:uiPriority w:val="0"/>
    <w:rPr>
      <w:kern w:val="2"/>
      <w:sz w:val="21"/>
      <w:szCs w:val="24"/>
    </w:rPr>
  </w:style>
  <w:style w:type="character" w:customStyle="1" w:styleId="39">
    <w:name w:val="big1"/>
    <w:qFormat/>
    <w:uiPriority w:val="0"/>
    <w:rPr>
      <w:sz w:val="22"/>
      <w:szCs w:val="22"/>
    </w:rPr>
  </w:style>
  <w:style w:type="character" w:customStyle="1" w:styleId="40">
    <w:name w:val="unnamed11"/>
    <w:qFormat/>
    <w:uiPriority w:val="0"/>
    <w:rPr>
      <w:rFonts w:hint="eastAsia" w:ascii="宋体" w:hAnsi="宋体" w:eastAsia="宋体"/>
      <w:sz w:val="18"/>
      <w:szCs w:val="18"/>
    </w:rPr>
  </w:style>
  <w:style w:type="character" w:customStyle="1" w:styleId="41">
    <w:name w:val="正文文本缩进 Char"/>
    <w:link w:val="16"/>
    <w:qFormat/>
    <w:uiPriority w:val="0"/>
    <w:rPr>
      <w:kern w:val="2"/>
      <w:sz w:val="21"/>
      <w:szCs w:val="24"/>
    </w:rPr>
  </w:style>
  <w:style w:type="character" w:customStyle="1" w:styleId="42">
    <w:name w:val="页脚 Char"/>
    <w:link w:val="20"/>
    <w:qFormat/>
    <w:uiPriority w:val="99"/>
    <w:rPr>
      <w:kern w:val="2"/>
      <w:sz w:val="18"/>
      <w:szCs w:val="18"/>
    </w:rPr>
  </w:style>
  <w:style w:type="paragraph" w:customStyle="1" w:styleId="43">
    <w:name w:val="Level 3"/>
    <w:basedOn w:val="1"/>
    <w:qFormat/>
    <w:uiPriority w:val="0"/>
    <w:pPr>
      <w:widowControl/>
      <w:numPr>
        <w:ilvl w:val="2"/>
        <w:numId w:val="1"/>
      </w:numPr>
      <w:spacing w:after="140" w:line="290" w:lineRule="auto"/>
      <w:outlineLvl w:val="2"/>
    </w:pPr>
    <w:rPr>
      <w:rFonts w:ascii="Arial" w:hAnsi="Arial"/>
      <w:kern w:val="20"/>
      <w:sz w:val="20"/>
      <w:lang w:val="en-GB" w:eastAsia="en-US"/>
    </w:rPr>
  </w:style>
  <w:style w:type="paragraph" w:customStyle="1" w:styleId="44">
    <w:name w:val="默认段落字体 Para Char Char Char Char Char Char Char"/>
    <w:basedOn w:val="1"/>
    <w:qFormat/>
    <w:uiPriority w:val="0"/>
    <w:pPr>
      <w:widowControl/>
      <w:jc w:val="left"/>
    </w:pPr>
    <w:rPr>
      <w:rFonts w:ascii="Tahoma" w:hAnsi="Tahoma"/>
      <w:color w:val="000000"/>
      <w:kern w:val="0"/>
      <w:sz w:val="24"/>
      <w:szCs w:val="20"/>
    </w:rPr>
  </w:style>
  <w:style w:type="paragraph" w:customStyle="1" w:styleId="45">
    <w:name w:val="Char2"/>
    <w:basedOn w:val="1"/>
    <w:qFormat/>
    <w:uiPriority w:val="0"/>
  </w:style>
  <w:style w:type="paragraph" w:customStyle="1" w:styleId="46">
    <w:name w:val="Level 5"/>
    <w:basedOn w:val="1"/>
    <w:qFormat/>
    <w:uiPriority w:val="0"/>
    <w:pPr>
      <w:widowControl/>
      <w:numPr>
        <w:ilvl w:val="4"/>
        <w:numId w:val="1"/>
      </w:numPr>
      <w:spacing w:after="140" w:line="290" w:lineRule="auto"/>
      <w:outlineLvl w:val="4"/>
    </w:pPr>
    <w:rPr>
      <w:rFonts w:ascii="Arial" w:hAnsi="Arial"/>
      <w:kern w:val="20"/>
      <w:sz w:val="20"/>
      <w:lang w:val="en-GB" w:eastAsia="en-US"/>
    </w:rPr>
  </w:style>
  <w:style w:type="paragraph" w:customStyle="1" w:styleId="47">
    <w:name w:val="Level 1"/>
    <w:basedOn w:val="1"/>
    <w:qFormat/>
    <w:uiPriority w:val="0"/>
    <w:pPr>
      <w:widowControl/>
      <w:numPr>
        <w:ilvl w:val="0"/>
        <w:numId w:val="1"/>
      </w:numPr>
      <w:spacing w:after="140" w:line="290" w:lineRule="auto"/>
      <w:outlineLvl w:val="0"/>
    </w:pPr>
    <w:rPr>
      <w:rFonts w:ascii="Arial" w:hAnsi="Arial"/>
      <w:kern w:val="20"/>
      <w:sz w:val="20"/>
      <w:lang w:val="en-GB" w:eastAsia="en-US"/>
    </w:rPr>
  </w:style>
  <w:style w:type="paragraph" w:customStyle="1" w:styleId="48">
    <w:name w:val="Char Char Char Char"/>
    <w:basedOn w:val="1"/>
    <w:qFormat/>
    <w:uiPriority w:val="0"/>
    <w:pPr>
      <w:tabs>
        <w:tab w:val="left" w:pos="360"/>
      </w:tabs>
    </w:pPr>
    <w:rPr>
      <w:sz w:val="24"/>
    </w:rPr>
  </w:style>
  <w:style w:type="paragraph" w:customStyle="1" w:styleId="49">
    <w:name w:val="修订1"/>
    <w:semiHidden/>
    <w:qFormat/>
    <w:uiPriority w:val="99"/>
    <w:rPr>
      <w:rFonts w:ascii="Times New Roman" w:hAnsi="Times New Roman" w:eastAsia="宋体" w:cs="Times New Roman"/>
      <w:kern w:val="2"/>
      <w:sz w:val="21"/>
      <w:szCs w:val="24"/>
      <w:lang w:val="en-US" w:eastAsia="zh-CN" w:bidi="ar-SA"/>
    </w:rPr>
  </w:style>
  <w:style w:type="paragraph" w:customStyle="1" w:styleId="50">
    <w:name w:val="正文所"/>
    <w:basedOn w:val="1"/>
    <w:qFormat/>
    <w:uiPriority w:val="0"/>
    <w:pPr>
      <w:spacing w:line="360" w:lineRule="auto"/>
      <w:ind w:firstLine="420" w:firstLineChars="200"/>
    </w:pPr>
    <w:rPr>
      <w:rFonts w:ascii="宋体"/>
      <w:szCs w:val="20"/>
    </w:rPr>
  </w:style>
  <w:style w:type="paragraph" w:customStyle="1" w:styleId="51">
    <w:name w:val="Level 9"/>
    <w:basedOn w:val="1"/>
    <w:qFormat/>
    <w:uiPriority w:val="0"/>
    <w:pPr>
      <w:widowControl/>
      <w:numPr>
        <w:ilvl w:val="8"/>
        <w:numId w:val="1"/>
      </w:numPr>
      <w:spacing w:after="140" w:line="290" w:lineRule="auto"/>
      <w:outlineLvl w:val="8"/>
    </w:pPr>
    <w:rPr>
      <w:rFonts w:ascii="Arial" w:hAnsi="Arial"/>
      <w:kern w:val="20"/>
      <w:sz w:val="20"/>
      <w:lang w:val="en-GB" w:eastAsia="en-US"/>
    </w:rPr>
  </w:style>
  <w:style w:type="paragraph" w:customStyle="1" w:styleId="52">
    <w:name w:val="样式 宋体 四号 行距: 1.5 倍行距"/>
    <w:basedOn w:val="1"/>
    <w:qFormat/>
    <w:uiPriority w:val="0"/>
    <w:pPr>
      <w:spacing w:line="360" w:lineRule="auto"/>
    </w:pPr>
    <w:rPr>
      <w:rFonts w:ascii="宋体" w:hAnsi="宋体"/>
      <w:sz w:val="24"/>
      <w:szCs w:val="20"/>
    </w:rPr>
  </w:style>
  <w:style w:type="paragraph" w:customStyle="1" w:styleId="53">
    <w:name w:val="默认段落字体 Para Char"/>
    <w:basedOn w:val="1"/>
    <w:qFormat/>
    <w:uiPriority w:val="0"/>
    <w:pPr>
      <w:tabs>
        <w:tab w:val="left" w:pos="840"/>
      </w:tabs>
      <w:ind w:left="840" w:hanging="420"/>
    </w:pPr>
    <w:rPr>
      <w:sz w:val="24"/>
    </w:rPr>
  </w:style>
  <w:style w:type="paragraph" w:customStyle="1" w:styleId="54">
    <w:name w:val="Level 7"/>
    <w:basedOn w:val="1"/>
    <w:qFormat/>
    <w:uiPriority w:val="0"/>
    <w:pPr>
      <w:widowControl/>
      <w:numPr>
        <w:ilvl w:val="6"/>
        <w:numId w:val="1"/>
      </w:numPr>
      <w:spacing w:after="140" w:line="290" w:lineRule="auto"/>
      <w:outlineLvl w:val="6"/>
    </w:pPr>
    <w:rPr>
      <w:rFonts w:ascii="Arial" w:hAnsi="Arial"/>
      <w:kern w:val="20"/>
      <w:sz w:val="20"/>
      <w:lang w:val="en-GB" w:eastAsia="en-US"/>
    </w:rPr>
  </w:style>
  <w:style w:type="paragraph" w:customStyle="1" w:styleId="55">
    <w:name w:val="Level 6"/>
    <w:basedOn w:val="1"/>
    <w:qFormat/>
    <w:uiPriority w:val="0"/>
    <w:pPr>
      <w:widowControl/>
      <w:numPr>
        <w:ilvl w:val="5"/>
        <w:numId w:val="1"/>
      </w:numPr>
      <w:spacing w:after="140" w:line="290" w:lineRule="auto"/>
      <w:outlineLvl w:val="5"/>
    </w:pPr>
    <w:rPr>
      <w:rFonts w:ascii="Arial" w:hAnsi="Arial"/>
      <w:kern w:val="20"/>
      <w:sz w:val="20"/>
      <w:lang w:val="en-GB" w:eastAsia="en-US"/>
    </w:rPr>
  </w:style>
  <w:style w:type="paragraph" w:customStyle="1" w:styleId="56">
    <w:name w:val="列表2"/>
    <w:basedOn w:val="1"/>
    <w:next w:val="26"/>
    <w:qFormat/>
    <w:uiPriority w:val="0"/>
    <w:pPr>
      <w:numPr>
        <w:ilvl w:val="0"/>
        <w:numId w:val="2"/>
      </w:numPr>
      <w:spacing w:line="360" w:lineRule="auto"/>
    </w:pPr>
    <w:rPr>
      <w:rFonts w:ascii="宋体"/>
      <w:szCs w:val="20"/>
    </w:rPr>
  </w:style>
  <w:style w:type="paragraph" w:customStyle="1" w:styleId="57">
    <w:name w:val="Level 2"/>
    <w:basedOn w:val="1"/>
    <w:qFormat/>
    <w:uiPriority w:val="0"/>
    <w:pPr>
      <w:widowControl/>
      <w:numPr>
        <w:ilvl w:val="1"/>
        <w:numId w:val="1"/>
      </w:numPr>
      <w:spacing w:after="140" w:line="290" w:lineRule="auto"/>
      <w:outlineLvl w:val="1"/>
    </w:pPr>
    <w:rPr>
      <w:rFonts w:ascii="Arial" w:hAnsi="Arial"/>
      <w:kern w:val="20"/>
      <w:sz w:val="20"/>
      <w:lang w:val="en-GB" w:eastAsia="en-US"/>
    </w:rPr>
  </w:style>
  <w:style w:type="paragraph" w:customStyle="1" w:styleId="58">
    <w:name w:val="Char Char Char Char1"/>
    <w:basedOn w:val="1"/>
    <w:qFormat/>
    <w:uiPriority w:val="0"/>
    <w:pPr>
      <w:tabs>
        <w:tab w:val="left" w:pos="360"/>
      </w:tabs>
    </w:pPr>
    <w:rPr>
      <w:sz w:val="24"/>
    </w:rPr>
  </w:style>
  <w:style w:type="paragraph" w:customStyle="1" w:styleId="59">
    <w:name w:val="Char Char"/>
    <w:basedOn w:val="1"/>
    <w:qFormat/>
    <w:uiPriority w:val="0"/>
    <w:rPr>
      <w:szCs w:val="20"/>
    </w:rPr>
  </w:style>
  <w:style w:type="paragraph" w:customStyle="1" w:styleId="60">
    <w:name w:val="正文1"/>
    <w:basedOn w:val="1"/>
    <w:qFormat/>
    <w:uiPriority w:val="0"/>
    <w:pPr>
      <w:spacing w:line="360" w:lineRule="auto"/>
      <w:ind w:firstLine="200" w:firstLineChars="200"/>
    </w:pPr>
    <w:rPr>
      <w:rFonts w:cs="宋体"/>
      <w:szCs w:val="20"/>
    </w:rPr>
  </w:style>
  <w:style w:type="paragraph" w:customStyle="1" w:styleId="61">
    <w:name w:val="默认段落字体 Para Char Char Char Char Char Char Char Char Char Char Char Char"/>
    <w:basedOn w:val="1"/>
    <w:qFormat/>
    <w:uiPriority w:val="0"/>
    <w:pPr>
      <w:tabs>
        <w:tab w:val="left" w:pos="840"/>
      </w:tabs>
      <w:ind w:left="840" w:hanging="360"/>
    </w:pPr>
    <w:rPr>
      <w:sz w:val="24"/>
    </w:rPr>
  </w:style>
  <w:style w:type="paragraph" w:customStyle="1" w:styleId="6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3">
    <w:name w:val="Level 8"/>
    <w:basedOn w:val="1"/>
    <w:qFormat/>
    <w:uiPriority w:val="0"/>
    <w:pPr>
      <w:widowControl/>
      <w:numPr>
        <w:ilvl w:val="7"/>
        <w:numId w:val="1"/>
      </w:numPr>
      <w:spacing w:after="140" w:line="290" w:lineRule="auto"/>
      <w:outlineLvl w:val="7"/>
    </w:pPr>
    <w:rPr>
      <w:rFonts w:ascii="Arial" w:hAnsi="Arial"/>
      <w:kern w:val="20"/>
      <w:sz w:val="20"/>
      <w:lang w:val="en-GB" w:eastAsia="en-US"/>
    </w:rPr>
  </w:style>
  <w:style w:type="paragraph" w:customStyle="1" w:styleId="64">
    <w:name w:val="Char"/>
    <w:basedOn w:val="1"/>
    <w:qFormat/>
    <w:uiPriority w:val="0"/>
  </w:style>
  <w:style w:type="paragraph" w:customStyle="1" w:styleId="65">
    <w:name w:val="正文正文"/>
    <w:basedOn w:val="1"/>
    <w:qFormat/>
    <w:uiPriority w:val="0"/>
    <w:pPr>
      <w:spacing w:afterLines="25" w:line="360" w:lineRule="auto"/>
      <w:ind w:firstLine="200" w:firstLineChars="200"/>
    </w:pPr>
    <w:rPr>
      <w:sz w:val="24"/>
    </w:rPr>
  </w:style>
  <w:style w:type="paragraph" w:customStyle="1" w:styleId="66">
    <w:name w:val="xl25"/>
    <w:basedOn w:val="1"/>
    <w:qFormat/>
    <w:uiPriority w:val="0"/>
    <w:pPr>
      <w:widowControl/>
      <w:pBdr>
        <w:bottom w:val="single" w:color="auto" w:sz="4" w:space="0"/>
        <w:right w:val="single" w:color="auto" w:sz="4" w:space="0"/>
      </w:pBdr>
      <w:spacing w:before="100" w:beforeAutospacing="1" w:after="100" w:afterAutospacing="1"/>
      <w:jc w:val="center"/>
    </w:pPr>
    <w:rPr>
      <w:rFonts w:eastAsia="Arial Unicode MS"/>
      <w:kern w:val="0"/>
      <w:szCs w:val="21"/>
    </w:rPr>
  </w:style>
  <w:style w:type="paragraph" w:customStyle="1" w:styleId="67">
    <w:name w:val="产品方案正文080318"/>
    <w:basedOn w:val="1"/>
    <w:next w:val="1"/>
    <w:qFormat/>
    <w:uiPriority w:val="0"/>
    <w:pPr>
      <w:autoSpaceDE w:val="0"/>
      <w:autoSpaceDN w:val="0"/>
      <w:adjustRightInd w:val="0"/>
      <w:jc w:val="left"/>
    </w:pPr>
    <w:rPr>
      <w:rFonts w:ascii="宋体"/>
      <w:kern w:val="0"/>
      <w:sz w:val="24"/>
    </w:rPr>
  </w:style>
  <w:style w:type="paragraph" w:customStyle="1" w:styleId="68">
    <w:name w:val="第三级标题"/>
    <w:basedOn w:val="65"/>
    <w:next w:val="65"/>
    <w:qFormat/>
    <w:uiPriority w:val="0"/>
    <w:pPr>
      <w:keepNext/>
      <w:outlineLvl w:val="2"/>
    </w:pPr>
    <w:rPr>
      <w:b/>
    </w:rPr>
  </w:style>
  <w:style w:type="paragraph" w:customStyle="1" w:styleId="69">
    <w:name w:val="无间隔1"/>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70">
    <w:name w:val="纯文本 Char"/>
    <w:link w:val="17"/>
    <w:qFormat/>
    <w:uiPriority w:val="0"/>
    <w:rPr>
      <w:rFonts w:ascii="宋体" w:hAnsi="Courier New"/>
      <w:kern w:val="2"/>
      <w:sz w:val="21"/>
      <w:szCs w:val="21"/>
    </w:rPr>
  </w:style>
  <w:style w:type="paragraph" w:customStyle="1" w:styleId="71">
    <w:name w:val="列出段落1"/>
    <w:basedOn w:val="1"/>
    <w:qFormat/>
    <w:uiPriority w:val="99"/>
    <w:pPr>
      <w:ind w:firstLine="420" w:firstLineChars="200"/>
    </w:pPr>
  </w:style>
  <w:style w:type="character" w:customStyle="1" w:styleId="72">
    <w:name w:val="apple-converted-space"/>
    <w:basedOn w:val="27"/>
    <w:qFormat/>
    <w:uiPriority w:val="0"/>
  </w:style>
  <w:style w:type="paragraph" w:customStyle="1" w:styleId="73">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74">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7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76">
    <w:name w:val="disabled"/>
    <w:basedOn w:val="27"/>
    <w:uiPriority w:val="0"/>
    <w:rPr>
      <w:color w:val="888888"/>
    </w:rPr>
  </w:style>
  <w:style w:type="character" w:customStyle="1" w:styleId="77">
    <w:name w:val="ft_time"/>
    <w:basedOn w:val="27"/>
    <w:qFormat/>
    <w:uiPriority w:val="0"/>
    <w:rPr>
      <w:color w:val="88888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emf"/><Relationship Id="rId6" Type="http://schemas.openxmlformats.org/officeDocument/2006/relationships/image" Target="media/image1.emf"/><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EEF4D3F-B4DB-4150-91E2-3A461EB81C55}">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121</Pages>
  <Words>12365</Words>
  <Characters>70481</Characters>
  <Lines>587</Lines>
  <Paragraphs>165</Paragraphs>
  <ScaleCrop>false</ScaleCrop>
  <LinksUpToDate>false</LinksUpToDate>
  <CharactersWithSpaces>82681</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2017-06-12T09:34:00Z</dcterms:created>
  <dc:creator>tangkaiyue</dc:creator>
  <cp:lastModifiedBy>ZHANGFANG</cp:lastModifiedBy>
  <cp:lastPrinted>2016-08-24T01:43:00Z</cp:lastPrinted>
  <dcterms:modified xsi:type="dcterms:W3CDTF">2017-07-05T08:16:08Z</dcterms:modified>
  <dc:title>富荣货币市场基金</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