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7026B8" w:rsidP="007026B8">
      <w:pPr>
        <w:spacing w:beforeLines="50" w:before="120"/>
        <w:jc w:val="center"/>
        <w:rPr>
          <w:rFonts w:ascii="宋体" w:hAnsi="宋体" w:cs="宋体"/>
          <w:b/>
          <w:sz w:val="52"/>
          <w:szCs w:val="52"/>
        </w:rPr>
      </w:pPr>
      <w:bookmarkStart w:id="0" w:name="_Toc88969212"/>
      <w:r w:rsidRPr="007026B8">
        <w:rPr>
          <w:rFonts w:ascii="宋体" w:hAnsi="宋体" w:cs="宋体" w:hint="eastAsia"/>
          <w:b/>
          <w:sz w:val="52"/>
          <w:szCs w:val="52"/>
        </w:rPr>
        <w:t>富荣富</w:t>
      </w:r>
      <w:proofErr w:type="gramStart"/>
      <w:r w:rsidRPr="007026B8">
        <w:rPr>
          <w:rFonts w:ascii="宋体" w:hAnsi="宋体" w:cs="宋体" w:hint="eastAsia"/>
          <w:b/>
          <w:sz w:val="52"/>
          <w:szCs w:val="52"/>
        </w:rPr>
        <w:t>兴纯债</w:t>
      </w:r>
      <w:proofErr w:type="gramEnd"/>
      <w:r w:rsidRPr="007026B8">
        <w:rPr>
          <w:rFonts w:ascii="宋体" w:hAnsi="宋体" w:cs="宋体" w:hint="eastAsia"/>
          <w:b/>
          <w:sz w:val="52"/>
          <w:szCs w:val="52"/>
        </w:rPr>
        <w:t>债券型证券投资基金</w:t>
      </w:r>
      <w:r>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（2017年第1号）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45798E" w:rsidRDefault="007026B8" w:rsidP="007026B8">
      <w:pPr>
        <w:spacing w:beforeLines="50" w:before="120"/>
        <w:jc w:val="center"/>
        <w:rPr>
          <w:b/>
          <w:sz w:val="36"/>
          <w:szCs w:val="20"/>
        </w:rPr>
      </w:pPr>
      <w:r>
        <w:rPr>
          <w:rFonts w:hint="eastAsia"/>
          <w:b/>
          <w:sz w:val="36"/>
          <w:szCs w:val="20"/>
        </w:rPr>
        <w:t>基金托管人：</w:t>
      </w:r>
      <w:r w:rsidRPr="007026B8">
        <w:rPr>
          <w:rFonts w:hint="eastAsia"/>
          <w:b/>
          <w:sz w:val="36"/>
          <w:szCs w:val="20"/>
        </w:rPr>
        <w:t>包商银行股份有限公司</w:t>
      </w:r>
    </w:p>
    <w:p w:rsidR="0045798E" w:rsidRDefault="007026B8" w:rsidP="007026B8">
      <w:pPr>
        <w:spacing w:beforeLines="50" w:before="120" w:line="360" w:lineRule="auto"/>
        <w:jc w:val="center"/>
        <w:rPr>
          <w:b/>
          <w:sz w:val="36"/>
          <w:szCs w:val="20"/>
        </w:rPr>
      </w:pPr>
      <w:r>
        <w:rPr>
          <w:rFonts w:hint="eastAsia"/>
          <w:b/>
          <w:sz w:val="36"/>
          <w:szCs w:val="20"/>
        </w:rPr>
        <w:t>二零一七年</w:t>
      </w:r>
      <w:r w:rsidR="0012675A">
        <w:rPr>
          <w:rFonts w:hint="eastAsia"/>
          <w:b/>
          <w:sz w:val="36"/>
          <w:szCs w:val="20"/>
        </w:rPr>
        <w:t>十</w:t>
      </w:r>
      <w:r>
        <w:rPr>
          <w:rFonts w:hint="eastAsia"/>
          <w:b/>
          <w:sz w:val="36"/>
          <w:szCs w:val="20"/>
        </w:rPr>
        <w:t>月</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1</w:t>
      </w:r>
      <w:r w:rsidRPr="001050ED">
        <w:rPr>
          <w:rFonts w:ascii="Arial Unicode MS" w:hAnsi="Arial Unicode MS" w:cs="Arial" w:hint="eastAsia"/>
          <w:sz w:val="24"/>
        </w:rPr>
        <w:t>、本基金根据</w:t>
      </w:r>
      <w:r w:rsidRPr="001050ED">
        <w:rPr>
          <w:rFonts w:ascii="Arial Unicode MS" w:hAnsi="Arial Unicode MS" w:cs="Arial"/>
          <w:sz w:val="24"/>
        </w:rPr>
        <w:t>2016</w:t>
      </w:r>
      <w:r w:rsidRPr="001050ED">
        <w:rPr>
          <w:rFonts w:ascii="Arial Unicode MS" w:hAnsi="Arial Unicode MS" w:cs="Arial" w:hint="eastAsia"/>
          <w:sz w:val="24"/>
        </w:rPr>
        <w:t>年</w:t>
      </w:r>
      <w:r w:rsidRPr="001050ED">
        <w:rPr>
          <w:rFonts w:ascii="Arial Unicode MS" w:hAnsi="Arial Unicode MS" w:cs="Arial"/>
          <w:sz w:val="24"/>
        </w:rPr>
        <w:t>11</w:t>
      </w:r>
      <w:r w:rsidRPr="001050ED">
        <w:rPr>
          <w:rFonts w:ascii="Arial Unicode MS" w:hAnsi="Arial Unicode MS" w:cs="Arial" w:hint="eastAsia"/>
          <w:sz w:val="24"/>
        </w:rPr>
        <w:t>月</w:t>
      </w:r>
      <w:r w:rsidRPr="001050ED">
        <w:rPr>
          <w:rFonts w:ascii="Arial Unicode MS" w:hAnsi="Arial Unicode MS" w:cs="Arial"/>
          <w:sz w:val="24"/>
        </w:rPr>
        <w:t>7</w:t>
      </w:r>
      <w:r w:rsidRPr="001050ED">
        <w:rPr>
          <w:rFonts w:ascii="Arial Unicode MS" w:hAnsi="Arial Unicode MS" w:cs="Arial" w:hint="eastAsia"/>
          <w:sz w:val="24"/>
        </w:rPr>
        <w:t>日中国证券监督管理委员会（以下简称“中国证监会”）《关于核准富荣富兴纯债债券型证券投资基金募集的批复》（证监许可</w:t>
      </w:r>
      <w:r w:rsidRPr="001050ED">
        <w:rPr>
          <w:rFonts w:hint="eastAsia"/>
          <w:sz w:val="24"/>
        </w:rPr>
        <w:t>【</w:t>
      </w:r>
      <w:r w:rsidRPr="001050ED">
        <w:rPr>
          <w:sz w:val="24"/>
        </w:rPr>
        <w:t>2016</w:t>
      </w:r>
      <w:r w:rsidRPr="001050ED">
        <w:rPr>
          <w:rFonts w:hint="eastAsia"/>
          <w:sz w:val="24"/>
        </w:rPr>
        <w:t>】</w:t>
      </w:r>
      <w:r w:rsidRPr="001050ED">
        <w:rPr>
          <w:sz w:val="24"/>
        </w:rPr>
        <w:t>2526</w:t>
      </w:r>
      <w:r w:rsidRPr="001050ED">
        <w:rPr>
          <w:rFonts w:ascii="Arial Unicode MS" w:hAnsi="Arial Unicode MS" w:cs="Arial" w:hint="eastAsia"/>
          <w:sz w:val="24"/>
        </w:rPr>
        <w:t>号）进行募集。本基金于</w:t>
      </w:r>
      <w:r w:rsidRPr="001050ED">
        <w:rPr>
          <w:rFonts w:ascii="Arial Unicode MS" w:hAnsi="Arial Unicode MS" w:cs="Arial"/>
          <w:sz w:val="24"/>
        </w:rPr>
        <w:t>2017</w:t>
      </w:r>
      <w:r w:rsidRPr="001050ED">
        <w:rPr>
          <w:rFonts w:ascii="Arial Unicode MS" w:hAnsi="Arial Unicode MS" w:cs="Arial" w:hint="eastAsia"/>
          <w:sz w:val="24"/>
        </w:rPr>
        <w:t>年</w:t>
      </w:r>
      <w:r w:rsidRPr="001050ED">
        <w:rPr>
          <w:rFonts w:ascii="Arial Unicode MS" w:hAnsi="Arial Unicode MS" w:cs="Arial"/>
          <w:sz w:val="24"/>
        </w:rPr>
        <w:t>3</w:t>
      </w:r>
      <w:r w:rsidRPr="001050ED">
        <w:rPr>
          <w:rFonts w:ascii="Arial Unicode MS" w:hAnsi="Arial Unicode MS" w:cs="Arial" w:hint="eastAsia"/>
          <w:sz w:val="24"/>
        </w:rPr>
        <w:t>月</w:t>
      </w:r>
      <w:r w:rsidRPr="001050ED">
        <w:rPr>
          <w:rFonts w:ascii="Arial Unicode MS" w:hAnsi="Arial Unicode MS" w:cs="Arial"/>
          <w:sz w:val="24"/>
        </w:rPr>
        <w:t>9</w:t>
      </w:r>
      <w:r w:rsidRPr="001050ED">
        <w:rPr>
          <w:rFonts w:ascii="Arial Unicode MS" w:hAnsi="Arial Unicode MS" w:cs="Arial" w:hint="eastAsia"/>
          <w:sz w:val="24"/>
        </w:rPr>
        <w:t>日正式生效。</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2</w:t>
      </w:r>
      <w:r w:rsidRPr="001050ED">
        <w:rPr>
          <w:rFonts w:ascii="Arial Unicode MS" w:hAnsi="Arial Unicode MS" w:cs="Arial" w:hint="eastAsia"/>
          <w:sz w:val="24"/>
        </w:rPr>
        <w:t>、基金管理人保证招募说明书的内容真实、准确、完整。本招募说明书经中国证监会注册，但中国证监会对本基金募集的注册，并不表明其对本基金的投资价值和市场前景</w:t>
      </w:r>
      <w:proofErr w:type="gramStart"/>
      <w:r w:rsidRPr="001050ED">
        <w:rPr>
          <w:rFonts w:ascii="Arial Unicode MS" w:hAnsi="Arial Unicode MS" w:cs="Arial" w:hint="eastAsia"/>
          <w:sz w:val="24"/>
        </w:rPr>
        <w:t>作出</w:t>
      </w:r>
      <w:proofErr w:type="gramEnd"/>
      <w:r w:rsidRPr="001050ED">
        <w:rPr>
          <w:rFonts w:ascii="Arial Unicode MS" w:hAnsi="Arial Unicode MS" w:cs="Arial" w:hint="eastAsia"/>
          <w:sz w:val="24"/>
        </w:rPr>
        <w:t>实质性判断或保证，也不表明投资于本基金没有风险。</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sz w:val="24"/>
        </w:rPr>
      </w:pPr>
      <w:r w:rsidRPr="001050ED">
        <w:rPr>
          <w:rFonts w:ascii="Arial Unicode MS" w:hAnsi="Arial Unicode MS" w:cs="Arial"/>
          <w:sz w:val="24"/>
        </w:rPr>
        <w:t>3</w:t>
      </w:r>
      <w:r w:rsidRPr="001050ED">
        <w:rPr>
          <w:rFonts w:ascii="Arial Unicode MS" w:hAnsi="Arial Unicode MS" w:cs="Arial" w:hint="eastAsia"/>
          <w:sz w:val="24"/>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1050ED">
        <w:rPr>
          <w:rFonts w:ascii="Arial Unicode MS" w:hAnsi="Arial Unicode MS" w:cs="Arial" w:hint="eastAsia"/>
          <w:sz w:val="24"/>
        </w:rPr>
        <w:t>作出</w:t>
      </w:r>
      <w:proofErr w:type="gramEnd"/>
      <w:r w:rsidRPr="001050ED">
        <w:rPr>
          <w:rFonts w:ascii="Arial Unicode MS" w:hAnsi="Arial Unicode MS" w:cs="Arial" w:hint="eastAsia"/>
          <w:sz w:val="24"/>
        </w:rPr>
        <w:t>独立决策。基金管理人提醒投资者基金投资的“买者自负”原则，在投资者</w:t>
      </w:r>
      <w:proofErr w:type="gramStart"/>
      <w:r w:rsidRPr="001050ED">
        <w:rPr>
          <w:rFonts w:ascii="Arial Unicode MS" w:hAnsi="Arial Unicode MS" w:cs="Arial" w:hint="eastAsia"/>
          <w:sz w:val="24"/>
        </w:rPr>
        <w:t>作出</w:t>
      </w:r>
      <w:proofErr w:type="gramEnd"/>
      <w:r w:rsidRPr="001050ED">
        <w:rPr>
          <w:rFonts w:ascii="Arial Unicode MS" w:hAnsi="Arial Unicode MS" w:cs="Arial" w:hint="eastAsia"/>
          <w:sz w:val="24"/>
        </w:rPr>
        <w:t>投资决策后，基金运营状况与基金净值变化导致的投资风险，由投资者自行负担。</w:t>
      </w:r>
    </w:p>
    <w:p w:rsidR="007026B8" w:rsidRPr="001050ED" w:rsidRDefault="007026B8" w:rsidP="000E4A4F">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4</w:t>
      </w:r>
      <w:r w:rsidRPr="001050ED">
        <w:rPr>
          <w:rFonts w:ascii="Arial Unicode MS" w:hAnsi="Arial Unicode MS" w:cs="Arial" w:hint="eastAsia"/>
          <w:sz w:val="24"/>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026B8" w:rsidRPr="001050ED" w:rsidRDefault="007026B8" w:rsidP="001050ED">
      <w:pPr>
        <w:autoSpaceDE w:val="0"/>
        <w:autoSpaceDN w:val="0"/>
        <w:adjustRightInd w:val="0"/>
        <w:snapToGrid w:val="0"/>
        <w:spacing w:line="360" w:lineRule="auto"/>
        <w:ind w:firstLineChars="250" w:firstLine="600"/>
        <w:jc w:val="left"/>
        <w:rPr>
          <w:rFonts w:ascii="Arial Unicode MS" w:hAnsi="Arial Unicode MS" w:cs="Arial"/>
          <w:sz w:val="24"/>
        </w:rPr>
      </w:pPr>
      <w:r w:rsidRPr="001050ED">
        <w:rPr>
          <w:rFonts w:ascii="Arial Unicode MS" w:hAnsi="Arial Unicode MS" w:cs="Arial" w:hint="eastAsia"/>
          <w:sz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sz w:val="24"/>
        </w:rPr>
      </w:pPr>
      <w:r w:rsidRPr="001050ED">
        <w:rPr>
          <w:rFonts w:ascii="Arial Unicode MS" w:hAnsi="Arial Unicode MS"/>
          <w:sz w:val="24"/>
        </w:rPr>
        <w:t>5</w:t>
      </w:r>
      <w:r w:rsidRPr="001050ED">
        <w:rPr>
          <w:rFonts w:ascii="Arial Unicode MS" w:hAnsi="Arial Unicode MS" w:hint="eastAsia"/>
          <w:sz w:val="24"/>
        </w:rPr>
        <w:t>、本基金为债券型基金，预期收益和预期风险高于货币市场基金，但低于混合型基金、股票型基金，属于中低预期风险</w:t>
      </w:r>
      <w:r w:rsidRPr="001050ED">
        <w:rPr>
          <w:rFonts w:ascii="Arial Unicode MS" w:hAnsi="Arial Unicode MS"/>
          <w:sz w:val="24"/>
        </w:rPr>
        <w:t>/</w:t>
      </w:r>
      <w:r w:rsidRPr="001050ED">
        <w:rPr>
          <w:rFonts w:ascii="Arial Unicode MS" w:hAnsi="Arial Unicode MS" w:hint="eastAsia"/>
          <w:sz w:val="24"/>
        </w:rPr>
        <w:t>预期收益的产品。</w:t>
      </w:r>
    </w:p>
    <w:p w:rsidR="007026B8" w:rsidRPr="001050ED" w:rsidRDefault="007026B8" w:rsidP="001050ED">
      <w:pPr>
        <w:spacing w:line="360" w:lineRule="auto"/>
        <w:ind w:firstLineChars="200" w:firstLine="480"/>
        <w:rPr>
          <w:rFonts w:ascii="Arial Unicode MS" w:hAnsi="Arial Unicode MS" w:cs="Arial"/>
          <w:sz w:val="24"/>
        </w:rPr>
      </w:pPr>
      <w:r w:rsidRPr="001050ED">
        <w:rPr>
          <w:rFonts w:ascii="Arial Unicode MS" w:hAnsi="Arial Unicode MS" w:cs="Arial"/>
          <w:sz w:val="24"/>
        </w:rPr>
        <w:lastRenderedPageBreak/>
        <w:t>6</w:t>
      </w:r>
      <w:r w:rsidRPr="001050ED">
        <w:rPr>
          <w:rFonts w:ascii="Arial Unicode MS" w:hAnsi="Arial Unicode MS" w:cs="Arial" w:hint="eastAsia"/>
          <w:sz w:val="24"/>
        </w:rPr>
        <w:t>、本基金的投资范围主要为具有良好流动性的金融工具，包括国债、金融债、企业债、公司债、央行票据、中期票据、短期融资</w:t>
      </w:r>
      <w:proofErr w:type="gramStart"/>
      <w:r w:rsidRPr="001050ED">
        <w:rPr>
          <w:rFonts w:ascii="Arial Unicode MS" w:hAnsi="Arial Unicode MS" w:cs="Arial" w:hint="eastAsia"/>
          <w:sz w:val="24"/>
        </w:rPr>
        <w:t>券</w:t>
      </w:r>
      <w:proofErr w:type="gramEnd"/>
      <w:r w:rsidRPr="001050ED">
        <w:rPr>
          <w:rFonts w:ascii="Arial Unicode MS" w:hAnsi="Arial Unicode MS" w:cs="Arial" w:hint="eastAsia"/>
          <w:sz w:val="24"/>
        </w:rPr>
        <w:t>、中小企业私募债券、资产支持证券、次级债、可分离交易可转债</w:t>
      </w:r>
      <w:proofErr w:type="gramStart"/>
      <w:r w:rsidRPr="001050ED">
        <w:rPr>
          <w:rFonts w:ascii="Arial Unicode MS" w:hAnsi="Arial Unicode MS" w:cs="Arial" w:hint="eastAsia"/>
          <w:sz w:val="24"/>
        </w:rPr>
        <w:t>的纯债部分</w:t>
      </w:r>
      <w:proofErr w:type="gramEnd"/>
      <w:r w:rsidRPr="001050ED">
        <w:rPr>
          <w:rFonts w:ascii="Arial Unicode MS" w:hAnsi="Arial Unicode MS" w:cs="Arial" w:hint="eastAsia"/>
          <w:sz w:val="24"/>
        </w:rPr>
        <w:t>、债券回购、银行存款等法律法规或中国证监会允许基金投资的其他金融工具（但须符合中国证监会的相关规定）。</w:t>
      </w:r>
    </w:p>
    <w:p w:rsidR="007026B8" w:rsidRPr="001050ED" w:rsidRDefault="007026B8"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本基金不投资于股票和权证，也不投资于可转换债券（可分离交易可转债的</w:t>
      </w:r>
      <w:proofErr w:type="gramStart"/>
      <w:r w:rsidRPr="001050ED">
        <w:rPr>
          <w:rFonts w:ascii="Arial Unicode MS" w:hAnsi="Arial Unicode MS" w:cs="Arial" w:hint="eastAsia"/>
          <w:sz w:val="24"/>
        </w:rPr>
        <w:t>纯债部分</w:t>
      </w:r>
      <w:proofErr w:type="gramEnd"/>
      <w:r w:rsidRPr="001050ED">
        <w:rPr>
          <w:rFonts w:ascii="Arial Unicode MS" w:hAnsi="Arial Unicode MS" w:cs="Arial" w:hint="eastAsia"/>
          <w:sz w:val="24"/>
        </w:rPr>
        <w:t>除外）、可交换债券。</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hint="eastAsia"/>
          <w:sz w:val="24"/>
        </w:rPr>
        <w:t>如法律法规或监管机构以后允许基金投资其他品种，基金管理人在履行适当程序后，可以将其纳入投资范围。</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7</w:t>
      </w:r>
      <w:r w:rsidRPr="001050ED">
        <w:rPr>
          <w:rFonts w:ascii="Arial Unicode MS" w:hAnsi="Arial Unicode MS" w:cs="Arial" w:hint="eastAsia"/>
          <w:sz w:val="24"/>
        </w:rPr>
        <w:t>、基金的投资组合比例为：本基金对债券的投资比例不低于基金资产的</w:t>
      </w:r>
      <w:r w:rsidRPr="001050ED">
        <w:rPr>
          <w:rFonts w:ascii="Arial Unicode MS" w:hAnsi="Arial Unicode MS" w:cs="Arial"/>
          <w:sz w:val="24"/>
        </w:rPr>
        <w:t>80</w:t>
      </w:r>
      <w:r w:rsidRPr="001050ED">
        <w:rPr>
          <w:rFonts w:ascii="Arial Unicode MS" w:hAnsi="Arial Unicode MS" w:cs="Arial" w:hint="eastAsia"/>
          <w:sz w:val="24"/>
        </w:rPr>
        <w:t>％；本基金持有现金或者到期日在一年以内的政府债券投资比例不低于基金资产净值的</w:t>
      </w:r>
      <w:r w:rsidRPr="001050ED">
        <w:rPr>
          <w:rFonts w:ascii="Arial Unicode MS" w:hAnsi="Arial Unicode MS" w:cs="Arial"/>
          <w:sz w:val="24"/>
        </w:rPr>
        <w:t>5%</w:t>
      </w:r>
      <w:r w:rsidRPr="001050ED">
        <w:rPr>
          <w:rFonts w:ascii="Arial Unicode MS" w:hAnsi="Arial Unicode MS" w:cs="Arial" w:hint="eastAsia"/>
          <w:sz w:val="24"/>
        </w:rPr>
        <w:t>。</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8</w:t>
      </w:r>
      <w:r w:rsidRPr="001050ED">
        <w:rPr>
          <w:rFonts w:ascii="Arial Unicode MS" w:hAnsi="Arial Unicode MS" w:cs="Arial" w:hint="eastAsia"/>
          <w:sz w:val="24"/>
        </w:rPr>
        <w:t>、本基金初始募集面值为人民币</w:t>
      </w:r>
      <w:r w:rsidRPr="001050ED">
        <w:rPr>
          <w:rFonts w:ascii="Arial Unicode MS" w:hAnsi="Arial Unicode MS" w:cs="Arial"/>
          <w:sz w:val="24"/>
        </w:rPr>
        <w:t xml:space="preserve">1.00 </w:t>
      </w:r>
      <w:r w:rsidRPr="001050ED">
        <w:rPr>
          <w:rFonts w:ascii="Arial Unicode MS" w:hAnsi="Arial Unicode MS" w:cs="Arial" w:hint="eastAsia"/>
          <w:sz w:val="24"/>
        </w:rPr>
        <w:t>元。在市场波动因素影响下，本基金净值可能低于初始面值，本基金投资者有可能出现亏损。</w:t>
      </w:r>
    </w:p>
    <w:p w:rsidR="007026B8" w:rsidRPr="001050ED" w:rsidRDefault="007026B8" w:rsidP="001050ED">
      <w:pPr>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9</w:t>
      </w:r>
      <w:r w:rsidRPr="001050ED">
        <w:rPr>
          <w:rFonts w:ascii="Arial Unicode MS" w:hAnsi="Arial Unicode MS" w:cs="Arial" w:hint="eastAsia"/>
          <w:sz w:val="24"/>
        </w:rPr>
        <w:t>、基金的过往业绩并不预示其未来表现，基金管理人管理的其他基金的业绩也不构成对本基金业绩表现的保证。</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10</w:t>
      </w:r>
      <w:r w:rsidRPr="001050ED">
        <w:rPr>
          <w:rFonts w:ascii="Arial Unicode MS" w:hAnsi="Arial Unicode MS" w:cs="Arial" w:hint="eastAsia"/>
          <w:sz w:val="24"/>
        </w:rPr>
        <w:t>、</w:t>
      </w:r>
      <w:r w:rsidRPr="001050ED">
        <w:rPr>
          <w:rFonts w:ascii="Arial Unicode MS" w:hAnsi="Arial Unicode MS" w:cs="Arial"/>
          <w:sz w:val="24"/>
        </w:rPr>
        <w:t>基金管理人依照恪尽职守、诚实信用、谨慎勤勉的原则管理和运用基金财产，但不保证基金一定盈利，也不保证最低收益。</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sz w:val="24"/>
        </w:rPr>
        <w:t>11</w:t>
      </w:r>
      <w:r w:rsidRPr="001050ED">
        <w:rPr>
          <w:rFonts w:ascii="Arial Unicode MS" w:hAnsi="Arial Unicode MS" w:cs="Arial" w:hint="eastAsia"/>
          <w:sz w:val="24"/>
        </w:rPr>
        <w:t>、本招募说明书所载内容截止日为</w:t>
      </w:r>
      <w:r w:rsidRPr="001050ED">
        <w:rPr>
          <w:rFonts w:ascii="Arial Unicode MS" w:hAnsi="Arial Unicode MS" w:cs="Arial"/>
          <w:sz w:val="24"/>
        </w:rPr>
        <w:t>2017</w:t>
      </w:r>
      <w:r w:rsidRPr="001050ED">
        <w:rPr>
          <w:rFonts w:ascii="Arial Unicode MS" w:hAnsi="Arial Unicode MS" w:cs="Arial" w:hint="eastAsia"/>
          <w:sz w:val="24"/>
        </w:rPr>
        <w:t>年</w:t>
      </w:r>
      <w:r w:rsidRPr="001050ED">
        <w:rPr>
          <w:rFonts w:ascii="Arial Unicode MS" w:hAnsi="Arial Unicode MS" w:cs="Arial"/>
          <w:sz w:val="24"/>
        </w:rPr>
        <w:t>9</w:t>
      </w:r>
      <w:r w:rsidRPr="001050ED">
        <w:rPr>
          <w:rFonts w:ascii="Arial Unicode MS" w:hAnsi="Arial Unicode MS" w:cs="Arial" w:hint="eastAsia"/>
          <w:sz w:val="24"/>
        </w:rPr>
        <w:t>月</w:t>
      </w:r>
      <w:r w:rsidRPr="001050ED">
        <w:rPr>
          <w:rFonts w:ascii="Arial Unicode MS" w:hAnsi="Arial Unicode MS" w:cs="Arial"/>
          <w:sz w:val="24"/>
        </w:rPr>
        <w:t>9</w:t>
      </w:r>
      <w:r w:rsidRPr="001050ED">
        <w:rPr>
          <w:rFonts w:ascii="Arial Unicode MS" w:hAnsi="Arial Unicode MS" w:cs="Arial" w:hint="eastAsia"/>
          <w:sz w:val="24"/>
        </w:rPr>
        <w:t>日，有关财务数据和净值表现截止日为</w:t>
      </w:r>
      <w:r w:rsidRPr="001050ED">
        <w:rPr>
          <w:rFonts w:ascii="Arial Unicode MS" w:hAnsi="Arial Unicode MS" w:cs="Arial"/>
          <w:sz w:val="24"/>
        </w:rPr>
        <w:t>2017</w:t>
      </w:r>
      <w:r w:rsidRPr="001050ED">
        <w:rPr>
          <w:rFonts w:ascii="Arial Unicode MS" w:hAnsi="Arial Unicode MS" w:cs="Arial" w:hint="eastAsia"/>
          <w:sz w:val="24"/>
        </w:rPr>
        <w:t>年</w:t>
      </w:r>
      <w:r w:rsidRPr="001050ED">
        <w:rPr>
          <w:rFonts w:ascii="Arial Unicode MS" w:hAnsi="Arial Unicode MS" w:cs="Arial"/>
          <w:sz w:val="24"/>
        </w:rPr>
        <w:t>6</w:t>
      </w:r>
      <w:r w:rsidRPr="001050ED">
        <w:rPr>
          <w:rFonts w:ascii="Arial Unicode MS" w:hAnsi="Arial Unicode MS" w:cs="Arial" w:hint="eastAsia"/>
          <w:sz w:val="24"/>
        </w:rPr>
        <w:t>月</w:t>
      </w:r>
      <w:r w:rsidRPr="001050ED">
        <w:rPr>
          <w:rFonts w:ascii="Arial Unicode MS" w:hAnsi="Arial Unicode MS" w:cs="Arial"/>
          <w:sz w:val="24"/>
        </w:rPr>
        <w:t>30</w:t>
      </w:r>
      <w:r w:rsidRPr="001050ED">
        <w:rPr>
          <w:rFonts w:ascii="Arial Unicode MS" w:hAnsi="Arial Unicode MS" w:cs="Arial" w:hint="eastAsia"/>
          <w:sz w:val="24"/>
        </w:rPr>
        <w:t>日</w:t>
      </w:r>
      <w:r w:rsidRPr="001050ED">
        <w:rPr>
          <w:rFonts w:ascii="Arial Unicode MS" w:hAnsi="Arial Unicode MS" w:cs="Arial"/>
          <w:sz w:val="24"/>
        </w:rPr>
        <w:t xml:space="preserve"> </w:t>
      </w:r>
      <w:r w:rsidRPr="001050ED">
        <w:rPr>
          <w:rFonts w:ascii="Arial Unicode MS" w:hAnsi="Arial Unicode MS" w:cs="Arial" w:hint="eastAsia"/>
          <w:sz w:val="24"/>
        </w:rPr>
        <w:t>。（财务数据未经审计）。</w:t>
      </w:r>
    </w:p>
    <w:p w:rsidR="007026B8" w:rsidRPr="001050ED" w:rsidRDefault="007026B8" w:rsidP="001050ED">
      <w:pPr>
        <w:autoSpaceDE w:val="0"/>
        <w:autoSpaceDN w:val="0"/>
        <w:adjustRightInd w:val="0"/>
        <w:snapToGrid w:val="0"/>
        <w:spacing w:line="360" w:lineRule="auto"/>
        <w:ind w:firstLineChars="200" w:firstLine="480"/>
        <w:jc w:val="left"/>
        <w:rPr>
          <w:rFonts w:ascii="Arial Unicode MS" w:hAnsi="Arial Unicode MS" w:cs="Arial"/>
          <w:sz w:val="24"/>
        </w:rPr>
      </w:pPr>
      <w:r w:rsidRPr="001050ED">
        <w:rPr>
          <w:rFonts w:ascii="Arial Unicode MS" w:hAnsi="Arial Unicode MS" w:cs="Arial" w:hint="eastAsia"/>
          <w:sz w:val="24"/>
        </w:rPr>
        <w:t>本基金托管人包商银行股份有限公司已于</w:t>
      </w:r>
      <w:r w:rsidRPr="001050ED">
        <w:rPr>
          <w:rFonts w:ascii="Arial Unicode MS" w:hAnsi="Arial Unicode MS" w:cs="Arial"/>
          <w:sz w:val="24"/>
        </w:rPr>
        <w:t>2017</w:t>
      </w:r>
      <w:r w:rsidRPr="001050ED">
        <w:rPr>
          <w:rFonts w:ascii="Arial Unicode MS" w:hAnsi="Arial Unicode MS" w:cs="Arial" w:hint="eastAsia"/>
          <w:sz w:val="24"/>
        </w:rPr>
        <w:t>年</w:t>
      </w:r>
      <w:r w:rsidRPr="001050ED">
        <w:rPr>
          <w:rFonts w:ascii="Arial Unicode MS" w:hAnsi="Arial Unicode MS" w:cs="Arial"/>
          <w:sz w:val="24"/>
        </w:rPr>
        <w:t>9</w:t>
      </w:r>
      <w:r w:rsidRPr="001050ED">
        <w:rPr>
          <w:rFonts w:ascii="Arial Unicode MS" w:hAnsi="Arial Unicode MS" w:cs="Arial" w:hint="eastAsia"/>
          <w:sz w:val="24"/>
        </w:rPr>
        <w:t>月</w:t>
      </w:r>
      <w:r w:rsidRPr="001050ED">
        <w:rPr>
          <w:rFonts w:ascii="Arial Unicode MS" w:hAnsi="Arial Unicode MS" w:cs="Arial"/>
          <w:sz w:val="24"/>
        </w:rPr>
        <w:t>12</w:t>
      </w:r>
      <w:r w:rsidRPr="001050ED">
        <w:rPr>
          <w:rFonts w:ascii="Arial Unicode MS" w:hAnsi="Arial Unicode MS" w:cs="Arial" w:hint="eastAsia"/>
          <w:sz w:val="24"/>
        </w:rPr>
        <w:t>日</w:t>
      </w:r>
      <w:r w:rsidRPr="001050ED">
        <w:rPr>
          <w:rFonts w:ascii="Arial Unicode MS" w:hAnsi="Arial Unicode MS" w:cs="Arial"/>
          <w:sz w:val="24"/>
        </w:rPr>
        <w:t xml:space="preserve"> </w:t>
      </w:r>
      <w:r w:rsidRPr="001050ED">
        <w:rPr>
          <w:rFonts w:ascii="Arial Unicode MS" w:hAnsi="Arial Unicode MS" w:cs="Arial" w:hint="eastAsia"/>
          <w:sz w:val="24"/>
        </w:rPr>
        <w:t>复核了本次更新的招募说明书。</w:t>
      </w:r>
    </w:p>
    <w:p w:rsidR="0045798E" w:rsidRDefault="007026B8" w:rsidP="007026B8">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w:t>
      </w:r>
      <w:proofErr w:type="gramStart"/>
      <w:r>
        <w:rPr>
          <w:rFonts w:ascii="宋体" w:hAnsi="宋体" w:hint="eastAsia"/>
          <w:sz w:val="24"/>
        </w:rPr>
        <w:t>投资人自依基金</w:t>
      </w:r>
      <w:proofErr w:type="gramEnd"/>
      <w:r>
        <w:rPr>
          <w:rFonts w:ascii="宋体" w:hAnsi="宋体" w:hint="eastAsia"/>
          <w:sz w:val="24"/>
        </w:rPr>
        <w:t>合同取得基金份额，即成为基金份额持有人和本基金合同的当事人，其持有基金份额的行为本身即表明其对基金合同的承认和接受，并按照《基金法》、《运作办法》、基金合同</w:t>
      </w:r>
      <w:r>
        <w:rPr>
          <w:rFonts w:ascii="宋体" w:hAnsi="宋体" w:hint="eastAsia"/>
          <w:sz w:val="24"/>
        </w:rPr>
        <w:lastRenderedPageBreak/>
        <w:t>及其他有关规定享有权利、承担义务。基金投资人欲了解基金份额持有人的权利和义务，应详细查阅基金合同。</w:t>
      </w:r>
    </w:p>
    <w:p w:rsidR="0045798E" w:rsidRDefault="0045798E" w:rsidP="007026B8">
      <w:pPr>
        <w:spacing w:line="360" w:lineRule="auto"/>
        <w:ind w:firstLineChars="202" w:firstLine="485"/>
        <w:rPr>
          <w:rFonts w:ascii="宋体" w:hAnsi="宋体"/>
          <w:color w:val="000000"/>
          <w:kern w:val="0"/>
          <w:sz w:val="24"/>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Default="00F636B5" w:rsidP="007026B8">
      <w:pPr>
        <w:spacing w:line="360" w:lineRule="auto"/>
        <w:ind w:firstLineChars="200" w:firstLine="480"/>
        <w:rPr>
          <w:rFonts w:ascii="宋体" w:hAnsi="宋体"/>
          <w:color w:val="000000"/>
          <w:kern w:val="0"/>
          <w:sz w:val="24"/>
        </w:rPr>
      </w:pPr>
      <w:bookmarkStart w:id="5" w:name="_Toc88969216"/>
      <w:r>
        <w:rPr>
          <w:rFonts w:ascii="宋体" w:hAnsi="宋体" w:hint="eastAsia"/>
          <w:color w:val="000000"/>
          <w:kern w:val="0"/>
          <w:sz w:val="24"/>
        </w:rPr>
        <w:t>（一）</w:t>
      </w:r>
      <w:r w:rsidRPr="0089278D">
        <w:rPr>
          <w:rFonts w:ascii="宋体" w:hAnsi="宋体" w:hint="eastAsia"/>
          <w:color w:val="000000"/>
          <w:kern w:val="0"/>
          <w:sz w:val="24"/>
        </w:rPr>
        <w:t>基金管理人概况</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名称：富荣基金管理有限公司</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住所：广州市南沙区海滨路171号南沙金融大厦11楼1101之一J20室</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办公地址：深圳市福田区深南大道2012号深圳证券交易所广场3501室</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法定代表人：刘志军</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成立时间：2016年1月25日</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注册资本：2亿元人民币</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存续期间：永续经营</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联系人：官文力</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联系电话：0755-84356633</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12675A" w:rsidRPr="00E96FCE" w:rsidTr="00EF7F5C">
        <w:trPr>
          <w:jc w:val="center"/>
        </w:trPr>
        <w:tc>
          <w:tcPr>
            <w:tcW w:w="4250"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股东名称</w:t>
            </w:r>
          </w:p>
        </w:tc>
        <w:tc>
          <w:tcPr>
            <w:tcW w:w="1275"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出资比例</w:t>
            </w:r>
          </w:p>
        </w:tc>
      </w:tr>
      <w:tr w:rsidR="0012675A" w:rsidRPr="00E96FCE" w:rsidTr="00EF7F5C">
        <w:trPr>
          <w:jc w:val="center"/>
        </w:trPr>
        <w:tc>
          <w:tcPr>
            <w:tcW w:w="4250"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广州科技金融创新投资控股有限公司</w:t>
            </w:r>
          </w:p>
        </w:tc>
        <w:tc>
          <w:tcPr>
            <w:tcW w:w="1275"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50%</w:t>
            </w:r>
          </w:p>
        </w:tc>
      </w:tr>
      <w:tr w:rsidR="0012675A" w:rsidRPr="00E96FCE" w:rsidTr="00EF7F5C">
        <w:trPr>
          <w:jc w:val="center"/>
        </w:trPr>
        <w:tc>
          <w:tcPr>
            <w:tcW w:w="4250"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深圳嘉年实业股份有限公司</w:t>
            </w:r>
          </w:p>
        </w:tc>
        <w:tc>
          <w:tcPr>
            <w:tcW w:w="1275"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45.1%</w:t>
            </w:r>
          </w:p>
        </w:tc>
      </w:tr>
      <w:tr w:rsidR="0012675A" w:rsidRPr="00E96FCE" w:rsidTr="00EF7F5C">
        <w:trPr>
          <w:jc w:val="center"/>
        </w:trPr>
        <w:tc>
          <w:tcPr>
            <w:tcW w:w="4250"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湖南典勤投资开发有限公司</w:t>
            </w:r>
          </w:p>
        </w:tc>
        <w:tc>
          <w:tcPr>
            <w:tcW w:w="1275" w:type="dxa"/>
            <w:vAlign w:val="center"/>
          </w:tcPr>
          <w:p w:rsidR="0012675A" w:rsidRPr="0012675A" w:rsidRDefault="0012675A" w:rsidP="00EF7F5C">
            <w:pPr>
              <w:spacing w:line="360" w:lineRule="auto"/>
              <w:jc w:val="center"/>
              <w:rPr>
                <w:rFonts w:ascii="Arial Unicode MS" w:hAnsi="Arial Unicode MS" w:cs="Arial"/>
                <w:kern w:val="0"/>
                <w:sz w:val="24"/>
              </w:rPr>
            </w:pPr>
            <w:r w:rsidRPr="0012675A">
              <w:rPr>
                <w:rFonts w:ascii="Arial Unicode MS" w:hAnsi="Arial Unicode MS" w:cs="Arial" w:hint="eastAsia"/>
                <w:kern w:val="0"/>
                <w:sz w:val="24"/>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026B8" w:rsidRDefault="00F636B5" w:rsidP="007026B8">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007026B8" w:rsidRPr="007026B8">
        <w:rPr>
          <w:rFonts w:ascii="宋体" w:hAnsi="宋体" w:hint="eastAsia"/>
          <w:color w:val="000000"/>
          <w:kern w:val="0"/>
          <w:sz w:val="24"/>
        </w:rPr>
        <w:t>主要成员情况</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1、董事会成员</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lastRenderedPageBreak/>
        <w:t>罗劲先生，董事，湖南大学工商管理硕士。曾任广州农村商业银行股份有限公司华夏支行集团客户事业部副总经理。现任广州汇</w:t>
      </w:r>
      <w:proofErr w:type="gramStart"/>
      <w:r w:rsidRPr="007026B8">
        <w:rPr>
          <w:rFonts w:ascii="宋体" w:hAnsi="宋体" w:hint="eastAsia"/>
          <w:color w:val="000000"/>
          <w:kern w:val="0"/>
          <w:sz w:val="24"/>
        </w:rPr>
        <w:t>垠天粤</w:t>
      </w:r>
      <w:proofErr w:type="gramEnd"/>
      <w:r w:rsidRPr="007026B8">
        <w:rPr>
          <w:rFonts w:ascii="宋体" w:hAnsi="宋体" w:hint="eastAsia"/>
          <w:color w:val="000000"/>
          <w:kern w:val="0"/>
          <w:sz w:val="24"/>
        </w:rPr>
        <w:t>股权投资基金管理有限公司副总经理、富荣基金管理有限公司董事。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林斌先生，独立董事，厦门大学经济学博士。现任中山大学管理学院会计学系教授、富荣基金管理有限公司独立董事。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余</w:t>
      </w:r>
      <w:proofErr w:type="gramStart"/>
      <w:r w:rsidRPr="007026B8">
        <w:rPr>
          <w:rFonts w:ascii="宋体" w:hAnsi="宋体" w:hint="eastAsia"/>
          <w:color w:val="000000"/>
          <w:kern w:val="0"/>
          <w:sz w:val="24"/>
        </w:rPr>
        <w:t>关健</w:t>
      </w:r>
      <w:proofErr w:type="gramEnd"/>
      <w:r w:rsidRPr="007026B8">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7026B8">
        <w:rPr>
          <w:rFonts w:ascii="宋体" w:hAnsi="宋体" w:hint="eastAsia"/>
          <w:color w:val="000000"/>
          <w:kern w:val="0"/>
          <w:sz w:val="24"/>
        </w:rPr>
        <w:t>邦</w:t>
      </w:r>
      <w:proofErr w:type="gramEnd"/>
      <w:r w:rsidRPr="007026B8">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2、监事会成员</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基金管理人不设监事会，设监事两名，其中一名为职工监事。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卢伟女士，监事，大专。</w:t>
      </w:r>
      <w:proofErr w:type="gramStart"/>
      <w:r w:rsidRPr="007026B8">
        <w:rPr>
          <w:rFonts w:ascii="宋体" w:hAnsi="宋体" w:hint="eastAsia"/>
          <w:color w:val="000000"/>
          <w:kern w:val="0"/>
          <w:sz w:val="24"/>
        </w:rPr>
        <w:t>现任盈投控股</w:t>
      </w:r>
      <w:proofErr w:type="gramEnd"/>
      <w:r w:rsidRPr="007026B8">
        <w:rPr>
          <w:rFonts w:ascii="宋体" w:hAnsi="宋体" w:hint="eastAsia"/>
          <w:color w:val="000000"/>
          <w:kern w:val="0"/>
          <w:sz w:val="24"/>
        </w:rPr>
        <w:t>有限公司总裁助理兼投资运营部部门经理、四川天一科技股份有限公司监事、富荣基金管理有限公司监事。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毛志华先生，职工监事，本科。现任富荣基金管理有限公司监事。</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3、高级管理人员</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lastRenderedPageBreak/>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滕大江先生，督察长，中南大学工学学士，先后供职于平安证券、</w:t>
      </w:r>
      <w:proofErr w:type="gramStart"/>
      <w:r w:rsidRPr="007026B8">
        <w:rPr>
          <w:rFonts w:ascii="宋体" w:hAnsi="宋体" w:hint="eastAsia"/>
          <w:color w:val="000000"/>
          <w:kern w:val="0"/>
          <w:sz w:val="24"/>
        </w:rPr>
        <w:t>平安大</w:t>
      </w:r>
      <w:proofErr w:type="gramEnd"/>
      <w:r w:rsidRPr="007026B8">
        <w:rPr>
          <w:rFonts w:ascii="宋体" w:hAnsi="宋体" w:hint="eastAsia"/>
          <w:color w:val="000000"/>
          <w:kern w:val="0"/>
          <w:sz w:val="24"/>
        </w:rPr>
        <w:t>华基金管理有限公司、前海开源基金管理有限公司监察稽核部门。现任富荣基金管理有限公司督察长。</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胡长虹先生，副总经理，北京工商大学经济学学士，北大光华管理学院MBA，曾任湖北省粮食局财务副科长、中国远东国际贸易公司财务经理、深圳市飞亚达（集团）股份有限公司</w:t>
      </w:r>
      <w:proofErr w:type="gramStart"/>
      <w:r w:rsidRPr="007026B8">
        <w:rPr>
          <w:rFonts w:ascii="宋体" w:hAnsi="宋体" w:hint="eastAsia"/>
          <w:color w:val="000000"/>
          <w:kern w:val="0"/>
          <w:sz w:val="24"/>
        </w:rPr>
        <w:t>亨</w:t>
      </w:r>
      <w:proofErr w:type="gramEnd"/>
      <w:r w:rsidRPr="007026B8">
        <w:rPr>
          <w:rFonts w:ascii="宋体" w:hAnsi="宋体" w:hint="eastAsia"/>
          <w:color w:val="000000"/>
          <w:kern w:val="0"/>
          <w:sz w:val="24"/>
        </w:rPr>
        <w:t>吉利公司财务经理、深圳市北大高科技股份有限公司副总经理、太平财产保险有限公司投资管理部总经理，现任富荣基金管理有限公司副总经理。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于涛先生，副总经理，中国人民大学财务学博士，曾任中国农业银行山东省分行信贷部高级经理、大公国际资信评估有限公司工商</w:t>
      </w:r>
      <w:proofErr w:type="gramStart"/>
      <w:r w:rsidRPr="007026B8">
        <w:rPr>
          <w:rFonts w:ascii="宋体" w:hAnsi="宋体" w:hint="eastAsia"/>
          <w:color w:val="000000"/>
          <w:kern w:val="0"/>
          <w:sz w:val="24"/>
        </w:rPr>
        <w:t>评级部</w:t>
      </w:r>
      <w:proofErr w:type="gramEnd"/>
      <w:r w:rsidRPr="007026B8">
        <w:rPr>
          <w:rFonts w:ascii="宋体" w:hAnsi="宋体" w:hint="eastAsia"/>
          <w:color w:val="000000"/>
          <w:kern w:val="0"/>
          <w:sz w:val="24"/>
        </w:rPr>
        <w:t>总经理、中债资信评估有限公司研究部副总经理、银河基金管理有限公司债券高级研究员、融通基金管理有限公司信用债研究员、安信证券股份有限公司高级债券投资经理、嘉</w:t>
      </w:r>
      <w:proofErr w:type="gramStart"/>
      <w:r w:rsidRPr="007026B8">
        <w:rPr>
          <w:rFonts w:ascii="宋体" w:hAnsi="宋体" w:hint="eastAsia"/>
          <w:color w:val="000000"/>
          <w:kern w:val="0"/>
          <w:sz w:val="24"/>
        </w:rPr>
        <w:t>实基金</w:t>
      </w:r>
      <w:proofErr w:type="gramEnd"/>
      <w:r w:rsidRPr="007026B8">
        <w:rPr>
          <w:rFonts w:ascii="宋体" w:hAnsi="宋体" w:hint="eastAsia"/>
          <w:color w:val="000000"/>
          <w:kern w:val="0"/>
          <w:sz w:val="24"/>
        </w:rPr>
        <w:t>管理有限公司高级债券投资经理，现任富荣基金管理有限公司副总经理。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孙万龙先生，副总经理，北京大学金融学硕士，曾任平安养老保险股份有限公司云南分公司年金部经理、博时基金机构南方客户总监、华安基金华南机构业务负责人，现任富荣基金管理有限公司副总经理。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4、本</w:t>
      </w:r>
      <w:proofErr w:type="gramStart"/>
      <w:r w:rsidRPr="007026B8">
        <w:rPr>
          <w:rFonts w:ascii="宋体" w:hAnsi="宋体" w:hint="eastAsia"/>
          <w:color w:val="000000"/>
          <w:kern w:val="0"/>
          <w:sz w:val="24"/>
        </w:rPr>
        <w:t>基金基金</w:t>
      </w:r>
      <w:proofErr w:type="gramEnd"/>
      <w:r w:rsidRPr="007026B8">
        <w:rPr>
          <w:rFonts w:ascii="宋体" w:hAnsi="宋体" w:hint="eastAsia"/>
          <w:color w:val="000000"/>
          <w:kern w:val="0"/>
          <w:sz w:val="24"/>
        </w:rPr>
        <w:t>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吕晓蓉女士，清华大学工商管理硕士，曾任普华永道中天会计师事务所审计师、嘉</w:t>
      </w:r>
      <w:proofErr w:type="gramStart"/>
      <w:r w:rsidRPr="007026B8">
        <w:rPr>
          <w:rFonts w:ascii="宋体" w:hAnsi="宋体" w:hint="eastAsia"/>
          <w:color w:val="000000"/>
          <w:kern w:val="0"/>
          <w:sz w:val="24"/>
        </w:rPr>
        <w:t>实基金</w:t>
      </w:r>
      <w:proofErr w:type="gramEnd"/>
      <w:r w:rsidRPr="007026B8">
        <w:rPr>
          <w:rFonts w:ascii="宋体" w:hAnsi="宋体" w:hint="eastAsia"/>
          <w:color w:val="000000"/>
          <w:kern w:val="0"/>
          <w:sz w:val="24"/>
        </w:rPr>
        <w:t>管理有限公司组合头寸管理、新股、信用债、转债研究员，现任富荣基金管理有限公司基金经理。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5、投资决策委员会成员的姓名、职务</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郭容辰女士，投资决策委员会召集人，公司董事、总经理。</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胡长虹先生，投资决策委员会成员。</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于涛先生，投资决策委员会成员。</w:t>
      </w:r>
    </w:p>
    <w:p w:rsidR="007026B8" w:rsidRP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吕晓蓉女士，投资决策委员会成员。</w:t>
      </w:r>
    </w:p>
    <w:p w:rsidR="007026B8" w:rsidRDefault="007026B8" w:rsidP="007026B8">
      <w:pPr>
        <w:spacing w:line="360" w:lineRule="auto"/>
        <w:ind w:firstLineChars="200" w:firstLine="480"/>
        <w:rPr>
          <w:rFonts w:ascii="宋体" w:hAnsi="宋体"/>
          <w:color w:val="000000"/>
          <w:kern w:val="0"/>
          <w:sz w:val="24"/>
        </w:rPr>
      </w:pPr>
      <w:r w:rsidRPr="007026B8">
        <w:rPr>
          <w:rFonts w:ascii="宋体" w:hAnsi="宋体" w:hint="eastAsia"/>
          <w:color w:val="000000"/>
          <w:kern w:val="0"/>
          <w:sz w:val="24"/>
        </w:rPr>
        <w:t>6、上述人员之间不存在近亲属关系。</w:t>
      </w: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lastRenderedPageBreak/>
        <w:t>二、基金托管人</w:t>
      </w:r>
      <w:bookmarkEnd w:id="6"/>
      <w:bookmarkEnd w:id="7"/>
    </w:p>
    <w:p w:rsidR="0045798E" w:rsidRDefault="007026B8" w:rsidP="008A4261">
      <w:pPr>
        <w:spacing w:line="360" w:lineRule="auto"/>
        <w:ind w:firstLineChars="200" w:firstLine="480"/>
        <w:rPr>
          <w:rFonts w:ascii="宋体" w:hAnsi="宋体"/>
          <w:color w:val="000000"/>
          <w:kern w:val="0"/>
          <w:sz w:val="24"/>
        </w:rPr>
      </w:pPr>
      <w:r>
        <w:rPr>
          <w:rFonts w:ascii="宋体" w:hAnsi="宋体" w:hint="eastAsia"/>
          <w:color w:val="000000"/>
          <w:kern w:val="0"/>
          <w:sz w:val="24"/>
        </w:rPr>
        <w:t>（一）基金托管人基本情况</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名称：包商银行股份有限公司（简称“包商银行”）</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注册地址：包头市青山区钢铁大街6号</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办公地址：深圳市福田区金田路3038号现代国际大厦2805室</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法定代表人：李镇西</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成立日期：1998年12月16日</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批准设立机关和批准设立文号：中国银监</w:t>
      </w:r>
      <w:proofErr w:type="gramStart"/>
      <w:r w:rsidRPr="001050ED">
        <w:rPr>
          <w:rFonts w:ascii="宋体" w:hAnsi="宋体" w:hint="eastAsia"/>
          <w:color w:val="000000"/>
          <w:kern w:val="0"/>
          <w:sz w:val="24"/>
        </w:rPr>
        <w:t>会银监复</w:t>
      </w:r>
      <w:proofErr w:type="gramEnd"/>
      <w:r w:rsidRPr="001050ED">
        <w:rPr>
          <w:rFonts w:ascii="宋体" w:hAnsi="宋体" w:hint="eastAsia"/>
          <w:color w:val="000000"/>
          <w:kern w:val="0"/>
          <w:sz w:val="24"/>
        </w:rPr>
        <w:t>2007[284]号</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组织形式：股份有限公司</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注册资本：473084.989万元人民币</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存续期间：永续经营</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基金托管资格批准文号：证监许可[2014]205号</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联系电话：0755-33352036</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传真：0755-33352158</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联系人：董雁</w:t>
      </w:r>
    </w:p>
    <w:p w:rsidR="001050ED" w:rsidRPr="001050ED" w:rsidRDefault="001050ED" w:rsidP="001050ED">
      <w:pPr>
        <w:spacing w:line="360" w:lineRule="auto"/>
        <w:ind w:firstLine="420"/>
        <w:rPr>
          <w:rFonts w:ascii="宋体" w:hAnsi="宋体"/>
          <w:color w:val="000000"/>
          <w:kern w:val="0"/>
          <w:sz w:val="24"/>
        </w:rPr>
      </w:pPr>
      <w:r>
        <w:rPr>
          <w:rFonts w:ascii="宋体" w:hAnsi="宋体" w:hint="eastAsia"/>
          <w:color w:val="000000"/>
          <w:kern w:val="0"/>
          <w:sz w:val="24"/>
        </w:rPr>
        <w:t>（二）</w:t>
      </w:r>
      <w:r w:rsidRPr="001050ED">
        <w:rPr>
          <w:rFonts w:ascii="宋体" w:hAnsi="宋体" w:hint="eastAsia"/>
          <w:color w:val="000000"/>
          <w:kern w:val="0"/>
          <w:sz w:val="24"/>
        </w:rPr>
        <w:t>托管业务部门及主要人员情况</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包商银行总行</w:t>
      </w:r>
      <w:proofErr w:type="gramStart"/>
      <w:r w:rsidRPr="001050ED">
        <w:rPr>
          <w:rFonts w:ascii="宋体" w:hAnsi="宋体" w:hint="eastAsia"/>
          <w:color w:val="000000"/>
          <w:kern w:val="0"/>
          <w:sz w:val="24"/>
        </w:rPr>
        <w:t>设资产</w:t>
      </w:r>
      <w:proofErr w:type="gramEnd"/>
      <w:r w:rsidRPr="001050ED">
        <w:rPr>
          <w:rFonts w:ascii="宋体" w:hAnsi="宋体" w:hint="eastAsia"/>
          <w:color w:val="000000"/>
          <w:kern w:val="0"/>
          <w:sz w:val="24"/>
        </w:rPr>
        <w:t xml:space="preserve">托管部，下设市场营销、运营管理、监察稽核和行政管理4 </w:t>
      </w:r>
      <w:proofErr w:type="gramStart"/>
      <w:r w:rsidRPr="001050ED">
        <w:rPr>
          <w:rFonts w:ascii="宋体" w:hAnsi="宋体" w:hint="eastAsia"/>
          <w:color w:val="000000"/>
          <w:kern w:val="0"/>
          <w:sz w:val="24"/>
        </w:rPr>
        <w:t>个</w:t>
      </w:r>
      <w:proofErr w:type="gramEnd"/>
      <w:r w:rsidRPr="001050ED">
        <w:rPr>
          <w:rFonts w:ascii="宋体" w:hAnsi="宋体" w:hint="eastAsia"/>
          <w:color w:val="000000"/>
          <w:kern w:val="0"/>
          <w:sz w:val="24"/>
        </w:rPr>
        <w:t>中心。截至 2017年6月末，包商银行资产托管部共有员工 29 人。</w:t>
      </w:r>
    </w:p>
    <w:p w:rsidR="001050ED" w:rsidRPr="001050ED" w:rsidRDefault="001050ED" w:rsidP="001050ED">
      <w:pPr>
        <w:spacing w:line="360" w:lineRule="auto"/>
        <w:ind w:firstLine="420"/>
        <w:rPr>
          <w:rFonts w:ascii="宋体" w:hAnsi="宋体"/>
          <w:color w:val="000000"/>
          <w:kern w:val="0"/>
          <w:sz w:val="24"/>
        </w:rPr>
      </w:pPr>
      <w:r>
        <w:rPr>
          <w:rFonts w:ascii="宋体" w:hAnsi="宋体" w:hint="eastAsia"/>
          <w:color w:val="000000"/>
          <w:kern w:val="0"/>
          <w:sz w:val="24"/>
        </w:rPr>
        <w:t>（三）</w:t>
      </w:r>
      <w:r w:rsidRPr="001050ED">
        <w:rPr>
          <w:rFonts w:ascii="宋体" w:hAnsi="宋体" w:hint="eastAsia"/>
          <w:color w:val="000000"/>
          <w:kern w:val="0"/>
          <w:sz w:val="24"/>
        </w:rPr>
        <w:t>基金托管业务经营情况</w:t>
      </w:r>
    </w:p>
    <w:p w:rsidR="001050ED" w:rsidRP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rsidR="001050ED" w:rsidRDefault="001050ED" w:rsidP="001050ED">
      <w:pPr>
        <w:spacing w:line="360" w:lineRule="auto"/>
        <w:ind w:firstLine="420"/>
        <w:rPr>
          <w:rFonts w:ascii="宋体" w:hAnsi="宋体"/>
          <w:color w:val="000000"/>
          <w:kern w:val="0"/>
          <w:sz w:val="24"/>
        </w:rPr>
      </w:pPr>
      <w:r w:rsidRPr="001050ED">
        <w:rPr>
          <w:rFonts w:ascii="宋体" w:hAnsi="宋体" w:hint="eastAsia"/>
          <w:color w:val="000000"/>
          <w:kern w:val="0"/>
          <w:sz w:val="24"/>
        </w:rPr>
        <w:t>截至2017年6月30日，包商银行托管产品涵盖证券投资基金、客户资产管理</w:t>
      </w:r>
      <w:r w:rsidRPr="001050ED">
        <w:rPr>
          <w:rFonts w:ascii="宋体" w:hAnsi="宋体" w:hint="eastAsia"/>
          <w:color w:val="000000"/>
          <w:kern w:val="0"/>
          <w:sz w:val="24"/>
        </w:rPr>
        <w:lastRenderedPageBreak/>
        <w:t>计划、信托计划、商业银行理财产品以及私募基金等。包商银行专业高效的托管服务能力和业务水平，赢得了业内的高度认同。</w:t>
      </w: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bookmarkStart w:id="8" w:name="_Toc256666786"/>
      <w:bookmarkStart w:id="9" w:name="_Toc256666914"/>
      <w:bookmarkStart w:id="10" w:name="_Toc6210"/>
      <w:bookmarkStart w:id="11" w:name="_Toc482624793"/>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rsidR="00900744" w:rsidRPr="00900744" w:rsidRDefault="00900744" w:rsidP="00900744">
      <w:pPr>
        <w:spacing w:line="360" w:lineRule="auto"/>
        <w:ind w:firstLineChars="200" w:firstLine="480"/>
        <w:rPr>
          <w:rFonts w:ascii="宋体" w:hAnsi="宋体"/>
          <w:color w:val="000000"/>
          <w:kern w:val="0"/>
          <w:sz w:val="24"/>
        </w:rPr>
      </w:pPr>
      <w:bookmarkStart w:id="12" w:name="_Toc88969234"/>
      <w:r>
        <w:rPr>
          <w:rFonts w:ascii="宋体" w:hAnsi="宋体" w:hint="eastAsia"/>
          <w:color w:val="000000"/>
          <w:kern w:val="0"/>
          <w:sz w:val="24"/>
        </w:rPr>
        <w:t>（一）</w:t>
      </w:r>
      <w:r w:rsidRPr="00900744">
        <w:rPr>
          <w:rFonts w:ascii="宋体" w:hAnsi="宋体" w:hint="eastAsia"/>
          <w:color w:val="000000"/>
          <w:kern w:val="0"/>
          <w:sz w:val="24"/>
        </w:rPr>
        <w:t>基金份额发售机构</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1、直销机构：富荣基金管理有限公司直销中心</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 xml:space="preserve">注册地址：广州市南沙区海滨路171号南沙金融大厦11楼1101之一J20室 </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办公地址：深圳市福田区深南大道2012号深圳证券交易所广场3501室</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法定代表人： 刘志军</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电话：0755-84356629</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传真：0755-83230902</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客服电话：4006855600</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网址：www.furamc.com.cn</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2、其他销售机构：具体名单详见本基金份额发售公告以及基金管理人届时发布的调整销售机构的相关公告。</w:t>
      </w:r>
    </w:p>
    <w:p w:rsidR="00900744" w:rsidRPr="00900744" w:rsidRDefault="00900744" w:rsidP="00900744">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Pr="00900744">
        <w:rPr>
          <w:rFonts w:ascii="宋体" w:hAnsi="宋体" w:hint="eastAsia"/>
          <w:color w:val="000000"/>
          <w:kern w:val="0"/>
          <w:sz w:val="24"/>
        </w:rPr>
        <w:t>登记机构</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 xml:space="preserve">名称：富荣基金管理有限公司 </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 xml:space="preserve">住所：广东省广州市南沙区海滨路171号南沙金融大厦11楼1101之一J20 </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 xml:space="preserve">办公地址：深圳市福田区深南大道2012号深圳证券交易所广场3501室 </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 xml:space="preserve">法定代表人：刘志军 </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联系人：黄文飞</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电话： 0755-84356604</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传真： 0755-83230787</w:t>
      </w:r>
    </w:p>
    <w:p w:rsidR="00900744" w:rsidRPr="00900744" w:rsidRDefault="00900744" w:rsidP="00900744">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sidRPr="00900744">
        <w:rPr>
          <w:rFonts w:ascii="宋体" w:hAnsi="宋体" w:hint="eastAsia"/>
          <w:color w:val="000000"/>
          <w:kern w:val="0"/>
          <w:sz w:val="24"/>
        </w:rPr>
        <w:t>出具法律意见书的律师事务所</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名称：上海市通力律师事务所</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住所：上海市银城中路68号时代金融中心19楼</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办公地址：上海市银城中路68号时代金融中心19楼</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负责人：俞卫锋</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lastRenderedPageBreak/>
        <w:t>电话：021-31358666</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传真：021-31358600</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经办律师：安冬 陆奇</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联系人： 安冬</w:t>
      </w:r>
    </w:p>
    <w:p w:rsidR="00900744" w:rsidRPr="00900744" w:rsidRDefault="00900744" w:rsidP="00900744">
      <w:pPr>
        <w:spacing w:line="360" w:lineRule="auto"/>
        <w:ind w:firstLineChars="200" w:firstLine="480"/>
        <w:rPr>
          <w:rFonts w:ascii="宋体" w:hAnsi="宋体"/>
          <w:color w:val="000000"/>
          <w:kern w:val="0"/>
          <w:sz w:val="24"/>
        </w:rPr>
      </w:pPr>
      <w:r>
        <w:rPr>
          <w:rFonts w:ascii="宋体" w:hAnsi="宋体" w:hint="eastAsia"/>
          <w:color w:val="000000"/>
          <w:kern w:val="0"/>
          <w:sz w:val="24"/>
        </w:rPr>
        <w:t>（四）</w:t>
      </w:r>
      <w:r w:rsidRPr="00900744">
        <w:rPr>
          <w:rFonts w:ascii="宋体" w:hAnsi="宋体" w:hint="eastAsia"/>
          <w:color w:val="000000"/>
          <w:kern w:val="0"/>
          <w:sz w:val="24"/>
        </w:rPr>
        <w:t>审计基金财产的会计师事务所</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名称：普华永道中天会计师事务所（特殊普通合伙）</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住所：上海市浦东新区陆家嘴环路1318号</w:t>
      </w:r>
      <w:proofErr w:type="gramStart"/>
      <w:r w:rsidRPr="00900744">
        <w:rPr>
          <w:rFonts w:ascii="宋体" w:hAnsi="宋体" w:hint="eastAsia"/>
          <w:color w:val="000000"/>
          <w:kern w:val="0"/>
          <w:sz w:val="24"/>
        </w:rPr>
        <w:t>星展银行</w:t>
      </w:r>
      <w:proofErr w:type="gramEnd"/>
      <w:r w:rsidRPr="00900744">
        <w:rPr>
          <w:rFonts w:ascii="宋体" w:hAnsi="宋体" w:hint="eastAsia"/>
          <w:color w:val="000000"/>
          <w:kern w:val="0"/>
          <w:sz w:val="24"/>
        </w:rPr>
        <w:t>大厦6楼</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办公地址：上海市黄浦区湖滨路202号普华永道中心11楼</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法定代表人：李丹</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电话：（021）2323 8888</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传真：（021）2323 8800</w:t>
      </w:r>
    </w:p>
    <w:p w:rsidR="00900744" w:rsidRP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签字注册会计师：曹翠丽、</w:t>
      </w:r>
      <w:proofErr w:type="gramStart"/>
      <w:r w:rsidRPr="00900744">
        <w:rPr>
          <w:rFonts w:ascii="宋体" w:hAnsi="宋体" w:hint="eastAsia"/>
          <w:color w:val="000000"/>
          <w:kern w:val="0"/>
          <w:sz w:val="24"/>
        </w:rPr>
        <w:t>边晓红</w:t>
      </w:r>
      <w:proofErr w:type="gramEnd"/>
    </w:p>
    <w:p w:rsidR="00900744" w:rsidRDefault="00900744" w:rsidP="00900744">
      <w:pPr>
        <w:spacing w:line="360" w:lineRule="auto"/>
        <w:ind w:firstLineChars="200" w:firstLine="480"/>
        <w:rPr>
          <w:rFonts w:ascii="宋体" w:hAnsi="宋体"/>
          <w:color w:val="000000"/>
          <w:kern w:val="0"/>
          <w:sz w:val="24"/>
        </w:rPr>
      </w:pPr>
      <w:r w:rsidRPr="00900744">
        <w:rPr>
          <w:rFonts w:ascii="宋体" w:hAnsi="宋体" w:hint="eastAsia"/>
          <w:color w:val="000000"/>
          <w:kern w:val="0"/>
          <w:sz w:val="24"/>
        </w:rPr>
        <w:t>联系人：</w:t>
      </w:r>
      <w:proofErr w:type="gramStart"/>
      <w:r w:rsidRPr="00900744">
        <w:rPr>
          <w:rFonts w:ascii="宋体" w:hAnsi="宋体" w:hint="eastAsia"/>
          <w:color w:val="000000"/>
          <w:kern w:val="0"/>
          <w:sz w:val="24"/>
        </w:rPr>
        <w:t>边晓红</w:t>
      </w:r>
      <w:proofErr w:type="gramEnd"/>
    </w:p>
    <w:bookmarkEnd w:id="12"/>
    <w:p w:rsidR="0045798E" w:rsidRDefault="007026B8">
      <w:pPr>
        <w:pStyle w:val="1"/>
        <w:numPr>
          <w:ilvl w:val="0"/>
          <w:numId w:val="3"/>
        </w:numPr>
        <w:spacing w:before="100" w:after="120" w:line="579" w:lineRule="auto"/>
        <w:jc w:val="center"/>
        <w:rPr>
          <w:rFonts w:ascii="宋体" w:hAnsi="宋体"/>
          <w:color w:val="000000"/>
          <w:kern w:val="0"/>
          <w:sz w:val="24"/>
          <w:szCs w:val="24"/>
        </w:rPr>
      </w:pPr>
      <w:r>
        <w:rPr>
          <w:rFonts w:cs="Arial"/>
        </w:rPr>
        <w:br w:type="page"/>
      </w:r>
      <w:bookmarkStart w:id="13" w:name="_Toc482624795"/>
      <w:bookmarkStart w:id="14" w:name="_Toc256666915"/>
      <w:bookmarkStart w:id="15" w:name="_Toc256666795"/>
      <w:bookmarkStart w:id="16" w:name="_Toc28223"/>
      <w:r>
        <w:rPr>
          <w:rFonts w:ascii="宋体" w:hAnsi="宋体" w:hint="eastAsia"/>
          <w:color w:val="000000"/>
          <w:kern w:val="0"/>
          <w:sz w:val="24"/>
          <w:szCs w:val="24"/>
        </w:rPr>
        <w:lastRenderedPageBreak/>
        <w:t>基金的名称</w:t>
      </w:r>
    </w:p>
    <w:p w:rsidR="0045798E" w:rsidRDefault="007026B8">
      <w:pPr>
        <w:ind w:firstLineChars="200" w:firstLine="480"/>
        <w:rPr>
          <w:rFonts w:ascii="宋体" w:hAnsi="宋体"/>
          <w:color w:val="000000"/>
          <w:kern w:val="0"/>
          <w:sz w:val="24"/>
        </w:rPr>
      </w:pPr>
      <w:r>
        <w:rPr>
          <w:rFonts w:ascii="宋体" w:hAnsi="宋体" w:hint="eastAsia"/>
          <w:color w:val="000000"/>
          <w:kern w:val="0"/>
          <w:sz w:val="24"/>
        </w:rPr>
        <w:t>基金的名称：</w:t>
      </w:r>
      <w:r w:rsidR="008A4261" w:rsidRPr="008A4261">
        <w:rPr>
          <w:rFonts w:ascii="宋体" w:hAnsi="宋体" w:hint="eastAsia"/>
          <w:color w:val="000000"/>
          <w:kern w:val="0"/>
          <w:sz w:val="24"/>
        </w:rPr>
        <w:t>富荣富</w:t>
      </w:r>
      <w:proofErr w:type="gramStart"/>
      <w:r w:rsidR="008A4261" w:rsidRPr="008A4261">
        <w:rPr>
          <w:rFonts w:ascii="宋体" w:hAnsi="宋体" w:hint="eastAsia"/>
          <w:color w:val="000000"/>
          <w:kern w:val="0"/>
          <w:sz w:val="24"/>
        </w:rPr>
        <w:t>兴纯债</w:t>
      </w:r>
      <w:proofErr w:type="gramEnd"/>
      <w:r w:rsidR="008A4261" w:rsidRPr="008A4261">
        <w:rPr>
          <w:rFonts w:ascii="宋体" w:hAnsi="宋体" w:hint="eastAsia"/>
          <w:color w:val="000000"/>
          <w:kern w:val="0"/>
          <w:sz w:val="24"/>
        </w:rPr>
        <w:t>债券型证券投资基金</w:t>
      </w:r>
      <w:r>
        <w:rPr>
          <w:rFonts w:ascii="宋体" w:hAnsi="宋体" w:hint="eastAsia"/>
          <w:color w:val="000000"/>
          <w:kern w:val="0"/>
          <w:sz w:val="24"/>
        </w:rPr>
        <w:t>。</w:t>
      </w:r>
    </w:p>
    <w:p w:rsidR="0045798E" w:rsidRDefault="0045798E">
      <w:pPr>
        <w:ind w:firstLineChars="200" w:firstLine="480"/>
        <w:rPr>
          <w:rFonts w:ascii="宋体" w:hAnsi="宋体"/>
          <w:color w:val="000000"/>
          <w:kern w:val="0"/>
          <w:sz w:val="24"/>
        </w:rPr>
      </w:pPr>
    </w:p>
    <w:p w:rsidR="0045798E" w:rsidRDefault="0045798E"/>
    <w:p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45798E" w:rsidRDefault="001050ED" w:rsidP="001050ED">
      <w:pPr>
        <w:ind w:firstLineChars="200" w:firstLine="480"/>
        <w:rPr>
          <w:rFonts w:ascii="宋体" w:hAnsi="宋体"/>
          <w:color w:val="000000"/>
          <w:kern w:val="0"/>
          <w:sz w:val="24"/>
        </w:rPr>
      </w:pPr>
      <w:r>
        <w:rPr>
          <w:rFonts w:ascii="宋体" w:hAnsi="宋体" w:hint="eastAsia"/>
          <w:color w:val="000000"/>
          <w:kern w:val="0"/>
          <w:sz w:val="24"/>
        </w:rPr>
        <w:t>基金的类型：</w:t>
      </w:r>
      <w:r w:rsidRPr="001050ED">
        <w:rPr>
          <w:rFonts w:ascii="宋体" w:hAnsi="宋体" w:hint="eastAsia"/>
          <w:color w:val="000000"/>
          <w:kern w:val="0"/>
          <w:sz w:val="24"/>
        </w:rPr>
        <w:t>债券型证券投资基金</w:t>
      </w:r>
      <w:r w:rsidR="007026B8">
        <w:rPr>
          <w:rFonts w:ascii="宋体" w:hAnsi="宋体" w:hint="eastAsia"/>
          <w:color w:val="000000"/>
          <w:kern w:val="0"/>
          <w:sz w:val="24"/>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1050ED" w:rsidRDefault="001050ED" w:rsidP="001050ED">
      <w:pPr>
        <w:adjustRightInd w:val="0"/>
        <w:snapToGrid w:val="0"/>
        <w:spacing w:line="360" w:lineRule="auto"/>
        <w:ind w:firstLineChars="200" w:firstLine="482"/>
        <w:rPr>
          <w:rFonts w:ascii="Arial Unicode MS" w:hAnsi="Arial Unicode MS" w:cs="Arial"/>
          <w:b/>
          <w:bCs/>
          <w:sz w:val="24"/>
        </w:rPr>
      </w:pPr>
      <w:bookmarkStart w:id="23" w:name="_Toc88969271"/>
      <w:bookmarkEnd w:id="17"/>
      <w:bookmarkEnd w:id="18"/>
      <w:bookmarkEnd w:id="19"/>
      <w:bookmarkEnd w:id="20"/>
      <w:r>
        <w:rPr>
          <w:rFonts w:ascii="Arial Unicode MS" w:hAnsi="Arial Unicode MS" w:cs="Arial" w:hint="eastAsia"/>
          <w:b/>
          <w:bCs/>
          <w:sz w:val="24"/>
        </w:rPr>
        <w:t>（一）</w:t>
      </w:r>
      <w:r w:rsidRPr="001050ED">
        <w:rPr>
          <w:rFonts w:ascii="Arial Unicode MS" w:hAnsi="Arial Unicode MS" w:cs="Arial"/>
          <w:b/>
          <w:bCs/>
          <w:sz w:val="24"/>
        </w:rPr>
        <w:t>投资目标</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在一定程度上控制组合净值波动率的前提下，力争长期内实现超越业绩比较基准的投资回报。</w:t>
      </w:r>
    </w:p>
    <w:p w:rsidR="001050ED" w:rsidRPr="001050ED" w:rsidRDefault="001050ED" w:rsidP="001050ED">
      <w:pPr>
        <w:adjustRightInd w:val="0"/>
        <w:snapToGrid w:val="0"/>
        <w:spacing w:line="360" w:lineRule="auto"/>
        <w:ind w:firstLineChars="200" w:firstLine="482"/>
        <w:rPr>
          <w:rFonts w:ascii="Arial Unicode MS" w:hAnsi="Arial Unicode MS" w:cs="Arial"/>
          <w:b/>
          <w:bCs/>
          <w:sz w:val="24"/>
        </w:rPr>
      </w:pPr>
      <w:r>
        <w:rPr>
          <w:rFonts w:ascii="Arial Unicode MS" w:hAnsi="Arial Unicode MS" w:cs="Arial" w:hint="eastAsia"/>
          <w:b/>
          <w:bCs/>
          <w:sz w:val="24"/>
        </w:rPr>
        <w:t>（二）</w:t>
      </w:r>
      <w:r w:rsidRPr="001050ED">
        <w:rPr>
          <w:rFonts w:ascii="Arial Unicode MS" w:hAnsi="Arial Unicode MS" w:cs="Arial"/>
          <w:b/>
          <w:bCs/>
          <w:sz w:val="24"/>
        </w:rPr>
        <w:t>投资范围</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本基金的投资范围主要为具有良好流动性的固定收益类品种，包括国债、金融债、企业债、公司债、央行票据、中期票据、短期融资</w:t>
      </w:r>
      <w:proofErr w:type="gramStart"/>
      <w:r w:rsidRPr="001050ED">
        <w:rPr>
          <w:rFonts w:ascii="Arial Unicode MS" w:hAnsi="Arial Unicode MS" w:cs="Arial" w:hint="eastAsia"/>
          <w:bCs/>
          <w:sz w:val="24"/>
        </w:rPr>
        <w:t>券</w:t>
      </w:r>
      <w:proofErr w:type="gramEnd"/>
      <w:r w:rsidRPr="001050ED">
        <w:rPr>
          <w:rFonts w:ascii="Arial Unicode MS" w:hAnsi="Arial Unicode MS" w:cs="Arial" w:hint="eastAsia"/>
          <w:bCs/>
          <w:sz w:val="24"/>
        </w:rPr>
        <w:t>、中小企业私募债券、资产支持证券、次级债、可分离交易可转债</w:t>
      </w:r>
      <w:proofErr w:type="gramStart"/>
      <w:r w:rsidRPr="001050ED">
        <w:rPr>
          <w:rFonts w:ascii="Arial Unicode MS" w:hAnsi="Arial Unicode MS" w:cs="Arial" w:hint="eastAsia"/>
          <w:bCs/>
          <w:sz w:val="24"/>
        </w:rPr>
        <w:t>的纯债部分</w:t>
      </w:r>
      <w:proofErr w:type="gramEnd"/>
      <w:r w:rsidRPr="001050ED">
        <w:rPr>
          <w:rFonts w:ascii="Arial Unicode MS" w:hAnsi="Arial Unicode MS" w:cs="Arial" w:hint="eastAsia"/>
          <w:bCs/>
          <w:sz w:val="24"/>
        </w:rPr>
        <w:t>、债券回购、银行存款等法律法规或中国证监会允许基金投资的其他固定收益类金融工具（但须符合中国证监会的相关规定）。</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本基金不投资于股票、权证等权益类资产，也不投资于可转换债券（可分离交易可转债的</w:t>
      </w:r>
      <w:proofErr w:type="gramStart"/>
      <w:r w:rsidRPr="001050ED">
        <w:rPr>
          <w:rFonts w:ascii="Arial Unicode MS" w:hAnsi="Arial Unicode MS" w:cs="Arial" w:hint="eastAsia"/>
          <w:bCs/>
          <w:sz w:val="24"/>
        </w:rPr>
        <w:t>纯债部分</w:t>
      </w:r>
      <w:proofErr w:type="gramEnd"/>
      <w:r w:rsidRPr="001050ED">
        <w:rPr>
          <w:rFonts w:ascii="Arial Unicode MS" w:hAnsi="Arial Unicode MS" w:cs="Arial" w:hint="eastAsia"/>
          <w:bCs/>
          <w:sz w:val="24"/>
        </w:rPr>
        <w:t>除外）、可交换债券。</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基金的投资组合比例为：本基金对债券的投资比例不低于基金资产的</w:t>
      </w:r>
      <w:r w:rsidRPr="001050ED">
        <w:rPr>
          <w:rFonts w:ascii="Arial Unicode MS" w:hAnsi="Arial Unicode MS" w:cs="Arial" w:hint="eastAsia"/>
          <w:bCs/>
          <w:sz w:val="24"/>
        </w:rPr>
        <w:t>80</w:t>
      </w:r>
      <w:r w:rsidRPr="001050ED">
        <w:rPr>
          <w:rFonts w:ascii="Arial Unicode MS" w:hAnsi="Arial Unicode MS" w:cs="Arial" w:hint="eastAsia"/>
          <w:bCs/>
          <w:sz w:val="24"/>
        </w:rPr>
        <w:t>％；本基金持有现金或者到期日在一年以内的政府债券投资比例不低于基金资产净值的</w:t>
      </w:r>
      <w:r w:rsidRPr="001050ED">
        <w:rPr>
          <w:rFonts w:ascii="Arial Unicode MS" w:hAnsi="Arial Unicode MS" w:cs="Arial" w:hint="eastAsia"/>
          <w:bCs/>
          <w:sz w:val="24"/>
        </w:rPr>
        <w:t>5%</w:t>
      </w:r>
      <w:r w:rsidRPr="001050ED">
        <w:rPr>
          <w:rFonts w:ascii="Arial Unicode MS" w:hAnsi="Arial Unicode MS" w:cs="Arial" w:hint="eastAsia"/>
          <w:bCs/>
          <w:sz w:val="24"/>
        </w:rPr>
        <w:t>。</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如法律法规或监管机构以后允许基金投资的其他品种，基金管理人在履行适当程序后，可以将其纳入投资范围。</w:t>
      </w:r>
    </w:p>
    <w:p w:rsidR="001050ED" w:rsidRPr="001050ED" w:rsidRDefault="001050ED" w:rsidP="001050ED">
      <w:pPr>
        <w:adjustRightInd w:val="0"/>
        <w:snapToGrid w:val="0"/>
        <w:spacing w:line="360" w:lineRule="auto"/>
        <w:ind w:firstLineChars="200" w:firstLine="482"/>
        <w:rPr>
          <w:rFonts w:ascii="Arial Unicode MS" w:hAnsi="Arial Unicode MS" w:cs="Arial"/>
          <w:b/>
          <w:bCs/>
          <w:sz w:val="24"/>
        </w:rPr>
      </w:pPr>
      <w:r>
        <w:rPr>
          <w:rFonts w:ascii="Arial Unicode MS" w:hAnsi="Arial Unicode MS" w:cs="Arial" w:hint="eastAsia"/>
          <w:b/>
          <w:bCs/>
          <w:sz w:val="24"/>
        </w:rPr>
        <w:t>（三）</w:t>
      </w:r>
      <w:r w:rsidRPr="001050ED">
        <w:rPr>
          <w:rFonts w:ascii="Arial Unicode MS" w:hAnsi="Arial Unicode MS" w:cs="Arial"/>
          <w:b/>
          <w:bCs/>
          <w:sz w:val="24"/>
        </w:rPr>
        <w:t>投资策略</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bookmarkStart w:id="24" w:name="_Toc148867251"/>
      <w:bookmarkStart w:id="25" w:name="_Toc149105517"/>
      <w:bookmarkStart w:id="26" w:name="_Toc212891567"/>
      <w:r w:rsidRPr="001050ED">
        <w:rPr>
          <w:rFonts w:ascii="Arial Unicode MS" w:hAnsi="Arial Unicode MS" w:cs="Arial" w:hint="eastAsia"/>
          <w:bCs/>
          <w:sz w:val="24"/>
        </w:rPr>
        <w:lastRenderedPageBreak/>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sidRPr="001050ED">
        <w:rPr>
          <w:rFonts w:ascii="Arial Unicode MS" w:hAnsi="Arial Unicode MS" w:cs="Arial" w:hint="eastAsia"/>
          <w:bCs/>
          <w:sz w:val="24"/>
        </w:rPr>
        <w:t>个券</w:t>
      </w:r>
      <w:proofErr w:type="gramEnd"/>
      <w:r w:rsidRPr="001050ED">
        <w:rPr>
          <w:rFonts w:ascii="Arial Unicode MS" w:hAnsi="Arial Unicode MS" w:cs="Arial" w:hint="eastAsia"/>
          <w:bCs/>
          <w:sz w:val="24"/>
        </w:rPr>
        <w:t>挖掘策略等。</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首先，本组合宏观周期研究的基础上，决定整体组合的久期、杠杆率策略。</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一方面，本基金将分析众多的宏观经济变量（包括</w:t>
      </w:r>
      <w:r w:rsidRPr="001050ED">
        <w:rPr>
          <w:rFonts w:ascii="Arial Unicode MS" w:hAnsi="Arial Unicode MS" w:cs="Arial" w:hint="eastAsia"/>
          <w:bCs/>
          <w:sz w:val="24"/>
        </w:rPr>
        <w:t>GDP</w:t>
      </w:r>
      <w:r w:rsidRPr="001050ED">
        <w:rPr>
          <w:rFonts w:ascii="Arial Unicode MS" w:hAnsi="Arial Unicode MS" w:cs="Arial" w:hint="eastAsia"/>
          <w:bCs/>
          <w:sz w:val="24"/>
        </w:rPr>
        <w:t>增长率、</w:t>
      </w:r>
      <w:r w:rsidRPr="001050ED">
        <w:rPr>
          <w:rFonts w:ascii="Arial Unicode MS" w:hAnsi="Arial Unicode MS" w:cs="Arial" w:hint="eastAsia"/>
          <w:bCs/>
          <w:sz w:val="24"/>
        </w:rPr>
        <w:t>CPI</w:t>
      </w:r>
      <w:r w:rsidRPr="001050ED">
        <w:rPr>
          <w:rFonts w:ascii="Arial Unicode MS" w:hAnsi="Arial Unicode MS" w:cs="Arial" w:hint="eastAsia"/>
          <w:bCs/>
          <w:sz w:val="24"/>
        </w:rPr>
        <w:t>走势、</w:t>
      </w:r>
      <w:r w:rsidRPr="001050ED">
        <w:rPr>
          <w:rFonts w:ascii="Arial Unicode MS" w:hAnsi="Arial Unicode MS" w:cs="Arial" w:hint="eastAsia"/>
          <w:bCs/>
          <w:sz w:val="24"/>
        </w:rPr>
        <w:t>M2</w:t>
      </w:r>
      <w:r w:rsidRPr="001050ED">
        <w:rPr>
          <w:rFonts w:ascii="Arial Unicode MS" w:hAnsi="Arial Unicode MS" w:cs="Arial" w:hint="eastAsia"/>
          <w:bCs/>
          <w:sz w:val="24"/>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1050ED">
        <w:rPr>
          <w:rFonts w:ascii="Arial Unicode MS" w:hAnsi="Arial Unicode MS" w:cs="Arial" w:hint="eastAsia"/>
          <w:bCs/>
          <w:sz w:val="24"/>
        </w:rPr>
        <w:t>久期范围</w:t>
      </w:r>
      <w:proofErr w:type="gramEnd"/>
      <w:r w:rsidRPr="001050ED">
        <w:rPr>
          <w:rFonts w:ascii="Arial Unicode MS" w:hAnsi="Arial Unicode MS" w:cs="Arial" w:hint="eastAsia"/>
          <w:bCs/>
          <w:sz w:val="24"/>
        </w:rPr>
        <w:t>以及杠杆率水平。</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其次，本组合将在期限结构策略、行业轮动策略的基础上获得债券市场整体回报率，通过息差策略、</w:t>
      </w:r>
      <w:proofErr w:type="gramStart"/>
      <w:r w:rsidRPr="001050ED">
        <w:rPr>
          <w:rFonts w:ascii="Arial Unicode MS" w:hAnsi="Arial Unicode MS" w:cs="Arial" w:hint="eastAsia"/>
          <w:bCs/>
          <w:sz w:val="24"/>
        </w:rPr>
        <w:t>个券</w:t>
      </w:r>
      <w:proofErr w:type="gramEnd"/>
      <w:r w:rsidRPr="001050ED">
        <w:rPr>
          <w:rFonts w:ascii="Arial Unicode MS" w:hAnsi="Arial Unicode MS" w:cs="Arial" w:hint="eastAsia"/>
          <w:bCs/>
          <w:sz w:val="24"/>
        </w:rPr>
        <w:t>挖掘策略获得超额收益。</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1</w:t>
      </w:r>
      <w:r w:rsidRPr="001050ED">
        <w:rPr>
          <w:rFonts w:ascii="Arial Unicode MS" w:hAnsi="Arial Unicode MS" w:cs="Arial" w:hint="eastAsia"/>
          <w:bCs/>
          <w:sz w:val="24"/>
        </w:rPr>
        <w:t>、期限结构策略。通过预测收益率曲线的形状和变化趋势，对各类型债券</w:t>
      </w:r>
      <w:proofErr w:type="gramStart"/>
      <w:r w:rsidRPr="001050ED">
        <w:rPr>
          <w:rFonts w:ascii="Arial Unicode MS" w:hAnsi="Arial Unicode MS" w:cs="Arial" w:hint="eastAsia"/>
          <w:bCs/>
          <w:sz w:val="24"/>
        </w:rPr>
        <w:t>进行久期配置</w:t>
      </w:r>
      <w:proofErr w:type="gramEnd"/>
      <w:r w:rsidRPr="001050ED">
        <w:rPr>
          <w:rFonts w:ascii="Arial Unicode MS" w:hAnsi="Arial Unicode MS" w:cs="Arial" w:hint="eastAsia"/>
          <w:bCs/>
          <w:sz w:val="24"/>
        </w:rPr>
        <w:t>；当收益率曲线走势难以判断时，参考基准指数的样本</w:t>
      </w:r>
      <w:proofErr w:type="gramStart"/>
      <w:r w:rsidRPr="001050ED">
        <w:rPr>
          <w:rFonts w:ascii="Arial Unicode MS" w:hAnsi="Arial Unicode MS" w:cs="Arial" w:hint="eastAsia"/>
          <w:bCs/>
          <w:sz w:val="24"/>
        </w:rPr>
        <w:t>券久期构建</w:t>
      </w:r>
      <w:proofErr w:type="gramEnd"/>
      <w:r w:rsidRPr="001050ED">
        <w:rPr>
          <w:rFonts w:ascii="Arial Unicode MS" w:hAnsi="Arial Unicode MS" w:cs="Arial" w:hint="eastAsia"/>
          <w:bCs/>
          <w:sz w:val="24"/>
        </w:rPr>
        <w:t>组合久期，确保组合收益超过基准收益。具体来看，又分为跟踪收益率曲线的骑乘策略和基于收益率曲线变化的子弹策略、杠铃策略及梯式策略。</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w:t>
      </w:r>
      <w:r w:rsidRPr="001050ED">
        <w:rPr>
          <w:rFonts w:ascii="Arial Unicode MS" w:hAnsi="Arial Unicode MS" w:cs="Arial" w:hint="eastAsia"/>
          <w:bCs/>
          <w:sz w:val="24"/>
        </w:rPr>
        <w:t>1</w:t>
      </w:r>
      <w:r w:rsidRPr="001050ED">
        <w:rPr>
          <w:rFonts w:ascii="Arial Unicode MS" w:hAnsi="Arial Unicode MS" w:cs="Arial" w:hint="eastAsia"/>
          <w:bCs/>
          <w:sz w:val="24"/>
        </w:rPr>
        <w:t>）骑乘策略是当收益率曲线比较陡峭时，也即相邻期限利差较大时，买入期限位于收益率曲线陡峭处的债券，通过债券的收益率的下滑，进而获得资本利得收益。</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w:t>
      </w:r>
      <w:r w:rsidRPr="001050ED">
        <w:rPr>
          <w:rFonts w:ascii="Arial Unicode MS" w:hAnsi="Arial Unicode MS" w:cs="Arial" w:hint="eastAsia"/>
          <w:bCs/>
          <w:sz w:val="24"/>
        </w:rPr>
        <w:t>2</w:t>
      </w:r>
      <w:r w:rsidRPr="001050ED">
        <w:rPr>
          <w:rFonts w:ascii="Arial Unicode MS" w:hAnsi="Arial Unicode MS" w:cs="Arial" w:hint="eastAsia"/>
          <w:bCs/>
          <w:sz w:val="24"/>
        </w:rPr>
        <w:t>）子弹策略是使投资组合中债券</w:t>
      </w:r>
      <w:proofErr w:type="gramStart"/>
      <w:r w:rsidRPr="001050ED">
        <w:rPr>
          <w:rFonts w:ascii="Arial Unicode MS" w:hAnsi="Arial Unicode MS" w:cs="Arial" w:hint="eastAsia"/>
          <w:bCs/>
          <w:sz w:val="24"/>
        </w:rPr>
        <w:t>久期集中</w:t>
      </w:r>
      <w:proofErr w:type="gramEnd"/>
      <w:r w:rsidRPr="001050ED">
        <w:rPr>
          <w:rFonts w:ascii="Arial Unicode MS" w:hAnsi="Arial Unicode MS" w:cs="Arial" w:hint="eastAsia"/>
          <w:bCs/>
          <w:sz w:val="24"/>
        </w:rPr>
        <w:t>于收益率曲线的一点，适用于收益率曲线较陡时；杠铃策略是使投资组合中债券的</w:t>
      </w:r>
      <w:proofErr w:type="gramStart"/>
      <w:r w:rsidRPr="001050ED">
        <w:rPr>
          <w:rFonts w:ascii="Arial Unicode MS" w:hAnsi="Arial Unicode MS" w:cs="Arial" w:hint="eastAsia"/>
          <w:bCs/>
          <w:sz w:val="24"/>
        </w:rPr>
        <w:t>久期集中</w:t>
      </w:r>
      <w:proofErr w:type="gramEnd"/>
      <w:r w:rsidRPr="001050ED">
        <w:rPr>
          <w:rFonts w:ascii="Arial Unicode MS" w:hAnsi="Arial Unicode MS" w:cs="Arial" w:hint="eastAsia"/>
          <w:bCs/>
          <w:sz w:val="24"/>
        </w:rPr>
        <w:t>在收益率曲线的两端，适用于收益率曲线两头下降较中间下降更多的蝶式变动；梯式策略是使投资组合中的</w:t>
      </w:r>
      <w:proofErr w:type="gramStart"/>
      <w:r w:rsidRPr="001050ED">
        <w:rPr>
          <w:rFonts w:ascii="Arial Unicode MS" w:hAnsi="Arial Unicode MS" w:cs="Arial" w:hint="eastAsia"/>
          <w:bCs/>
          <w:sz w:val="24"/>
        </w:rPr>
        <w:t>债券久期均匀</w:t>
      </w:r>
      <w:proofErr w:type="gramEnd"/>
      <w:r w:rsidRPr="001050ED">
        <w:rPr>
          <w:rFonts w:ascii="Arial Unicode MS" w:hAnsi="Arial Unicode MS" w:cs="Arial" w:hint="eastAsia"/>
          <w:bCs/>
          <w:sz w:val="24"/>
        </w:rPr>
        <w:t>分别于收益率曲线，适用于收益率曲线水平移动。</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lastRenderedPageBreak/>
        <w:t>2</w:t>
      </w:r>
      <w:r w:rsidRPr="001050ED">
        <w:rPr>
          <w:rFonts w:ascii="Arial Unicode MS" w:hAnsi="Arial Unicode MS" w:cs="Arial" w:hint="eastAsia"/>
          <w:bCs/>
          <w:sz w:val="24"/>
        </w:rPr>
        <w:t>、行业配置策略。债券市场所涉及行业众多，同样宏观周期背景下不同行业的景气度的发生，本基金分别采用以下的分析策略：</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w:t>
      </w:r>
      <w:r w:rsidRPr="001050ED">
        <w:rPr>
          <w:rFonts w:ascii="Arial Unicode MS" w:hAnsi="Arial Unicode MS" w:cs="Arial" w:hint="eastAsia"/>
          <w:bCs/>
          <w:sz w:val="24"/>
        </w:rPr>
        <w:t>1</w:t>
      </w:r>
      <w:r w:rsidRPr="001050ED">
        <w:rPr>
          <w:rFonts w:ascii="Arial Unicode MS" w:hAnsi="Arial Unicode MS" w:cs="Arial" w:hint="eastAsia"/>
          <w:bCs/>
          <w:sz w:val="24"/>
        </w:rPr>
        <w:t>）分散化投资：发行人涉及众多行业，本组合将保持在各行业配置比例上的分散化结构，避免过度集中配置在产业</w:t>
      </w:r>
      <w:proofErr w:type="gramStart"/>
      <w:r w:rsidRPr="001050ED">
        <w:rPr>
          <w:rFonts w:ascii="Arial Unicode MS" w:hAnsi="Arial Unicode MS" w:cs="Arial" w:hint="eastAsia"/>
          <w:bCs/>
          <w:sz w:val="24"/>
        </w:rPr>
        <w:t>链高度</w:t>
      </w:r>
      <w:proofErr w:type="gramEnd"/>
      <w:r w:rsidRPr="001050ED">
        <w:rPr>
          <w:rFonts w:ascii="Arial Unicode MS" w:hAnsi="Arial Unicode MS" w:cs="Arial" w:hint="eastAsia"/>
          <w:bCs/>
          <w:sz w:val="24"/>
        </w:rPr>
        <w:t>相关的上中下游行业。</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w:t>
      </w:r>
      <w:r w:rsidRPr="001050ED">
        <w:rPr>
          <w:rFonts w:ascii="Arial Unicode MS" w:hAnsi="Arial Unicode MS" w:cs="Arial" w:hint="eastAsia"/>
          <w:bCs/>
          <w:sz w:val="24"/>
        </w:rPr>
        <w:t>2</w:t>
      </w:r>
      <w:r w:rsidRPr="001050ED">
        <w:rPr>
          <w:rFonts w:ascii="Arial Unicode MS" w:hAnsi="Arial Unicode MS" w:cs="Arial" w:hint="eastAsia"/>
          <w:bCs/>
          <w:sz w:val="24"/>
        </w:rPr>
        <w:t>）行业投资：本组合将依据对下一阶段各行业景气</w:t>
      </w:r>
      <w:proofErr w:type="gramStart"/>
      <w:r w:rsidRPr="001050ED">
        <w:rPr>
          <w:rFonts w:ascii="Arial Unicode MS" w:hAnsi="Arial Unicode MS" w:cs="Arial" w:hint="eastAsia"/>
          <w:bCs/>
          <w:sz w:val="24"/>
        </w:rPr>
        <w:t>度特征的研</w:t>
      </w:r>
      <w:proofErr w:type="gramEnd"/>
      <w:r w:rsidRPr="001050ED">
        <w:rPr>
          <w:rFonts w:ascii="Arial Unicode MS" w:hAnsi="Arial Unicode MS" w:cs="Arial" w:hint="eastAsia"/>
          <w:bCs/>
          <w:sz w:val="24"/>
        </w:rPr>
        <w:t>判，确定在下一阶段在各行业的配置比例，卖出景气度降低行业的债券，提前布局景气度提升行业的债券。</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3</w:t>
      </w:r>
      <w:r w:rsidRPr="001050ED">
        <w:rPr>
          <w:rFonts w:ascii="Arial Unicode MS" w:hAnsi="Arial Unicode MS" w:cs="Arial" w:hint="eastAsia"/>
          <w:bCs/>
          <w:sz w:val="24"/>
        </w:rPr>
        <w:t>、息差策略。通过正回购，融资买入收益率高于回购成本的债券，从而获得杠杆放大收益。</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本组合将采取低杠杆、高流动性策略，适当运用杠杆息</w:t>
      </w:r>
      <w:proofErr w:type="gramStart"/>
      <w:r w:rsidRPr="001050ED">
        <w:rPr>
          <w:rFonts w:ascii="Arial Unicode MS" w:hAnsi="Arial Unicode MS" w:cs="Arial" w:hint="eastAsia"/>
          <w:bCs/>
          <w:sz w:val="24"/>
        </w:rPr>
        <w:t>差方式</w:t>
      </w:r>
      <w:proofErr w:type="gramEnd"/>
      <w:r w:rsidRPr="001050ED">
        <w:rPr>
          <w:rFonts w:ascii="Arial Unicode MS" w:hAnsi="Arial Unicode MS" w:cs="Arial" w:hint="eastAsia"/>
          <w:bCs/>
          <w:sz w:val="24"/>
        </w:rPr>
        <w:t>来获取主动管理回报，选取具有较好流动性的债券作为杠杆买入品种，灵活控制杠杆组合</w:t>
      </w:r>
      <w:proofErr w:type="gramStart"/>
      <w:r w:rsidRPr="001050ED">
        <w:rPr>
          <w:rFonts w:ascii="Arial Unicode MS" w:hAnsi="Arial Unicode MS" w:cs="Arial" w:hint="eastAsia"/>
          <w:bCs/>
          <w:sz w:val="24"/>
        </w:rPr>
        <w:t>仓位</w:t>
      </w:r>
      <w:proofErr w:type="gramEnd"/>
      <w:r w:rsidRPr="001050ED">
        <w:rPr>
          <w:rFonts w:ascii="Arial Unicode MS" w:hAnsi="Arial Unicode MS" w:cs="Arial" w:hint="eastAsia"/>
          <w:bCs/>
          <w:sz w:val="24"/>
        </w:rPr>
        <w:t>，降低组合波动率。</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针对中小企业私募债券，本基金以持有到期，获得本金和票息收入为主要投资策略，同时，密切关注债券的信用风险变化，力争在控制风险的前提下，获得较高收益。本基金投资中小企业私募债</w:t>
      </w:r>
      <w:r w:rsidRPr="001050ED">
        <w:rPr>
          <w:rFonts w:ascii="Arial Unicode MS" w:hAnsi="Arial Unicode MS" w:cs="Arial" w:hint="eastAsia"/>
          <w:bCs/>
          <w:sz w:val="24"/>
        </w:rPr>
        <w:t>,</w:t>
      </w:r>
      <w:r w:rsidRPr="001050ED">
        <w:rPr>
          <w:rFonts w:ascii="Arial Unicode MS" w:hAnsi="Arial Unicode MS" w:cs="Arial" w:hint="eastAsia"/>
          <w:bCs/>
          <w:sz w:val="24"/>
        </w:rPr>
        <w:t>基金管理人将根据审慎原则，制定严格的投资决策流程、风险控制制度和信用风险、流动性风险处置预案，并经董事会批准，以防范信用风险、流动性风险等各种风险。</w:t>
      </w:r>
    </w:p>
    <w:p w:rsidR="001050ED" w:rsidRPr="001050ED" w:rsidRDefault="001050ED" w:rsidP="001050ED">
      <w:pPr>
        <w:autoSpaceDE w:val="0"/>
        <w:autoSpaceDN w:val="0"/>
        <w:adjustRightInd w:val="0"/>
        <w:snapToGrid w:val="0"/>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4</w:t>
      </w:r>
      <w:r w:rsidRPr="001050ED">
        <w:rPr>
          <w:rFonts w:ascii="Arial Unicode MS" w:hAnsi="Arial Unicode MS" w:cs="Arial" w:hint="eastAsia"/>
          <w:bCs/>
          <w:sz w:val="24"/>
        </w:rPr>
        <w:t>、</w:t>
      </w:r>
      <w:proofErr w:type="gramStart"/>
      <w:r w:rsidRPr="001050ED">
        <w:rPr>
          <w:rFonts w:ascii="Arial Unicode MS" w:hAnsi="Arial Unicode MS" w:cs="Arial" w:hint="eastAsia"/>
          <w:bCs/>
          <w:sz w:val="24"/>
        </w:rPr>
        <w:t>个券</w:t>
      </w:r>
      <w:proofErr w:type="gramEnd"/>
      <w:r w:rsidRPr="001050ED">
        <w:rPr>
          <w:rFonts w:ascii="Arial Unicode MS" w:hAnsi="Arial Unicode MS" w:cs="Arial" w:hint="eastAsia"/>
          <w:bCs/>
          <w:sz w:val="24"/>
        </w:rPr>
        <w:t>挖掘策略。本部分策略强调公司价值挖掘的重要性，在行业周期特征、公司基本面风险特征基础上制定绝对收益率目标策略，甄别具有估值优势、基本</w:t>
      </w:r>
      <w:proofErr w:type="gramStart"/>
      <w:r w:rsidRPr="001050ED">
        <w:rPr>
          <w:rFonts w:ascii="Arial Unicode MS" w:hAnsi="Arial Unicode MS" w:cs="Arial" w:hint="eastAsia"/>
          <w:bCs/>
          <w:sz w:val="24"/>
        </w:rPr>
        <w:t>面改善</w:t>
      </w:r>
      <w:proofErr w:type="gramEnd"/>
      <w:r w:rsidRPr="001050ED">
        <w:rPr>
          <w:rFonts w:ascii="Arial Unicode MS" w:hAnsi="Arial Unicode MS" w:cs="Arial" w:hint="eastAsia"/>
          <w:bCs/>
          <w:sz w:val="24"/>
        </w:rPr>
        <w:t>的公司，采取高度分散策略，重点布局优势债券，争取提高组合超额收益空间。</w:t>
      </w:r>
    </w:p>
    <w:p w:rsidR="001050ED" w:rsidRPr="001050ED" w:rsidRDefault="001050ED" w:rsidP="001050ED">
      <w:pPr>
        <w:spacing w:line="360" w:lineRule="auto"/>
        <w:ind w:firstLineChars="200" w:firstLine="482"/>
        <w:rPr>
          <w:rFonts w:ascii="Arial Unicode MS" w:hAnsi="Arial Unicode MS" w:cs="Arial"/>
          <w:b/>
          <w:sz w:val="24"/>
        </w:rPr>
      </w:pPr>
      <w:r>
        <w:rPr>
          <w:rFonts w:ascii="Arial Unicode MS" w:hAnsi="Arial Unicode MS" w:cs="Arial" w:hint="eastAsia"/>
          <w:b/>
          <w:sz w:val="24"/>
        </w:rPr>
        <w:t>（四）</w:t>
      </w:r>
      <w:r w:rsidRPr="001050ED">
        <w:rPr>
          <w:rFonts w:ascii="Arial Unicode MS" w:hAnsi="Arial Unicode MS" w:cs="Arial" w:hint="eastAsia"/>
          <w:b/>
          <w:sz w:val="24"/>
        </w:rPr>
        <w:t>投资决策流程</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具体的投资流程为：</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w:t>
      </w:r>
      <w:r w:rsidRPr="001050ED">
        <w:rPr>
          <w:rFonts w:ascii="Arial Unicode MS" w:hAnsi="Arial Unicode MS" w:cs="Arial" w:hint="eastAsia"/>
          <w:sz w:val="24"/>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w:t>
      </w:r>
      <w:r w:rsidRPr="001050ED">
        <w:rPr>
          <w:rFonts w:ascii="Arial Unicode MS" w:hAnsi="Arial Unicode MS" w:cs="Arial" w:hint="eastAsia"/>
          <w:sz w:val="24"/>
        </w:rPr>
        <w:lastRenderedPageBreak/>
        <w:t>析、债券市场收益率曲线分析寻找投资机会，选择最佳的交易策略。</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2</w:t>
      </w:r>
      <w:r w:rsidRPr="001050ED">
        <w:rPr>
          <w:rFonts w:ascii="Arial Unicode MS" w:hAnsi="Arial Unicode MS" w:cs="Arial" w:hint="eastAsia"/>
          <w:sz w:val="24"/>
        </w:rPr>
        <w:t>）固定收益部定期召开例会讨论固定收益产品投资方案和未来的行情判断，结合宏观经济、债券市场两方面研究结果确定下期的固定收益产品投资策略</w:t>
      </w:r>
      <w:r w:rsidRPr="001050ED">
        <w:rPr>
          <w:rFonts w:ascii="Arial Unicode MS" w:hAnsi="Arial Unicode MS" w:cs="Arial" w:hint="eastAsia"/>
          <w:sz w:val="24"/>
        </w:rPr>
        <w:t>,</w:t>
      </w:r>
      <w:r w:rsidRPr="001050ED">
        <w:rPr>
          <w:rFonts w:ascii="Arial Unicode MS" w:hAnsi="Arial Unicode MS" w:cs="Arial" w:hint="eastAsia"/>
          <w:sz w:val="24"/>
        </w:rPr>
        <w:t>并报投资决策委员会备案。</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3</w:t>
      </w:r>
      <w:r w:rsidRPr="001050ED">
        <w:rPr>
          <w:rFonts w:ascii="Arial Unicode MS" w:hAnsi="Arial Unicode MS" w:cs="Arial" w:hint="eastAsia"/>
          <w:sz w:val="24"/>
        </w:rPr>
        <w:t>）基金经理负责执行投资方案。</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4</w:t>
      </w:r>
      <w:r w:rsidRPr="001050ED">
        <w:rPr>
          <w:rFonts w:ascii="Arial Unicode MS" w:hAnsi="Arial Unicode MS" w:cs="Arial" w:hint="eastAsia"/>
          <w:sz w:val="24"/>
        </w:rPr>
        <w:t>）公司所管理的基金投资交易均采用集中交易制度。投资执行与投资决策严格分离，基金的所有证券买卖活动须通过交易部统一分配，集中交易完成。</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5</w:t>
      </w:r>
      <w:r w:rsidRPr="001050ED">
        <w:rPr>
          <w:rFonts w:ascii="Arial Unicode MS" w:hAnsi="Arial Unicode MS" w:cs="Arial" w:hint="eastAsia"/>
          <w:sz w:val="24"/>
        </w:rPr>
        <w:t>）基金经理根据市场变化在权限范围及时进行投资策略调整，超过投资权限的报投资决策委员会审议。</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投资合</w:t>
      </w:r>
      <w:proofErr w:type="gramStart"/>
      <w:r w:rsidRPr="001050ED">
        <w:rPr>
          <w:rFonts w:ascii="Arial Unicode MS" w:hAnsi="Arial Unicode MS" w:cs="Arial" w:hint="eastAsia"/>
          <w:sz w:val="24"/>
        </w:rPr>
        <w:t>规</w:t>
      </w:r>
      <w:proofErr w:type="gramEnd"/>
      <w:r w:rsidRPr="001050ED">
        <w:rPr>
          <w:rFonts w:ascii="Arial Unicode MS" w:hAnsi="Arial Unicode MS" w:cs="Arial" w:hint="eastAsia"/>
          <w:sz w:val="24"/>
        </w:rPr>
        <w:t>性控制从以下方面展开：</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w:t>
      </w:r>
      <w:r w:rsidRPr="001050ED">
        <w:rPr>
          <w:rFonts w:ascii="Arial Unicode MS" w:hAnsi="Arial Unicode MS" w:cs="Arial" w:hint="eastAsia"/>
          <w:sz w:val="24"/>
        </w:rPr>
        <w:t>）风险管理委员会：通过对基金投资的研究、决策、执行等，从制度上、操作程序上进行控制，保证公司管理基金投资的各项制度、措施、工作流程符合相关法律、法规和基金合同的要求。</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2</w:t>
      </w:r>
      <w:r w:rsidRPr="001050ED">
        <w:rPr>
          <w:rFonts w:ascii="Arial Unicode MS" w:hAnsi="Arial Unicode MS" w:cs="Arial" w:hint="eastAsia"/>
          <w:sz w:val="24"/>
        </w:rPr>
        <w:t>）督察长：可列席公司投资决策委员会议，全程监控交易指令的执行情况，保证合</w:t>
      </w:r>
      <w:proofErr w:type="gramStart"/>
      <w:r w:rsidRPr="001050ED">
        <w:rPr>
          <w:rFonts w:ascii="Arial Unicode MS" w:hAnsi="Arial Unicode MS" w:cs="Arial" w:hint="eastAsia"/>
          <w:sz w:val="24"/>
        </w:rPr>
        <w:t>规</w:t>
      </w:r>
      <w:proofErr w:type="gramEnd"/>
      <w:r w:rsidRPr="001050ED">
        <w:rPr>
          <w:rFonts w:ascii="Arial Unicode MS" w:hAnsi="Arial Unicode MS" w:cs="Arial" w:hint="eastAsia"/>
          <w:sz w:val="24"/>
        </w:rPr>
        <w:t>性控制的实施。</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3</w:t>
      </w:r>
      <w:r w:rsidRPr="001050ED">
        <w:rPr>
          <w:rFonts w:ascii="Arial Unicode MS" w:hAnsi="Arial Unicode MS" w:cs="Arial" w:hint="eastAsia"/>
          <w:sz w:val="24"/>
        </w:rPr>
        <w:t>）监察稽核部：可对基金投资管理过程的各环节进行例行和专项稽核，根据授权察看基金的交易情况，确保投资决策和交易指令得到全面、准确的执行。</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4</w:t>
      </w:r>
      <w:r w:rsidRPr="001050ED">
        <w:rPr>
          <w:rFonts w:ascii="Arial Unicode MS" w:hAnsi="Arial Unicode MS" w:cs="Arial" w:hint="eastAsia"/>
          <w:sz w:val="24"/>
        </w:rPr>
        <w:t>）交易部负责对投资指令进行审核，对日常交易行为实时监控。</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5</w:t>
      </w:r>
      <w:r w:rsidRPr="001050ED">
        <w:rPr>
          <w:rFonts w:ascii="Arial Unicode MS" w:hAnsi="Arial Unicode MS" w:cs="Arial" w:hint="eastAsia"/>
          <w:sz w:val="24"/>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4"/>
    <w:bookmarkEnd w:id="25"/>
    <w:bookmarkEnd w:id="26"/>
    <w:p w:rsidR="001050ED" w:rsidRPr="001050ED" w:rsidRDefault="001050ED" w:rsidP="001050ED">
      <w:pPr>
        <w:autoSpaceDE w:val="0"/>
        <w:autoSpaceDN w:val="0"/>
        <w:adjustRightInd w:val="0"/>
        <w:snapToGrid w:val="0"/>
        <w:spacing w:line="360" w:lineRule="auto"/>
        <w:ind w:firstLineChars="200" w:firstLine="482"/>
        <w:rPr>
          <w:rFonts w:ascii="Arial Unicode MS" w:hAnsi="Arial Unicode MS" w:cs="Arial"/>
          <w:b/>
          <w:bCs/>
          <w:sz w:val="24"/>
        </w:rPr>
      </w:pPr>
      <w:r>
        <w:rPr>
          <w:rFonts w:ascii="Arial Unicode MS" w:hAnsi="Arial Unicode MS" w:cs="Arial" w:hint="eastAsia"/>
          <w:b/>
          <w:bCs/>
          <w:sz w:val="24"/>
        </w:rPr>
        <w:t>（五）</w:t>
      </w:r>
      <w:r w:rsidRPr="001050ED">
        <w:rPr>
          <w:rFonts w:ascii="Arial Unicode MS" w:hAnsi="Arial Unicode MS" w:cs="Arial"/>
          <w:b/>
          <w:bCs/>
          <w:sz w:val="24"/>
        </w:rPr>
        <w:t>投资限制</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1</w:t>
      </w:r>
      <w:r w:rsidRPr="001050ED">
        <w:rPr>
          <w:rFonts w:ascii="Arial Unicode MS" w:hAnsi="Arial Unicode MS" w:cs="Arial" w:hint="eastAsia"/>
          <w:sz w:val="24"/>
        </w:rPr>
        <w:t>、组合限制</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lastRenderedPageBreak/>
        <w:t>基金的投资组合应遵循以下限制：</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w:t>
      </w:r>
      <w:r w:rsidRPr="001050ED">
        <w:rPr>
          <w:rFonts w:ascii="Arial Unicode MS" w:hAnsi="Arial Unicode MS" w:cs="Arial" w:hint="eastAsia"/>
          <w:sz w:val="24"/>
        </w:rPr>
        <w:t>）本基金对债券的投资比例不低于基金资产的</w:t>
      </w:r>
      <w:r w:rsidRPr="001050ED">
        <w:rPr>
          <w:rFonts w:ascii="Arial Unicode MS" w:hAnsi="Arial Unicode MS" w:cs="Arial" w:hint="eastAsia"/>
          <w:sz w:val="24"/>
        </w:rPr>
        <w:t>80%</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2</w:t>
      </w:r>
      <w:r w:rsidRPr="001050ED">
        <w:rPr>
          <w:rFonts w:ascii="Arial Unicode MS" w:hAnsi="Arial Unicode MS" w:cs="Arial" w:hint="eastAsia"/>
          <w:sz w:val="24"/>
        </w:rPr>
        <w:t>）</w:t>
      </w:r>
      <w:r w:rsidRPr="001050ED">
        <w:rPr>
          <w:rFonts w:ascii="Arial Unicode MS" w:hAnsi="Arial Unicode MS" w:cs="Arial"/>
          <w:sz w:val="24"/>
        </w:rPr>
        <w:t>本基金</w:t>
      </w:r>
      <w:r w:rsidRPr="001050ED">
        <w:rPr>
          <w:rFonts w:ascii="Arial Unicode MS" w:hAnsi="Arial Unicode MS" w:cs="Arial" w:hint="eastAsia"/>
          <w:sz w:val="24"/>
        </w:rPr>
        <w:t>持有现金或者到期日在一年以内的政府债券投资比例合计不低于基金资产净值的</w:t>
      </w:r>
      <w:r w:rsidRPr="001050ED">
        <w:rPr>
          <w:rFonts w:ascii="Arial Unicode MS" w:hAnsi="Arial Unicode MS" w:cs="Arial"/>
          <w:sz w:val="24"/>
        </w:rPr>
        <w:t>5%</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sz w:val="24"/>
        </w:rPr>
        <w:t>（</w:t>
      </w:r>
      <w:r w:rsidRPr="001050ED">
        <w:rPr>
          <w:rFonts w:ascii="Arial Unicode MS" w:hAnsi="Arial Unicode MS" w:cs="Arial" w:hint="eastAsia"/>
          <w:sz w:val="24"/>
        </w:rPr>
        <w:t>3</w:t>
      </w:r>
      <w:r w:rsidRPr="001050ED">
        <w:rPr>
          <w:rFonts w:ascii="Arial Unicode MS" w:hAnsi="Arial Unicode MS" w:cs="Arial"/>
          <w:sz w:val="24"/>
        </w:rPr>
        <w:t>）本基金持有一家公司</w:t>
      </w:r>
      <w:r w:rsidRPr="001050ED">
        <w:rPr>
          <w:rFonts w:ascii="Arial Unicode MS" w:hAnsi="Arial Unicode MS" w:cs="Arial" w:hint="eastAsia"/>
          <w:sz w:val="24"/>
        </w:rPr>
        <w:t>发行</w:t>
      </w:r>
      <w:r w:rsidRPr="001050ED">
        <w:rPr>
          <w:rFonts w:ascii="Arial Unicode MS" w:hAnsi="Arial Unicode MS" w:cs="Arial"/>
          <w:sz w:val="24"/>
        </w:rPr>
        <w:t>的</w:t>
      </w:r>
      <w:r w:rsidRPr="001050ED">
        <w:rPr>
          <w:rFonts w:ascii="Arial Unicode MS" w:hAnsi="Arial Unicode MS" w:cs="Arial" w:hint="eastAsia"/>
          <w:sz w:val="24"/>
        </w:rPr>
        <w:t>证券</w:t>
      </w:r>
      <w:r w:rsidRPr="001050ED">
        <w:rPr>
          <w:rFonts w:ascii="Arial Unicode MS" w:hAnsi="Arial Unicode MS" w:cs="Arial"/>
          <w:sz w:val="24"/>
        </w:rPr>
        <w:t>，其市值不超过基金资产净值的</w:t>
      </w:r>
      <w:r w:rsidRPr="001050ED">
        <w:rPr>
          <w:rFonts w:ascii="Arial Unicode MS" w:hAnsi="Arial Unicode MS" w:cs="Arial"/>
          <w:sz w:val="24"/>
        </w:rPr>
        <w:t>10</w:t>
      </w:r>
      <w:r w:rsidRPr="001050ED">
        <w:rPr>
          <w:rFonts w:ascii="Arial Unicode MS" w:hAnsi="Arial Unicode MS" w:cs="Arial"/>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sz w:val="24"/>
        </w:rPr>
        <w:t>（</w:t>
      </w:r>
      <w:r w:rsidRPr="001050ED">
        <w:rPr>
          <w:rFonts w:ascii="Arial Unicode MS" w:hAnsi="Arial Unicode MS" w:cs="Arial" w:hint="eastAsia"/>
          <w:sz w:val="24"/>
        </w:rPr>
        <w:t>4</w:t>
      </w:r>
      <w:r w:rsidRPr="001050ED">
        <w:rPr>
          <w:rFonts w:ascii="Arial Unicode MS" w:hAnsi="Arial Unicode MS" w:cs="Arial"/>
          <w:sz w:val="24"/>
        </w:rPr>
        <w:t>）本基金管理人管理的全部基金持有一家公司发行的证券，不超过该证券的</w:t>
      </w:r>
      <w:r w:rsidRPr="001050ED">
        <w:rPr>
          <w:rFonts w:ascii="Arial Unicode MS" w:hAnsi="Arial Unicode MS" w:cs="Arial"/>
          <w:sz w:val="24"/>
        </w:rPr>
        <w:t>10</w:t>
      </w:r>
      <w:r w:rsidRPr="001050ED">
        <w:rPr>
          <w:rFonts w:ascii="Arial Unicode MS" w:hAnsi="Arial Unicode MS" w:cs="Arial"/>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5</w:t>
      </w:r>
      <w:r w:rsidRPr="001050ED">
        <w:rPr>
          <w:rFonts w:ascii="Arial Unicode MS" w:hAnsi="Arial Unicode MS" w:cs="Arial" w:hint="eastAsia"/>
          <w:sz w:val="24"/>
        </w:rPr>
        <w:t>）本基金进入全国银行间同业市场进行债券回购的资金余额不得超过基金资产净值的</w:t>
      </w:r>
      <w:r w:rsidRPr="001050ED">
        <w:rPr>
          <w:rFonts w:ascii="Arial Unicode MS" w:hAnsi="Arial Unicode MS" w:cs="Arial" w:hint="eastAsia"/>
          <w:sz w:val="24"/>
        </w:rPr>
        <w:t>40%</w:t>
      </w:r>
      <w:r w:rsidRPr="001050ED">
        <w:rPr>
          <w:rFonts w:ascii="Arial Unicode MS" w:hAnsi="Arial Unicode MS" w:cs="Arial" w:hint="eastAsia"/>
          <w:sz w:val="24"/>
        </w:rPr>
        <w:t>，在全国银行间同业市场中的债券回购最长期限为</w:t>
      </w:r>
      <w:r w:rsidRPr="001050ED">
        <w:rPr>
          <w:rFonts w:ascii="Arial Unicode MS" w:hAnsi="Arial Unicode MS" w:cs="Arial" w:hint="eastAsia"/>
          <w:sz w:val="24"/>
        </w:rPr>
        <w:t>1</w:t>
      </w:r>
      <w:r w:rsidRPr="001050ED">
        <w:rPr>
          <w:rFonts w:ascii="Arial Unicode MS" w:hAnsi="Arial Unicode MS" w:cs="Arial" w:hint="eastAsia"/>
          <w:sz w:val="24"/>
        </w:rPr>
        <w:t>年，债券回购到期后</w:t>
      </w:r>
      <w:proofErr w:type="gramStart"/>
      <w:r w:rsidRPr="001050ED">
        <w:rPr>
          <w:rFonts w:ascii="Arial Unicode MS" w:hAnsi="Arial Unicode MS" w:cs="Arial" w:hint="eastAsia"/>
          <w:sz w:val="24"/>
        </w:rPr>
        <w:t>不</w:t>
      </w:r>
      <w:proofErr w:type="gramEnd"/>
      <w:r w:rsidRPr="001050ED">
        <w:rPr>
          <w:rFonts w:ascii="Arial Unicode MS" w:hAnsi="Arial Unicode MS" w:cs="Arial" w:hint="eastAsia"/>
          <w:sz w:val="24"/>
        </w:rPr>
        <w:t>展期；</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6</w:t>
      </w:r>
      <w:r w:rsidRPr="001050ED">
        <w:rPr>
          <w:rFonts w:ascii="Arial Unicode MS" w:hAnsi="Arial Unicode MS" w:cs="Arial" w:hint="eastAsia"/>
          <w:sz w:val="24"/>
        </w:rPr>
        <w:t>）本基金投资于同一原始权益人的各类资产支持证券的比例，不得超过基金资产净值的</w:t>
      </w:r>
      <w:r w:rsidRPr="001050ED">
        <w:rPr>
          <w:rFonts w:ascii="Arial Unicode MS" w:hAnsi="Arial Unicode MS" w:cs="Arial" w:hint="eastAsia"/>
          <w:sz w:val="24"/>
        </w:rPr>
        <w:t>10</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7</w:t>
      </w:r>
      <w:r w:rsidRPr="001050ED">
        <w:rPr>
          <w:rFonts w:ascii="Arial Unicode MS" w:hAnsi="Arial Unicode MS" w:cs="Arial" w:hint="eastAsia"/>
          <w:sz w:val="24"/>
        </w:rPr>
        <w:t>）本基金持有的全部资产支持证券，其市值不得超过基金资产净值的</w:t>
      </w:r>
      <w:r w:rsidRPr="001050ED">
        <w:rPr>
          <w:rFonts w:ascii="Arial Unicode MS" w:hAnsi="Arial Unicode MS" w:cs="Arial" w:hint="eastAsia"/>
          <w:sz w:val="24"/>
        </w:rPr>
        <w:t>20</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8</w:t>
      </w:r>
      <w:r w:rsidRPr="001050ED">
        <w:rPr>
          <w:rFonts w:ascii="Arial Unicode MS" w:hAnsi="Arial Unicode MS" w:cs="Arial" w:hint="eastAsia"/>
          <w:sz w:val="24"/>
        </w:rPr>
        <w:t>）本基金持有的同一</w:t>
      </w:r>
      <w:r w:rsidRPr="001050ED">
        <w:rPr>
          <w:rFonts w:ascii="Arial Unicode MS" w:hAnsi="Arial Unicode MS" w:cs="Arial"/>
          <w:sz w:val="24"/>
        </w:rPr>
        <w:t>(</w:t>
      </w:r>
      <w:r w:rsidRPr="001050ED">
        <w:rPr>
          <w:rFonts w:ascii="Arial Unicode MS" w:hAnsi="Arial Unicode MS" w:cs="Arial" w:hint="eastAsia"/>
          <w:sz w:val="24"/>
        </w:rPr>
        <w:t>指同一信用级别</w:t>
      </w:r>
      <w:r w:rsidRPr="001050ED">
        <w:rPr>
          <w:rFonts w:ascii="Arial Unicode MS" w:hAnsi="Arial Unicode MS" w:cs="Arial"/>
          <w:sz w:val="24"/>
        </w:rPr>
        <w:t>)</w:t>
      </w:r>
      <w:r w:rsidRPr="001050ED">
        <w:rPr>
          <w:rFonts w:ascii="Arial Unicode MS" w:hAnsi="Arial Unicode MS" w:cs="Arial" w:hint="eastAsia"/>
          <w:sz w:val="24"/>
        </w:rPr>
        <w:t>资产支持证券的比例，不得超过该资产支持证券规模的</w:t>
      </w:r>
      <w:r w:rsidRPr="001050ED">
        <w:rPr>
          <w:rFonts w:ascii="Arial Unicode MS" w:hAnsi="Arial Unicode MS" w:cs="Arial"/>
          <w:sz w:val="24"/>
        </w:rPr>
        <w:t>10</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9</w:t>
      </w:r>
      <w:r w:rsidRPr="001050ED">
        <w:rPr>
          <w:rFonts w:ascii="Arial Unicode MS" w:hAnsi="Arial Unicode MS" w:cs="Arial" w:hint="eastAsia"/>
          <w:sz w:val="24"/>
        </w:rPr>
        <w:t>）本基金管理人管理的全部基金投资于同一原始权益人的各类资产支持证券，不得超过其各类资产支持证券合计规模的</w:t>
      </w:r>
      <w:r w:rsidRPr="001050ED">
        <w:rPr>
          <w:rFonts w:ascii="Arial Unicode MS" w:hAnsi="Arial Unicode MS" w:cs="Arial" w:hint="eastAsia"/>
          <w:sz w:val="24"/>
        </w:rPr>
        <w:t>10</w:t>
      </w:r>
      <w:r w:rsidRPr="001050ED">
        <w:rPr>
          <w:rFonts w:ascii="Arial Unicode MS" w:hAnsi="Arial Unicode MS" w:cs="Arial" w:hint="eastAsia"/>
          <w:sz w:val="24"/>
        </w:rPr>
        <w:t>％；</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10</w:t>
      </w:r>
      <w:r w:rsidRPr="001050ED">
        <w:rPr>
          <w:rFonts w:ascii="Arial Unicode MS" w:hAnsi="Arial Unicode MS" w:cs="Arial" w:hint="eastAsia"/>
          <w:sz w:val="24"/>
        </w:rPr>
        <w:t>）本基金应投资于信用级别评级为</w:t>
      </w:r>
      <w:r w:rsidRPr="001050ED">
        <w:rPr>
          <w:rFonts w:ascii="Arial Unicode MS" w:hAnsi="Arial Unicode MS" w:cs="Arial" w:hint="eastAsia"/>
          <w:sz w:val="24"/>
        </w:rPr>
        <w:t>BBB</w:t>
      </w:r>
      <w:r w:rsidRPr="001050ED">
        <w:rPr>
          <w:rFonts w:ascii="Arial Unicode MS" w:hAnsi="Arial Unicode MS" w:cs="Arial" w:hint="eastAsia"/>
          <w:sz w:val="24"/>
        </w:rPr>
        <w:t>以上</w:t>
      </w:r>
      <w:r w:rsidRPr="001050ED">
        <w:rPr>
          <w:rFonts w:ascii="Arial Unicode MS" w:hAnsi="Arial Unicode MS" w:cs="Arial" w:hint="eastAsia"/>
          <w:sz w:val="24"/>
        </w:rPr>
        <w:t>(</w:t>
      </w:r>
      <w:r w:rsidRPr="001050ED">
        <w:rPr>
          <w:rFonts w:ascii="Arial Unicode MS" w:hAnsi="Arial Unicode MS" w:cs="Arial" w:hint="eastAsia"/>
          <w:sz w:val="24"/>
        </w:rPr>
        <w:t>含</w:t>
      </w:r>
      <w:r w:rsidRPr="001050ED">
        <w:rPr>
          <w:rFonts w:ascii="Arial Unicode MS" w:hAnsi="Arial Unicode MS" w:cs="Arial" w:hint="eastAsia"/>
          <w:sz w:val="24"/>
        </w:rPr>
        <w:t>BBB)</w:t>
      </w:r>
      <w:r w:rsidRPr="001050ED">
        <w:rPr>
          <w:rFonts w:ascii="Arial Unicode MS" w:hAnsi="Arial Unicode MS" w:cs="Arial" w:hint="eastAsia"/>
          <w:sz w:val="24"/>
        </w:rPr>
        <w:t>的资产支持证券。基金持有资产支持证券期间，如果其信用等级下降、不再符合投资标准，应在评级报告发布之日起</w:t>
      </w:r>
      <w:r w:rsidRPr="001050ED">
        <w:rPr>
          <w:rFonts w:ascii="Arial Unicode MS" w:hAnsi="Arial Unicode MS" w:cs="Arial" w:hint="eastAsia"/>
          <w:sz w:val="24"/>
        </w:rPr>
        <w:t>3</w:t>
      </w:r>
      <w:r w:rsidRPr="001050ED">
        <w:rPr>
          <w:rFonts w:ascii="Arial Unicode MS" w:hAnsi="Arial Unicode MS" w:cs="Arial" w:hint="eastAsia"/>
          <w:sz w:val="24"/>
        </w:rPr>
        <w:t>个月内予以全部卖出；</w:t>
      </w:r>
    </w:p>
    <w:p w:rsidR="001050ED" w:rsidRPr="001050ED" w:rsidRDefault="001050ED" w:rsidP="001050ED">
      <w:pPr>
        <w:spacing w:line="360" w:lineRule="auto"/>
        <w:ind w:firstLineChars="250" w:firstLine="60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11</w:t>
      </w:r>
      <w:r w:rsidRPr="001050ED">
        <w:rPr>
          <w:rFonts w:ascii="Arial Unicode MS" w:hAnsi="Arial Unicode MS" w:cs="Arial" w:hint="eastAsia"/>
          <w:sz w:val="24"/>
        </w:rPr>
        <w:t>）本基金投资于中小企业私募债券比例合计不高于基金资产的</w:t>
      </w:r>
      <w:r w:rsidRPr="001050ED">
        <w:rPr>
          <w:rFonts w:ascii="Arial Unicode MS" w:hAnsi="Arial Unicode MS" w:cs="Arial" w:hint="eastAsia"/>
          <w:sz w:val="24"/>
        </w:rPr>
        <w:t>10%</w:t>
      </w:r>
      <w:r w:rsidRPr="001050ED">
        <w:rPr>
          <w:rFonts w:ascii="Arial Unicode MS" w:hAnsi="Arial Unicode MS" w:cs="Arial" w:hint="eastAsia"/>
          <w:sz w:val="24"/>
        </w:rPr>
        <w:t>；</w:t>
      </w:r>
    </w:p>
    <w:p w:rsidR="001050ED" w:rsidRPr="001050ED" w:rsidRDefault="001050ED" w:rsidP="001050ED">
      <w:pPr>
        <w:spacing w:line="360" w:lineRule="auto"/>
        <w:ind w:firstLineChars="250" w:firstLine="600"/>
        <w:rPr>
          <w:rFonts w:ascii="Arial Unicode MS" w:hAnsi="Arial Unicode MS" w:cs="Arial"/>
          <w:sz w:val="24"/>
        </w:rPr>
      </w:pPr>
      <w:r w:rsidRPr="001050ED">
        <w:rPr>
          <w:rFonts w:ascii="Arial Unicode MS" w:hAnsi="Arial Unicode MS" w:cs="Arial" w:hint="eastAsia"/>
          <w:sz w:val="24"/>
        </w:rPr>
        <w:lastRenderedPageBreak/>
        <w:t>（</w:t>
      </w:r>
      <w:r w:rsidRPr="001050ED">
        <w:rPr>
          <w:rFonts w:ascii="Arial Unicode MS" w:hAnsi="Arial Unicode MS" w:cs="Arial" w:hint="eastAsia"/>
          <w:sz w:val="24"/>
        </w:rPr>
        <w:t>12</w:t>
      </w:r>
      <w:r w:rsidRPr="001050ED">
        <w:rPr>
          <w:rFonts w:ascii="Arial Unicode MS" w:hAnsi="Arial Unicode MS" w:cs="Arial" w:hint="eastAsia"/>
          <w:sz w:val="24"/>
        </w:rPr>
        <w:t>）基金资产总值不得超过基金资产净值的</w:t>
      </w:r>
      <w:r w:rsidRPr="001050ED">
        <w:rPr>
          <w:rFonts w:ascii="Arial Unicode MS" w:hAnsi="Arial Unicode MS" w:cs="Arial" w:hint="eastAsia"/>
          <w:sz w:val="24"/>
        </w:rPr>
        <w:t>140%</w:t>
      </w:r>
      <w:r w:rsidRPr="001050ED">
        <w:rPr>
          <w:rFonts w:ascii="Arial Unicode MS" w:hAnsi="Arial Unicode MS" w:cs="Arial" w:hint="eastAsia"/>
          <w:sz w:val="24"/>
        </w:rPr>
        <w:t>；</w:t>
      </w:r>
    </w:p>
    <w:p w:rsidR="001050ED" w:rsidRPr="001050ED" w:rsidRDefault="001050ED" w:rsidP="001050ED">
      <w:pPr>
        <w:spacing w:line="360" w:lineRule="auto"/>
        <w:ind w:firstLineChars="250" w:firstLine="60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13</w:t>
      </w:r>
      <w:r w:rsidRPr="001050ED">
        <w:rPr>
          <w:rFonts w:ascii="Arial Unicode MS" w:hAnsi="Arial Unicode MS" w:cs="Arial"/>
          <w:sz w:val="24"/>
        </w:rPr>
        <w:t>）</w:t>
      </w:r>
      <w:r w:rsidRPr="001050ED">
        <w:rPr>
          <w:rFonts w:ascii="Arial Unicode MS" w:hAnsi="Arial Unicode MS" w:cs="Arial" w:hint="eastAsia"/>
          <w:sz w:val="24"/>
        </w:rPr>
        <w:t>法律法规及中国证监会规定的和《基金合同》约定的其他投资限制。</w:t>
      </w:r>
    </w:p>
    <w:p w:rsidR="001050ED" w:rsidRPr="001050ED" w:rsidRDefault="001050ED" w:rsidP="001050ED">
      <w:pPr>
        <w:spacing w:line="360" w:lineRule="auto"/>
        <w:ind w:firstLineChars="250" w:firstLine="600"/>
        <w:rPr>
          <w:rFonts w:ascii="Arial Unicode MS" w:hAnsi="Arial Unicode MS" w:cs="Arial"/>
          <w:sz w:val="24"/>
        </w:rPr>
      </w:pPr>
      <w:r w:rsidRPr="001050ED">
        <w:rPr>
          <w:rFonts w:ascii="Arial Unicode MS" w:hAnsi="Arial Unicode MS" w:cs="Arial" w:hint="eastAsia"/>
          <w:sz w:val="24"/>
        </w:rPr>
        <w:t>因证券市场波动、证券发行人合并、基金规模变动等基金管理人之外的因素致使基金投资比例不符合上述规定投资比例的，基金管理人应当在</w:t>
      </w:r>
      <w:r w:rsidRPr="001050ED">
        <w:rPr>
          <w:rFonts w:ascii="Arial Unicode MS" w:hAnsi="Arial Unicode MS" w:cs="Arial" w:hint="eastAsia"/>
          <w:sz w:val="24"/>
        </w:rPr>
        <w:t>10</w:t>
      </w:r>
      <w:r w:rsidRPr="001050ED">
        <w:rPr>
          <w:rFonts w:ascii="Arial Unicode MS" w:hAnsi="Arial Unicode MS" w:cs="Arial" w:hint="eastAsia"/>
          <w:sz w:val="24"/>
        </w:rPr>
        <w:t>个交易日内进行调整，但中国证监会规定的特殊情形除外。</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基金管理人应当自基金合同生效之日起</w:t>
      </w:r>
      <w:r w:rsidRPr="001050ED">
        <w:rPr>
          <w:rFonts w:ascii="Arial Unicode MS" w:hAnsi="Arial Unicode MS" w:cs="Arial" w:hint="eastAsia"/>
          <w:sz w:val="24"/>
        </w:rPr>
        <w:t>6</w:t>
      </w:r>
      <w:r w:rsidRPr="001050ED">
        <w:rPr>
          <w:rFonts w:ascii="Arial Unicode MS" w:hAnsi="Arial Unicode MS" w:cs="Arial" w:hint="eastAsia"/>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法律法规或监管部门取消或调整上述限制，如适用于本基金，基金管理人在履行适当程序后，则本基金投资不再受相关限制或按调整后的规定执行。</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2</w:t>
      </w:r>
      <w:r w:rsidRPr="001050ED">
        <w:rPr>
          <w:rFonts w:ascii="Arial Unicode MS" w:hAnsi="Arial Unicode MS" w:cs="Arial" w:hint="eastAsia"/>
          <w:sz w:val="24"/>
        </w:rPr>
        <w:t>、禁止行为</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为维护基金份额持有人的合法权益，基金财产不得用于下列投资或者活动：</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1</w:t>
      </w:r>
      <w:r w:rsidRPr="001050ED">
        <w:rPr>
          <w:rFonts w:ascii="Arial Unicode MS" w:hAnsi="Arial Unicode MS" w:cs="Arial" w:hint="eastAsia"/>
          <w:sz w:val="24"/>
        </w:rPr>
        <w:t>）承销证券；</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2</w:t>
      </w:r>
      <w:r w:rsidRPr="001050ED">
        <w:rPr>
          <w:rFonts w:ascii="Arial Unicode MS" w:hAnsi="Arial Unicode MS" w:cs="Arial" w:hint="eastAsia"/>
          <w:sz w:val="24"/>
        </w:rPr>
        <w:t>）违反规定向他人贷款或者提供担保；</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3</w:t>
      </w:r>
      <w:r w:rsidRPr="001050ED">
        <w:rPr>
          <w:rFonts w:ascii="Arial Unicode MS" w:hAnsi="Arial Unicode MS" w:cs="Arial" w:hint="eastAsia"/>
          <w:sz w:val="24"/>
        </w:rPr>
        <w:t>）从事承担无限责任的投资；</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4</w:t>
      </w:r>
      <w:r w:rsidRPr="001050ED">
        <w:rPr>
          <w:rFonts w:ascii="Arial Unicode MS" w:hAnsi="Arial Unicode MS" w:cs="Arial" w:hint="eastAsia"/>
          <w:sz w:val="24"/>
        </w:rPr>
        <w:t>）买卖其他基金份额，但是中国证监会另有规定的除外；</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5</w:t>
      </w:r>
      <w:r w:rsidRPr="001050ED">
        <w:rPr>
          <w:rFonts w:ascii="Arial Unicode MS" w:hAnsi="Arial Unicode MS" w:cs="Arial" w:hint="eastAsia"/>
          <w:sz w:val="24"/>
        </w:rPr>
        <w:t>）向其基金管理人、基金托管人出资；</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6</w:t>
      </w:r>
      <w:r w:rsidRPr="001050ED">
        <w:rPr>
          <w:rFonts w:ascii="Arial Unicode MS" w:hAnsi="Arial Unicode MS" w:cs="Arial" w:hint="eastAsia"/>
          <w:sz w:val="24"/>
        </w:rPr>
        <w:t>）从事内幕交易、操纵证券交易价格及其他不正当的证券交易活动；</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w:t>
      </w:r>
      <w:r w:rsidRPr="001050ED">
        <w:rPr>
          <w:rFonts w:ascii="Arial Unicode MS" w:hAnsi="Arial Unicode MS" w:cs="Arial" w:hint="eastAsia"/>
          <w:sz w:val="24"/>
        </w:rPr>
        <w:t>7</w:t>
      </w:r>
      <w:r w:rsidRPr="001050ED">
        <w:rPr>
          <w:rFonts w:ascii="Arial Unicode MS" w:hAnsi="Arial Unicode MS" w:cs="Arial" w:hint="eastAsia"/>
          <w:sz w:val="24"/>
        </w:rPr>
        <w:t>）法律、行政法规和中国证监会规定禁止的其他活动。</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w:t>
      </w:r>
      <w:r w:rsidRPr="001050ED">
        <w:rPr>
          <w:rFonts w:ascii="Arial Unicode MS" w:hAnsi="Arial Unicode MS" w:cs="Arial" w:hint="eastAsia"/>
          <w:sz w:val="24"/>
        </w:rPr>
        <w:lastRenderedPageBreak/>
        <w:t>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050ED" w:rsidRPr="001050ED" w:rsidRDefault="001050ED" w:rsidP="001050ED">
      <w:pPr>
        <w:spacing w:line="360" w:lineRule="auto"/>
        <w:ind w:firstLineChars="200" w:firstLine="480"/>
        <w:rPr>
          <w:rFonts w:ascii="Arial Unicode MS" w:hAnsi="Arial Unicode MS" w:cs="Arial"/>
          <w:sz w:val="24"/>
        </w:rPr>
      </w:pPr>
      <w:r w:rsidRPr="001050ED">
        <w:rPr>
          <w:rFonts w:ascii="Arial Unicode MS" w:hAnsi="Arial Unicode MS" w:cs="Arial" w:hint="eastAsia"/>
          <w:sz w:val="24"/>
        </w:rPr>
        <w:t>法律、行政法规或监管部门取消或变更上述禁止性规定，如适用于本基金，基金管理人在履行适当程序后，则本基金投资不再受相关限制或按变更后的规定执行。</w:t>
      </w:r>
    </w:p>
    <w:p w:rsidR="001050ED" w:rsidRPr="001050ED" w:rsidRDefault="001050ED" w:rsidP="001050ED">
      <w:pPr>
        <w:spacing w:line="360" w:lineRule="auto"/>
        <w:ind w:firstLineChars="200" w:firstLine="482"/>
        <w:rPr>
          <w:rFonts w:ascii="Arial Unicode MS" w:hAnsi="Arial Unicode MS" w:cs="Arial"/>
          <w:b/>
          <w:sz w:val="24"/>
        </w:rPr>
      </w:pPr>
      <w:r>
        <w:rPr>
          <w:rFonts w:ascii="Arial Unicode MS" w:hAnsi="Arial Unicode MS" w:cs="Arial" w:hint="eastAsia"/>
          <w:b/>
          <w:sz w:val="24"/>
        </w:rPr>
        <w:t>（六）</w:t>
      </w:r>
      <w:r w:rsidRPr="001050ED">
        <w:rPr>
          <w:rFonts w:ascii="Arial Unicode MS" w:hAnsi="Arial Unicode MS" w:cs="Arial"/>
          <w:b/>
          <w:sz w:val="24"/>
        </w:rPr>
        <w:t>业绩比较基准</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本基金的业绩比较基准为：中</w:t>
      </w:r>
      <w:proofErr w:type="gramStart"/>
      <w:r w:rsidRPr="001050ED">
        <w:rPr>
          <w:rFonts w:ascii="Arial Unicode MS" w:hAnsi="Arial Unicode MS" w:cs="Arial" w:hint="eastAsia"/>
          <w:bCs/>
          <w:sz w:val="24"/>
        </w:rPr>
        <w:t>债综合</w:t>
      </w:r>
      <w:proofErr w:type="gramEnd"/>
      <w:r w:rsidRPr="001050ED">
        <w:rPr>
          <w:rFonts w:ascii="Arial Unicode MS" w:hAnsi="Arial Unicode MS" w:cs="Arial" w:hint="eastAsia"/>
          <w:bCs/>
          <w:sz w:val="24"/>
        </w:rPr>
        <w:t>指数（总财富）收益率×</w:t>
      </w:r>
      <w:r w:rsidRPr="001050ED">
        <w:rPr>
          <w:rFonts w:ascii="Arial Unicode MS" w:hAnsi="Arial Unicode MS" w:cs="Arial" w:hint="eastAsia"/>
          <w:bCs/>
          <w:sz w:val="24"/>
        </w:rPr>
        <w:t>90%+1</w:t>
      </w:r>
      <w:r w:rsidRPr="001050ED">
        <w:rPr>
          <w:rFonts w:ascii="Arial Unicode MS" w:hAnsi="Arial Unicode MS" w:cs="Arial" w:hint="eastAsia"/>
          <w:bCs/>
          <w:sz w:val="24"/>
        </w:rPr>
        <w:t>年期定期存款利率（税后）×</w:t>
      </w:r>
      <w:r w:rsidRPr="001050ED">
        <w:rPr>
          <w:rFonts w:ascii="Arial Unicode MS" w:hAnsi="Arial Unicode MS" w:cs="Arial" w:hint="eastAsia"/>
          <w:bCs/>
          <w:sz w:val="24"/>
        </w:rPr>
        <w:t>10%</w:t>
      </w:r>
      <w:r w:rsidRPr="001050ED">
        <w:rPr>
          <w:rFonts w:ascii="Arial Unicode MS" w:hAnsi="Arial Unicode MS" w:cs="Arial" w:hint="eastAsia"/>
          <w:bCs/>
          <w:sz w:val="24"/>
        </w:rPr>
        <w:t>。</w:t>
      </w:r>
    </w:p>
    <w:p w:rsidR="001050ED" w:rsidRPr="001050ED" w:rsidRDefault="001050ED" w:rsidP="001050ED">
      <w:pPr>
        <w:spacing w:line="360" w:lineRule="auto"/>
        <w:ind w:firstLineChars="250" w:firstLine="600"/>
        <w:rPr>
          <w:rFonts w:ascii="Arial Unicode MS" w:hAnsi="Arial Unicode MS" w:cs="Arial"/>
          <w:bCs/>
          <w:sz w:val="24"/>
        </w:rPr>
      </w:pPr>
      <w:r w:rsidRPr="001050ED">
        <w:rPr>
          <w:rFonts w:ascii="Arial Unicode MS" w:hAnsi="Arial Unicode MS" w:cs="Arial" w:hint="eastAsia"/>
          <w:bCs/>
          <w:sz w:val="24"/>
        </w:rPr>
        <w:t>本基金选择上述业绩比较基准的原因为本基金是通过债券资产的配置和个</w:t>
      </w:r>
      <w:proofErr w:type="gramStart"/>
      <w:r w:rsidRPr="001050ED">
        <w:rPr>
          <w:rFonts w:ascii="Arial Unicode MS" w:hAnsi="Arial Unicode MS" w:cs="Arial" w:hint="eastAsia"/>
          <w:bCs/>
          <w:sz w:val="24"/>
        </w:rPr>
        <w:t>券</w:t>
      </w:r>
      <w:proofErr w:type="gramEnd"/>
      <w:r w:rsidRPr="001050ED">
        <w:rPr>
          <w:rFonts w:ascii="Arial Unicode MS" w:hAnsi="Arial Unicode MS" w:cs="Arial" w:hint="eastAsia"/>
          <w:bCs/>
          <w:sz w:val="24"/>
        </w:rPr>
        <w:t>的选择来增强债券投资的收益。中</w:t>
      </w:r>
      <w:proofErr w:type="gramStart"/>
      <w:r w:rsidRPr="001050ED">
        <w:rPr>
          <w:rFonts w:ascii="Arial Unicode MS" w:hAnsi="Arial Unicode MS" w:cs="Arial" w:hint="eastAsia"/>
          <w:bCs/>
          <w:sz w:val="24"/>
        </w:rPr>
        <w:t>债综合</w:t>
      </w:r>
      <w:proofErr w:type="gramEnd"/>
      <w:r w:rsidRPr="001050ED">
        <w:rPr>
          <w:rFonts w:ascii="Arial Unicode MS" w:hAnsi="Arial Unicode MS" w:cs="Arial" w:hint="eastAsia"/>
          <w:bCs/>
          <w:sz w:val="24"/>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1050ED">
        <w:rPr>
          <w:rFonts w:ascii="Arial Unicode MS" w:hAnsi="Arial Unicode MS" w:cs="Arial" w:hint="eastAsia"/>
          <w:bCs/>
          <w:sz w:val="24"/>
        </w:rPr>
        <w:t>80%</w:t>
      </w:r>
      <w:r w:rsidRPr="001050ED">
        <w:rPr>
          <w:rFonts w:ascii="Arial Unicode MS" w:hAnsi="Arial Unicode MS" w:cs="Arial" w:hint="eastAsia"/>
          <w:bCs/>
          <w:sz w:val="24"/>
        </w:rPr>
        <w:t>，持有现金或者到期日在一年以内的政府债券不低于基金资产净值的</w:t>
      </w:r>
      <w:r w:rsidRPr="001050ED">
        <w:rPr>
          <w:rFonts w:ascii="Arial Unicode MS" w:hAnsi="Arial Unicode MS" w:cs="Arial" w:hint="eastAsia"/>
          <w:bCs/>
          <w:sz w:val="24"/>
        </w:rPr>
        <w:t>5%</w:t>
      </w:r>
      <w:r w:rsidRPr="001050ED">
        <w:rPr>
          <w:rFonts w:ascii="Arial Unicode MS" w:hAnsi="Arial Unicode MS" w:cs="Arial" w:hint="eastAsia"/>
          <w:bCs/>
          <w:sz w:val="24"/>
        </w:rPr>
        <w:t>，采用</w:t>
      </w:r>
      <w:r w:rsidRPr="001050ED">
        <w:rPr>
          <w:rFonts w:ascii="Arial Unicode MS" w:hAnsi="Arial Unicode MS" w:cs="Arial" w:hint="eastAsia"/>
          <w:bCs/>
          <w:sz w:val="24"/>
        </w:rPr>
        <w:t>90%</w:t>
      </w:r>
      <w:r w:rsidRPr="001050ED">
        <w:rPr>
          <w:rFonts w:ascii="Arial Unicode MS" w:hAnsi="Arial Unicode MS" w:cs="Arial" w:hint="eastAsia"/>
          <w:bCs/>
          <w:sz w:val="24"/>
        </w:rPr>
        <w:t>作为业绩比较基准中债券投资所代表的权重，</w:t>
      </w:r>
      <w:r w:rsidRPr="001050ED">
        <w:rPr>
          <w:rFonts w:ascii="Arial Unicode MS" w:hAnsi="Arial Unicode MS" w:cs="Arial" w:hint="eastAsia"/>
          <w:bCs/>
          <w:sz w:val="24"/>
        </w:rPr>
        <w:t>10%</w:t>
      </w:r>
      <w:r w:rsidRPr="001050ED">
        <w:rPr>
          <w:rFonts w:ascii="Arial Unicode MS" w:hAnsi="Arial Unicode MS" w:cs="Arial" w:hint="eastAsia"/>
          <w:bCs/>
          <w:sz w:val="24"/>
        </w:rPr>
        <w:t>乘以</w:t>
      </w:r>
      <w:r w:rsidRPr="001050ED">
        <w:rPr>
          <w:rFonts w:ascii="Arial Unicode MS" w:hAnsi="Arial Unicode MS" w:cs="Arial" w:hint="eastAsia"/>
          <w:bCs/>
          <w:sz w:val="24"/>
        </w:rPr>
        <w:t>1</w:t>
      </w:r>
      <w:r w:rsidRPr="001050ED">
        <w:rPr>
          <w:rFonts w:ascii="Arial Unicode MS" w:hAnsi="Arial Unicode MS" w:cs="Arial" w:hint="eastAsia"/>
          <w:bCs/>
          <w:sz w:val="24"/>
        </w:rPr>
        <w:t>年定期银行存款利率（税后）作为资产所对应的权重可以较好的反映本基金的风险收益特征。</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若未来法律法规发生变化，或者有更权威的、更能为市场普遍接受的业绩比较基准推出，或者市场发生变化导致</w:t>
      </w:r>
      <w:proofErr w:type="gramStart"/>
      <w:r w:rsidRPr="001050ED">
        <w:rPr>
          <w:rFonts w:ascii="Arial Unicode MS" w:hAnsi="Arial Unicode MS" w:cs="Arial" w:hint="eastAsia"/>
          <w:bCs/>
          <w:sz w:val="24"/>
        </w:rPr>
        <w:t>本业绩</w:t>
      </w:r>
      <w:proofErr w:type="gramEnd"/>
      <w:r w:rsidRPr="001050ED">
        <w:rPr>
          <w:rFonts w:ascii="Arial Unicode MS" w:hAnsi="Arial Unicode MS" w:cs="Arial" w:hint="eastAsia"/>
          <w:bCs/>
          <w:sz w:val="24"/>
        </w:rPr>
        <w:t>比较基准不再适用，本基金管理人可以依据维护投资者合法权益的原则，在与基金托管人协商一致并报中国证监会备案后，适当调整业绩比较基准并及时公告，而无需召开基金份额持有人大会。</w:t>
      </w:r>
    </w:p>
    <w:p w:rsidR="001050ED" w:rsidRPr="001050ED" w:rsidRDefault="001050ED" w:rsidP="001050ED">
      <w:pPr>
        <w:widowControl/>
        <w:adjustRightInd w:val="0"/>
        <w:snapToGrid w:val="0"/>
        <w:spacing w:line="360" w:lineRule="auto"/>
        <w:ind w:firstLineChars="200" w:firstLine="482"/>
        <w:rPr>
          <w:rFonts w:ascii="Arial Unicode MS" w:hAnsi="Arial Unicode MS" w:cs="Arial"/>
          <w:b/>
          <w:sz w:val="24"/>
        </w:rPr>
      </w:pPr>
      <w:r>
        <w:rPr>
          <w:rFonts w:ascii="Arial Unicode MS" w:hAnsi="Arial Unicode MS" w:cs="Arial" w:hint="eastAsia"/>
          <w:b/>
          <w:sz w:val="24"/>
        </w:rPr>
        <w:t>（七）</w:t>
      </w:r>
      <w:r w:rsidRPr="001050ED">
        <w:rPr>
          <w:rFonts w:ascii="Arial Unicode MS" w:hAnsi="Arial Unicode MS" w:cs="Arial"/>
          <w:b/>
          <w:sz w:val="24"/>
        </w:rPr>
        <w:t>风险收益特征</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本基金为债券型基金，预期收益和预期风险高于货币市场基金，但低于混合型基金、股票型基金，</w:t>
      </w:r>
      <w:r w:rsidRPr="0012675A">
        <w:rPr>
          <w:rFonts w:ascii="Arial Unicode MS" w:hAnsi="Arial Unicode MS" w:cs="Arial" w:hint="eastAsia"/>
          <w:bCs/>
          <w:sz w:val="24"/>
        </w:rPr>
        <w:t>属于证券投资基金中的中低风险品种</w:t>
      </w:r>
      <w:r w:rsidRPr="001050ED">
        <w:rPr>
          <w:rFonts w:ascii="Arial Unicode MS" w:hAnsi="Arial Unicode MS" w:cs="Arial" w:hint="eastAsia"/>
          <w:bCs/>
          <w:sz w:val="24"/>
        </w:rPr>
        <w:t>。</w:t>
      </w:r>
    </w:p>
    <w:p w:rsidR="001050ED" w:rsidRPr="001050ED" w:rsidRDefault="001050ED" w:rsidP="001050ED">
      <w:pPr>
        <w:spacing w:line="360" w:lineRule="auto"/>
        <w:ind w:firstLineChars="200" w:firstLine="482"/>
        <w:rPr>
          <w:rFonts w:ascii="Arial Unicode MS" w:hAnsi="Arial Unicode MS" w:cs="Arial"/>
          <w:b/>
          <w:bCs/>
          <w:sz w:val="24"/>
        </w:rPr>
      </w:pPr>
      <w:bookmarkStart w:id="27" w:name="_Toc79392634"/>
      <w:r>
        <w:rPr>
          <w:rFonts w:ascii="Arial Unicode MS" w:hAnsi="Arial Unicode MS" w:cs="Arial" w:hint="eastAsia"/>
          <w:b/>
          <w:bCs/>
          <w:sz w:val="24"/>
        </w:rPr>
        <w:t>（八）</w:t>
      </w:r>
      <w:r w:rsidRPr="001050ED">
        <w:rPr>
          <w:rFonts w:ascii="Arial Unicode MS" w:hAnsi="Arial Unicode MS" w:cs="Arial" w:hint="eastAsia"/>
          <w:b/>
          <w:bCs/>
          <w:sz w:val="24"/>
        </w:rPr>
        <w:t>基金管理人代表基金行使相关权利的处理原则及方法</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1</w:t>
      </w:r>
      <w:r w:rsidRPr="001050ED">
        <w:rPr>
          <w:rFonts w:ascii="Arial Unicode MS" w:hAnsi="Arial Unicode MS" w:cs="Arial" w:hint="eastAsia"/>
          <w:bCs/>
          <w:sz w:val="24"/>
        </w:rPr>
        <w:t>、基金管理人按照国家有关规定代表基金独立行使相关权利，保护基金份额持有人的利益；</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lastRenderedPageBreak/>
        <w:t>2</w:t>
      </w:r>
      <w:r w:rsidRPr="001050ED">
        <w:rPr>
          <w:rFonts w:ascii="Arial Unicode MS" w:hAnsi="Arial Unicode MS" w:cs="Arial" w:hint="eastAsia"/>
          <w:bCs/>
          <w:sz w:val="24"/>
        </w:rPr>
        <w:t>、有利于基金资产的安全与增值；</w:t>
      </w:r>
    </w:p>
    <w:p w:rsidR="001050ED" w:rsidRPr="001050ED" w:rsidRDefault="001050ED" w:rsidP="001050ED">
      <w:pPr>
        <w:spacing w:line="360" w:lineRule="auto"/>
        <w:ind w:firstLineChars="200" w:firstLine="480"/>
        <w:rPr>
          <w:rFonts w:ascii="Arial Unicode MS" w:hAnsi="Arial Unicode MS" w:cs="Arial"/>
          <w:bCs/>
          <w:sz w:val="24"/>
        </w:rPr>
      </w:pPr>
      <w:r w:rsidRPr="001050ED">
        <w:rPr>
          <w:rFonts w:ascii="Arial Unicode MS" w:hAnsi="Arial Unicode MS" w:cs="Arial" w:hint="eastAsia"/>
          <w:bCs/>
          <w:sz w:val="24"/>
        </w:rPr>
        <w:t>3</w:t>
      </w:r>
      <w:r w:rsidRPr="001050ED">
        <w:rPr>
          <w:rFonts w:ascii="Arial Unicode MS" w:hAnsi="Arial Unicode MS" w:cs="Arial" w:hint="eastAsia"/>
          <w:bCs/>
          <w:sz w:val="24"/>
        </w:rPr>
        <w:t>、不通过关联交易为自身、雇员、授权代理人或任何存在利害关系的第三人牟取任何不当利益。</w:t>
      </w:r>
    </w:p>
    <w:p w:rsidR="001050ED" w:rsidRPr="001050ED" w:rsidRDefault="001050ED" w:rsidP="001050ED">
      <w:pPr>
        <w:spacing w:line="360" w:lineRule="auto"/>
        <w:ind w:firstLineChars="200" w:firstLine="482"/>
        <w:rPr>
          <w:rFonts w:ascii="Arial Unicode MS" w:hAnsi="Arial Unicode MS" w:cs="Arial"/>
          <w:b/>
          <w:bCs/>
          <w:sz w:val="24"/>
        </w:rPr>
      </w:pPr>
      <w:r>
        <w:rPr>
          <w:rFonts w:ascii="Arial Unicode MS" w:hAnsi="Arial Unicode MS" w:cs="Arial" w:hint="eastAsia"/>
          <w:b/>
          <w:bCs/>
          <w:sz w:val="24"/>
        </w:rPr>
        <w:t>（九）</w:t>
      </w:r>
      <w:r w:rsidRPr="001050ED">
        <w:rPr>
          <w:rFonts w:ascii="Arial Unicode MS" w:hAnsi="Arial Unicode MS" w:cs="Arial" w:hint="eastAsia"/>
          <w:b/>
          <w:bCs/>
          <w:sz w:val="24"/>
        </w:rPr>
        <w:t>基金投资组合报告</w:t>
      </w:r>
    </w:p>
    <w:p w:rsidR="001050ED" w:rsidRPr="001050ED" w:rsidRDefault="001050ED" w:rsidP="001050ED">
      <w:pPr>
        <w:ind w:firstLine="372"/>
        <w:rPr>
          <w:rFonts w:ascii="Arial Unicode MS" w:hAnsi="Arial Unicode MS" w:cs="Arial"/>
          <w:bCs/>
          <w:sz w:val="24"/>
        </w:rPr>
      </w:pPr>
      <w:r w:rsidRPr="001050ED">
        <w:rPr>
          <w:rFonts w:ascii="Arial Unicode MS" w:hAnsi="Arial Unicode MS" w:cs="Arial" w:hint="eastAsia"/>
          <w:bCs/>
          <w:sz w:val="24"/>
        </w:rPr>
        <w:t>基金管理人的董事会及董事保证本报告所载资料不存在虚假记载、误导性陈述或重大遗漏，并对其内容的真实性、准确性和完整性承担个别及连带责任。</w:t>
      </w:r>
    </w:p>
    <w:p w:rsidR="001050ED" w:rsidRPr="001050ED" w:rsidRDefault="001050ED" w:rsidP="001050ED">
      <w:pPr>
        <w:ind w:firstLine="372"/>
        <w:rPr>
          <w:rFonts w:ascii="Arial Unicode MS" w:hAnsi="Arial Unicode MS" w:cs="Arial"/>
          <w:bCs/>
          <w:sz w:val="24"/>
        </w:rPr>
      </w:pPr>
      <w:r w:rsidRPr="001050ED">
        <w:rPr>
          <w:rFonts w:ascii="Arial Unicode MS" w:hAnsi="Arial Unicode MS" w:cs="Arial" w:hint="eastAsia"/>
          <w:bCs/>
          <w:sz w:val="24"/>
        </w:rPr>
        <w:t>基金托管人包商银行股份有限公司根据本基金合同规定，于</w:t>
      </w:r>
      <w:r w:rsidRPr="001050ED">
        <w:rPr>
          <w:rFonts w:ascii="Arial Unicode MS" w:hAnsi="Arial Unicode MS" w:cs="Arial" w:hint="eastAsia"/>
          <w:bCs/>
          <w:sz w:val="24"/>
        </w:rPr>
        <w:t>2017</w:t>
      </w:r>
      <w:r w:rsidRPr="001050ED">
        <w:rPr>
          <w:rFonts w:ascii="Arial Unicode MS" w:hAnsi="Arial Unicode MS" w:cs="Arial" w:hint="eastAsia"/>
          <w:bCs/>
          <w:sz w:val="24"/>
        </w:rPr>
        <w:t>年</w:t>
      </w:r>
      <w:r w:rsidRPr="001050ED">
        <w:rPr>
          <w:rFonts w:ascii="Arial Unicode MS" w:hAnsi="Arial Unicode MS" w:cs="Arial" w:hint="eastAsia"/>
          <w:bCs/>
          <w:sz w:val="24"/>
        </w:rPr>
        <w:t>7</w:t>
      </w:r>
      <w:r w:rsidRPr="001050ED">
        <w:rPr>
          <w:rFonts w:ascii="Arial Unicode MS" w:hAnsi="Arial Unicode MS" w:cs="Arial" w:hint="eastAsia"/>
          <w:bCs/>
          <w:sz w:val="24"/>
        </w:rPr>
        <w:t>月</w:t>
      </w:r>
      <w:r w:rsidRPr="001050ED">
        <w:rPr>
          <w:rFonts w:ascii="Arial Unicode MS" w:hAnsi="Arial Unicode MS" w:cs="Arial" w:hint="eastAsia"/>
          <w:bCs/>
          <w:sz w:val="24"/>
        </w:rPr>
        <w:t>12</w:t>
      </w:r>
      <w:r w:rsidRPr="001050ED">
        <w:rPr>
          <w:rFonts w:ascii="Arial Unicode MS" w:hAnsi="Arial Unicode MS" w:cs="Arial" w:hint="eastAsia"/>
          <w:bCs/>
          <w:sz w:val="24"/>
        </w:rPr>
        <w:t>日复核了本报告中的财务指标、净值表现和投资组合报告等内容，保证复核内容不存在虚假记载、误导性陈述或者重大遗漏。</w:t>
      </w:r>
    </w:p>
    <w:p w:rsidR="001050ED" w:rsidRPr="001050ED" w:rsidRDefault="001050ED" w:rsidP="001050ED">
      <w:pPr>
        <w:ind w:firstLine="420"/>
        <w:rPr>
          <w:rFonts w:ascii="Arial Unicode MS" w:hAnsi="Arial Unicode MS" w:cs="Arial"/>
          <w:bCs/>
          <w:sz w:val="24"/>
        </w:rPr>
      </w:pPr>
      <w:r w:rsidRPr="001050ED">
        <w:rPr>
          <w:rFonts w:ascii="Arial Unicode MS" w:hAnsi="Arial Unicode MS" w:cs="Arial" w:hint="eastAsia"/>
          <w:bCs/>
          <w:sz w:val="24"/>
        </w:rPr>
        <w:t>本投资组合报告所载数据截至</w:t>
      </w:r>
      <w:r w:rsidRPr="001050ED">
        <w:rPr>
          <w:rFonts w:ascii="Arial Unicode MS" w:hAnsi="Arial Unicode MS" w:cs="Arial" w:hint="eastAsia"/>
          <w:bCs/>
          <w:sz w:val="24"/>
        </w:rPr>
        <w:t>2017</w:t>
      </w:r>
      <w:r w:rsidRPr="001050ED">
        <w:rPr>
          <w:rFonts w:ascii="Arial Unicode MS" w:hAnsi="Arial Unicode MS" w:cs="Arial" w:hint="eastAsia"/>
          <w:bCs/>
          <w:sz w:val="24"/>
        </w:rPr>
        <w:t>年</w:t>
      </w:r>
      <w:r w:rsidRPr="001050ED">
        <w:rPr>
          <w:rFonts w:ascii="Arial Unicode MS" w:hAnsi="Arial Unicode MS" w:cs="Arial" w:hint="eastAsia"/>
          <w:bCs/>
          <w:sz w:val="24"/>
        </w:rPr>
        <w:t>6</w:t>
      </w:r>
      <w:r w:rsidRPr="001050ED">
        <w:rPr>
          <w:rFonts w:ascii="Arial Unicode MS" w:hAnsi="Arial Unicode MS" w:cs="Arial" w:hint="eastAsia"/>
          <w:bCs/>
          <w:sz w:val="24"/>
        </w:rPr>
        <w:t>月</w:t>
      </w:r>
      <w:r w:rsidRPr="001050ED">
        <w:rPr>
          <w:rFonts w:ascii="Arial Unicode MS" w:hAnsi="Arial Unicode MS" w:cs="Arial" w:hint="eastAsia"/>
          <w:bCs/>
          <w:sz w:val="24"/>
        </w:rPr>
        <w:t>30</w:t>
      </w:r>
      <w:r w:rsidRPr="001050ED">
        <w:rPr>
          <w:rFonts w:ascii="Arial Unicode MS" w:hAnsi="Arial Unicode MS" w:cs="Arial" w:hint="eastAsia"/>
          <w:bCs/>
          <w:sz w:val="24"/>
        </w:rPr>
        <w:t>日，本报告中所列财务数据未经审计。</w:t>
      </w:r>
    </w:p>
    <w:p w:rsidR="001050ED" w:rsidRPr="001050ED" w:rsidRDefault="001050ED" w:rsidP="001050ED">
      <w:pPr>
        <w:ind w:firstLine="420"/>
        <w:rPr>
          <w:sz w:val="24"/>
        </w:rPr>
      </w:pPr>
    </w:p>
    <w:p w:rsidR="001050ED" w:rsidRPr="001050ED" w:rsidRDefault="001050ED" w:rsidP="001050ED">
      <w:pPr>
        <w:rPr>
          <w:sz w:val="24"/>
        </w:rPr>
      </w:pPr>
      <w:bookmarkStart w:id="28" w:name="_Toc491179638"/>
      <w:r w:rsidRPr="001050ED">
        <w:rPr>
          <w:rFonts w:hint="eastAsia"/>
          <w:sz w:val="24"/>
        </w:rPr>
        <w:t>1</w:t>
      </w:r>
      <w:r w:rsidRPr="001050ED">
        <w:rPr>
          <w:rFonts w:hint="eastAsia"/>
          <w:sz w:val="24"/>
        </w:rPr>
        <w:t>、期末基金资产组合情况</w:t>
      </w:r>
      <w:bookmarkEnd w:id="28"/>
    </w:p>
    <w:p w:rsidR="001050ED" w:rsidRPr="001050ED" w:rsidRDefault="001050ED" w:rsidP="001050ED">
      <w:pPr>
        <w:pStyle w:val="biaogeright"/>
        <w:spacing w:line="360" w:lineRule="auto"/>
      </w:pPr>
      <w:r w:rsidRPr="001050ED">
        <w:rPr>
          <w:rFonts w:hAnsi="Calibri" w:hint="eastAsia"/>
          <w:color w:val="000000"/>
        </w:rPr>
        <w:t>金额单位：人民币元</w:t>
      </w:r>
    </w:p>
    <w:tbl>
      <w:tblPr>
        <w:tblW w:w="0" w:type="auto"/>
        <w:tblInd w:w="108" w:type="dxa"/>
        <w:tblLook w:val="04A0" w:firstRow="1" w:lastRow="0" w:firstColumn="1" w:lastColumn="0" w:noHBand="0" w:noVBand="1"/>
      </w:tblPr>
      <w:tblGrid>
        <w:gridCol w:w="705"/>
        <w:gridCol w:w="3462"/>
        <w:gridCol w:w="2490"/>
        <w:gridCol w:w="2091"/>
      </w:tblGrid>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项目</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金额</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占基金总资产的比例(%)</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权益投资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tcPr>
          <w:p w:rsidR="001050ED" w:rsidRPr="001050ED" w:rsidRDefault="001050ED" w:rsidP="001050ED">
            <w:pPr>
              <w:pStyle w:val="biaogecenter"/>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其中：股票</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固定收益投资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233,303,557.26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94.13</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tcPr>
          <w:p w:rsidR="001050ED" w:rsidRPr="001050ED" w:rsidRDefault="001050ED" w:rsidP="001050ED">
            <w:pPr>
              <w:pStyle w:val="biaogecenter"/>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其中：债券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233,303,557.26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94.13</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tcPr>
          <w:p w:rsidR="001050ED" w:rsidRPr="001050ED" w:rsidRDefault="001050ED" w:rsidP="001050ED">
            <w:pPr>
              <w:pStyle w:val="biaogecenter"/>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ind w:left="750"/>
            </w:pPr>
            <w:r w:rsidRPr="001050ED">
              <w:rPr>
                <w:rFonts w:hAnsi="Calibri" w:hint="eastAsia"/>
                <w:color w:val="000000"/>
              </w:rPr>
              <w:t>资产支持证券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贵金属投资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金融衍生</w:t>
            </w:r>
            <w:proofErr w:type="gramStart"/>
            <w:r w:rsidRPr="001050ED">
              <w:rPr>
                <w:rFonts w:hAnsi="Calibri" w:hint="eastAsia"/>
                <w:color w:val="000000"/>
              </w:rPr>
              <w:t>品投资</w:t>
            </w:r>
            <w:proofErr w:type="gramEnd"/>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tcPr>
          <w:p w:rsidR="001050ED" w:rsidRPr="001050ED" w:rsidRDefault="001050ED" w:rsidP="001050ED">
            <w:pPr>
              <w:pStyle w:val="biaogecenter"/>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12,490,268.54</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5.04</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其他各项资产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2,069,524.31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0.83</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lastRenderedPageBreak/>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247,863,350.11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100.00</w:t>
            </w:r>
          </w:p>
        </w:tc>
      </w:tr>
    </w:tbl>
    <w:p w:rsidR="001050ED" w:rsidRPr="001050ED" w:rsidRDefault="001050ED" w:rsidP="001050ED">
      <w:pPr>
        <w:widowControl/>
        <w:spacing w:line="360" w:lineRule="auto"/>
        <w:jc w:val="left"/>
        <w:rPr>
          <w:rFonts w:ascii="宋体" w:hAnsi="宋体" w:cs="宋体"/>
          <w:kern w:val="0"/>
          <w:sz w:val="24"/>
        </w:rPr>
      </w:pPr>
    </w:p>
    <w:p w:rsidR="001050ED" w:rsidRPr="001050ED" w:rsidRDefault="001050ED" w:rsidP="001050ED">
      <w:pPr>
        <w:rPr>
          <w:rFonts w:ascii="宋体" w:hAnsi="宋体" w:cs="宋体"/>
          <w:kern w:val="0"/>
          <w:sz w:val="24"/>
        </w:rPr>
      </w:pPr>
      <w:bookmarkStart w:id="29" w:name="_Toc491179639"/>
      <w:r w:rsidRPr="001050ED">
        <w:rPr>
          <w:rFonts w:hint="eastAsia"/>
          <w:sz w:val="24"/>
        </w:rPr>
        <w:t>2</w:t>
      </w:r>
      <w:r w:rsidRPr="001050ED">
        <w:rPr>
          <w:rFonts w:hint="eastAsia"/>
          <w:sz w:val="24"/>
        </w:rPr>
        <w:t>、报告期末按行业分类的股票投资组合</w:t>
      </w:r>
    </w:p>
    <w:p w:rsidR="001050ED" w:rsidRPr="001050ED" w:rsidRDefault="001050ED" w:rsidP="001050ED">
      <w:pPr>
        <w:rPr>
          <w:sz w:val="24"/>
        </w:rPr>
      </w:pPr>
      <w:r w:rsidRPr="001050ED">
        <w:rPr>
          <w:rFonts w:hint="eastAsia"/>
          <w:sz w:val="24"/>
        </w:rPr>
        <w:t>（</w:t>
      </w:r>
      <w:r w:rsidRPr="001050ED">
        <w:rPr>
          <w:rFonts w:hint="eastAsia"/>
          <w:sz w:val="24"/>
        </w:rPr>
        <w:t>1</w:t>
      </w:r>
      <w:r w:rsidRPr="001050ED">
        <w:rPr>
          <w:rFonts w:hint="eastAsia"/>
          <w:sz w:val="24"/>
        </w:rPr>
        <w:t>）报告期末按行业分类的境内股票投资组合</w:t>
      </w:r>
      <w:bookmarkEnd w:id="29"/>
    </w:p>
    <w:p w:rsidR="001050ED" w:rsidRPr="001050ED" w:rsidRDefault="001050ED" w:rsidP="001050ED">
      <w:pPr>
        <w:pStyle w:val="hide"/>
        <w:spacing w:line="360" w:lineRule="auto"/>
      </w:pPr>
      <w:r w:rsidRPr="001050ED">
        <w:rPr>
          <w:rFonts w:hint="eastAsia"/>
          <w:b/>
          <w:bCs/>
        </w:rPr>
        <w:t>7.2.1 报告期末按行业分类的境</w:t>
      </w:r>
      <w:r w:rsidRPr="001050ED">
        <w:rPr>
          <w:rFonts w:hint="eastAsia"/>
        </w:rPr>
        <w:t>本报告期末未持有股票。</w:t>
      </w:r>
    </w:p>
    <w:p w:rsidR="001050ED" w:rsidRPr="001050ED" w:rsidRDefault="001050ED" w:rsidP="001050ED">
      <w:pPr>
        <w:pStyle w:val="hide"/>
        <w:spacing w:line="360" w:lineRule="auto"/>
      </w:pPr>
      <w:r w:rsidRPr="001050ED">
        <w:rPr>
          <w:rFonts w:hint="eastAsia"/>
          <w:b/>
          <w:bCs/>
        </w:rPr>
        <w:t>7.2.2 报告期末按行业分类的港股通投资股票投资组合</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本基金本报告期末未持有港股通投资股票。</w:t>
      </w:r>
    </w:p>
    <w:p w:rsidR="001050ED" w:rsidRPr="001050ED" w:rsidRDefault="001050ED" w:rsidP="001050ED">
      <w:pPr>
        <w:pStyle w:val="neirong"/>
        <w:spacing w:line="360" w:lineRule="auto"/>
        <w:ind w:leftChars="7"/>
        <w:rPr>
          <w:bCs/>
        </w:rPr>
      </w:pPr>
      <w:r w:rsidRPr="001050ED">
        <w:rPr>
          <w:rFonts w:hint="eastAsia"/>
          <w:bCs/>
        </w:rPr>
        <w:t>（2）报告期末按行业分类的港股通投资股票投资组合</w:t>
      </w:r>
    </w:p>
    <w:p w:rsidR="001050ED" w:rsidRPr="001050ED" w:rsidRDefault="001050ED" w:rsidP="001050ED">
      <w:pPr>
        <w:pStyle w:val="neirong"/>
        <w:spacing w:line="360" w:lineRule="auto"/>
        <w:ind w:leftChars="7" w:firstLineChars="197" w:firstLine="473"/>
        <w:rPr>
          <w:bCs/>
        </w:rPr>
      </w:pPr>
      <w:r w:rsidRPr="001050ED">
        <w:rPr>
          <w:rFonts w:hint="eastAsia"/>
          <w:bCs/>
        </w:rPr>
        <w:t>本基金本报告期末未持有港股通投资股票。</w:t>
      </w:r>
    </w:p>
    <w:p w:rsidR="001050ED" w:rsidRPr="001050ED" w:rsidRDefault="001050ED" w:rsidP="001050ED">
      <w:pPr>
        <w:pStyle w:val="zhangjiep2"/>
        <w:spacing w:line="360" w:lineRule="auto"/>
        <w:rPr>
          <w:vanish/>
        </w:rPr>
      </w:pPr>
      <w:r w:rsidRPr="001050ED">
        <w:rPr>
          <w:rFonts w:hint="eastAsia"/>
          <w:b/>
          <w:bCs/>
          <w:vanish/>
        </w:rPr>
        <w:t>7.2.1 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1050ED" w:rsidRPr="001050ED" w:rsidTr="001050E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公允价值(元)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占基金资产净值的比例(%)</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$tp1249</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$tp3065</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$tp1255</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$tp3068</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$tp1291</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$tp3071</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$tp3074</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$tp3077</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$tp3080</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$tp3083</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$tp3086</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$tp3089</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$tp3092</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$tp3095</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$tp3098</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$tp3101</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$tp3104</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$tp3107</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$tp3110</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widowControl/>
              <w:jc w:val="left"/>
              <w:rPr>
                <w:rFonts w:cs="Calibri"/>
                <w:vanish/>
                <w:kern w:val="0"/>
                <w:sz w:val="24"/>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$tp1318</w:t>
            </w:r>
          </w:p>
        </w:tc>
      </w:tr>
    </w:tbl>
    <w:p w:rsidR="001050ED" w:rsidRPr="001050ED" w:rsidRDefault="001050ED" w:rsidP="001050ED">
      <w:pPr>
        <w:widowControl/>
        <w:spacing w:line="360" w:lineRule="auto"/>
        <w:jc w:val="left"/>
        <w:rPr>
          <w:rFonts w:ascii="宋体" w:hAnsi="宋体" w:cs="宋体"/>
          <w:vanish/>
          <w:kern w:val="0"/>
          <w:sz w:val="24"/>
        </w:rPr>
      </w:pPr>
    </w:p>
    <w:p w:rsidR="001050ED" w:rsidRPr="001050ED" w:rsidRDefault="001050ED" w:rsidP="001050ED">
      <w:pPr>
        <w:widowControl/>
        <w:spacing w:before="100" w:beforeAutospacing="1" w:after="100" w:afterAutospacing="1" w:line="360" w:lineRule="auto"/>
        <w:jc w:val="left"/>
        <w:rPr>
          <w:rFonts w:ascii="宋体" w:hAnsi="宋体" w:cs="宋体"/>
          <w:vanish/>
          <w:kern w:val="0"/>
          <w:sz w:val="24"/>
        </w:rPr>
      </w:pPr>
      <w:r w:rsidRPr="001050ED">
        <w:rPr>
          <w:rFonts w:ascii="宋体" w:hAnsi="宋体" w:cs="宋体" w:hint="eastAsia"/>
          <w:b/>
          <w:bCs/>
          <w:vanish/>
          <w:kern w:val="0"/>
          <w:sz w:val="24"/>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1050ED" w:rsidRPr="001050ED" w:rsidTr="001050E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公允价值(元)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占基金资产净值的比例(%)</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$tp1175</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$tp3017</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$tp1181</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$tp3020</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int="eastAsia"/>
                <w:vanish/>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$tp1217</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$tp3023</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$tp3026</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$tp3029</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$tp3032</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$tp3035</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$tp3038</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$tp3041</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$tp3044</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$tp3047</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$tp3050</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$tp3053</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$tp3056</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$tp3059</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left"/>
              <w:spacing w:line="360" w:lineRule="auto"/>
              <w:rPr>
                <w:vanish/>
              </w:rPr>
            </w:pPr>
            <w:r w:rsidRPr="001050ED">
              <w:rPr>
                <w:rFonts w:hint="eastAsia"/>
                <w:vanish/>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$tp3062</w:t>
            </w:r>
          </w:p>
        </w:tc>
      </w:tr>
      <w:tr w:rsidR="001050ED" w:rsidRPr="001050ED" w:rsidTr="001050E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widowControl/>
              <w:jc w:val="left"/>
              <w:rPr>
                <w:rFonts w:cs="Calibri"/>
                <w:vanish/>
                <w:kern w:val="0"/>
                <w:sz w:val="24"/>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center"/>
              <w:spacing w:line="360" w:lineRule="auto"/>
              <w:rPr>
                <w:vanish/>
              </w:rPr>
            </w:pPr>
            <w:r w:rsidRPr="001050ED">
              <w:rPr>
                <w:rFonts w:hAnsi="Calibri" w:hint="eastAsia"/>
                <w:vanish/>
                <w:color w:val="000000"/>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1050ED" w:rsidRPr="001050ED" w:rsidRDefault="001050ED" w:rsidP="001050ED">
            <w:pPr>
              <w:pStyle w:val="biaogeright"/>
              <w:spacing w:line="360" w:lineRule="auto"/>
              <w:rPr>
                <w:vanish/>
              </w:rPr>
            </w:pPr>
            <w:r w:rsidRPr="001050ED">
              <w:rPr>
                <w:rFonts w:hint="eastAsia"/>
                <w:vanish/>
              </w:rPr>
              <w:t>$tp1244</w:t>
            </w:r>
          </w:p>
        </w:tc>
      </w:tr>
    </w:tbl>
    <w:p w:rsidR="001050ED" w:rsidRPr="001050ED" w:rsidRDefault="001050ED" w:rsidP="001050ED">
      <w:pPr>
        <w:widowControl/>
        <w:spacing w:line="360" w:lineRule="auto"/>
        <w:jc w:val="left"/>
        <w:rPr>
          <w:rFonts w:ascii="宋体" w:hAnsi="宋体" w:cs="宋体"/>
          <w:vanish/>
          <w:kern w:val="0"/>
          <w:sz w:val="24"/>
        </w:rPr>
      </w:pPr>
    </w:p>
    <w:p w:rsidR="001050ED" w:rsidRPr="001050ED" w:rsidRDefault="001050ED" w:rsidP="001050ED">
      <w:pPr>
        <w:pStyle w:val="hide"/>
        <w:spacing w:line="360" w:lineRule="auto"/>
      </w:pPr>
      <w:r w:rsidRPr="001050ED">
        <w:rPr>
          <w:rFonts w:hint="eastAsia"/>
          <w:b/>
          <w:bCs/>
        </w:rPr>
        <w:t>7.2.3 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rPr>
          <w:vanish/>
        </w:rPr>
      </w:pPr>
      <w:r w:rsidRPr="001050ED">
        <w:rPr>
          <w:rFonts w:hint="eastAsia"/>
          <w:vanish/>
        </w:rPr>
        <w:t>本基金本报告期末未持有港股通投资股票。</w:t>
      </w:r>
    </w:p>
    <w:p w:rsidR="001050ED" w:rsidRPr="001050ED" w:rsidRDefault="001050ED" w:rsidP="001050ED">
      <w:pPr>
        <w:rPr>
          <w:sz w:val="24"/>
        </w:rPr>
      </w:pPr>
      <w:bookmarkStart w:id="30" w:name="_Toc491179640"/>
      <w:r w:rsidRPr="001050ED">
        <w:rPr>
          <w:rFonts w:hint="eastAsia"/>
          <w:sz w:val="24"/>
        </w:rPr>
        <w:t>3</w:t>
      </w:r>
      <w:r w:rsidRPr="001050ED">
        <w:rPr>
          <w:rFonts w:hint="eastAsia"/>
          <w:sz w:val="24"/>
        </w:rPr>
        <w:t>、</w:t>
      </w:r>
      <w:r w:rsidRPr="001050ED">
        <w:rPr>
          <w:rFonts w:hint="eastAsia"/>
          <w:sz w:val="24"/>
        </w:rPr>
        <w:t xml:space="preserve"> </w:t>
      </w:r>
      <w:r w:rsidRPr="001050ED">
        <w:rPr>
          <w:rFonts w:hint="eastAsia"/>
          <w:sz w:val="24"/>
        </w:rPr>
        <w:t>期末按公允价值占基金资产净值比例大小排序的所有股票投资明细</w:t>
      </w:r>
      <w:bookmarkEnd w:id="30"/>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本基金本报告期末未持有股票。</w:t>
      </w:r>
    </w:p>
    <w:p w:rsidR="001050ED" w:rsidRPr="001050ED" w:rsidRDefault="001050ED" w:rsidP="001050ED">
      <w:pPr>
        <w:pStyle w:val="zhangjiep"/>
        <w:spacing w:line="360" w:lineRule="auto"/>
        <w:rPr>
          <w:vanish/>
        </w:rPr>
      </w:pPr>
      <w:r w:rsidRPr="001050ED">
        <w:rPr>
          <w:rFonts w:hint="eastAsia"/>
          <w:b/>
          <w:bCs/>
          <w:vanish/>
        </w:rPr>
        <w:t>7.3 期末按公允价值占基金资产净值比例大小排序的股票投资明细</w:t>
      </w:r>
    </w:p>
    <w:p w:rsidR="001050ED" w:rsidRPr="001050ED" w:rsidRDefault="001050ED" w:rsidP="001050ED">
      <w:pPr>
        <w:pStyle w:val="zhangjiep2"/>
        <w:spacing w:line="360" w:lineRule="auto"/>
        <w:rPr>
          <w:vanish/>
        </w:rPr>
      </w:pPr>
      <w:r w:rsidRPr="001050ED">
        <w:rPr>
          <w:rFonts w:hint="eastAsia"/>
          <w:b/>
          <w:bCs/>
          <w:vanish/>
        </w:rPr>
        <w:t>7.3.1 期末按公允价值占基金资产净值比例大小排序的所有股票投资明细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rPr>
          <w:vanish/>
        </w:rPr>
      </w:pPr>
      <w:r w:rsidRPr="001050ED">
        <w:rPr>
          <w:rFonts w:hint="eastAsia"/>
          <w:vanish/>
        </w:rPr>
        <w:t>本基金本报告期末未持有股票。</w:t>
      </w:r>
    </w:p>
    <w:p w:rsidR="001050ED" w:rsidRPr="001050ED" w:rsidRDefault="001050ED" w:rsidP="001050ED">
      <w:pPr>
        <w:widowControl/>
        <w:spacing w:line="360" w:lineRule="auto"/>
        <w:jc w:val="left"/>
        <w:rPr>
          <w:rFonts w:ascii="宋体" w:hAnsi="宋体" w:cs="宋体"/>
          <w:vanish/>
          <w:kern w:val="0"/>
          <w:sz w:val="24"/>
        </w:rPr>
      </w:pPr>
    </w:p>
    <w:p w:rsidR="001050ED" w:rsidRPr="001050ED" w:rsidRDefault="001050ED" w:rsidP="001050ED">
      <w:pPr>
        <w:pStyle w:val="zhangjiep2"/>
        <w:spacing w:line="360" w:lineRule="auto"/>
        <w:rPr>
          <w:vanish/>
        </w:rPr>
      </w:pPr>
      <w:r w:rsidRPr="001050ED">
        <w:rPr>
          <w:rFonts w:hint="eastAsia"/>
          <w:b/>
          <w:bCs/>
          <w:vanish/>
        </w:rPr>
        <w:t>7.3.2 期末积极投资按公允价值占基金资产净值比例大小排序的所有股票投资明细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rPr>
          <w:vanish/>
        </w:rPr>
      </w:pPr>
      <w:r w:rsidRPr="001050ED">
        <w:rPr>
          <w:rFonts w:hint="eastAsia"/>
          <w:vanish/>
        </w:rPr>
        <w:t>本基金本报告期末未持有股票。</w:t>
      </w:r>
    </w:p>
    <w:p w:rsidR="001050ED" w:rsidRPr="001050ED" w:rsidRDefault="001050ED" w:rsidP="001050ED">
      <w:pPr>
        <w:rPr>
          <w:rFonts w:ascii="宋体" w:hAnsi="宋体" w:cs="宋体"/>
          <w:kern w:val="0"/>
          <w:sz w:val="24"/>
        </w:rPr>
      </w:pPr>
      <w:bookmarkStart w:id="31" w:name="_Toc491179641"/>
      <w:r w:rsidRPr="001050ED">
        <w:rPr>
          <w:rFonts w:hint="eastAsia"/>
          <w:sz w:val="24"/>
        </w:rPr>
        <w:t>4</w:t>
      </w:r>
      <w:r w:rsidRPr="001050ED">
        <w:rPr>
          <w:rFonts w:hint="eastAsia"/>
          <w:sz w:val="24"/>
        </w:rPr>
        <w:t>、报告期内股票投资组合的重大变动</w:t>
      </w:r>
      <w:bookmarkEnd w:id="31"/>
    </w:p>
    <w:p w:rsidR="001050ED" w:rsidRPr="001050ED" w:rsidRDefault="001050ED" w:rsidP="001050ED">
      <w:pPr>
        <w:pStyle w:val="zhangjiep2"/>
        <w:spacing w:line="360" w:lineRule="auto"/>
      </w:pPr>
      <w:r w:rsidRPr="001050ED">
        <w:rPr>
          <w:rFonts w:hint="eastAsia"/>
        </w:rPr>
        <w:t>（1</w:t>
      </w:r>
      <w:r w:rsidRPr="001050ED">
        <w:t>）</w:t>
      </w:r>
      <w:r w:rsidRPr="001050ED">
        <w:rPr>
          <w:rFonts w:hint="eastAsia"/>
        </w:rPr>
        <w:t xml:space="preserve"> 累计买入金额超出期</w:t>
      </w:r>
      <w:proofErr w:type="gramStart"/>
      <w:r w:rsidRPr="001050ED">
        <w:rPr>
          <w:rFonts w:hint="eastAsia"/>
        </w:rPr>
        <w:t>初基金</w:t>
      </w:r>
      <w:proofErr w:type="gramEnd"/>
      <w:r w:rsidRPr="001050ED">
        <w:rPr>
          <w:rFonts w:hint="eastAsia"/>
        </w:rPr>
        <w:t>资产净值2%或前20名的股票明细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本基金本报告期末未持有股票。</w:t>
      </w:r>
    </w:p>
    <w:p w:rsidR="001050ED" w:rsidRPr="001050ED" w:rsidRDefault="001050ED" w:rsidP="001050ED">
      <w:pPr>
        <w:pStyle w:val="zhangjiep2"/>
        <w:spacing w:line="360" w:lineRule="auto"/>
      </w:pPr>
      <w:r w:rsidRPr="001050ED">
        <w:rPr>
          <w:rFonts w:hint="eastAsia"/>
        </w:rPr>
        <w:t>（2）累计卖出金额超出期</w:t>
      </w:r>
      <w:proofErr w:type="gramStart"/>
      <w:r w:rsidRPr="001050ED">
        <w:rPr>
          <w:rFonts w:hint="eastAsia"/>
        </w:rPr>
        <w:t>初基金</w:t>
      </w:r>
      <w:proofErr w:type="gramEnd"/>
      <w:r w:rsidRPr="001050ED">
        <w:rPr>
          <w:rFonts w:hint="eastAsia"/>
        </w:rPr>
        <w:t>资产净值2%或前20名的股票明细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本基金本报告期末未持有股票。</w:t>
      </w:r>
    </w:p>
    <w:p w:rsidR="001050ED" w:rsidRPr="001050ED" w:rsidRDefault="001050ED" w:rsidP="001050ED">
      <w:pPr>
        <w:pStyle w:val="zhangjiep2"/>
        <w:spacing w:line="360" w:lineRule="auto"/>
      </w:pPr>
      <w:r w:rsidRPr="001050ED">
        <w:rPr>
          <w:rFonts w:hint="eastAsia"/>
        </w:rPr>
        <w:t>（3）买入股票的成本总额及卖出股票的收入总额</w:t>
      </w:r>
    </w:p>
    <w:p w:rsidR="001050ED" w:rsidRPr="001050ED" w:rsidRDefault="001050ED" w:rsidP="001050ED">
      <w:pPr>
        <w:pStyle w:val="neirong"/>
        <w:spacing w:line="360" w:lineRule="auto"/>
        <w:ind w:leftChars="7" w:firstLineChars="200" w:firstLine="480"/>
      </w:pPr>
      <w:r w:rsidRPr="001050ED">
        <w:rPr>
          <w:rFonts w:hint="eastAsia"/>
        </w:rPr>
        <w:t>本基金本报告期末未持有股票。</w:t>
      </w:r>
    </w:p>
    <w:p w:rsidR="001050ED" w:rsidRPr="001050ED" w:rsidRDefault="001050ED" w:rsidP="001050ED">
      <w:pPr>
        <w:rPr>
          <w:rFonts w:ascii="宋体" w:hAnsi="宋体" w:cs="宋体"/>
          <w:kern w:val="0"/>
          <w:sz w:val="24"/>
        </w:rPr>
      </w:pPr>
      <w:bookmarkStart w:id="32" w:name="_Toc491179642"/>
      <w:r w:rsidRPr="001050ED">
        <w:rPr>
          <w:rFonts w:hint="eastAsia"/>
          <w:sz w:val="24"/>
        </w:rPr>
        <w:t>5</w:t>
      </w:r>
      <w:r w:rsidRPr="001050ED">
        <w:rPr>
          <w:rFonts w:hint="eastAsia"/>
          <w:sz w:val="24"/>
        </w:rPr>
        <w:t>、期末按债券品种分类的债券投资组合</w:t>
      </w:r>
      <w:bookmarkEnd w:id="32"/>
    </w:p>
    <w:p w:rsidR="001050ED" w:rsidRPr="001050ED" w:rsidRDefault="001050ED" w:rsidP="001050ED">
      <w:pPr>
        <w:pStyle w:val="biaogeright"/>
        <w:spacing w:line="360" w:lineRule="auto"/>
      </w:pPr>
      <w:r w:rsidRPr="001050ED">
        <w:rPr>
          <w:rFonts w:hAnsi="Calibri" w:hint="eastAsia"/>
          <w:color w:val="000000"/>
        </w:rPr>
        <w:t>金额单位：人民币元</w:t>
      </w:r>
    </w:p>
    <w:tbl>
      <w:tblPr>
        <w:tblW w:w="0" w:type="auto"/>
        <w:tblInd w:w="108" w:type="dxa"/>
        <w:tblLook w:val="04A0" w:firstRow="1" w:lastRow="0" w:firstColumn="1" w:lastColumn="0" w:noHBand="0" w:noVBand="1"/>
      </w:tblPr>
      <w:tblGrid>
        <w:gridCol w:w="706"/>
        <w:gridCol w:w="2427"/>
        <w:gridCol w:w="2493"/>
        <w:gridCol w:w="3122"/>
      </w:tblGrid>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序号</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债券品种</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公允价值</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占基金资产净值比例(%)</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1</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国家债券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9,990,000.00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4.95</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2</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央行票据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3</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金融债券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tcPr>
          <w:p w:rsidR="001050ED" w:rsidRPr="001050ED" w:rsidRDefault="001050ED" w:rsidP="001050ED">
            <w:pPr>
              <w:pStyle w:val="biaogecenter"/>
              <w:spacing w:line="360" w:lineRule="auto"/>
            </w:pP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其中：政策性金融债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4</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企业债券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178,167,557.26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88.20</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5</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企业短期融资</w:t>
            </w:r>
            <w:proofErr w:type="gramStart"/>
            <w:r w:rsidRPr="001050ED">
              <w:rPr>
                <w:rFonts w:hint="eastAsia"/>
              </w:rPr>
              <w:t>券</w:t>
            </w:r>
            <w:proofErr w:type="gramEnd"/>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lastRenderedPageBreak/>
              <w:t>6</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中期票据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15,264,000.00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7.56</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7</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可转债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8</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同业存单</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29,882,000.00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14.79</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9</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其他</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10</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合计</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233,303,557.26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115.49</w:t>
            </w:r>
          </w:p>
        </w:tc>
      </w:tr>
    </w:tbl>
    <w:p w:rsidR="001050ED" w:rsidRPr="001050ED" w:rsidRDefault="001050ED" w:rsidP="001050ED">
      <w:pPr>
        <w:widowControl/>
        <w:spacing w:line="360" w:lineRule="auto"/>
        <w:jc w:val="left"/>
        <w:rPr>
          <w:rFonts w:ascii="宋体" w:hAnsi="宋体" w:cs="宋体"/>
          <w:kern w:val="0"/>
          <w:sz w:val="24"/>
        </w:rPr>
      </w:pPr>
    </w:p>
    <w:p w:rsidR="001050ED" w:rsidRPr="001050ED" w:rsidRDefault="001050ED" w:rsidP="001050ED">
      <w:pPr>
        <w:rPr>
          <w:rFonts w:ascii="宋体" w:hAnsi="宋体" w:cs="宋体"/>
          <w:kern w:val="0"/>
          <w:sz w:val="24"/>
        </w:rPr>
      </w:pPr>
      <w:bookmarkStart w:id="33" w:name="_Toc491179643"/>
      <w:r w:rsidRPr="001050ED">
        <w:rPr>
          <w:rFonts w:hint="eastAsia"/>
          <w:sz w:val="24"/>
        </w:rPr>
        <w:t>6</w:t>
      </w:r>
      <w:r w:rsidRPr="001050ED">
        <w:rPr>
          <w:rFonts w:hint="eastAsia"/>
          <w:sz w:val="24"/>
        </w:rPr>
        <w:t>、期末按公允价值占基金资产净值比例大小排序的前五名债券投资明细</w:t>
      </w:r>
      <w:bookmarkEnd w:id="33"/>
    </w:p>
    <w:p w:rsidR="001050ED" w:rsidRPr="001050ED" w:rsidRDefault="001050ED" w:rsidP="001050ED">
      <w:pPr>
        <w:pStyle w:val="biaogeright"/>
        <w:spacing w:line="360" w:lineRule="auto"/>
      </w:pPr>
      <w:r w:rsidRPr="001050ED">
        <w:rPr>
          <w:rFonts w:hAnsi="Calibri" w:hint="eastAsia"/>
          <w:color w:val="000000"/>
        </w:rPr>
        <w:t>金额单位：人民币元</w:t>
      </w:r>
    </w:p>
    <w:tbl>
      <w:tblPr>
        <w:tblW w:w="0" w:type="auto"/>
        <w:tblInd w:w="108" w:type="dxa"/>
        <w:tblLook w:val="04A0" w:firstRow="1" w:lastRow="0" w:firstColumn="1" w:lastColumn="0" w:noHBand="0" w:noVBand="1"/>
      </w:tblPr>
      <w:tblGrid>
        <w:gridCol w:w="723"/>
        <w:gridCol w:w="1331"/>
        <w:gridCol w:w="2044"/>
        <w:gridCol w:w="1200"/>
        <w:gridCol w:w="2009"/>
        <w:gridCol w:w="1441"/>
      </w:tblGrid>
      <w:tr w:rsidR="001050ED" w:rsidRPr="001050ED" w:rsidTr="001050ED">
        <w:tc>
          <w:tcPr>
            <w:tcW w:w="75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序号</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债券代码</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债券名称</w:t>
            </w:r>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数量（张）</w:t>
            </w:r>
          </w:p>
        </w:tc>
        <w:tc>
          <w:tcPr>
            <w:tcW w:w="204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公允价值</w:t>
            </w:r>
          </w:p>
        </w:tc>
        <w:tc>
          <w:tcPr>
            <w:tcW w:w="1545"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占基金资产净值比例(%)</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1</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1780066</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17威高新</w:t>
            </w:r>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20,038,000.00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9.92</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2</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143024</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17桂农01</w:t>
            </w:r>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20,024,000.00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9.91</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3</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127491</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17灌</w:t>
            </w:r>
            <w:proofErr w:type="gramStart"/>
            <w:r w:rsidRPr="001050ED">
              <w:rPr>
                <w:rFonts w:hAnsi="Calibri" w:hint="eastAsia"/>
                <w:color w:val="000000"/>
              </w:rPr>
              <w:t>东经开债</w:t>
            </w:r>
            <w:proofErr w:type="gramEnd"/>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19,991,557.26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9.90</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4</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1780087</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17</w:t>
            </w:r>
            <w:proofErr w:type="gramStart"/>
            <w:r w:rsidRPr="001050ED">
              <w:rPr>
                <w:rFonts w:hAnsi="Calibri" w:hint="eastAsia"/>
                <w:color w:val="000000"/>
              </w:rPr>
              <w:t>六</w:t>
            </w:r>
            <w:proofErr w:type="gramEnd"/>
            <w:r w:rsidRPr="001050ED">
              <w:rPr>
                <w:rFonts w:hAnsi="Calibri" w:hint="eastAsia"/>
                <w:color w:val="000000"/>
              </w:rPr>
              <w:t>盘水交投债</w:t>
            </w:r>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19,864,000.00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9.83</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5</w:t>
            </w:r>
          </w:p>
        </w:tc>
        <w:tc>
          <w:tcPr>
            <w:tcW w:w="13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1580063</w:t>
            </w:r>
          </w:p>
        </w:tc>
        <w:tc>
          <w:tcPr>
            <w:tcW w:w="226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Ansi="Calibri" w:hint="eastAsia"/>
                <w:color w:val="000000"/>
              </w:rPr>
              <w:t>15吐鲁番</w:t>
            </w:r>
            <w:proofErr w:type="gramStart"/>
            <w:r w:rsidRPr="001050ED">
              <w:rPr>
                <w:rFonts w:hAnsi="Calibri" w:hint="eastAsia"/>
                <w:color w:val="000000"/>
              </w:rPr>
              <w:t>国投债</w:t>
            </w:r>
            <w:proofErr w:type="gramEnd"/>
          </w:p>
        </w:tc>
        <w:tc>
          <w:tcPr>
            <w:tcW w:w="121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15,336,000.00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7.59</w:t>
            </w:r>
          </w:p>
        </w:tc>
      </w:tr>
    </w:tbl>
    <w:p w:rsidR="001050ED" w:rsidRPr="001050ED" w:rsidRDefault="001050ED" w:rsidP="001050ED">
      <w:pPr>
        <w:widowControl/>
        <w:spacing w:line="360" w:lineRule="auto"/>
        <w:jc w:val="left"/>
        <w:rPr>
          <w:rFonts w:ascii="宋体" w:hAnsi="宋体" w:cs="宋体"/>
          <w:kern w:val="0"/>
          <w:sz w:val="24"/>
        </w:rPr>
      </w:pPr>
    </w:p>
    <w:p w:rsidR="001050ED" w:rsidRPr="001050ED" w:rsidRDefault="001050ED" w:rsidP="001050ED">
      <w:pPr>
        <w:rPr>
          <w:rFonts w:ascii="宋体" w:hAnsi="宋体" w:cs="宋体"/>
          <w:kern w:val="0"/>
          <w:sz w:val="24"/>
        </w:rPr>
      </w:pPr>
      <w:r w:rsidRPr="001050ED">
        <w:rPr>
          <w:rFonts w:hint="eastAsia"/>
          <w:sz w:val="24"/>
        </w:rPr>
        <w:t>7</w:t>
      </w:r>
      <w:r w:rsidRPr="001050ED">
        <w:rPr>
          <w:rFonts w:hint="eastAsia"/>
          <w:sz w:val="24"/>
        </w:rPr>
        <w:t>、报告期末按公允价值占基金资产净值比例大小排序的前十名资产支持证券明细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本基金本报告期末未持有资产支持证券。</w:t>
      </w:r>
    </w:p>
    <w:p w:rsidR="001050ED" w:rsidRPr="001050ED" w:rsidRDefault="001050ED" w:rsidP="001050ED">
      <w:pPr>
        <w:rPr>
          <w:rFonts w:ascii="宋体" w:hAnsi="宋体" w:cs="宋体"/>
          <w:kern w:val="0"/>
          <w:sz w:val="24"/>
        </w:rPr>
      </w:pPr>
      <w:bookmarkStart w:id="34" w:name="_Toc491179645"/>
      <w:r w:rsidRPr="001050ED">
        <w:rPr>
          <w:rFonts w:hint="eastAsia"/>
          <w:sz w:val="24"/>
        </w:rPr>
        <w:t>8</w:t>
      </w:r>
      <w:r w:rsidRPr="001050ED">
        <w:rPr>
          <w:rFonts w:hint="eastAsia"/>
          <w:sz w:val="24"/>
        </w:rPr>
        <w:t>、报告期末按公允价值占基金资产净值比例大小排序的前五名贵金属投资明细</w:t>
      </w:r>
      <w:bookmarkEnd w:id="34"/>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本基金本报告期末未持有贵金属。</w:t>
      </w:r>
    </w:p>
    <w:p w:rsidR="001050ED" w:rsidRPr="001050ED" w:rsidRDefault="001050ED" w:rsidP="001050ED">
      <w:pPr>
        <w:rPr>
          <w:rFonts w:ascii="宋体" w:hAnsi="宋体" w:cs="宋体"/>
          <w:kern w:val="0"/>
          <w:sz w:val="24"/>
        </w:rPr>
      </w:pPr>
      <w:bookmarkStart w:id="35" w:name="_Toc491179646"/>
      <w:r w:rsidRPr="001050ED">
        <w:rPr>
          <w:rFonts w:hint="eastAsia"/>
          <w:sz w:val="24"/>
        </w:rPr>
        <w:t>9</w:t>
      </w:r>
      <w:r w:rsidRPr="001050ED">
        <w:rPr>
          <w:rFonts w:hint="eastAsia"/>
          <w:sz w:val="24"/>
        </w:rPr>
        <w:t>、期末按公允价值占基金资产净值比例大小排序的前五名权证投资明细</w:t>
      </w:r>
      <w:bookmarkEnd w:id="35"/>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本基金本报告期末未持有权证。</w:t>
      </w:r>
    </w:p>
    <w:p w:rsidR="001050ED" w:rsidRPr="001050ED" w:rsidRDefault="001050ED" w:rsidP="001050ED">
      <w:pPr>
        <w:rPr>
          <w:rFonts w:ascii="宋体" w:hAnsi="宋体" w:cs="宋体"/>
          <w:kern w:val="0"/>
          <w:sz w:val="24"/>
        </w:rPr>
      </w:pPr>
      <w:bookmarkStart w:id="36" w:name="_Toc491179647"/>
      <w:r w:rsidRPr="001050ED">
        <w:rPr>
          <w:rFonts w:hint="eastAsia"/>
          <w:sz w:val="24"/>
        </w:rPr>
        <w:t>10</w:t>
      </w:r>
      <w:r w:rsidRPr="001050ED">
        <w:rPr>
          <w:rFonts w:hint="eastAsia"/>
          <w:sz w:val="24"/>
        </w:rPr>
        <w:t>、</w:t>
      </w:r>
      <w:r w:rsidRPr="001050ED">
        <w:rPr>
          <w:rFonts w:hint="eastAsia"/>
          <w:sz w:val="24"/>
        </w:rPr>
        <w:t xml:space="preserve"> </w:t>
      </w:r>
      <w:r w:rsidRPr="001050ED">
        <w:rPr>
          <w:rFonts w:hint="eastAsia"/>
          <w:sz w:val="24"/>
        </w:rPr>
        <w:t>报告期末本基金投资的股指期货交易情况说明</w:t>
      </w:r>
      <w:bookmarkEnd w:id="36"/>
    </w:p>
    <w:p w:rsidR="001050ED" w:rsidRPr="001050ED" w:rsidRDefault="001050ED" w:rsidP="001050ED">
      <w:pPr>
        <w:pStyle w:val="zhangjiep2"/>
        <w:spacing w:line="360" w:lineRule="auto"/>
        <w:rPr>
          <w:vanish/>
        </w:rPr>
      </w:pPr>
      <w:r w:rsidRPr="001050ED">
        <w:rPr>
          <w:rFonts w:hint="eastAsia"/>
          <w:b/>
          <w:bCs/>
          <w:vanish/>
        </w:rPr>
        <w:t>7.10.1 报告期末本基金投资的股指期货持仓和损益明细</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本基金本报告期末无股指期货投资。</w:t>
      </w:r>
    </w:p>
    <w:p w:rsidR="001050ED" w:rsidRPr="001050ED" w:rsidRDefault="001050ED" w:rsidP="001050ED">
      <w:pPr>
        <w:pStyle w:val="zhangjiep2"/>
        <w:spacing w:line="360" w:lineRule="auto"/>
        <w:rPr>
          <w:vanish/>
        </w:rPr>
      </w:pPr>
      <w:r w:rsidRPr="001050ED">
        <w:rPr>
          <w:rFonts w:hint="eastAsia"/>
          <w:b/>
          <w:bCs/>
          <w:vanish/>
        </w:rPr>
        <w:t>7.10.2 本基金投资股指期货的投资政策</w:t>
      </w:r>
    </w:p>
    <w:p w:rsidR="001050ED" w:rsidRPr="001050ED" w:rsidRDefault="001050ED" w:rsidP="001050ED">
      <w:pPr>
        <w:rPr>
          <w:rFonts w:ascii="宋体" w:hAnsi="宋体" w:cs="宋体"/>
          <w:kern w:val="0"/>
          <w:sz w:val="24"/>
        </w:rPr>
      </w:pPr>
      <w:bookmarkStart w:id="37" w:name="_Toc491179648"/>
      <w:r w:rsidRPr="001050ED">
        <w:rPr>
          <w:rFonts w:hint="eastAsia"/>
          <w:sz w:val="24"/>
        </w:rPr>
        <w:t>11</w:t>
      </w:r>
      <w:r w:rsidRPr="001050ED">
        <w:rPr>
          <w:rFonts w:hint="eastAsia"/>
          <w:sz w:val="24"/>
        </w:rPr>
        <w:t>、报告期末本基金投资的国债期货交易情况说明</w:t>
      </w:r>
      <w:bookmarkEnd w:id="37"/>
    </w:p>
    <w:p w:rsidR="001050ED" w:rsidRPr="001050ED" w:rsidRDefault="001050ED" w:rsidP="001050ED">
      <w:pPr>
        <w:pStyle w:val="zhangjiep2"/>
        <w:spacing w:line="360" w:lineRule="auto"/>
        <w:rPr>
          <w:vanish/>
        </w:rPr>
      </w:pPr>
      <w:r w:rsidRPr="001050ED">
        <w:rPr>
          <w:rFonts w:hint="eastAsia"/>
          <w:b/>
          <w:bCs/>
          <w:vanish/>
        </w:rPr>
        <w:t>7.11.1 本期国债期货投资政策</w:t>
      </w:r>
    </w:p>
    <w:p w:rsidR="001050ED" w:rsidRPr="001050ED" w:rsidRDefault="001050ED" w:rsidP="001050ED">
      <w:pPr>
        <w:pStyle w:val="neirong"/>
        <w:spacing w:line="360" w:lineRule="auto"/>
      </w:pPr>
      <w:r w:rsidRPr="001050ED">
        <w:rPr>
          <w:rFonts w:hint="eastAsia"/>
        </w:rPr>
        <w:t>  本基金本报告期末无国债期货投资。</w:t>
      </w:r>
    </w:p>
    <w:p w:rsidR="001050ED" w:rsidRPr="001050ED" w:rsidRDefault="001050ED" w:rsidP="001050ED">
      <w:pPr>
        <w:pStyle w:val="zhangjiep2"/>
        <w:spacing w:line="360" w:lineRule="auto"/>
        <w:rPr>
          <w:vanish/>
        </w:rPr>
      </w:pPr>
      <w:r w:rsidRPr="001050ED">
        <w:rPr>
          <w:rFonts w:hint="eastAsia"/>
          <w:b/>
          <w:bCs/>
          <w:vanish/>
        </w:rPr>
        <w:t>7.11.2 报告期末本基金投资的国债期货持仓和损益明细</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rPr>
          <w:rFonts w:ascii="宋体" w:hAnsi="宋体" w:cs="宋体"/>
          <w:kern w:val="0"/>
          <w:sz w:val="24"/>
        </w:rPr>
      </w:pPr>
      <w:bookmarkStart w:id="38" w:name="_Toc491179649"/>
      <w:r w:rsidRPr="001050ED">
        <w:rPr>
          <w:rFonts w:hint="eastAsia"/>
          <w:sz w:val="24"/>
        </w:rPr>
        <w:t>12</w:t>
      </w:r>
      <w:r w:rsidRPr="001050ED">
        <w:rPr>
          <w:rFonts w:hint="eastAsia"/>
          <w:sz w:val="24"/>
        </w:rPr>
        <w:t>、投资组合报告附注</w:t>
      </w:r>
      <w:bookmarkEnd w:id="38"/>
    </w:p>
    <w:p w:rsidR="001050ED" w:rsidRPr="001050ED" w:rsidRDefault="001050ED" w:rsidP="001050ED">
      <w:pPr>
        <w:pStyle w:val="zhangjiep2"/>
        <w:spacing w:line="360" w:lineRule="auto"/>
      </w:pPr>
      <w:r w:rsidRPr="001050ED">
        <w:rPr>
          <w:rFonts w:ascii="Times New Roman" w:hAnsi="Times New Roman" w:cs="Times New Roman" w:hint="eastAsia"/>
          <w:kern w:val="2"/>
        </w:rPr>
        <w:lastRenderedPageBreak/>
        <w:t>（</w:t>
      </w:r>
      <w:r w:rsidRPr="001050ED">
        <w:rPr>
          <w:rFonts w:ascii="Times New Roman" w:hAnsi="Times New Roman" w:cs="Times New Roman" w:hint="eastAsia"/>
          <w:kern w:val="2"/>
        </w:rPr>
        <w:t>1</w:t>
      </w:r>
      <w:r w:rsidRPr="001050ED">
        <w:rPr>
          <w:rFonts w:ascii="Times New Roman" w:hAnsi="Times New Roman" w:cs="Times New Roman" w:hint="eastAsia"/>
          <w:kern w:val="2"/>
        </w:rPr>
        <w:t>）</w:t>
      </w:r>
      <w:r w:rsidRPr="001050ED">
        <w:rPr>
          <w:rFonts w:ascii="Times New Roman" w:hAnsi="Times New Roman" w:cs="Times New Roman" w:hint="eastAsia"/>
          <w:kern w:val="2"/>
        </w:rPr>
        <w:t xml:space="preserve"> </w:t>
      </w:r>
      <w:r w:rsidRPr="001050ED">
        <w:rPr>
          <w:rFonts w:ascii="Times New Roman" w:hAnsi="Times New Roman" w:cs="Times New Roman" w:hint="eastAsia"/>
          <w:kern w:val="2"/>
        </w:rPr>
        <w:t>报告期内，本基金投资决策程序符合相关法律法规的要求，未发现本基金投资的前十名证券的发行主体本期出现被监管部门立案调查，或在报告编制日前一年内收到公开谴责、触发的情形。</w:t>
      </w:r>
    </w:p>
    <w:p w:rsidR="001050ED" w:rsidRPr="001050ED" w:rsidRDefault="001050ED" w:rsidP="001050ED">
      <w:pPr>
        <w:pStyle w:val="zhangjiep2"/>
        <w:spacing w:line="360" w:lineRule="auto"/>
        <w:rPr>
          <w:rFonts w:ascii="Times New Roman" w:hAnsi="Times New Roman" w:cs="Times New Roman"/>
          <w:kern w:val="2"/>
        </w:rPr>
      </w:pPr>
      <w:r w:rsidRPr="001050ED">
        <w:rPr>
          <w:rFonts w:ascii="Times New Roman" w:hAnsi="Times New Roman" w:cs="Times New Roman" w:hint="eastAsia"/>
          <w:kern w:val="2"/>
        </w:rPr>
        <w:t>（</w:t>
      </w:r>
      <w:r w:rsidRPr="001050ED">
        <w:rPr>
          <w:rFonts w:ascii="Times New Roman" w:hAnsi="Times New Roman" w:cs="Times New Roman" w:hint="eastAsia"/>
          <w:kern w:val="2"/>
        </w:rPr>
        <w:t>2</w:t>
      </w:r>
      <w:r w:rsidRPr="001050ED">
        <w:rPr>
          <w:rFonts w:ascii="Times New Roman" w:hAnsi="Times New Roman" w:cs="Times New Roman" w:hint="eastAsia"/>
          <w:kern w:val="2"/>
        </w:rPr>
        <w:t>）</w:t>
      </w:r>
      <w:r w:rsidRPr="001050ED">
        <w:rPr>
          <w:rFonts w:ascii="Times New Roman" w:hAnsi="Times New Roman" w:cs="Times New Roman" w:hint="eastAsia"/>
          <w:kern w:val="2"/>
        </w:rPr>
        <w:t xml:space="preserve"> </w:t>
      </w:r>
      <w:r w:rsidRPr="001050ED">
        <w:rPr>
          <w:rFonts w:ascii="Times New Roman" w:hAnsi="Times New Roman" w:cs="Times New Roman" w:hint="eastAsia"/>
          <w:kern w:val="2"/>
        </w:rPr>
        <w:t>基金投资前十名股票未超出基金合同规定的备选股票库。</w:t>
      </w:r>
    </w:p>
    <w:p w:rsidR="001050ED" w:rsidRPr="001050ED" w:rsidRDefault="001050ED" w:rsidP="001050ED">
      <w:pPr>
        <w:pStyle w:val="zhangjiep2"/>
        <w:spacing w:line="360" w:lineRule="auto"/>
        <w:rPr>
          <w:rFonts w:ascii="Times New Roman" w:hAnsi="Times New Roman" w:cs="Times New Roman"/>
          <w:kern w:val="2"/>
        </w:rPr>
      </w:pPr>
      <w:r w:rsidRPr="001050ED">
        <w:rPr>
          <w:rFonts w:ascii="Times New Roman" w:hAnsi="Times New Roman" w:cs="Times New Roman" w:hint="eastAsia"/>
          <w:kern w:val="2"/>
        </w:rPr>
        <w:t>（</w:t>
      </w:r>
      <w:r w:rsidRPr="001050ED">
        <w:rPr>
          <w:rFonts w:ascii="Times New Roman" w:hAnsi="Times New Roman" w:cs="Times New Roman" w:hint="eastAsia"/>
          <w:kern w:val="2"/>
        </w:rPr>
        <w:t>3</w:t>
      </w:r>
      <w:r w:rsidRPr="001050ED">
        <w:rPr>
          <w:rFonts w:ascii="Times New Roman" w:hAnsi="Times New Roman" w:cs="Times New Roman" w:hint="eastAsia"/>
          <w:kern w:val="2"/>
        </w:rPr>
        <w:t>）</w:t>
      </w:r>
      <w:r w:rsidRPr="001050ED">
        <w:rPr>
          <w:rFonts w:ascii="Times New Roman" w:hAnsi="Times New Roman" w:cs="Times New Roman" w:hint="eastAsia"/>
          <w:kern w:val="2"/>
        </w:rPr>
        <w:t xml:space="preserve"> </w:t>
      </w:r>
      <w:r w:rsidRPr="001050ED">
        <w:rPr>
          <w:rFonts w:ascii="Times New Roman" w:hAnsi="Times New Roman" w:cs="Times New Roman" w:hint="eastAsia"/>
          <w:kern w:val="2"/>
        </w:rPr>
        <w:t>期末其他各项资产构成</w:t>
      </w:r>
    </w:p>
    <w:p w:rsidR="001050ED" w:rsidRPr="001050ED" w:rsidRDefault="001050ED" w:rsidP="001050ED">
      <w:pPr>
        <w:pStyle w:val="biaogeright"/>
        <w:spacing w:line="360" w:lineRule="auto"/>
      </w:pPr>
      <w:r w:rsidRPr="001050ED">
        <w:rPr>
          <w:rFonts w:hAnsi="Calibri" w:hint="eastAsia"/>
          <w:color w:val="000000"/>
        </w:rPr>
        <w:t>单位：人民币元</w:t>
      </w:r>
    </w:p>
    <w:tbl>
      <w:tblPr>
        <w:tblW w:w="0" w:type="auto"/>
        <w:tblInd w:w="108" w:type="dxa"/>
        <w:tblLook w:val="04A0" w:firstRow="1" w:lastRow="0" w:firstColumn="1" w:lastColumn="0" w:noHBand="0" w:noVBand="1"/>
      </w:tblPr>
      <w:tblGrid>
        <w:gridCol w:w="709"/>
        <w:gridCol w:w="3475"/>
        <w:gridCol w:w="4564"/>
      </w:tblGrid>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名称</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金额</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存出保证金</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5,037.60</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应收证券清算款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应收股利</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应收利息</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2,064,486.71</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应收申购款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其他应收款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待摊费用</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其他</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72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9</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合计</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2,069,524.31</w:t>
            </w:r>
          </w:p>
        </w:tc>
      </w:tr>
    </w:tbl>
    <w:p w:rsidR="001050ED" w:rsidRPr="001050ED" w:rsidRDefault="001050ED" w:rsidP="001050ED">
      <w:pPr>
        <w:widowControl/>
        <w:spacing w:line="360" w:lineRule="auto"/>
        <w:jc w:val="left"/>
        <w:rPr>
          <w:rFonts w:ascii="宋体" w:hAnsi="宋体" w:cs="宋体"/>
          <w:kern w:val="0"/>
          <w:sz w:val="24"/>
        </w:rPr>
      </w:pPr>
    </w:p>
    <w:p w:rsidR="001050ED" w:rsidRPr="001050ED" w:rsidRDefault="001050ED" w:rsidP="001050ED">
      <w:pPr>
        <w:pStyle w:val="zhangjiep2"/>
        <w:spacing w:line="360" w:lineRule="auto"/>
        <w:rPr>
          <w:rFonts w:ascii="Times New Roman" w:hAnsi="Times New Roman" w:cs="Times New Roman"/>
          <w:kern w:val="2"/>
        </w:rPr>
      </w:pPr>
      <w:r w:rsidRPr="001050ED">
        <w:rPr>
          <w:rFonts w:ascii="Times New Roman" w:hAnsi="Times New Roman" w:cs="Times New Roman" w:hint="eastAsia"/>
          <w:kern w:val="2"/>
        </w:rPr>
        <w:t>（</w:t>
      </w:r>
      <w:r w:rsidRPr="001050ED">
        <w:rPr>
          <w:rFonts w:ascii="Times New Roman" w:hAnsi="Times New Roman" w:cs="Times New Roman" w:hint="eastAsia"/>
          <w:kern w:val="2"/>
        </w:rPr>
        <w:t>4</w:t>
      </w:r>
      <w:r w:rsidRPr="001050ED">
        <w:rPr>
          <w:rFonts w:ascii="Times New Roman" w:hAnsi="Times New Roman" w:cs="Times New Roman" w:hint="eastAsia"/>
          <w:kern w:val="2"/>
        </w:rPr>
        <w:t>）期末持有的处于转股期的可转换债券明细</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50" w:firstLine="600"/>
      </w:pPr>
      <w:r w:rsidRPr="001050ED">
        <w:rPr>
          <w:rFonts w:hint="eastAsia"/>
        </w:rPr>
        <w:t>本基金本报告期末无可转换债券投资。</w:t>
      </w:r>
    </w:p>
    <w:p w:rsidR="001050ED" w:rsidRPr="001050ED" w:rsidRDefault="001050ED" w:rsidP="001050ED">
      <w:pPr>
        <w:pStyle w:val="zhangjiep2"/>
        <w:spacing w:line="360" w:lineRule="auto"/>
      </w:pPr>
      <w:r w:rsidRPr="001050ED">
        <w:rPr>
          <w:rFonts w:hint="eastAsia"/>
        </w:rPr>
        <w:t>（5）</w:t>
      </w:r>
      <w:proofErr w:type="gramStart"/>
      <w:r w:rsidRPr="001050ED">
        <w:rPr>
          <w:rFonts w:hint="eastAsia"/>
        </w:rPr>
        <w:t>期末前</w:t>
      </w:r>
      <w:proofErr w:type="gramEnd"/>
      <w:r w:rsidRPr="001050ED">
        <w:rPr>
          <w:rFonts w:hint="eastAsia"/>
        </w:rPr>
        <w:t>十名股票中存在流通受限情况的说明</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2675A">
      <w:pPr>
        <w:pStyle w:val="neirong"/>
        <w:spacing w:line="360" w:lineRule="auto"/>
        <w:ind w:leftChars="7" w:firstLineChars="200" w:firstLine="480"/>
      </w:pPr>
      <w:r w:rsidRPr="001050ED">
        <w:rPr>
          <w:rFonts w:hint="eastAsia"/>
        </w:rPr>
        <w:t>本基金本报告</w:t>
      </w:r>
      <w:proofErr w:type="gramStart"/>
      <w:r w:rsidRPr="001050ED">
        <w:rPr>
          <w:rFonts w:hint="eastAsia"/>
        </w:rPr>
        <w:t>期末前</w:t>
      </w:r>
      <w:proofErr w:type="gramEnd"/>
      <w:r w:rsidRPr="001050ED">
        <w:rPr>
          <w:rFonts w:hint="eastAsia"/>
        </w:rPr>
        <w:t>十名股票中不存在流通受限情况。</w:t>
      </w:r>
    </w:p>
    <w:p w:rsidR="001050ED" w:rsidRPr="001050ED" w:rsidRDefault="001050ED" w:rsidP="001050ED">
      <w:pPr>
        <w:pStyle w:val="zhangjiep2"/>
        <w:spacing w:line="360" w:lineRule="auto"/>
      </w:pPr>
      <w:r w:rsidRPr="001050ED">
        <w:rPr>
          <w:rFonts w:hint="eastAsia"/>
        </w:rPr>
        <w:t>（6） 期末积极投资前五名股票中存在流通受限情况的说明</w:t>
      </w:r>
    </w:p>
    <w:p w:rsidR="001050ED" w:rsidRPr="001050ED" w:rsidRDefault="001050ED" w:rsidP="001050ED">
      <w:pPr>
        <w:pStyle w:val="biaogeright"/>
        <w:spacing w:line="360" w:lineRule="auto"/>
        <w:rPr>
          <w:vanish/>
        </w:rPr>
      </w:pPr>
      <w:r w:rsidRPr="001050ED">
        <w:rPr>
          <w:rFonts w:hAnsi="Calibri" w:hint="eastAsia"/>
          <w:vanish/>
          <w:color w:val="000000"/>
        </w:rPr>
        <w:t>金额单位：人民币元</w:t>
      </w:r>
    </w:p>
    <w:tbl>
      <w:tblPr>
        <w:tblW w:w="0" w:type="auto"/>
        <w:tblInd w:w="108" w:type="dxa"/>
        <w:tblLook w:val="04A0" w:firstRow="1" w:lastRow="0" w:firstColumn="1" w:lastColumn="0" w:noHBand="0" w:noVBand="1"/>
      </w:tblPr>
      <w:tblGrid>
        <w:gridCol w:w="222"/>
      </w:tblGrid>
      <w:tr w:rsidR="001050ED" w:rsidRPr="001050ED" w:rsidTr="001050ED">
        <w:tc>
          <w:tcPr>
            <w:tcW w:w="0" w:type="auto"/>
            <w:vAlign w:val="center"/>
            <w:hideMark/>
          </w:tcPr>
          <w:p w:rsidR="001050ED" w:rsidRPr="001050ED" w:rsidRDefault="001050ED" w:rsidP="001050ED">
            <w:pPr>
              <w:widowControl/>
              <w:jc w:val="left"/>
              <w:rPr>
                <w:rFonts w:cs="Calibri"/>
                <w:kern w:val="0"/>
                <w:sz w:val="24"/>
              </w:rPr>
            </w:pPr>
          </w:p>
        </w:tc>
      </w:tr>
    </w:tbl>
    <w:p w:rsidR="001050ED" w:rsidRPr="001050ED" w:rsidRDefault="001050ED" w:rsidP="001050ED">
      <w:pPr>
        <w:pStyle w:val="neirong"/>
        <w:spacing w:line="360" w:lineRule="auto"/>
        <w:ind w:leftChars="7" w:firstLineChars="200" w:firstLine="480"/>
      </w:pPr>
      <w:r w:rsidRPr="001050ED">
        <w:rPr>
          <w:rFonts w:hint="eastAsia"/>
        </w:rPr>
        <w:t>本基金本报告期末积极投资前五名股票中不存在流通受限情况。</w:t>
      </w:r>
    </w:p>
    <w:p w:rsidR="001050ED" w:rsidRPr="001050ED" w:rsidRDefault="001050ED" w:rsidP="001050ED">
      <w:pPr>
        <w:pStyle w:val="zhangjiep2"/>
        <w:spacing w:line="360" w:lineRule="auto"/>
        <w:rPr>
          <w:rFonts w:ascii="Times New Roman" w:hAnsi="Times New Roman" w:cs="Times New Roman"/>
          <w:kern w:val="2"/>
        </w:rPr>
      </w:pPr>
      <w:r w:rsidRPr="001050ED">
        <w:rPr>
          <w:rFonts w:ascii="Times New Roman" w:hAnsi="Times New Roman" w:cs="Times New Roman" w:hint="eastAsia"/>
          <w:kern w:val="2"/>
        </w:rPr>
        <w:t>（</w:t>
      </w:r>
      <w:r w:rsidRPr="001050ED">
        <w:rPr>
          <w:rFonts w:ascii="Times New Roman" w:hAnsi="Times New Roman" w:cs="Times New Roman" w:hint="eastAsia"/>
          <w:kern w:val="2"/>
        </w:rPr>
        <w:t>7</w:t>
      </w:r>
      <w:r w:rsidRPr="001050ED">
        <w:rPr>
          <w:rFonts w:ascii="Times New Roman" w:hAnsi="Times New Roman" w:cs="Times New Roman" w:hint="eastAsia"/>
          <w:kern w:val="2"/>
        </w:rPr>
        <w:t>）投资组合报告附注的其他文字描述部分</w:t>
      </w:r>
    </w:p>
    <w:p w:rsidR="001050ED" w:rsidRPr="001050ED" w:rsidRDefault="001050ED" w:rsidP="001050ED">
      <w:pPr>
        <w:spacing w:line="360" w:lineRule="auto"/>
        <w:ind w:firstLineChars="200" w:firstLine="480"/>
        <w:rPr>
          <w:rFonts w:ascii="Arial Unicode MS" w:hAnsi="Arial Unicode MS" w:cs="Arial"/>
          <w:b/>
          <w:bCs/>
          <w:sz w:val="24"/>
        </w:rPr>
      </w:pPr>
      <w:r w:rsidRPr="001050ED">
        <w:rPr>
          <w:sz w:val="24"/>
        </w:rPr>
        <w:t>  </w:t>
      </w:r>
      <w:r w:rsidRPr="001050ED">
        <w:rPr>
          <w:rFonts w:hint="eastAsia"/>
          <w:sz w:val="24"/>
        </w:rPr>
        <w:t>由于四舍五入的原因，分</w:t>
      </w:r>
      <w:r w:rsidR="008F27DA">
        <w:rPr>
          <w:rFonts w:hint="eastAsia"/>
          <w:sz w:val="24"/>
        </w:rPr>
        <w:t>项</w:t>
      </w:r>
      <w:r w:rsidRPr="001050ED">
        <w:rPr>
          <w:rFonts w:hint="eastAsia"/>
          <w:sz w:val="24"/>
        </w:rPr>
        <w:t>之和与</w:t>
      </w:r>
      <w:bookmarkStart w:id="39" w:name="_GoBack"/>
      <w:bookmarkEnd w:id="39"/>
      <w:r w:rsidRPr="001050ED">
        <w:rPr>
          <w:rFonts w:hint="eastAsia"/>
          <w:sz w:val="24"/>
        </w:rPr>
        <w:t>合计项之间可能存在尾差。</w:t>
      </w:r>
    </w:p>
    <w:p w:rsidR="001050ED" w:rsidRPr="001050ED" w:rsidRDefault="001050ED" w:rsidP="001050ED">
      <w:pPr>
        <w:spacing w:line="360" w:lineRule="auto"/>
        <w:ind w:firstLineChars="200" w:firstLine="482"/>
        <w:rPr>
          <w:rFonts w:ascii="Arial Unicode MS" w:hAnsi="Arial Unicode MS" w:cs="Arial"/>
          <w:b/>
          <w:bCs/>
          <w:sz w:val="24"/>
        </w:rPr>
      </w:pPr>
      <w:r>
        <w:rPr>
          <w:rFonts w:ascii="Arial Unicode MS" w:hAnsi="Arial Unicode MS" w:cs="Arial" w:hint="eastAsia"/>
          <w:b/>
          <w:bCs/>
          <w:sz w:val="24"/>
        </w:rPr>
        <w:lastRenderedPageBreak/>
        <w:t>（十）</w:t>
      </w:r>
      <w:r w:rsidRPr="001050ED">
        <w:rPr>
          <w:rFonts w:ascii="Arial Unicode MS" w:hAnsi="Arial Unicode MS" w:cs="Arial" w:hint="eastAsia"/>
          <w:b/>
          <w:bCs/>
          <w:sz w:val="24"/>
        </w:rPr>
        <w:t>开放式基金份额变动</w:t>
      </w:r>
    </w:p>
    <w:p w:rsidR="001050ED" w:rsidRPr="001050ED" w:rsidRDefault="001050ED" w:rsidP="001050ED">
      <w:pPr>
        <w:widowControl/>
        <w:autoSpaceDE w:val="0"/>
        <w:autoSpaceDN w:val="0"/>
        <w:adjustRightInd w:val="0"/>
        <w:spacing w:line="360" w:lineRule="auto"/>
        <w:jc w:val="right"/>
        <w:rPr>
          <w:rFonts w:ascii="宋体" w:hAnsi="宋体" w:cs="宋体"/>
          <w:kern w:val="0"/>
          <w:sz w:val="24"/>
        </w:rPr>
      </w:pPr>
      <w:r w:rsidRPr="001050ED">
        <w:rPr>
          <w:rFonts w:ascii="宋体" w:cs="宋体" w:hint="eastAsia"/>
          <w:color w:val="000000"/>
          <w:kern w:val="0"/>
          <w:sz w:val="24"/>
        </w:rPr>
        <w:t>单位：份</w:t>
      </w:r>
    </w:p>
    <w:tbl>
      <w:tblPr>
        <w:tblW w:w="0" w:type="auto"/>
        <w:tblInd w:w="108" w:type="dxa"/>
        <w:tblLook w:val="04A0" w:firstRow="1" w:lastRow="0" w:firstColumn="1" w:lastColumn="0" w:noHBand="0" w:noVBand="1"/>
      </w:tblPr>
      <w:tblGrid>
        <w:gridCol w:w="5902"/>
        <w:gridCol w:w="2846"/>
      </w:tblGrid>
      <w:tr w:rsidR="001050ED" w:rsidRPr="001050ED" w:rsidTr="001050ED">
        <w:tc>
          <w:tcPr>
            <w:tcW w:w="613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基金合同生效日(2017年03月09日)基金份额总额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200,006,093.27</w:t>
            </w:r>
          </w:p>
        </w:tc>
      </w:tr>
      <w:tr w:rsidR="001050ED" w:rsidRPr="001050ED" w:rsidTr="001050ED">
        <w:tc>
          <w:tcPr>
            <w:tcW w:w="613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基金合同生效日起</w:t>
            </w:r>
            <w:proofErr w:type="gramStart"/>
            <w:r w:rsidRPr="001050ED">
              <w:rPr>
                <w:rFonts w:hint="eastAsia"/>
              </w:rPr>
              <w:t>至报告</w:t>
            </w:r>
            <w:proofErr w:type="gramEnd"/>
            <w:r w:rsidRPr="001050ED">
              <w:rPr>
                <w:rFonts w:hint="eastAsia"/>
              </w:rPr>
              <w:t>期期末基金总申购份额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16.98</w:t>
            </w:r>
          </w:p>
        </w:tc>
      </w:tr>
      <w:tr w:rsidR="001050ED" w:rsidRPr="001050ED" w:rsidTr="001050ED">
        <w:tc>
          <w:tcPr>
            <w:tcW w:w="613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减：基金合同生效日起</w:t>
            </w:r>
            <w:proofErr w:type="gramStart"/>
            <w:r w:rsidRPr="001050ED">
              <w:rPr>
                <w:rFonts w:hint="eastAsia"/>
              </w:rPr>
              <w:t>至报告</w:t>
            </w:r>
            <w:proofErr w:type="gramEnd"/>
            <w:r w:rsidRPr="001050ED">
              <w:rPr>
                <w:rFonts w:hint="eastAsia"/>
              </w:rPr>
              <w:t>期期末基金总赎回份额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214.27</w:t>
            </w:r>
          </w:p>
        </w:tc>
      </w:tr>
      <w:tr w:rsidR="001050ED" w:rsidRPr="001050ED" w:rsidTr="001050ED">
        <w:tc>
          <w:tcPr>
            <w:tcW w:w="613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基金合同生效日起</w:t>
            </w:r>
            <w:proofErr w:type="gramStart"/>
            <w:r w:rsidRPr="001050ED">
              <w:rPr>
                <w:rFonts w:hint="eastAsia"/>
              </w:rPr>
              <w:t>至报告</w:t>
            </w:r>
            <w:proofErr w:type="gramEnd"/>
            <w:r w:rsidRPr="001050ED">
              <w:rPr>
                <w:rFonts w:hint="eastAsia"/>
              </w:rPr>
              <w:t>期期末基金拆分变动份额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w:t>
            </w:r>
          </w:p>
        </w:tc>
      </w:tr>
      <w:tr w:rsidR="001050ED" w:rsidRPr="001050ED" w:rsidTr="001050ED">
        <w:tc>
          <w:tcPr>
            <w:tcW w:w="6138"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本报告期期末基金份额总额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int="eastAsia"/>
              </w:rPr>
              <w:t>200,005,895.98</w:t>
            </w:r>
          </w:p>
        </w:tc>
      </w:tr>
    </w:tbl>
    <w:p w:rsidR="001050ED" w:rsidRPr="001050ED" w:rsidRDefault="001050ED" w:rsidP="001050ED">
      <w:pPr>
        <w:spacing w:line="360" w:lineRule="auto"/>
        <w:ind w:firstLineChars="200" w:firstLine="482"/>
        <w:rPr>
          <w:rFonts w:ascii="Arial Unicode MS" w:hAnsi="Arial Unicode MS" w:cs="Arial"/>
          <w:b/>
          <w:bCs/>
          <w:sz w:val="24"/>
        </w:rPr>
      </w:pPr>
      <w:r>
        <w:rPr>
          <w:rFonts w:ascii="Arial Unicode MS" w:hAnsi="Arial Unicode MS" w:cs="Arial" w:hint="eastAsia"/>
          <w:b/>
          <w:bCs/>
          <w:sz w:val="24"/>
        </w:rPr>
        <w:t>（十一）</w:t>
      </w:r>
      <w:r w:rsidRPr="001050ED">
        <w:rPr>
          <w:rFonts w:ascii="Arial Unicode MS" w:hAnsi="Arial Unicode MS" w:cs="Arial" w:hint="eastAsia"/>
          <w:b/>
          <w:bCs/>
          <w:sz w:val="24"/>
        </w:rPr>
        <w:t>基金管理人运用</w:t>
      </w:r>
      <w:proofErr w:type="gramStart"/>
      <w:r w:rsidRPr="001050ED">
        <w:rPr>
          <w:rFonts w:ascii="Arial Unicode MS" w:hAnsi="Arial Unicode MS" w:cs="Arial" w:hint="eastAsia"/>
          <w:b/>
          <w:bCs/>
          <w:sz w:val="24"/>
        </w:rPr>
        <w:t>固有资金</w:t>
      </w:r>
      <w:proofErr w:type="gramEnd"/>
      <w:r w:rsidRPr="001050ED">
        <w:rPr>
          <w:rFonts w:ascii="Arial Unicode MS" w:hAnsi="Arial Unicode MS" w:cs="Arial" w:hint="eastAsia"/>
          <w:b/>
          <w:bCs/>
          <w:sz w:val="24"/>
        </w:rPr>
        <w:t>投资本基金交易明细</w:t>
      </w:r>
    </w:p>
    <w:p w:rsidR="001050ED" w:rsidRPr="001050ED" w:rsidRDefault="001050ED" w:rsidP="001050ED">
      <w:pPr>
        <w:spacing w:line="360" w:lineRule="auto"/>
        <w:ind w:firstLineChars="400" w:firstLine="960"/>
        <w:rPr>
          <w:rFonts w:ascii="Arial Unicode MS" w:hAnsi="Arial Unicode MS" w:cs="Arial"/>
          <w:b/>
          <w:bCs/>
          <w:sz w:val="24"/>
        </w:rPr>
      </w:pPr>
      <w:r w:rsidRPr="001050ED">
        <w:rPr>
          <w:rFonts w:hint="eastAsia"/>
          <w:sz w:val="24"/>
        </w:rPr>
        <w:t>本报告期内，基金管理人不存在申购、赎回或买卖本基金的情况。</w:t>
      </w:r>
    </w:p>
    <w:p w:rsidR="001050ED" w:rsidRPr="001050ED" w:rsidRDefault="001050ED" w:rsidP="001050ED">
      <w:pPr>
        <w:spacing w:line="360" w:lineRule="auto"/>
        <w:ind w:firstLineChars="200" w:firstLine="482"/>
        <w:rPr>
          <w:rFonts w:ascii="Arial Unicode MS" w:hAnsi="Arial Unicode MS" w:cs="Arial"/>
          <w:b/>
          <w:bCs/>
          <w:sz w:val="24"/>
        </w:rPr>
      </w:pPr>
      <w:r>
        <w:rPr>
          <w:rFonts w:ascii="Arial Unicode MS" w:hAnsi="Arial Unicode MS" w:cs="Arial" w:hint="eastAsia"/>
          <w:b/>
          <w:bCs/>
          <w:sz w:val="24"/>
        </w:rPr>
        <w:t>（十二）</w:t>
      </w:r>
      <w:r w:rsidRPr="001050ED">
        <w:rPr>
          <w:rFonts w:ascii="Arial Unicode MS" w:hAnsi="Arial Unicode MS" w:cs="Arial" w:hint="eastAsia"/>
          <w:b/>
          <w:bCs/>
          <w:sz w:val="24"/>
        </w:rPr>
        <w:t>影响投资者决策的其他重要信息</w:t>
      </w:r>
    </w:p>
    <w:p w:rsidR="001050ED" w:rsidRPr="001050ED" w:rsidRDefault="001050ED" w:rsidP="001050ED">
      <w:pPr>
        <w:rPr>
          <w:rFonts w:ascii="宋体" w:hAnsi="宋体" w:cs="宋体"/>
          <w:kern w:val="0"/>
          <w:sz w:val="24"/>
        </w:rPr>
      </w:pPr>
      <w:bookmarkStart w:id="40" w:name="_Toc491179665"/>
      <w:r w:rsidRPr="001050ED">
        <w:rPr>
          <w:rFonts w:hint="eastAsia"/>
          <w:sz w:val="24"/>
        </w:rPr>
        <w:t>1</w:t>
      </w:r>
      <w:r w:rsidRPr="001050ED">
        <w:rPr>
          <w:rFonts w:hint="eastAsia"/>
          <w:sz w:val="24"/>
        </w:rPr>
        <w:t>、</w:t>
      </w:r>
      <w:r w:rsidRPr="001050ED">
        <w:rPr>
          <w:rFonts w:hint="eastAsia"/>
          <w:sz w:val="24"/>
        </w:rPr>
        <w:t xml:space="preserve"> </w:t>
      </w:r>
      <w:r w:rsidRPr="001050ED">
        <w:rPr>
          <w:rFonts w:hint="eastAsia"/>
          <w:sz w:val="24"/>
        </w:rPr>
        <w:t>报告期内单一投资者持有基金份额比例达到或超过</w:t>
      </w:r>
      <w:r w:rsidRPr="001050ED">
        <w:rPr>
          <w:rFonts w:hint="eastAsia"/>
          <w:sz w:val="24"/>
        </w:rPr>
        <w:t>20%</w:t>
      </w:r>
      <w:r w:rsidRPr="001050ED">
        <w:rPr>
          <w:rFonts w:hint="eastAsia"/>
          <w:sz w:val="24"/>
        </w:rPr>
        <w:t>的情况</w:t>
      </w:r>
      <w:bookmarkEnd w:id="40"/>
    </w:p>
    <w:tbl>
      <w:tblPr>
        <w:tblW w:w="9923" w:type="dxa"/>
        <w:tblInd w:w="108" w:type="dxa"/>
        <w:tblLayout w:type="fixed"/>
        <w:tblLook w:val="04A0" w:firstRow="1" w:lastRow="0" w:firstColumn="1" w:lastColumn="0" w:noHBand="0" w:noVBand="1"/>
      </w:tblPr>
      <w:tblGrid>
        <w:gridCol w:w="473"/>
        <w:gridCol w:w="470"/>
        <w:gridCol w:w="1306"/>
        <w:gridCol w:w="1911"/>
        <w:gridCol w:w="1226"/>
        <w:gridCol w:w="1276"/>
        <w:gridCol w:w="1985"/>
        <w:gridCol w:w="1276"/>
      </w:tblGrid>
      <w:tr w:rsidR="001050ED" w:rsidRPr="001050ED" w:rsidTr="00900744">
        <w:tc>
          <w:tcPr>
            <w:tcW w:w="238" w:type="pct"/>
            <w:vMerge w:val="restar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b/>
                <w:color w:val="000000"/>
              </w:rPr>
              <w:t>投资者类别</w:t>
            </w:r>
          </w:p>
        </w:tc>
        <w:tc>
          <w:tcPr>
            <w:tcW w:w="3119" w:type="pct"/>
            <w:gridSpan w:val="5"/>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报告期内持有基金份额变化情况</w:t>
            </w:r>
          </w:p>
        </w:tc>
        <w:tc>
          <w:tcPr>
            <w:tcW w:w="1643" w:type="pct"/>
            <w:gridSpan w:val="2"/>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报告期末持有基金情况</w:t>
            </w:r>
          </w:p>
        </w:tc>
      </w:tr>
      <w:tr w:rsidR="001050ED" w:rsidRPr="001050ED" w:rsidTr="00900744">
        <w:tc>
          <w:tcPr>
            <w:tcW w:w="238" w:type="pct"/>
            <w:vMerge/>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widowControl/>
              <w:jc w:val="left"/>
              <w:rPr>
                <w:rFonts w:ascii="宋体" w:hAnsi="宋体" w:cs="宋体"/>
                <w:kern w:val="0"/>
                <w:sz w:val="24"/>
              </w:rPr>
            </w:pPr>
          </w:p>
        </w:tc>
        <w:tc>
          <w:tcPr>
            <w:tcW w:w="237"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序号</w:t>
            </w:r>
          </w:p>
        </w:tc>
        <w:tc>
          <w:tcPr>
            <w:tcW w:w="658"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持有基金份额比例达到或者超过20%的时间区间</w:t>
            </w:r>
          </w:p>
        </w:tc>
        <w:tc>
          <w:tcPr>
            <w:tcW w:w="963"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期初份额</w:t>
            </w:r>
          </w:p>
        </w:tc>
        <w:tc>
          <w:tcPr>
            <w:tcW w:w="618"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申购份额</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赎回份额</w:t>
            </w:r>
          </w:p>
        </w:tc>
        <w:tc>
          <w:tcPr>
            <w:tcW w:w="1000"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持有份额</w:t>
            </w:r>
          </w:p>
        </w:tc>
        <w:tc>
          <w:tcPr>
            <w:tcW w:w="643"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int="eastAsia"/>
              </w:rPr>
              <w:t>份额占比(%)</w:t>
            </w:r>
          </w:p>
        </w:tc>
      </w:tr>
      <w:tr w:rsidR="001050ED" w:rsidRPr="001050ED" w:rsidTr="00900744">
        <w:tc>
          <w:tcPr>
            <w:tcW w:w="238"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机构</w:t>
            </w:r>
          </w:p>
        </w:tc>
        <w:tc>
          <w:tcPr>
            <w:tcW w:w="237"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1</w:t>
            </w:r>
          </w:p>
        </w:tc>
        <w:tc>
          <w:tcPr>
            <w:tcW w:w="658"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20170309 - 20170630</w:t>
            </w:r>
          </w:p>
        </w:tc>
        <w:tc>
          <w:tcPr>
            <w:tcW w:w="963"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199,999,000.00</w:t>
            </w:r>
          </w:p>
        </w:tc>
        <w:tc>
          <w:tcPr>
            <w:tcW w:w="618"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0.00</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0.00</w:t>
            </w:r>
          </w:p>
        </w:tc>
        <w:tc>
          <w:tcPr>
            <w:tcW w:w="1000"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199,999,000.00</w:t>
            </w:r>
          </w:p>
        </w:tc>
        <w:tc>
          <w:tcPr>
            <w:tcW w:w="643" w:type="pct"/>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100.00</w:t>
            </w:r>
          </w:p>
        </w:tc>
      </w:tr>
      <w:tr w:rsidR="001050ED" w:rsidRPr="001050ED" w:rsidTr="001050ED">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产品特有风险</w:t>
            </w:r>
          </w:p>
        </w:tc>
      </w:tr>
      <w:tr w:rsidR="001050ED" w:rsidRPr="001050ED" w:rsidTr="001050ED">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rPr>
              <w:t>  本报告期本基金存在单一投资者持有基金份额比例达到或者超过20%的情况，未来或存在如下风险，敬请投资者留意：</w:t>
            </w:r>
            <w:r w:rsidRPr="001050ED">
              <w:rPr>
                <w:rFonts w:hint="eastAsia"/>
              </w:rPr>
              <w:br/>
              <w:t>  （1）赎回申请延期办理的风险</w:t>
            </w:r>
            <w:r w:rsidRPr="001050ED">
              <w:rPr>
                <w:rFonts w:hint="eastAsia"/>
              </w:rPr>
              <w:br/>
              <w:t>  持有份额比例较高的投资者（“高比例投资者”）大额赎回时易构成本基金发生巨额赎</w:t>
            </w:r>
            <w:r w:rsidRPr="001050ED">
              <w:rPr>
                <w:rFonts w:hint="eastAsia"/>
              </w:rPr>
              <w:lastRenderedPageBreak/>
              <w:t>回，中小投资者可能面临赎回申请需要与高比例投资者按同比例部分延期办理的风险。</w:t>
            </w:r>
            <w:r w:rsidRPr="001050ED">
              <w:rPr>
                <w:rFonts w:hint="eastAsia"/>
              </w:rPr>
              <w:br/>
              <w:t>  （2）基金资产净值大幅波动的风险</w:t>
            </w:r>
            <w:r w:rsidRPr="001050ED">
              <w:rPr>
                <w:rFonts w:hint="eastAsia"/>
              </w:rPr>
              <w:br/>
              <w:t>  高比例投资者大额赎回时，基金管理人进行基金财产变现可能会对基金资产净值造成较大波动。</w:t>
            </w:r>
            <w:r w:rsidRPr="001050ED">
              <w:rPr>
                <w:rFonts w:hint="eastAsia"/>
              </w:rPr>
              <w:br/>
              <w:t>  （3）提前终止基金合同的风险</w:t>
            </w:r>
            <w:r w:rsidRPr="001050ED">
              <w:rPr>
                <w:rFonts w:hint="eastAsia"/>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1050ED">
              <w:rPr>
                <w:rFonts w:hint="eastAsia"/>
              </w:rPr>
              <w:br/>
              <w:t>  （4）基金规模较小导致的风险</w:t>
            </w:r>
            <w:r w:rsidRPr="001050ED">
              <w:rPr>
                <w:rFonts w:hint="eastAsia"/>
              </w:rPr>
              <w:br/>
              <w:t>  高比例投资者赎回后，可能导致基金规模较小，基金投资可能面临一定困难。</w:t>
            </w:r>
            <w:r w:rsidRPr="001050ED">
              <w:rPr>
                <w:rFonts w:hint="eastAsia"/>
              </w:rPr>
              <w:br/>
              <w:t>  本基金管理人将继续勤勉尽责，执行相关投资策略，力争实现投资目标。</w:t>
            </w:r>
          </w:p>
        </w:tc>
      </w:tr>
    </w:tbl>
    <w:p w:rsidR="001050ED" w:rsidRPr="001050ED" w:rsidRDefault="001050ED" w:rsidP="001050ED">
      <w:pPr>
        <w:widowControl/>
        <w:spacing w:line="360" w:lineRule="auto"/>
        <w:jc w:val="left"/>
        <w:rPr>
          <w:rFonts w:ascii="宋体" w:hAnsi="宋体" w:cs="宋体"/>
          <w:kern w:val="0"/>
          <w:sz w:val="24"/>
        </w:rPr>
      </w:pPr>
    </w:p>
    <w:p w:rsidR="001050ED" w:rsidRPr="001050ED" w:rsidRDefault="001050ED" w:rsidP="001050ED">
      <w:pPr>
        <w:rPr>
          <w:rFonts w:ascii="宋体" w:hAnsi="宋体" w:cs="宋体"/>
          <w:kern w:val="0"/>
          <w:sz w:val="24"/>
        </w:rPr>
      </w:pPr>
      <w:bookmarkStart w:id="41" w:name="_Toc491179666"/>
      <w:r w:rsidRPr="001050ED">
        <w:rPr>
          <w:rFonts w:hint="eastAsia"/>
          <w:sz w:val="24"/>
        </w:rPr>
        <w:t>2</w:t>
      </w:r>
      <w:r w:rsidRPr="001050ED">
        <w:rPr>
          <w:rFonts w:hint="eastAsia"/>
          <w:sz w:val="24"/>
        </w:rPr>
        <w:t>、</w:t>
      </w:r>
      <w:r w:rsidRPr="001050ED">
        <w:rPr>
          <w:rFonts w:hint="eastAsia"/>
          <w:sz w:val="24"/>
        </w:rPr>
        <w:t xml:space="preserve"> </w:t>
      </w:r>
      <w:r w:rsidRPr="001050ED">
        <w:rPr>
          <w:rFonts w:hint="eastAsia"/>
          <w:sz w:val="24"/>
        </w:rPr>
        <w:t>影响投资者决策的其他重要信息</w:t>
      </w:r>
      <w:bookmarkEnd w:id="41"/>
    </w:p>
    <w:p w:rsidR="001050ED" w:rsidRPr="001050ED" w:rsidRDefault="001050ED" w:rsidP="001050ED">
      <w:pPr>
        <w:spacing w:line="360" w:lineRule="auto"/>
        <w:ind w:firstLineChars="200" w:firstLine="480"/>
        <w:rPr>
          <w:rFonts w:ascii="Arial Unicode MS" w:hAnsi="Arial Unicode MS" w:cs="Arial"/>
          <w:b/>
          <w:bCs/>
          <w:sz w:val="24"/>
        </w:rPr>
      </w:pPr>
      <w:r w:rsidRPr="001050ED">
        <w:rPr>
          <w:sz w:val="24"/>
        </w:rPr>
        <w:t>  </w:t>
      </w:r>
      <w:r w:rsidRPr="001050ED">
        <w:rPr>
          <w:rFonts w:hint="eastAsia"/>
          <w:sz w:val="24"/>
        </w:rPr>
        <w:t>本报告期内未出现影响投资者决策的其他重要信息。</w:t>
      </w:r>
    </w:p>
    <w:p w:rsidR="001050ED" w:rsidRPr="001050ED" w:rsidRDefault="001050ED" w:rsidP="001050ED">
      <w:pPr>
        <w:spacing w:line="360" w:lineRule="auto"/>
        <w:ind w:firstLineChars="200" w:firstLine="482"/>
        <w:rPr>
          <w:rFonts w:ascii="Arial Unicode MS" w:hAnsi="Arial Unicode MS" w:cs="Arial"/>
          <w:b/>
          <w:bCs/>
          <w:sz w:val="24"/>
        </w:rPr>
      </w:pPr>
      <w:r>
        <w:rPr>
          <w:rFonts w:ascii="Arial Unicode MS" w:hAnsi="Arial Unicode MS" w:cs="Arial" w:hint="eastAsia"/>
          <w:b/>
          <w:bCs/>
          <w:sz w:val="24"/>
        </w:rPr>
        <w:t>（十三）</w:t>
      </w:r>
      <w:r w:rsidRPr="001050ED">
        <w:rPr>
          <w:rFonts w:ascii="Arial Unicode MS" w:hAnsi="Arial Unicode MS" w:cs="Arial" w:hint="eastAsia"/>
          <w:b/>
          <w:bCs/>
          <w:sz w:val="24"/>
        </w:rPr>
        <w:t>基金净值表现</w:t>
      </w:r>
    </w:p>
    <w:p w:rsidR="001050ED" w:rsidRPr="001050ED" w:rsidRDefault="001050ED" w:rsidP="001050ED">
      <w:pPr>
        <w:pStyle w:val="zhangjiep2"/>
        <w:spacing w:line="360" w:lineRule="auto"/>
      </w:pPr>
      <w:r w:rsidRPr="001050ED">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ook w:val="04A0" w:firstRow="1" w:lastRow="0" w:firstColumn="1" w:lastColumn="0" w:noHBand="0" w:noVBand="1"/>
      </w:tblPr>
      <w:tblGrid>
        <w:gridCol w:w="2752"/>
        <w:gridCol w:w="963"/>
        <w:gridCol w:w="963"/>
        <w:gridCol w:w="963"/>
        <w:gridCol w:w="963"/>
        <w:gridCol w:w="1072"/>
        <w:gridCol w:w="1072"/>
      </w:tblGrid>
      <w:tr w:rsidR="001050ED" w:rsidRPr="001050ED" w:rsidTr="001050ED">
        <w:tc>
          <w:tcPr>
            <w:tcW w:w="1032"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阶段</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份额净值增长率①</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份额净值增长率标准差②</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业绩比较基准收益率③</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业绩比较基准收益率标准差④</w:t>
            </w:r>
          </w:p>
        </w:tc>
        <w:tc>
          <w:tcPr>
            <w:tcW w:w="128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①-③</w:t>
            </w:r>
          </w:p>
        </w:tc>
        <w:tc>
          <w:tcPr>
            <w:tcW w:w="1289" w:type="dxa"/>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center"/>
              <w:spacing w:line="360" w:lineRule="auto"/>
            </w:pPr>
            <w:r w:rsidRPr="001050ED">
              <w:rPr>
                <w:rFonts w:hAnsi="Calibri" w:hint="eastAsia"/>
                <w:color w:val="000000"/>
              </w:rPr>
              <w:t>②-④</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hideMark/>
          </w:tcPr>
          <w:p w:rsidR="001050ED" w:rsidRPr="001050ED" w:rsidRDefault="001050ED" w:rsidP="001050ED">
            <w:pPr>
              <w:pStyle w:val="biaogeleft"/>
              <w:spacing w:line="360" w:lineRule="auto"/>
            </w:pPr>
            <w:r w:rsidRPr="001050ED">
              <w:rPr>
                <w:rFonts w:hint="eastAsia"/>
                <w:color w:val="000000"/>
              </w:rPr>
              <w:t>2017.06.01~2017.06.30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0.97%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-0.15%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-0.02%</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hideMark/>
          </w:tcPr>
          <w:p w:rsidR="001050ED" w:rsidRPr="001050ED" w:rsidRDefault="001050ED" w:rsidP="001050ED">
            <w:pPr>
              <w:pStyle w:val="biaogeleft"/>
              <w:spacing w:line="360" w:lineRule="auto"/>
            </w:pPr>
            <w:r w:rsidRPr="001050ED">
              <w:rPr>
                <w:rFonts w:hint="eastAsia"/>
                <w:color w:val="000000"/>
              </w:rPr>
              <w:t>2017.04.01~2017.06.30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0.24%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0.59%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-0.03%</w:t>
            </w:r>
          </w:p>
        </w:tc>
      </w:tr>
      <w:tr w:rsidR="001050ED" w:rsidRPr="001050ED" w:rsidTr="001050ED">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left"/>
              <w:spacing w:line="360" w:lineRule="auto"/>
            </w:pPr>
            <w:r w:rsidRPr="001050ED">
              <w:rPr>
                <w:rFonts w:hint="eastAsia"/>
                <w:color w:val="000000"/>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0.46%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0.54%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050ED" w:rsidRPr="001050ED" w:rsidRDefault="001050ED" w:rsidP="001050ED">
            <w:pPr>
              <w:pStyle w:val="biaogeright"/>
              <w:spacing w:line="360" w:lineRule="auto"/>
            </w:pPr>
            <w:r w:rsidRPr="001050ED">
              <w:rPr>
                <w:rFonts w:hAnsi="Calibri" w:hint="eastAsia"/>
                <w:color w:val="000000"/>
              </w:rPr>
              <w:t>-0.04%</w:t>
            </w:r>
          </w:p>
        </w:tc>
      </w:tr>
    </w:tbl>
    <w:p w:rsidR="001050ED" w:rsidRPr="001050ED" w:rsidRDefault="001050ED" w:rsidP="001050ED">
      <w:pPr>
        <w:pStyle w:val="neirong"/>
        <w:spacing w:line="360" w:lineRule="auto"/>
      </w:pPr>
      <w:r w:rsidRPr="001050ED">
        <w:rPr>
          <w:rFonts w:hint="eastAsia"/>
        </w:rPr>
        <w:lastRenderedPageBreak/>
        <w:t>注：本基金的业绩比较基准为：中</w:t>
      </w:r>
      <w:proofErr w:type="gramStart"/>
      <w:r w:rsidRPr="001050ED">
        <w:rPr>
          <w:rFonts w:hint="eastAsia"/>
        </w:rPr>
        <w:t>债综合</w:t>
      </w:r>
      <w:proofErr w:type="gramEnd"/>
      <w:r w:rsidRPr="001050ED">
        <w:rPr>
          <w:rFonts w:hint="eastAsia"/>
        </w:rPr>
        <w:t>指数（总财富）×90%+1年期定期存款利率（税后）×10%</w:t>
      </w:r>
    </w:p>
    <w:p w:rsidR="001050ED" w:rsidRPr="0011138F"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42" w:name="_Hlt81032199"/>
      <w:bookmarkStart w:id="43" w:name="_Hlt88821694"/>
      <w:bookmarkStart w:id="44" w:name="_Toc256666802"/>
      <w:bookmarkStart w:id="45" w:name="_Toc895"/>
      <w:bookmarkStart w:id="46" w:name="_Toc194043650"/>
      <w:bookmarkStart w:id="47" w:name="_Toc225576446"/>
      <w:bookmarkStart w:id="48" w:name="_Toc256666922"/>
      <w:bookmarkStart w:id="49" w:name="_Toc482624802"/>
      <w:bookmarkStart w:id="50" w:name="_Toc194043155"/>
      <w:bookmarkStart w:id="51" w:name="_Toc230166639"/>
      <w:bookmarkStart w:id="52" w:name="_Toc225445656"/>
      <w:bookmarkEnd w:id="27"/>
      <w:bookmarkEnd w:id="42"/>
      <w:bookmarkEnd w:id="43"/>
      <w:bookmarkEnd w:id="23"/>
      <w:r>
        <w:rPr>
          <w:rFonts w:ascii="宋体" w:hAnsi="宋体" w:hint="eastAsia"/>
          <w:b/>
          <w:sz w:val="24"/>
        </w:rPr>
        <w:lastRenderedPageBreak/>
        <w:t>七、基金的费用与税收</w:t>
      </w:r>
      <w:bookmarkEnd w:id="44"/>
      <w:bookmarkEnd w:id="45"/>
      <w:bookmarkEnd w:id="46"/>
      <w:bookmarkEnd w:id="47"/>
      <w:bookmarkEnd w:id="48"/>
      <w:bookmarkEnd w:id="49"/>
      <w:bookmarkEnd w:id="50"/>
      <w:bookmarkEnd w:id="51"/>
      <w:bookmarkEnd w:id="52"/>
    </w:p>
    <w:p w:rsidR="001050ED" w:rsidRPr="001050ED" w:rsidRDefault="001050ED" w:rsidP="001050ED">
      <w:pPr>
        <w:spacing w:line="360" w:lineRule="auto"/>
        <w:ind w:firstLineChars="200" w:firstLine="480"/>
        <w:rPr>
          <w:rFonts w:ascii="宋体" w:hAnsi="宋体"/>
          <w:color w:val="000000"/>
          <w:kern w:val="0"/>
          <w:sz w:val="24"/>
        </w:rPr>
      </w:pPr>
      <w:r>
        <w:rPr>
          <w:rFonts w:ascii="宋体" w:hAnsi="宋体" w:hint="eastAsia"/>
          <w:color w:val="000000"/>
          <w:kern w:val="0"/>
          <w:sz w:val="24"/>
        </w:rPr>
        <w:t>（一）</w:t>
      </w:r>
      <w:r w:rsidRPr="001050ED">
        <w:rPr>
          <w:rFonts w:ascii="宋体" w:hAnsi="宋体" w:hint="eastAsia"/>
          <w:color w:val="000000"/>
          <w:kern w:val="0"/>
          <w:sz w:val="24"/>
        </w:rPr>
        <w:t>基金费用的种类</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1、基金管理人的管理费；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2、基金托管人的托管费；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3、《基金合同》生效后与基金相关的信息披露费用；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4、《基金合同》生效后与基金相关的会计师费、律师费、诉讼费和仲裁费；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5、基金份额持有人大会费用；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6、基金的证券交易费用；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7、基金的银行汇划费用；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8、基金的开户费用、账户维护费用；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9、按照国家有关规定和《基金合同》约定，可以在基金财产中列支的其他费用。</w:t>
      </w:r>
    </w:p>
    <w:p w:rsidR="001050ED" w:rsidRPr="001050ED" w:rsidRDefault="001050ED" w:rsidP="001050ED">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Pr="001050ED">
        <w:rPr>
          <w:rFonts w:ascii="宋体" w:hAnsi="宋体" w:hint="eastAsia"/>
          <w:color w:val="000000"/>
          <w:kern w:val="0"/>
          <w:sz w:val="24"/>
        </w:rPr>
        <w:t>基金费用计提方法、计提标准和支付方式</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1、基金管理人的管理费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本基金的管理费按前一日基金资产净值的0.30%年费率计提。管理费的计算方法如下：</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H＝E×0.30%÷当年天数</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H为每日应计提的基金管理费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E为前一日的基金资产净值</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基金管理费每日计算，逐日累计至每月月末，按月支付，由基金管理人与基金托管人核对一致后，由基金管理人向基金托管人发送划款指令，基金托管人于次月前5个工作日内从基金财产中一次性支付给基金管理人。若遇法定节假日、公休假等，支付日期顺延。</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2、基金托管人的托管费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本基金的托管费按前一日基金资产净值的0.10%的年费率计提。托管费的计算方法如下：</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H＝E×0.10%÷当年天数</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H为每日应计提的基金托管费</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lastRenderedPageBreak/>
        <w:t>E为前一日的基金资产净值</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基金托管费每日计算，逐日累计至每月月末，按月支付，由基金管理人与基金托管人核对一致后，由基金管理人向基金托管人发送划款指令，基金托管人于次月前5个工作日内从基金财产中一次性支取。若遇法定节假日、公休假等，支付日期顺延。</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上述“一、基金费用的种类中第3－9项费用”，根据有关法规及相应协议规定，按费用实际支出金额列入当期费用，由基金托管人从基金财产中支付。</w:t>
      </w:r>
    </w:p>
    <w:p w:rsidR="001050ED" w:rsidRPr="001050ED" w:rsidRDefault="001050ED" w:rsidP="001050ED">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sidRPr="001050ED">
        <w:rPr>
          <w:rFonts w:ascii="宋体" w:hAnsi="宋体" w:hint="eastAsia"/>
          <w:color w:val="000000"/>
          <w:kern w:val="0"/>
          <w:sz w:val="24"/>
        </w:rPr>
        <w:t>不列入基金费用的项目</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下列费用不列入基金费用：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1、基金管理人和基金托管人因未履行或未完全履行义务导致的费用支出或基金财产的损失；</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2、基金管理人和基金托管人处理与基金运作无关的事项发生的费用；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3、《基金合同》生效前的相关费用；</w:t>
      </w:r>
    </w:p>
    <w:p w:rsidR="001050ED" w:rsidRPr="001050ED" w:rsidRDefault="001050ED" w:rsidP="001050ED">
      <w:pPr>
        <w:spacing w:line="360" w:lineRule="auto"/>
        <w:ind w:firstLineChars="200" w:firstLine="480"/>
        <w:rPr>
          <w:rFonts w:ascii="宋体" w:hAnsi="宋体"/>
          <w:color w:val="000000"/>
          <w:kern w:val="0"/>
          <w:sz w:val="24"/>
        </w:rPr>
      </w:pPr>
      <w:r w:rsidRPr="001050ED">
        <w:rPr>
          <w:rFonts w:ascii="宋体" w:hAnsi="宋体" w:hint="eastAsia"/>
          <w:color w:val="000000"/>
          <w:kern w:val="0"/>
          <w:sz w:val="24"/>
        </w:rPr>
        <w:t>4、其他根据相关法律法规及中国证监会的有关规定不得列入基金费用的项目。</w:t>
      </w:r>
    </w:p>
    <w:p w:rsidR="00900744" w:rsidRDefault="001050ED" w:rsidP="00900744">
      <w:pPr>
        <w:spacing w:line="360" w:lineRule="auto"/>
        <w:ind w:firstLineChars="200" w:firstLine="480"/>
        <w:rPr>
          <w:rFonts w:ascii="宋体" w:hAnsi="宋体"/>
          <w:color w:val="000000"/>
          <w:kern w:val="0"/>
          <w:sz w:val="24"/>
        </w:rPr>
      </w:pPr>
      <w:r>
        <w:rPr>
          <w:rFonts w:ascii="宋体" w:hAnsi="宋体" w:hint="eastAsia"/>
          <w:color w:val="000000"/>
          <w:kern w:val="0"/>
          <w:sz w:val="24"/>
        </w:rPr>
        <w:t>（四）</w:t>
      </w:r>
      <w:r w:rsidRPr="001050ED">
        <w:rPr>
          <w:rFonts w:ascii="宋体" w:hAnsi="宋体" w:hint="eastAsia"/>
          <w:color w:val="000000"/>
          <w:kern w:val="0"/>
          <w:sz w:val="24"/>
        </w:rPr>
        <w:t>基金税收</w:t>
      </w:r>
    </w:p>
    <w:p w:rsidR="00900744" w:rsidRPr="00900744" w:rsidRDefault="001050ED" w:rsidP="00900744">
      <w:pPr>
        <w:spacing w:line="360" w:lineRule="auto"/>
        <w:ind w:firstLineChars="200" w:firstLine="480"/>
        <w:rPr>
          <w:rFonts w:ascii="宋体" w:hAnsi="宋体"/>
          <w:bCs/>
          <w:color w:val="000000"/>
          <w:kern w:val="0"/>
          <w:sz w:val="24"/>
        </w:rPr>
      </w:pPr>
      <w:r w:rsidRPr="00900744">
        <w:rPr>
          <w:rFonts w:ascii="宋体" w:hAnsi="宋体" w:hint="eastAsia"/>
          <w:bCs/>
          <w:color w:val="000000"/>
          <w:kern w:val="0"/>
          <w:sz w:val="24"/>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Default="007026B8">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45798E" w:rsidRDefault="007026B8">
      <w:pPr>
        <w:spacing w:line="360" w:lineRule="auto"/>
        <w:ind w:firstLineChars="200" w:firstLine="480"/>
        <w:rPr>
          <w:rFonts w:ascii="宋体" w:hAnsi="宋体"/>
          <w:color w:val="000000"/>
          <w:sz w:val="24"/>
        </w:rPr>
      </w:pPr>
      <w:r>
        <w:rPr>
          <w:rFonts w:ascii="宋体" w:hAnsi="宋体" w:hint="eastAsia"/>
          <w:color w:val="000000"/>
          <w:sz w:val="24"/>
        </w:rPr>
        <w:t>1、对“三、基金管理人”部分内容进行了更新；</w:t>
      </w:r>
    </w:p>
    <w:p w:rsidR="0045798E" w:rsidRDefault="007026B8">
      <w:pPr>
        <w:spacing w:line="360" w:lineRule="auto"/>
        <w:ind w:firstLineChars="200" w:firstLine="480"/>
        <w:rPr>
          <w:rFonts w:ascii="宋体" w:hAnsi="宋体"/>
          <w:color w:val="000000"/>
          <w:sz w:val="24"/>
        </w:rPr>
      </w:pPr>
      <w:r>
        <w:rPr>
          <w:rFonts w:ascii="宋体" w:hAnsi="宋体" w:hint="eastAsia"/>
          <w:color w:val="000000"/>
          <w:sz w:val="24"/>
        </w:rPr>
        <w:t>2、对“四、基金托管人”部分内容进行了更新；</w:t>
      </w:r>
    </w:p>
    <w:p w:rsidR="0045798E" w:rsidRDefault="00900744">
      <w:pPr>
        <w:spacing w:line="360" w:lineRule="auto"/>
        <w:ind w:firstLineChars="200" w:firstLine="480"/>
        <w:rPr>
          <w:rFonts w:ascii="宋体" w:hAnsi="宋体"/>
          <w:color w:val="000000"/>
          <w:sz w:val="24"/>
        </w:rPr>
      </w:pPr>
      <w:r>
        <w:rPr>
          <w:rFonts w:ascii="宋体" w:hAnsi="宋体" w:hint="eastAsia"/>
          <w:color w:val="000000"/>
          <w:sz w:val="24"/>
        </w:rPr>
        <w:t>3</w:t>
      </w:r>
      <w:r w:rsidR="007026B8">
        <w:rPr>
          <w:rFonts w:ascii="宋体" w:hAnsi="宋体" w:hint="eastAsia"/>
          <w:color w:val="000000"/>
          <w:sz w:val="24"/>
        </w:rPr>
        <w:t>、对“九、基金的投资”部分内容进行了更新；</w:t>
      </w:r>
    </w:p>
    <w:p w:rsidR="0045798E" w:rsidRDefault="00900744">
      <w:pPr>
        <w:spacing w:line="360" w:lineRule="auto"/>
        <w:ind w:firstLineChars="200" w:firstLine="480"/>
        <w:rPr>
          <w:rFonts w:ascii="宋体" w:hAnsi="宋体"/>
          <w:color w:val="000000"/>
          <w:sz w:val="24"/>
        </w:rPr>
      </w:pPr>
      <w:r>
        <w:rPr>
          <w:rFonts w:ascii="宋体" w:hAnsi="宋体" w:hint="eastAsia"/>
          <w:color w:val="000000"/>
          <w:sz w:val="24"/>
        </w:rPr>
        <w:t>4</w:t>
      </w:r>
      <w:r w:rsidR="007026B8">
        <w:rPr>
          <w:rFonts w:ascii="宋体" w:hAnsi="宋体" w:hint="eastAsia"/>
          <w:color w:val="000000"/>
          <w:sz w:val="24"/>
        </w:rPr>
        <w:t>、对“二十一、其它应披露事项”部分内容进行了更新。</w:t>
      </w:r>
    </w:p>
    <w:p w:rsidR="0045798E" w:rsidRDefault="0045798E">
      <w:pPr>
        <w:spacing w:line="360" w:lineRule="auto"/>
        <w:rPr>
          <w:rFonts w:ascii="宋体" w:hAnsi="宋体"/>
          <w:color w:val="000000"/>
          <w:sz w:val="24"/>
        </w:rPr>
      </w:pPr>
    </w:p>
    <w:p w:rsidR="0045798E" w:rsidRDefault="007026B8">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rsidR="0045798E" w:rsidRDefault="007026B8">
      <w:pPr>
        <w:wordWrap w:val="0"/>
        <w:spacing w:line="360" w:lineRule="auto"/>
        <w:jc w:val="right"/>
        <w:rPr>
          <w:rFonts w:ascii="宋体" w:hAnsi="宋体"/>
          <w:color w:val="000000"/>
          <w:sz w:val="24"/>
        </w:rPr>
      </w:pPr>
      <w:r>
        <w:rPr>
          <w:rFonts w:ascii="宋体" w:hAnsi="宋体" w:hint="eastAsia"/>
          <w:color w:val="000000"/>
          <w:kern w:val="0"/>
          <w:sz w:val="24"/>
        </w:rPr>
        <w:t>二〇一七年</w:t>
      </w:r>
      <w:r w:rsidR="0012675A">
        <w:rPr>
          <w:rFonts w:ascii="宋体" w:hAnsi="宋体" w:hint="eastAsia"/>
          <w:color w:val="000000"/>
          <w:kern w:val="0"/>
          <w:sz w:val="24"/>
        </w:rPr>
        <w:t>十</w:t>
      </w:r>
      <w:r>
        <w:rPr>
          <w:rFonts w:ascii="宋体" w:hAnsi="宋体" w:hint="eastAsia"/>
          <w:color w:val="000000"/>
          <w:kern w:val="0"/>
          <w:sz w:val="24"/>
        </w:rPr>
        <w:t xml:space="preserve">月  </w:t>
      </w:r>
    </w:p>
    <w:p w:rsidR="0045798E" w:rsidRDefault="0045798E">
      <w:pPr>
        <w:spacing w:line="360" w:lineRule="auto"/>
        <w:jc w:val="right"/>
        <w:rPr>
          <w:rFonts w:ascii="宋体" w:hAnsi="宋体"/>
          <w:color w:val="000000"/>
          <w:sz w:val="24"/>
        </w:rPr>
      </w:pPr>
    </w:p>
    <w:sectPr w:rsidR="0045798E">
      <w:headerReference w:type="default" r:id="rId10"/>
      <w:footerReference w:type="default" r:id="rId11"/>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0ED" w:rsidRDefault="001050ED">
      <w:r>
        <w:separator/>
      </w:r>
    </w:p>
  </w:endnote>
  <w:endnote w:type="continuationSeparator" w:id="0">
    <w:p w:rsidR="001050ED" w:rsidRDefault="00105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0ED" w:rsidRDefault="001050ED">
    <w:pPr>
      <w:pStyle w:val="ab"/>
      <w:jc w:val="center"/>
    </w:pPr>
    <w:r>
      <w:fldChar w:fldCharType="begin"/>
    </w:r>
    <w:r>
      <w:instrText>PAGE   \* MERGEFORMAT</w:instrText>
    </w:r>
    <w:r>
      <w:fldChar w:fldCharType="separate"/>
    </w:r>
    <w:r w:rsidR="008F27DA" w:rsidRPr="008F27DA">
      <w:rPr>
        <w:noProof/>
        <w:lang w:val="zh-CN"/>
      </w:rPr>
      <w:t>21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0ED" w:rsidRDefault="001050ED">
      <w:r>
        <w:separator/>
      </w:r>
    </w:p>
  </w:footnote>
  <w:footnote w:type="continuationSeparator" w:id="0">
    <w:p w:rsidR="001050ED" w:rsidRDefault="001050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0ED" w:rsidRDefault="001050ED">
    <w:pPr>
      <w:pStyle w:val="ac"/>
      <w:jc w:val="left"/>
    </w:pPr>
    <w:r w:rsidRPr="007026B8">
      <w:rPr>
        <w:rFonts w:hint="eastAsia"/>
      </w:rPr>
      <w:t>富荣富</w:t>
    </w:r>
    <w:proofErr w:type="gramStart"/>
    <w:r w:rsidRPr="007026B8">
      <w:rPr>
        <w:rFonts w:hint="eastAsia"/>
      </w:rPr>
      <w:t>兴纯债</w:t>
    </w:r>
    <w:proofErr w:type="gramEnd"/>
    <w:r w:rsidRPr="007026B8">
      <w:rPr>
        <w:rFonts w:hint="eastAsia"/>
      </w:rPr>
      <w:t>债券型证券投资基金</w:t>
    </w:r>
    <w:r>
      <w:rPr>
        <w:rFonts w:hint="eastAsia"/>
      </w:rPr>
      <w:t>更新的招募说明书摘要（</w:t>
    </w:r>
    <w:r>
      <w:rPr>
        <w:rFonts w:hint="eastAsia"/>
      </w:rPr>
      <w:t>2017</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46C3EE-96A9-48D2-AEDB-89FE7F5A3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27</Pages>
  <Words>12933</Words>
  <Characters>3326</Characters>
  <Application>Microsoft Office Word</Application>
  <DocSecurity>0</DocSecurity>
  <Lines>27</Lines>
  <Paragraphs>32</Paragraphs>
  <ScaleCrop>false</ScaleCrop>
  <Company>Microsoft</Company>
  <LinksUpToDate>false</LinksUpToDate>
  <CharactersWithSpaces>16227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xieyanping</cp:lastModifiedBy>
  <cp:revision>8</cp:revision>
  <cp:lastPrinted>2016-08-24T01:43:00Z</cp:lastPrinted>
  <dcterms:created xsi:type="dcterms:W3CDTF">2017-06-12T09:34:00Z</dcterms:created>
  <dcterms:modified xsi:type="dcterms:W3CDTF">2017-10-10T10:36:00Z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